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b/>
          <w:bCs/>
          <w:color w:val="1F3864"/>
          <w:sz w:val="34"/>
          <w:szCs w:val="34"/>
        </w:rPr>
        <w:t xml:space="preserve">Attention-Fidelity-Preserving Federated Unlearning for Trustworthy Chest X-Ray Diagnosis using Vision Transformers (DeiT)</w:t>
      </w:r>
    </w:p>
    <w:p>
      <w:pPr>
        <w:spacing w:after="220"/>
        <w:jc w:val="center"/>
      </w:pPr>
      <w:r>
        <w:rPr>
          <w:i/>
          <w:iCs/>
          <w:color w:val="555555"/>
          <w:sz w:val="24"/>
          <w:szCs w:val="24"/>
        </w:rPr>
        <w:t xml:space="preserve">Project Report — Review 1</w:t>
      </w:r>
    </w:p>
    <w:p>
      <w:pPr>
        <w:pStyle w:val="Heading1"/>
        <w:spacing w:after="120" w:before="260"/>
      </w:pPr>
      <w:r>
        <w:rPr>
          <w:b/>
          <w:bCs/>
          <w:color w:val="1F3864"/>
          <w:sz w:val="30"/>
          <w:szCs w:val="30"/>
        </w:rPr>
        <w:t xml:space="preserve">1. Abstract</w:t>
      </w:r>
    </w:p>
    <w:p>
      <w:pPr>
        <w:spacing w:after="120" w:line="276"/>
        <w:jc w:val="both"/>
      </w:pPr>
      <w:r>
        <w:rPr>
          <w:sz w:val="22"/>
          <w:szCs w:val="22"/>
        </w:rPr>
        <w:t xml:space="preserve">Federated learning enables multiple hospitals to collaboratively train a shared chest X-ray diagnosis model without ever exchanging raw patient images, keeping sensitive data local while still benefiting from a larger, more diverse training population. However, data-protection regulations such as the right to be forgotten require that, once a participant withdraws consent, the influence of that participant's data be removed from an already-trained model — a process known as federated unlearning. The conventional way to satisfy this requirement, retraining the entire model from scratch on the remaining data, is computationally prohibitive and defeats the efficiency that federated learning is meant to provide.</w:t>
      </w:r>
    </w:p>
    <w:p>
      <w:pPr>
        <w:spacing w:after="120" w:line="276"/>
        <w:jc w:val="both"/>
      </w:pPr>
      <w:r>
        <w:rPr>
          <w:sz w:val="22"/>
          <w:szCs w:val="22"/>
        </w:rPr>
        <w:t xml:space="preserve">Existing unlearning methods concentrate almost exclusively on two objectives: restoring predictive accuracy and removing the statistical footprint of the forgotten data. They treat the model purely as a predictor and ignore a dimension that is decisive in medical imaging — the model's explanation, that is, the specific image regions the model attends to when it reaches a decision. A model that continues to predict correctly after unlearning but now attends to entirely different regions of the radiograph is no longer trustworthy to a clinician, because the visual evidence supporting its decisions has silently shifted. This project treats explanation stability as a first-class, measurable objective of the unlearning process itself.</w:t>
      </w:r>
    </w:p>
    <w:p>
      <w:pPr>
        <w:spacing w:after="120" w:line="276"/>
        <w:jc w:val="both"/>
      </w:pPr>
      <w:r>
        <w:rPr>
          <w:sz w:val="22"/>
          <w:szCs w:val="22"/>
        </w:rPr>
        <w:t xml:space="preserve">This report presents Attention-Fidelity-Preserving Federated Unlearning (EPU) for chest X-ray diagnosis using a Vision Transformer (DeiT-Small). A global model is first trained across five non-IID clients using Federated Averaging (FedAvg) to obtain an original, pre-unlearning classifier. To forget a designated client, three procedures are compared under identical conditions: a retrain-from-scratch oracle that serves as the gold-standard reference, a plain warm-start fine-tuning baseline on the retained clients, and the proposed EPU, which augments the fine-tuning objective with an explanation-consistency term, L = L_task + λ·L_exp, that explicitly penalizes drift of the model's attention-rollout maps away from those of the original model. The complete pipeline is evaluated along four axes — diagnostic utility, forgetting effectiveness, explanation fidelity, and efficiency — using membership-inference analysis to verify forgetting and quantitative attention-map similarity metrics (cosine, Pearson, Intersection-over-Union, and mean-squared error) to measure explanation preservation, across three random seeds and against the retrain oracle.</w:t>
      </w:r>
    </w:p>
    <w:p>
      <w:pPr>
        <w:spacing w:after="120" w:line="276"/>
        <w:jc w:val="both"/>
      </w:pPr>
      <w:r>
        <w:rPr>
          <w:i/>
          <w:iCs/>
          <w:sz w:val="22"/>
          <w:szCs w:val="22"/>
        </w:rPr>
        <w:t xml:space="preserve">The full multi-seed experimental run is currently executing on GPU infrastructure. In keeping with sound research practice, this report therefore does not report quantitative outcomes; it instead specifies the complete problem formulation, system architecture, methodology, and evaluation protocol against which the forthcoming measured results will be reported.</w:t>
      </w:r>
    </w:p>
    <w:p>
      <w:pPr>
        <w:pStyle w:val="Heading1"/>
        <w:spacing w:after="120" w:before="260"/>
      </w:pPr>
      <w:r>
        <w:rPr>
          <w:b/>
          <w:bCs/>
          <w:color w:val="1F3864"/>
          <w:sz w:val="30"/>
          <w:szCs w:val="30"/>
        </w:rPr>
        <w:t xml:space="preserve">2. Problem Statement and Objective</w:t>
      </w:r>
    </w:p>
    <w:p>
      <w:pPr>
        <w:pStyle w:val="Heading2"/>
        <w:spacing w:after="80" w:before="180"/>
      </w:pPr>
      <w:r>
        <w:rPr>
          <w:b/>
          <w:bCs/>
          <w:color w:val="1F3864"/>
          <w:sz w:val="25"/>
          <w:szCs w:val="25"/>
        </w:rPr>
        <w:t xml:space="preserve">2.1 Problem Statement</w:t>
      </w:r>
    </w:p>
    <w:p>
      <w:pPr>
        <w:spacing w:after="120" w:line="276"/>
        <w:jc w:val="both"/>
      </w:pPr>
      <w:r>
        <w:rPr>
          <w:sz w:val="22"/>
          <w:szCs w:val="22"/>
        </w:rPr>
        <w:t xml:space="preserve">Clinical machine-learning systems for chest radiography are increasingly trained under federated learning so that hospitals can collaborate without centralizing protected patient data. Once such a model is deployed, two requirements collide. First, privacy regulation grants individuals and institutions the right to withdraw their data, obliging the model owner to erase the contribution of a departing client — an operation that full retraining can satisfy but only at a cost that is impractical to repeat each time a participant leaves. Second, and specific to medicine, the model must remain trustworthy: its predictions must continue to rest on the same clinically meaningful image evidence they rested on before.</w:t>
      </w:r>
    </w:p>
    <w:p>
      <w:pPr>
        <w:spacing w:after="120" w:line="276"/>
        <w:jc w:val="both"/>
      </w:pPr>
      <w:r>
        <w:rPr>
          <w:sz w:val="22"/>
          <w:szCs w:val="22"/>
        </w:rPr>
        <w:t xml:space="preserve">Current federated-unlearning techniques address the first requirement while overlooking the second. They optimize for the removal of a client's statistical influence and for the recovery of task accuracy, but they neither measure nor protect the model's explanations during the unlearning update. Because fine-tuning on a reduced client set perturbs the model's internal attention, an unlearned model can retain its headline accuracy while quietly relocating the regions it attends to. In a safety-critical setting such as radiology, this silent explanation drift is itself a failure: a diagnosis that is numerically correct but visually unjustifiable cannot be relied upon by a clinician, and the shift is invisible to accuracy-only evaluation.</w:t>
      </w:r>
    </w:p>
    <w:p>
      <w:pPr>
        <w:spacing w:after="120" w:line="276"/>
        <w:jc w:val="both"/>
      </w:pPr>
      <w:r>
        <w:rPr>
          <w:sz w:val="22"/>
          <w:szCs w:val="22"/>
        </w:rPr>
        <w:t xml:space="preserve">There is therefore a clear need for a federated-unlearning methodology that removes a client's influence and preserves diagnostic accuracy while simultaneously keeping the model's explanations faithful to those of the original model — and that treats this explanation fidelity as an explicitly measured, experimentally verifiable quantity rather than an afterthought.</w:t>
      </w:r>
    </w:p>
    <w:p>
      <w:pPr>
        <w:pStyle w:val="Heading2"/>
        <w:spacing w:after="80" w:before="180"/>
      </w:pPr>
      <w:r>
        <w:rPr>
          <w:b/>
          <w:bCs/>
          <w:color w:val="1F3864"/>
          <w:sz w:val="25"/>
          <w:szCs w:val="25"/>
        </w:rPr>
        <w:t xml:space="preserve">2.2 Objectives</w:t>
      </w:r>
    </w:p>
    <w:p>
      <w:pPr>
        <w:spacing w:after="120" w:line="276"/>
        <w:jc w:val="both"/>
      </w:pPr>
      <w:r>
        <w:rPr>
          <w:b/>
          <w:bCs/>
          <w:sz w:val="22"/>
          <w:szCs w:val="22"/>
        </w:rPr>
        <w:t xml:space="preserve">Primary Objective: </w:t>
      </w:r>
      <w:r>
        <w:rPr>
          <w:sz w:val="22"/>
          <w:szCs w:val="22"/>
        </w:rPr>
        <w:t xml:space="preserve">Design, implement, and validate a federated-unlearning method for a Vision-Transformer chest X-ray classifier that removes the influence of a designated client while preserving both diagnostic performance and the fidelity of the model's attention-based explanations relative to the original model, without requiring a full retrain.</w:t>
      </w:r>
    </w:p>
    <w:p>
      <w:pPr>
        <w:spacing w:after="120" w:line="276"/>
        <w:jc w:val="both"/>
      </w:pPr>
      <w:r>
        <w:rPr>
          <w:b/>
          <w:bCs/>
          <w:sz w:val="22"/>
          <w:szCs w:val="22"/>
        </w:rPr>
        <w:t xml:space="preserve">Secondary Objective: </w:t>
      </w:r>
      <w:r>
        <w:rPr>
          <w:sz w:val="22"/>
          <w:szCs w:val="22"/>
        </w:rPr>
        <w:t xml:space="preserve">Establish a rigorous, reproducible evaluation framework that quantifies unlearning quality along four independent axes — diagnostic utility, forgetting effectiveness, explanation fidelity, and computational efficiency — benchmarked against a retrain-from-scratch oracle and a plain fine-tuning baseline, across multiple random seeds.</w:t>
      </w:r>
    </w:p>
    <w:p>
      <w:pPr>
        <w:spacing w:after="120" w:line="276"/>
        <w:jc w:val="both"/>
      </w:pPr>
      <w:r>
        <w:rPr>
          <w:sz w:val="22"/>
          <w:szCs w:val="22"/>
        </w:rPr>
        <w:t xml:space="preserve">Success Criteria: The method must (a) forget the designated client's contribution, verified by membership-inference analysis relative to the retrain oracle; (b) preserve diagnostic performance within a small tolerance of the plain baseline and the oracle on held-out data; (c) preserve explanation fidelity, measured as high attention-map similarity to the original model, better than the plain baseline achieves; (d) accomplish this at a fraction of the computational cost of full retraining; and (e) produce results that are reproducible across seeds under a fixed, fully specified training regime.</w:t>
      </w:r>
    </w:p>
    <w:p>
      <w:pPr>
        <w:pStyle w:val="Heading1"/>
        <w:spacing w:after="120" w:before="260"/>
      </w:pPr>
      <w:r>
        <w:rPr>
          <w:b/>
          <w:bCs/>
          <w:color w:val="1F3864"/>
          <w:sz w:val="30"/>
          <w:szCs w:val="30"/>
        </w:rPr>
        <w:t xml:space="preserve">3. Literature Survey and Research Gap</w:t>
      </w:r>
    </w:p>
    <w:p>
      <w:pPr>
        <w:pStyle w:val="Heading2"/>
        <w:spacing w:after="80" w:before="180"/>
      </w:pPr>
      <w:r>
        <w:rPr>
          <w:b/>
          <w:bCs/>
          <w:color w:val="1F3864"/>
          <w:sz w:val="25"/>
          <w:szCs w:val="25"/>
        </w:rPr>
        <w:t xml:space="preserve">3.1 Literature Survey</w:t>
      </w:r>
    </w:p>
    <w:p>
      <w:pPr>
        <w:spacing w:after="120" w:line="276"/>
        <w:jc w:val="both"/>
      </w:pPr>
      <w:r>
        <w:rPr>
          <w:sz w:val="22"/>
          <w:szCs w:val="22"/>
        </w:rPr>
        <w:t xml:space="preserve">The literature relevant to this project is organized into four strata according to the sub-problem each body of work addresses: federated learning and unlearning, Vision Transformers for medical imaging, explainability and attention interpretation, and privacy-based verification of forgetting. Each stratum is reviewed for its mechanism, its limitation, and its relevance to the proposed system.</w:t>
      </w:r>
    </w:p>
    <w:p>
      <w:pPr>
        <w:pStyle w:val="Heading2"/>
        <w:spacing w:after="80" w:before="180"/>
      </w:pPr>
      <w:r>
        <w:rPr>
          <w:b/>
          <w:bCs/>
          <w:color w:val="1F3864"/>
          <w:sz w:val="25"/>
          <w:szCs w:val="25"/>
        </w:rPr>
        <w:t xml:space="preserve">3.1.1 Stratum A — Federated Learning and Machine Unlearning</w:t>
      </w:r>
    </w:p>
    <w:p>
      <w:pPr>
        <w:spacing w:after="120" w:line="276"/>
        <w:jc w:val="both"/>
      </w:pPr>
      <w:r>
        <w:rPr>
          <w:sz w:val="22"/>
          <w:szCs w:val="22"/>
        </w:rPr>
        <w:t xml:space="preserve">Federated Averaging (McMahan et al., 2017) established the foundational protocol for training a shared model from decentralized data through repeated rounds of local optimization and weighted parameter averaging, and it remains the standard aggregation scheme on which this project builds. The complementary problem of removing data after training was formalized by Cao and Yang (2015), who framed machine unlearning through a statistical-query decomposition suited to comparatively simple models, and was scaled to deep networks by Bourtoule et al. (2021), whose SISA framework enables efficient, near-exact forgetting through sharded, isolated training and partial retraining at the cost of substantial storage overhead. Within federated settings specifically, FedEraser (Liu et al., 2021) enables client-level data removal by replaying and calibrating stored historical updates, demonstrating that unlearning far cheaper than full retraining is achievable in FL.</w:t>
      </w:r>
    </w:p>
    <w:p>
      <w:pPr>
        <w:spacing w:after="120" w:line="276"/>
        <w:jc w:val="both"/>
      </w:pPr>
      <w:r>
        <w:rPr>
          <w:b/>
          <w:bCs/>
          <w:sz w:val="22"/>
          <w:szCs w:val="22"/>
        </w:rPr>
        <w:t xml:space="preserve">Stratum A Relevance: </w:t>
      </w:r>
      <w:r>
        <w:rPr>
          <w:sz w:val="22"/>
          <w:szCs w:val="22"/>
        </w:rPr>
        <w:t xml:space="preserve">This stratum supplies the training protocol (FedAvg) and establishes that efficient client-level unlearning is feasible. However, every method in it defines successful unlearning purely in terms of data-influence removal and accuracy recovery; none considers whether the model's explanations survive the unlearning update, which is exactly the gap the proposed system occupies.</w:t>
      </w:r>
    </w:p>
    <w:p>
      <w:pPr>
        <w:pStyle w:val="Heading2"/>
        <w:spacing w:after="80" w:before="180"/>
      </w:pPr>
      <w:r>
        <w:rPr>
          <w:b/>
          <w:bCs/>
          <w:color w:val="1F3864"/>
          <w:sz w:val="25"/>
          <w:szCs w:val="25"/>
        </w:rPr>
        <w:t xml:space="preserve">3.1.2 Stratum B — Vision Transformers for Chest X-Ray Diagnosis</w:t>
      </w:r>
    </w:p>
    <w:p>
      <w:pPr>
        <w:spacing w:after="120" w:line="276"/>
        <w:jc w:val="both"/>
      </w:pPr>
      <w:r>
        <w:rPr>
          <w:sz w:val="22"/>
          <w:szCs w:val="22"/>
        </w:rPr>
        <w:t xml:space="preserve">The Vision Transformer (Dosovitskiy et al., 2021) showed that a pure self-attention architecture operating on image patches can match or exceed convolutional networks on image recognition, while DeiT (Touvron et al., 2021) made such transformers trainable on mid-scale data through distillation and strong augmentation, making a ViT backbone practical for a project of this scale. On the application side, Wang et al. (2017) released the ChestX-ray14 benchmark and a weakly-supervised multi-label baseline for fourteen thoracic findings, and Rajpurkar et al. (2017) demonstrated with CheXNet that deep networks can reach radiologist-level performance on chest radiographs, though in a centralized, single-model setting without any unlearning or explanation-preservation component.</w:t>
      </w:r>
    </w:p>
    <w:p>
      <w:pPr>
        <w:spacing w:after="120" w:line="276"/>
        <w:jc w:val="both"/>
      </w:pPr>
      <w:r>
        <w:rPr>
          <w:b/>
          <w:bCs/>
          <w:sz w:val="22"/>
          <w:szCs w:val="22"/>
        </w:rPr>
        <w:t xml:space="preserve">Stratum B Relevance: </w:t>
      </w:r>
      <w:r>
        <w:rPr>
          <w:sz w:val="22"/>
          <w:szCs w:val="22"/>
        </w:rPr>
        <w:t xml:space="preserve">This stratum justifies the choice of a DeiT backbone and the ChestX-ray14 dataset, and confirms that transformer classifiers are competitive for thoracic diagnosis. Its self-attention mechanism is also what makes attention-based explanation natural to extract — the property the proposed method exploits — yet none of these works address federated training or unlearning.</w:t>
      </w:r>
    </w:p>
    <w:p>
      <w:pPr>
        <w:pStyle w:val="Heading2"/>
        <w:spacing w:after="80" w:before="180"/>
      </w:pPr>
      <w:r>
        <w:rPr>
          <w:b/>
          <w:bCs/>
          <w:color w:val="1F3864"/>
          <w:sz w:val="25"/>
          <w:szCs w:val="25"/>
        </w:rPr>
        <w:t xml:space="preserve">3.1.3 Stratum C — Explainability and Attention Interpretation</w:t>
      </w:r>
    </w:p>
    <w:p>
      <w:pPr>
        <w:spacing w:after="120" w:line="276"/>
        <w:jc w:val="both"/>
      </w:pPr>
      <w:r>
        <w:rPr>
          <w:sz w:val="22"/>
          <w:szCs w:val="22"/>
        </w:rPr>
        <w:t xml:space="preserve">Attention Rollout (Abnar and Zuidema, 2020) provides a principled way to aggregate a transformer's per-layer attention into a single saliency map by propagating attention through the network, yielding a model-intrinsic explanation that requires no external attribution model. Grad-CAM (Selvaraju et al., 2017) offers the analogous gradient-based, class-discriminative explanation for convolutional networks and motivates why localized visual evidence matters for trust. The survey by Tjoa and Guan (2021) synthesizes explainable-AI methods specifically for medicine and argues that explanation quality — not accuracy alone — is a prerequisite for clinical adoption.</w:t>
      </w:r>
    </w:p>
    <w:p>
      <w:pPr>
        <w:spacing w:after="120" w:line="276"/>
        <w:jc w:val="both"/>
      </w:pPr>
      <w:r>
        <w:rPr>
          <w:b/>
          <w:bCs/>
          <w:sz w:val="22"/>
          <w:szCs w:val="22"/>
        </w:rPr>
        <w:t xml:space="preserve">Stratum C Relevance: </w:t>
      </w:r>
      <w:r>
        <w:rPr>
          <w:sz w:val="22"/>
          <w:szCs w:val="22"/>
        </w:rPr>
        <w:t xml:space="preserve">This stratum provides both the explanation operator used in the proposed method (attention rollout) and the clinical motivation for preserving explanations. Crucially, these works treat explanation as something to visualize after training; the proposed system instead treats explanation fidelity as an objective to optimize during unlearning.</w:t>
      </w:r>
    </w:p>
    <w:p>
      <w:pPr>
        <w:pStyle w:val="Heading2"/>
        <w:spacing w:after="80" w:before="180"/>
      </w:pPr>
      <w:r>
        <w:rPr>
          <w:b/>
          <w:bCs/>
          <w:color w:val="1F3864"/>
          <w:sz w:val="25"/>
          <w:szCs w:val="25"/>
        </w:rPr>
        <w:t xml:space="preserve">3.1.4 Stratum D — Privacy-Based Verification of Forgetting</w:t>
      </w:r>
    </w:p>
    <w:p>
      <w:pPr>
        <w:spacing w:after="120" w:line="276"/>
        <w:jc w:val="both"/>
      </w:pPr>
      <w:r>
        <w:rPr>
          <w:sz w:val="22"/>
          <w:szCs w:val="22"/>
        </w:rPr>
        <w:t xml:space="preserve">Membership Inference Attacks (Shokri et al., 2017) show that a trained model leaks information about whether a given sample was in its training set, providing a quantitative probe of memorization. In the unlearning literature this probe is repurposed as a verification tool: if a forgotten client's data is truly no longer influential, a membership-inference attack should be unable to distinguish that data from unseen data, and its performance should approach chance.</w:t>
      </w:r>
    </w:p>
    <w:p>
      <w:pPr>
        <w:spacing w:after="120" w:line="276"/>
        <w:jc w:val="both"/>
      </w:pPr>
      <w:r>
        <w:rPr>
          <w:b/>
          <w:bCs/>
          <w:sz w:val="22"/>
          <w:szCs w:val="22"/>
        </w:rPr>
        <w:t xml:space="preserve">Stratum D Relevance: </w:t>
      </w:r>
      <w:r>
        <w:rPr>
          <w:sz w:val="22"/>
          <w:szCs w:val="22"/>
        </w:rPr>
        <w:t xml:space="preserve">This stratum supplies the objective forgetting-verification metric used in the evaluation, allowing the claim of successful unlearning to be tested empirically against the retrain oracle rather than merely asserted.</w:t>
      </w:r>
    </w:p>
    <w:p>
      <w:pPr>
        <w:pStyle w:val="Heading2"/>
        <w:spacing w:after="80" w:before="180"/>
      </w:pPr>
      <w:r>
        <w:rPr>
          <w:b/>
          <w:bCs/>
          <w:color w:val="1F3864"/>
          <w:sz w:val="25"/>
          <w:szCs w:val="25"/>
        </w:rPr>
        <w:t xml:space="preserve">3.2 Literature Summary Table</w:t>
      </w:r>
    </w:p>
    <w:p>
      <w:pPr>
        <w:spacing w:after="160" w:before="60"/>
        <w:jc w:val="center"/>
      </w:pPr>
      <w:r>
        <w:rPr>
          <w:i/>
          <w:iCs/>
          <w:color w:val="555555"/>
          <w:sz w:val="20"/>
          <w:szCs w:val="20"/>
        </w:rPr>
        <w:t xml:space="preserve">Table 1: Literature Summary</w:t>
      </w:r>
    </w:p>
    <w:tbl>
      <w:tblPr>
        <w:tblW w:type="dxa" w:w="9026"/>
        <w:tblBorders>
          <w:top w:val="single" w:color="AAB4C4" w:sz="4"/>
          <w:left w:val="single" w:color="AAB4C4" w:sz="4"/>
          <w:bottom w:val="single" w:color="AAB4C4" w:sz="4"/>
          <w:right w:val="single" w:color="AAB4C4" w:sz="4"/>
          <w:insideH w:val="single" w:color="AAB4C4" w:sz="4"/>
          <w:insideV w:val="single" w:color="AAB4C4" w:sz="4"/>
        </w:tblBorders>
      </w:tblPr>
      <w:tblGrid>
        <w:gridCol w:w="820"/>
        <w:gridCol w:w="1620"/>
        <w:gridCol w:w="2100"/>
        <w:gridCol w:w="2100"/>
        <w:gridCol w:w="2386"/>
      </w:tblGrid>
      <w:tr>
        <w:trPr>
          <w:tblHeader/>
        </w:trPr>
        <w:tc>
          <w:tcPr>
            <w:tcW w:type="dxa" w:w="820"/>
            <w:shd w:fill="2E5496" w:val="clear"/>
            <w:tcMar>
              <w:top w:type="dxa" w:w="40"/>
              <w:left w:type="dxa" w:w="80"/>
              <w:bottom w:type="dxa" w:w="40"/>
              <w:right w:type="dxa" w:w="80"/>
            </w:tcMar>
          </w:tcPr>
          <w:p>
            <w:pPr>
              <w:spacing w:after="0" w:line="250"/>
              <w:jc w:val="center"/>
            </w:pPr>
            <w:r>
              <w:rPr>
                <w:b/>
                <w:bCs/>
                <w:color w:val="FFFFFF"/>
                <w:sz w:val="20"/>
                <w:szCs w:val="20"/>
              </w:rPr>
              <w:t xml:space="preserve">Stratum</w:t>
            </w:r>
          </w:p>
        </w:tc>
        <w:tc>
          <w:tcPr>
            <w:tcW w:type="dxa" w:w="1620"/>
            <w:shd w:fill="2E5496" w:val="clear"/>
            <w:tcMar>
              <w:top w:type="dxa" w:w="40"/>
              <w:left w:type="dxa" w:w="80"/>
              <w:bottom w:type="dxa" w:w="40"/>
              <w:right w:type="dxa" w:w="80"/>
            </w:tcMar>
          </w:tcPr>
          <w:p>
            <w:pPr>
              <w:spacing w:after="0" w:line="250"/>
              <w:jc w:val="center"/>
            </w:pPr>
            <w:r>
              <w:rPr>
                <w:b/>
                <w:bCs/>
                <w:color w:val="FFFFFF"/>
                <w:sz w:val="20"/>
                <w:szCs w:val="20"/>
              </w:rPr>
              <w:t xml:space="preserve">Work</w:t>
            </w:r>
          </w:p>
        </w:tc>
        <w:tc>
          <w:tcPr>
            <w:tcW w:type="dxa" w:w="2100"/>
            <w:shd w:fill="2E5496" w:val="clear"/>
            <w:tcMar>
              <w:top w:type="dxa" w:w="40"/>
              <w:left w:type="dxa" w:w="80"/>
              <w:bottom w:type="dxa" w:w="40"/>
              <w:right w:type="dxa" w:w="80"/>
            </w:tcMar>
          </w:tcPr>
          <w:p>
            <w:pPr>
              <w:spacing w:after="0" w:line="250"/>
              <w:jc w:val="center"/>
            </w:pPr>
            <w:r>
              <w:rPr>
                <w:b/>
                <w:bCs/>
                <w:color w:val="FFFFFF"/>
                <w:sz w:val="20"/>
                <w:szCs w:val="20"/>
              </w:rPr>
              <w:t xml:space="preserve">Mechanism</w:t>
            </w:r>
          </w:p>
        </w:tc>
        <w:tc>
          <w:tcPr>
            <w:tcW w:type="dxa" w:w="2100"/>
            <w:shd w:fill="2E5496" w:val="clear"/>
            <w:tcMar>
              <w:top w:type="dxa" w:w="40"/>
              <w:left w:type="dxa" w:w="80"/>
              <w:bottom w:type="dxa" w:w="40"/>
              <w:right w:type="dxa" w:w="80"/>
            </w:tcMar>
          </w:tcPr>
          <w:p>
            <w:pPr>
              <w:spacing w:after="0" w:line="250"/>
              <w:jc w:val="center"/>
            </w:pPr>
            <w:r>
              <w:rPr>
                <w:b/>
                <w:bCs/>
                <w:color w:val="FFFFFF"/>
                <w:sz w:val="20"/>
                <w:szCs w:val="20"/>
              </w:rPr>
              <w:t xml:space="preserve">Limitation</w:t>
            </w:r>
          </w:p>
        </w:tc>
        <w:tc>
          <w:tcPr>
            <w:tcW w:type="dxa" w:w="2386"/>
            <w:shd w:fill="2E5496" w:val="clear"/>
            <w:tcMar>
              <w:top w:type="dxa" w:w="40"/>
              <w:left w:type="dxa" w:w="80"/>
              <w:bottom w:type="dxa" w:w="40"/>
              <w:right w:type="dxa" w:w="80"/>
            </w:tcMar>
          </w:tcPr>
          <w:p>
            <w:pPr>
              <w:spacing w:after="0" w:line="250"/>
              <w:jc w:val="center"/>
            </w:pPr>
            <w:r>
              <w:rPr>
                <w:b/>
                <w:bCs/>
                <w:color w:val="FFFFFF"/>
                <w:sz w:val="20"/>
                <w:szCs w:val="20"/>
              </w:rPr>
              <w:t xml:space="preserve">Difference from Proposed System</w:t>
            </w:r>
          </w:p>
        </w:tc>
      </w:tr>
      <w:tr>
        <w:tc>
          <w:tcPr>
            <w:tcW w:type="dxa" w:w="820"/>
            <w:tcMar>
              <w:top w:type="dxa" w:w="40"/>
              <w:left w:type="dxa" w:w="80"/>
              <w:bottom w:type="dxa" w:w="40"/>
              <w:right w:type="dxa" w:w="80"/>
            </w:tcMar>
          </w:tcPr>
          <w:p>
            <w:pPr>
              <w:spacing w:after="0" w:line="250"/>
              <w:jc w:val="left"/>
            </w:pPr>
            <w:r>
              <w:rPr>
                <w:b w:val="false"/>
                <w:bCs w:val="false"/>
                <w:color w:val="000000"/>
                <w:sz w:val="19"/>
                <w:szCs w:val="19"/>
              </w:rPr>
              <w:t xml:space="preserve">A</w:t>
            </w:r>
          </w:p>
        </w:tc>
        <w:tc>
          <w:tcPr>
            <w:tcW w:type="dxa" w:w="1620"/>
            <w:tcMar>
              <w:top w:type="dxa" w:w="40"/>
              <w:left w:type="dxa" w:w="80"/>
              <w:bottom w:type="dxa" w:w="40"/>
              <w:right w:type="dxa" w:w="80"/>
            </w:tcMar>
          </w:tcPr>
          <w:p>
            <w:pPr>
              <w:spacing w:after="0" w:line="250"/>
              <w:jc w:val="left"/>
            </w:pPr>
            <w:r>
              <w:rPr>
                <w:b w:val="false"/>
                <w:bCs w:val="false"/>
                <w:color w:val="000000"/>
                <w:sz w:val="19"/>
                <w:szCs w:val="19"/>
              </w:rPr>
              <w:t xml:space="preserve">McMahan et al. (FedAvg)</w:t>
            </w:r>
          </w:p>
        </w:tc>
        <w:tc>
          <w:tcPr>
            <w:tcW w:type="dxa" w:w="2100"/>
            <w:tcMar>
              <w:top w:type="dxa" w:w="40"/>
              <w:left w:type="dxa" w:w="80"/>
              <w:bottom w:type="dxa" w:w="40"/>
              <w:right w:type="dxa" w:w="80"/>
            </w:tcMar>
          </w:tcPr>
          <w:p>
            <w:pPr>
              <w:spacing w:after="0" w:line="250"/>
              <w:jc w:val="left"/>
            </w:pPr>
            <w:r>
              <w:rPr>
                <w:b w:val="false"/>
                <w:bCs w:val="false"/>
                <w:color w:val="000000"/>
                <w:sz w:val="19"/>
                <w:szCs w:val="19"/>
              </w:rPr>
              <w:t xml:space="preserve">Local SGD + weighted averaging</w:t>
            </w:r>
          </w:p>
        </w:tc>
        <w:tc>
          <w:tcPr>
            <w:tcW w:type="dxa" w:w="2100"/>
            <w:tcMar>
              <w:top w:type="dxa" w:w="40"/>
              <w:left w:type="dxa" w:w="80"/>
              <w:bottom w:type="dxa" w:w="40"/>
              <w:right w:type="dxa" w:w="80"/>
            </w:tcMar>
          </w:tcPr>
          <w:p>
            <w:pPr>
              <w:spacing w:after="0" w:line="250"/>
              <w:jc w:val="left"/>
            </w:pPr>
            <w:r>
              <w:rPr>
                <w:b w:val="false"/>
                <w:bCs w:val="false"/>
                <w:color w:val="000000"/>
                <w:sz w:val="19"/>
                <w:szCs w:val="19"/>
              </w:rPr>
              <w:t xml:space="preserve">Non-IID degradation; no unlearning</w:t>
            </w:r>
          </w:p>
        </w:tc>
        <w:tc>
          <w:tcPr>
            <w:tcW w:type="dxa" w:w="2386"/>
            <w:tcMar>
              <w:top w:type="dxa" w:w="40"/>
              <w:left w:type="dxa" w:w="80"/>
              <w:bottom w:type="dxa" w:w="40"/>
              <w:right w:type="dxa" w:w="80"/>
            </w:tcMar>
          </w:tcPr>
          <w:p>
            <w:pPr>
              <w:spacing w:after="0" w:line="250"/>
              <w:jc w:val="left"/>
            </w:pPr>
            <w:r>
              <w:rPr>
                <w:b w:val="false"/>
                <w:bCs w:val="false"/>
                <w:color w:val="000000"/>
                <w:sz w:val="19"/>
                <w:szCs w:val="19"/>
              </w:rPr>
              <w:t xml:space="preserve">Adopted as the training protocol; extended with client-level unlearning</w:t>
            </w:r>
          </w:p>
        </w:tc>
      </w:tr>
      <w:tr>
        <w:tc>
          <w:tcPr>
            <w:tcW w:type="dxa" w:w="82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A</w:t>
            </w:r>
          </w:p>
        </w:tc>
        <w:tc>
          <w:tcPr>
            <w:tcW w:type="dxa" w:w="162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Cao &amp; Yang</w:t>
            </w:r>
          </w:p>
        </w:tc>
        <w:tc>
          <w:tcPr>
            <w:tcW w:type="dxa" w:w="21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Statistical-query decomposition</w:t>
            </w:r>
          </w:p>
        </w:tc>
        <w:tc>
          <w:tcPr>
            <w:tcW w:type="dxa" w:w="21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Limited to simple models</w:t>
            </w:r>
          </w:p>
        </w:tc>
        <w:tc>
          <w:tcPr>
            <w:tcW w:type="dxa" w:w="238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Targets deep Vision Transformers</w:t>
            </w:r>
          </w:p>
        </w:tc>
      </w:tr>
      <w:tr>
        <w:tc>
          <w:tcPr>
            <w:tcW w:type="dxa" w:w="820"/>
            <w:tcMar>
              <w:top w:type="dxa" w:w="40"/>
              <w:left w:type="dxa" w:w="80"/>
              <w:bottom w:type="dxa" w:w="40"/>
              <w:right w:type="dxa" w:w="80"/>
            </w:tcMar>
          </w:tcPr>
          <w:p>
            <w:pPr>
              <w:spacing w:after="0" w:line="250"/>
              <w:jc w:val="left"/>
            </w:pPr>
            <w:r>
              <w:rPr>
                <w:b w:val="false"/>
                <w:bCs w:val="false"/>
                <w:color w:val="000000"/>
                <w:sz w:val="19"/>
                <w:szCs w:val="19"/>
              </w:rPr>
              <w:t xml:space="preserve">A</w:t>
            </w:r>
          </w:p>
        </w:tc>
        <w:tc>
          <w:tcPr>
            <w:tcW w:type="dxa" w:w="1620"/>
            <w:tcMar>
              <w:top w:type="dxa" w:w="40"/>
              <w:left w:type="dxa" w:w="80"/>
              <w:bottom w:type="dxa" w:w="40"/>
              <w:right w:type="dxa" w:w="80"/>
            </w:tcMar>
          </w:tcPr>
          <w:p>
            <w:pPr>
              <w:spacing w:after="0" w:line="250"/>
              <w:jc w:val="left"/>
            </w:pPr>
            <w:r>
              <w:rPr>
                <w:b w:val="false"/>
                <w:bCs w:val="false"/>
                <w:color w:val="000000"/>
                <w:sz w:val="19"/>
                <w:szCs w:val="19"/>
              </w:rPr>
              <w:t xml:space="preserve">Bourtoule et al. (SISA)</w:t>
            </w:r>
          </w:p>
        </w:tc>
        <w:tc>
          <w:tcPr>
            <w:tcW w:type="dxa" w:w="2100"/>
            <w:tcMar>
              <w:top w:type="dxa" w:w="40"/>
              <w:left w:type="dxa" w:w="80"/>
              <w:bottom w:type="dxa" w:w="40"/>
              <w:right w:type="dxa" w:w="80"/>
            </w:tcMar>
          </w:tcPr>
          <w:p>
            <w:pPr>
              <w:spacing w:after="0" w:line="250"/>
              <w:jc w:val="left"/>
            </w:pPr>
            <w:r>
              <w:rPr>
                <w:b w:val="false"/>
                <w:bCs w:val="false"/>
                <w:color w:val="000000"/>
                <w:sz w:val="19"/>
                <w:szCs w:val="19"/>
              </w:rPr>
              <w:t xml:space="preserve">Sharded isolated training + partial retrain</w:t>
            </w:r>
          </w:p>
        </w:tc>
        <w:tc>
          <w:tcPr>
            <w:tcW w:type="dxa" w:w="2100"/>
            <w:tcMar>
              <w:top w:type="dxa" w:w="40"/>
              <w:left w:type="dxa" w:w="80"/>
              <w:bottom w:type="dxa" w:w="40"/>
              <w:right w:type="dxa" w:w="80"/>
            </w:tcMar>
          </w:tcPr>
          <w:p>
            <w:pPr>
              <w:spacing w:after="0" w:line="250"/>
              <w:jc w:val="left"/>
            </w:pPr>
            <w:r>
              <w:rPr>
                <w:b w:val="false"/>
                <w:bCs w:val="false"/>
                <w:color w:val="000000"/>
                <w:sz w:val="19"/>
                <w:szCs w:val="19"/>
              </w:rPr>
              <w:t xml:space="preserve">Storage overhead; not federated</w:t>
            </w:r>
          </w:p>
        </w:tc>
        <w:tc>
          <w:tcPr>
            <w:tcW w:type="dxa" w:w="2386"/>
            <w:tcMar>
              <w:top w:type="dxa" w:w="40"/>
              <w:left w:type="dxa" w:w="80"/>
              <w:bottom w:type="dxa" w:w="40"/>
              <w:right w:type="dxa" w:w="80"/>
            </w:tcMar>
          </w:tcPr>
          <w:p>
            <w:pPr>
              <w:spacing w:after="0" w:line="250"/>
              <w:jc w:val="left"/>
            </w:pPr>
            <w:r>
              <w:rPr>
                <w:b w:val="false"/>
                <w:bCs w:val="false"/>
                <w:color w:val="000000"/>
                <w:sz w:val="19"/>
                <w:szCs w:val="19"/>
              </w:rPr>
              <w:t xml:space="preserve">Operates in FL without sharding or stored shards</w:t>
            </w:r>
          </w:p>
        </w:tc>
      </w:tr>
      <w:tr>
        <w:tc>
          <w:tcPr>
            <w:tcW w:type="dxa" w:w="82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A</w:t>
            </w:r>
          </w:p>
        </w:tc>
        <w:tc>
          <w:tcPr>
            <w:tcW w:type="dxa" w:w="162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Liu et al. (FedEraser)</w:t>
            </w:r>
          </w:p>
        </w:tc>
        <w:tc>
          <w:tcPr>
            <w:tcW w:type="dxa" w:w="21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Replay + calibrate stored updates</w:t>
            </w:r>
          </w:p>
        </w:tc>
        <w:tc>
          <w:tcPr>
            <w:tcW w:type="dxa" w:w="21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Not explanation-aware</w:t>
            </w:r>
          </w:p>
        </w:tc>
        <w:tc>
          <w:tcPr>
            <w:tcW w:type="dxa" w:w="238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Preserves explanation fidelity during unlearning</w:t>
            </w:r>
          </w:p>
        </w:tc>
      </w:tr>
      <w:tr>
        <w:tc>
          <w:tcPr>
            <w:tcW w:type="dxa" w:w="820"/>
            <w:tcMar>
              <w:top w:type="dxa" w:w="40"/>
              <w:left w:type="dxa" w:w="80"/>
              <w:bottom w:type="dxa" w:w="40"/>
              <w:right w:type="dxa" w:w="80"/>
            </w:tcMar>
          </w:tcPr>
          <w:p>
            <w:pPr>
              <w:spacing w:after="0" w:line="250"/>
              <w:jc w:val="left"/>
            </w:pPr>
            <w:r>
              <w:rPr>
                <w:b w:val="false"/>
                <w:bCs w:val="false"/>
                <w:color w:val="000000"/>
                <w:sz w:val="19"/>
                <w:szCs w:val="19"/>
              </w:rPr>
              <w:t xml:space="preserve">B</w:t>
            </w:r>
          </w:p>
        </w:tc>
        <w:tc>
          <w:tcPr>
            <w:tcW w:type="dxa" w:w="1620"/>
            <w:tcMar>
              <w:top w:type="dxa" w:w="40"/>
              <w:left w:type="dxa" w:w="80"/>
              <w:bottom w:type="dxa" w:w="40"/>
              <w:right w:type="dxa" w:w="80"/>
            </w:tcMar>
          </w:tcPr>
          <w:p>
            <w:pPr>
              <w:spacing w:after="0" w:line="250"/>
              <w:jc w:val="left"/>
            </w:pPr>
            <w:r>
              <w:rPr>
                <w:b w:val="false"/>
                <w:bCs w:val="false"/>
                <w:color w:val="000000"/>
                <w:sz w:val="19"/>
                <w:szCs w:val="19"/>
              </w:rPr>
              <w:t xml:space="preserve">Dosovitskiy et al. (ViT)</w:t>
            </w:r>
          </w:p>
        </w:tc>
        <w:tc>
          <w:tcPr>
            <w:tcW w:type="dxa" w:w="2100"/>
            <w:tcMar>
              <w:top w:type="dxa" w:w="40"/>
              <w:left w:type="dxa" w:w="80"/>
              <w:bottom w:type="dxa" w:w="40"/>
              <w:right w:type="dxa" w:w="80"/>
            </w:tcMar>
          </w:tcPr>
          <w:p>
            <w:pPr>
              <w:spacing w:after="0" w:line="250"/>
              <w:jc w:val="left"/>
            </w:pPr>
            <w:r>
              <w:rPr>
                <w:b w:val="false"/>
                <w:bCs w:val="false"/>
                <w:color w:val="000000"/>
                <w:sz w:val="19"/>
                <w:szCs w:val="19"/>
              </w:rPr>
              <w:t xml:space="preserve">Patch embeddings + self-attention</w:t>
            </w:r>
          </w:p>
        </w:tc>
        <w:tc>
          <w:tcPr>
            <w:tcW w:type="dxa" w:w="2100"/>
            <w:tcMar>
              <w:top w:type="dxa" w:w="40"/>
              <w:left w:type="dxa" w:w="80"/>
              <w:bottom w:type="dxa" w:w="40"/>
              <w:right w:type="dxa" w:w="80"/>
            </w:tcMar>
          </w:tcPr>
          <w:p>
            <w:pPr>
              <w:spacing w:after="0" w:line="250"/>
              <w:jc w:val="left"/>
            </w:pPr>
            <w:r>
              <w:rPr>
                <w:b w:val="false"/>
                <w:bCs w:val="false"/>
                <w:color w:val="000000"/>
                <w:sz w:val="19"/>
                <w:szCs w:val="19"/>
              </w:rPr>
              <w:t xml:space="preserve">Data-hungry to train</w:t>
            </w:r>
          </w:p>
        </w:tc>
        <w:tc>
          <w:tcPr>
            <w:tcW w:type="dxa" w:w="2386"/>
            <w:tcMar>
              <w:top w:type="dxa" w:w="40"/>
              <w:left w:type="dxa" w:w="80"/>
              <w:bottom w:type="dxa" w:w="40"/>
              <w:right w:type="dxa" w:w="80"/>
            </w:tcMar>
          </w:tcPr>
          <w:p>
            <w:pPr>
              <w:spacing w:after="0" w:line="250"/>
              <w:jc w:val="left"/>
            </w:pPr>
            <w:r>
              <w:rPr>
                <w:b w:val="false"/>
                <w:bCs w:val="false"/>
                <w:color w:val="000000"/>
                <w:sz w:val="19"/>
                <w:szCs w:val="19"/>
              </w:rPr>
              <w:t xml:space="preserve">Backbone family; made practical via DeiT</w:t>
            </w:r>
          </w:p>
        </w:tc>
      </w:tr>
      <w:tr>
        <w:tc>
          <w:tcPr>
            <w:tcW w:type="dxa" w:w="82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B</w:t>
            </w:r>
          </w:p>
        </w:tc>
        <w:tc>
          <w:tcPr>
            <w:tcW w:type="dxa" w:w="162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Touvron et al. (DeiT)</w:t>
            </w:r>
          </w:p>
        </w:tc>
        <w:tc>
          <w:tcPr>
            <w:tcW w:type="dxa" w:w="21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Distillation + strong augmentation</w:t>
            </w:r>
          </w:p>
        </w:tc>
        <w:tc>
          <w:tcPr>
            <w:tcW w:type="dxa" w:w="21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Still needs pretraining</w:t>
            </w:r>
          </w:p>
        </w:tc>
        <w:tc>
          <w:tcPr>
            <w:tcW w:type="dxa" w:w="238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Chosen classifier backbone</w:t>
            </w:r>
          </w:p>
        </w:tc>
      </w:tr>
      <w:tr>
        <w:tc>
          <w:tcPr>
            <w:tcW w:type="dxa" w:w="820"/>
            <w:tcMar>
              <w:top w:type="dxa" w:w="40"/>
              <w:left w:type="dxa" w:w="80"/>
              <w:bottom w:type="dxa" w:w="40"/>
              <w:right w:type="dxa" w:w="80"/>
            </w:tcMar>
          </w:tcPr>
          <w:p>
            <w:pPr>
              <w:spacing w:after="0" w:line="250"/>
              <w:jc w:val="left"/>
            </w:pPr>
            <w:r>
              <w:rPr>
                <w:b w:val="false"/>
                <w:bCs w:val="false"/>
                <w:color w:val="000000"/>
                <w:sz w:val="19"/>
                <w:szCs w:val="19"/>
              </w:rPr>
              <w:t xml:space="preserve">B</w:t>
            </w:r>
          </w:p>
        </w:tc>
        <w:tc>
          <w:tcPr>
            <w:tcW w:type="dxa" w:w="1620"/>
            <w:tcMar>
              <w:top w:type="dxa" w:w="40"/>
              <w:left w:type="dxa" w:w="80"/>
              <w:bottom w:type="dxa" w:w="40"/>
              <w:right w:type="dxa" w:w="80"/>
            </w:tcMar>
          </w:tcPr>
          <w:p>
            <w:pPr>
              <w:spacing w:after="0" w:line="250"/>
              <w:jc w:val="left"/>
            </w:pPr>
            <w:r>
              <w:rPr>
                <w:b w:val="false"/>
                <w:bCs w:val="false"/>
                <w:color w:val="000000"/>
                <w:sz w:val="19"/>
                <w:szCs w:val="19"/>
              </w:rPr>
              <w:t xml:space="preserve">Wang et al. (ChestX-ray14)</w:t>
            </w:r>
          </w:p>
        </w:tc>
        <w:tc>
          <w:tcPr>
            <w:tcW w:type="dxa" w:w="2100"/>
            <w:tcMar>
              <w:top w:type="dxa" w:w="40"/>
              <w:left w:type="dxa" w:w="80"/>
              <w:bottom w:type="dxa" w:w="40"/>
              <w:right w:type="dxa" w:w="80"/>
            </w:tcMar>
          </w:tcPr>
          <w:p>
            <w:pPr>
              <w:spacing w:after="0" w:line="250"/>
              <w:jc w:val="left"/>
            </w:pPr>
            <w:r>
              <w:rPr>
                <w:b w:val="false"/>
                <w:bCs w:val="false"/>
                <w:color w:val="000000"/>
                <w:sz w:val="19"/>
                <w:szCs w:val="19"/>
              </w:rPr>
              <w:t xml:space="preserve">Weakly-supervised multi-label CNN</w:t>
            </w:r>
          </w:p>
        </w:tc>
        <w:tc>
          <w:tcPr>
            <w:tcW w:type="dxa" w:w="2100"/>
            <w:tcMar>
              <w:top w:type="dxa" w:w="40"/>
              <w:left w:type="dxa" w:w="80"/>
              <w:bottom w:type="dxa" w:w="40"/>
              <w:right w:type="dxa" w:w="80"/>
            </w:tcMar>
          </w:tcPr>
          <w:p>
            <w:pPr>
              <w:spacing w:after="0" w:line="250"/>
              <w:jc w:val="left"/>
            </w:pPr>
            <w:r>
              <w:rPr>
                <w:b w:val="false"/>
                <w:bCs w:val="false"/>
                <w:color w:val="000000"/>
                <w:sz w:val="19"/>
                <w:szCs w:val="19"/>
              </w:rPr>
              <w:t xml:space="preserve">Label noise; CNN, centralized</w:t>
            </w:r>
          </w:p>
        </w:tc>
        <w:tc>
          <w:tcPr>
            <w:tcW w:type="dxa" w:w="2386"/>
            <w:tcMar>
              <w:top w:type="dxa" w:w="40"/>
              <w:left w:type="dxa" w:w="80"/>
              <w:bottom w:type="dxa" w:w="40"/>
              <w:right w:type="dxa" w:w="80"/>
            </w:tcMar>
          </w:tcPr>
          <w:p>
            <w:pPr>
              <w:spacing w:after="0" w:line="250"/>
              <w:jc w:val="left"/>
            </w:pPr>
            <w:r>
              <w:rPr>
                <w:b w:val="false"/>
                <w:bCs w:val="false"/>
                <w:color w:val="000000"/>
                <w:sz w:val="19"/>
                <w:szCs w:val="19"/>
              </w:rPr>
              <w:t xml:space="preserve">Dataset source; classified with a ViT under FL</w:t>
            </w:r>
          </w:p>
        </w:tc>
      </w:tr>
      <w:tr>
        <w:tc>
          <w:tcPr>
            <w:tcW w:type="dxa" w:w="82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B</w:t>
            </w:r>
          </w:p>
        </w:tc>
        <w:tc>
          <w:tcPr>
            <w:tcW w:type="dxa" w:w="162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Rajpurkar et al. (CheXNet)</w:t>
            </w:r>
          </w:p>
        </w:tc>
        <w:tc>
          <w:tcPr>
            <w:tcW w:type="dxa" w:w="21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DenseNet-121 classifier</w:t>
            </w:r>
          </w:p>
        </w:tc>
        <w:tc>
          <w:tcPr>
            <w:tcW w:type="dxa" w:w="21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Centralized; no unlearning or XAI</w:t>
            </w:r>
          </w:p>
        </w:tc>
        <w:tc>
          <w:tcPr>
            <w:tcW w:type="dxa" w:w="238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Adds federation, unlearning, and explanation fidelity</w:t>
            </w:r>
          </w:p>
        </w:tc>
      </w:tr>
      <w:tr>
        <w:tc>
          <w:tcPr>
            <w:tcW w:type="dxa" w:w="820"/>
            <w:tcMar>
              <w:top w:type="dxa" w:w="40"/>
              <w:left w:type="dxa" w:w="80"/>
              <w:bottom w:type="dxa" w:w="40"/>
              <w:right w:type="dxa" w:w="80"/>
            </w:tcMar>
          </w:tcPr>
          <w:p>
            <w:pPr>
              <w:spacing w:after="0" w:line="250"/>
              <w:jc w:val="left"/>
            </w:pPr>
            <w:r>
              <w:rPr>
                <w:b w:val="false"/>
                <w:bCs w:val="false"/>
                <w:color w:val="000000"/>
                <w:sz w:val="19"/>
                <w:szCs w:val="19"/>
              </w:rPr>
              <w:t xml:space="preserve">C</w:t>
            </w:r>
          </w:p>
        </w:tc>
        <w:tc>
          <w:tcPr>
            <w:tcW w:type="dxa" w:w="1620"/>
            <w:tcMar>
              <w:top w:type="dxa" w:w="40"/>
              <w:left w:type="dxa" w:w="80"/>
              <w:bottom w:type="dxa" w:w="40"/>
              <w:right w:type="dxa" w:w="80"/>
            </w:tcMar>
          </w:tcPr>
          <w:p>
            <w:pPr>
              <w:spacing w:after="0" w:line="250"/>
              <w:jc w:val="left"/>
            </w:pPr>
            <w:r>
              <w:rPr>
                <w:b w:val="false"/>
                <w:bCs w:val="false"/>
                <w:color w:val="000000"/>
                <w:sz w:val="19"/>
                <w:szCs w:val="19"/>
              </w:rPr>
              <w:t xml:space="preserve">Abnar &amp; Zuidema (Rollout)</w:t>
            </w:r>
          </w:p>
        </w:tc>
        <w:tc>
          <w:tcPr>
            <w:tcW w:type="dxa" w:w="2100"/>
            <w:tcMar>
              <w:top w:type="dxa" w:w="40"/>
              <w:left w:type="dxa" w:w="80"/>
              <w:bottom w:type="dxa" w:w="40"/>
              <w:right w:type="dxa" w:w="80"/>
            </w:tcMar>
          </w:tcPr>
          <w:p>
            <w:pPr>
              <w:spacing w:after="0" w:line="250"/>
              <w:jc w:val="left"/>
            </w:pPr>
            <w:r>
              <w:rPr>
                <w:b w:val="false"/>
                <w:bCs w:val="false"/>
                <w:color w:val="000000"/>
                <w:sz w:val="19"/>
                <w:szCs w:val="19"/>
              </w:rPr>
              <w:t xml:space="preserve">Layerwise attention aggregation</w:t>
            </w:r>
          </w:p>
        </w:tc>
        <w:tc>
          <w:tcPr>
            <w:tcW w:type="dxa" w:w="2100"/>
            <w:tcMar>
              <w:top w:type="dxa" w:w="40"/>
              <w:left w:type="dxa" w:w="80"/>
              <w:bottom w:type="dxa" w:w="40"/>
              <w:right w:type="dxa" w:w="80"/>
            </w:tcMar>
          </w:tcPr>
          <w:p>
            <w:pPr>
              <w:spacing w:after="0" w:line="250"/>
              <w:jc w:val="left"/>
            </w:pPr>
            <w:r>
              <w:rPr>
                <w:b w:val="false"/>
                <w:bCs w:val="false"/>
                <w:color w:val="000000"/>
                <w:sz w:val="19"/>
                <w:szCs w:val="19"/>
              </w:rPr>
              <w:t xml:space="preserve">Approximate attribution</w:t>
            </w:r>
          </w:p>
        </w:tc>
        <w:tc>
          <w:tcPr>
            <w:tcW w:type="dxa" w:w="2386"/>
            <w:tcMar>
              <w:top w:type="dxa" w:w="40"/>
              <w:left w:type="dxa" w:w="80"/>
              <w:bottom w:type="dxa" w:w="40"/>
              <w:right w:type="dxa" w:w="80"/>
            </w:tcMar>
          </w:tcPr>
          <w:p>
            <w:pPr>
              <w:spacing w:after="0" w:line="250"/>
              <w:jc w:val="left"/>
            </w:pPr>
            <w:r>
              <w:rPr>
                <w:b w:val="false"/>
                <w:bCs w:val="false"/>
                <w:color w:val="000000"/>
                <w:sz w:val="19"/>
                <w:szCs w:val="19"/>
              </w:rPr>
              <w:t xml:space="preserve">Used as the explanation-fidelity signal</w:t>
            </w:r>
          </w:p>
        </w:tc>
      </w:tr>
      <w:tr>
        <w:tc>
          <w:tcPr>
            <w:tcW w:type="dxa" w:w="82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C</w:t>
            </w:r>
          </w:p>
        </w:tc>
        <w:tc>
          <w:tcPr>
            <w:tcW w:type="dxa" w:w="162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Selvaraju et al. (Grad-CAM)</w:t>
            </w:r>
          </w:p>
        </w:tc>
        <w:tc>
          <w:tcPr>
            <w:tcW w:type="dxa" w:w="21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Gradient-weighted activation maps</w:t>
            </w:r>
          </w:p>
        </w:tc>
        <w:tc>
          <w:tcPr>
            <w:tcW w:type="dxa" w:w="21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CNN-oriented</w:t>
            </w:r>
          </w:p>
        </w:tc>
        <w:tc>
          <w:tcPr>
            <w:tcW w:type="dxa" w:w="238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Motivates explanation preservation</w:t>
            </w:r>
          </w:p>
        </w:tc>
      </w:tr>
      <w:tr>
        <w:tc>
          <w:tcPr>
            <w:tcW w:type="dxa" w:w="820"/>
            <w:tcMar>
              <w:top w:type="dxa" w:w="40"/>
              <w:left w:type="dxa" w:w="80"/>
              <w:bottom w:type="dxa" w:w="40"/>
              <w:right w:type="dxa" w:w="80"/>
            </w:tcMar>
          </w:tcPr>
          <w:p>
            <w:pPr>
              <w:spacing w:after="0" w:line="250"/>
              <w:jc w:val="left"/>
            </w:pPr>
            <w:r>
              <w:rPr>
                <w:b w:val="false"/>
                <w:bCs w:val="false"/>
                <w:color w:val="000000"/>
                <w:sz w:val="19"/>
                <w:szCs w:val="19"/>
              </w:rPr>
              <w:t xml:space="preserve">C</w:t>
            </w:r>
          </w:p>
        </w:tc>
        <w:tc>
          <w:tcPr>
            <w:tcW w:type="dxa" w:w="1620"/>
            <w:tcMar>
              <w:top w:type="dxa" w:w="40"/>
              <w:left w:type="dxa" w:w="80"/>
              <w:bottom w:type="dxa" w:w="40"/>
              <w:right w:type="dxa" w:w="80"/>
            </w:tcMar>
          </w:tcPr>
          <w:p>
            <w:pPr>
              <w:spacing w:after="0" w:line="250"/>
              <w:jc w:val="left"/>
            </w:pPr>
            <w:r>
              <w:rPr>
                <w:b w:val="false"/>
                <w:bCs w:val="false"/>
                <w:color w:val="000000"/>
                <w:sz w:val="19"/>
                <w:szCs w:val="19"/>
              </w:rPr>
              <w:t xml:space="preserve">Tjoa &amp; Guan (XAI survey)</w:t>
            </w:r>
          </w:p>
        </w:tc>
        <w:tc>
          <w:tcPr>
            <w:tcW w:type="dxa" w:w="2100"/>
            <w:tcMar>
              <w:top w:type="dxa" w:w="40"/>
              <w:left w:type="dxa" w:w="80"/>
              <w:bottom w:type="dxa" w:w="40"/>
              <w:right w:type="dxa" w:w="80"/>
            </w:tcMar>
          </w:tcPr>
          <w:p>
            <w:pPr>
              <w:spacing w:after="0" w:line="250"/>
              <w:jc w:val="left"/>
            </w:pPr>
            <w:r>
              <w:rPr>
                <w:b w:val="false"/>
                <w:bCs w:val="false"/>
                <w:color w:val="000000"/>
                <w:sz w:val="19"/>
                <w:szCs w:val="19"/>
              </w:rPr>
              <w:t xml:space="preserve">Taxonomy of medical XAI</w:t>
            </w:r>
          </w:p>
        </w:tc>
        <w:tc>
          <w:tcPr>
            <w:tcW w:type="dxa" w:w="2100"/>
            <w:tcMar>
              <w:top w:type="dxa" w:w="40"/>
              <w:left w:type="dxa" w:w="80"/>
              <w:bottom w:type="dxa" w:w="40"/>
              <w:right w:type="dxa" w:w="80"/>
            </w:tcMar>
          </w:tcPr>
          <w:p>
            <w:pPr>
              <w:spacing w:after="0" w:line="250"/>
              <w:jc w:val="left"/>
            </w:pPr>
            <w:r>
              <w:rPr>
                <w:b w:val="false"/>
                <w:bCs w:val="false"/>
                <w:color w:val="000000"/>
                <w:sz w:val="19"/>
                <w:szCs w:val="19"/>
              </w:rPr>
              <w:t xml:space="preserve">Survey; proposes no method</w:t>
            </w:r>
          </w:p>
        </w:tc>
        <w:tc>
          <w:tcPr>
            <w:tcW w:type="dxa" w:w="2386"/>
            <w:tcMar>
              <w:top w:type="dxa" w:w="40"/>
              <w:left w:type="dxa" w:w="80"/>
              <w:bottom w:type="dxa" w:w="40"/>
              <w:right w:type="dxa" w:w="80"/>
            </w:tcMar>
          </w:tcPr>
          <w:p>
            <w:pPr>
              <w:spacing w:after="0" w:line="250"/>
              <w:jc w:val="left"/>
            </w:pPr>
            <w:r>
              <w:rPr>
                <w:b w:val="false"/>
                <w:bCs w:val="false"/>
                <w:color w:val="000000"/>
                <w:sz w:val="19"/>
                <w:szCs w:val="19"/>
              </w:rPr>
              <w:t xml:space="preserve">Motivates trustworthy, explanation-aware unlearning</w:t>
            </w:r>
          </w:p>
        </w:tc>
      </w:tr>
      <w:tr>
        <w:tc>
          <w:tcPr>
            <w:tcW w:type="dxa" w:w="82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D</w:t>
            </w:r>
          </w:p>
        </w:tc>
        <w:tc>
          <w:tcPr>
            <w:tcW w:type="dxa" w:w="162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Shokri et al. (MIA)</w:t>
            </w:r>
          </w:p>
        </w:tc>
        <w:tc>
          <w:tcPr>
            <w:tcW w:type="dxa" w:w="21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Membership inference attack</w:t>
            </w:r>
          </w:p>
        </w:tc>
        <w:tc>
          <w:tcPr>
            <w:tcW w:type="dxa" w:w="21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Assumes shadow models</w:t>
            </w:r>
          </w:p>
        </w:tc>
        <w:tc>
          <w:tcPr>
            <w:tcW w:type="dxa" w:w="238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Repurposed as the forgetting-verification metric</w:t>
            </w:r>
          </w:p>
        </w:tc>
      </w:tr>
    </w:tbl>
    <w:p>
      <w:pPr>
        <w:pStyle w:val="Heading2"/>
        <w:spacing w:after="80" w:before="180"/>
      </w:pPr>
      <w:r>
        <w:rPr>
          <w:b/>
          <w:bCs/>
          <w:color w:val="1F3864"/>
          <w:sz w:val="25"/>
          <w:szCs w:val="25"/>
        </w:rPr>
        <w:t xml:space="preserve">3.3 Research Gap Identified</w:t>
      </w:r>
    </w:p>
    <w:p>
      <w:pPr>
        <w:spacing w:after="120" w:line="276"/>
        <w:jc w:val="both"/>
      </w:pPr>
      <w:r>
        <w:rPr>
          <w:sz w:val="22"/>
          <w:szCs w:val="22"/>
        </w:rPr>
        <w:t xml:space="preserve">Across all four strata a consistent, multi-dimensional gap persists. No located work simultaneously addresses every dimension below — in particular, none treats the preservation of model explanations as an explicit objective of the federated-unlearning process, measured quantitatively against a retrain oracle.</w:t>
      </w:r>
    </w:p>
    <w:p>
      <w:pPr>
        <w:spacing w:after="160" w:before="60"/>
        <w:jc w:val="center"/>
      </w:pPr>
      <w:r>
        <w:rPr>
          <w:i/>
          <w:iCs/>
          <w:color w:val="555555"/>
          <w:sz w:val="20"/>
          <w:szCs w:val="20"/>
        </w:rPr>
        <w:t xml:space="preserve">Table 2: Dimensional Research Gap</w:t>
      </w:r>
    </w:p>
    <w:tbl>
      <w:tblPr>
        <w:tblW w:type="dxa" w:w="9026"/>
        <w:tblBorders>
          <w:top w:val="single" w:color="AAB4C4" w:sz="4"/>
          <w:left w:val="single" w:color="AAB4C4" w:sz="4"/>
          <w:bottom w:val="single" w:color="AAB4C4" w:sz="4"/>
          <w:right w:val="single" w:color="AAB4C4" w:sz="4"/>
          <w:insideH w:val="single" w:color="AAB4C4" w:sz="4"/>
          <w:insideV w:val="single" w:color="AAB4C4" w:sz="4"/>
        </w:tblBorders>
      </w:tblPr>
      <w:tblGrid>
        <w:gridCol w:w="2200"/>
        <w:gridCol w:w="3200"/>
        <w:gridCol w:w="3626"/>
      </w:tblGrid>
      <w:tr>
        <w:trPr>
          <w:tblHeader/>
        </w:trPr>
        <w:tc>
          <w:tcPr>
            <w:tcW w:type="dxa" w:w="2200"/>
            <w:shd w:fill="2E5496" w:val="clear"/>
            <w:tcMar>
              <w:top w:type="dxa" w:w="40"/>
              <w:left w:type="dxa" w:w="80"/>
              <w:bottom w:type="dxa" w:w="40"/>
              <w:right w:type="dxa" w:w="80"/>
            </w:tcMar>
          </w:tcPr>
          <w:p>
            <w:pPr>
              <w:spacing w:after="0" w:line="250"/>
              <w:jc w:val="center"/>
            </w:pPr>
            <w:r>
              <w:rPr>
                <w:b/>
                <w:bCs/>
                <w:color w:val="FFFFFF"/>
                <w:sz w:val="20"/>
                <w:szCs w:val="20"/>
              </w:rPr>
              <w:t xml:space="preserve">Dimension</w:t>
            </w:r>
          </w:p>
        </w:tc>
        <w:tc>
          <w:tcPr>
            <w:tcW w:type="dxa" w:w="3200"/>
            <w:shd w:fill="2E5496" w:val="clear"/>
            <w:tcMar>
              <w:top w:type="dxa" w:w="40"/>
              <w:left w:type="dxa" w:w="80"/>
              <w:bottom w:type="dxa" w:w="40"/>
              <w:right w:type="dxa" w:w="80"/>
            </w:tcMar>
          </w:tcPr>
          <w:p>
            <w:pPr>
              <w:spacing w:after="0" w:line="250"/>
              <w:jc w:val="center"/>
            </w:pPr>
            <w:r>
              <w:rPr>
                <w:b/>
                <w:bCs/>
                <w:color w:val="FFFFFF"/>
                <w:sz w:val="20"/>
                <w:szCs w:val="20"/>
              </w:rPr>
              <w:t xml:space="preserve">State of the Art</w:t>
            </w:r>
          </w:p>
        </w:tc>
        <w:tc>
          <w:tcPr>
            <w:tcW w:type="dxa" w:w="3626"/>
            <w:shd w:fill="2E5496" w:val="clear"/>
            <w:tcMar>
              <w:top w:type="dxa" w:w="40"/>
              <w:left w:type="dxa" w:w="80"/>
              <w:bottom w:type="dxa" w:w="40"/>
              <w:right w:type="dxa" w:w="80"/>
            </w:tcMar>
          </w:tcPr>
          <w:p>
            <w:pPr>
              <w:spacing w:after="0" w:line="250"/>
              <w:jc w:val="center"/>
            </w:pPr>
            <w:r>
              <w:rPr>
                <w:b/>
                <w:bCs/>
                <w:color w:val="FFFFFF"/>
                <w:sz w:val="20"/>
                <w:szCs w:val="20"/>
              </w:rPr>
              <w:t xml:space="preserve">Proposed System — Gap Addressed</w:t>
            </w:r>
          </w:p>
        </w:tc>
      </w:tr>
      <w:tr>
        <w:tc>
          <w:tcPr>
            <w:tcW w:type="dxa" w:w="2200"/>
            <w:tcMar>
              <w:top w:type="dxa" w:w="40"/>
              <w:left w:type="dxa" w:w="80"/>
              <w:bottom w:type="dxa" w:w="40"/>
              <w:right w:type="dxa" w:w="80"/>
            </w:tcMar>
          </w:tcPr>
          <w:p>
            <w:pPr>
              <w:spacing w:after="0" w:line="250"/>
              <w:jc w:val="left"/>
            </w:pPr>
            <w:r>
              <w:rPr>
                <w:b w:val="false"/>
                <w:bCs w:val="false"/>
                <w:color w:val="000000"/>
                <w:sz w:val="19"/>
                <w:szCs w:val="19"/>
              </w:rPr>
              <w:t xml:space="preserve">Unlearning objective</w:t>
            </w:r>
          </w:p>
        </w:tc>
        <w:tc>
          <w:tcPr>
            <w:tcW w:type="dxa" w:w="3200"/>
            <w:tcMar>
              <w:top w:type="dxa" w:w="40"/>
              <w:left w:type="dxa" w:w="80"/>
              <w:bottom w:type="dxa" w:w="40"/>
              <w:right w:type="dxa" w:w="80"/>
            </w:tcMar>
          </w:tcPr>
          <w:p>
            <w:pPr>
              <w:spacing w:after="0" w:line="250"/>
              <w:jc w:val="left"/>
            </w:pPr>
            <w:r>
              <w:rPr>
                <w:b w:val="false"/>
                <w:bCs w:val="false"/>
                <w:color w:val="000000"/>
                <w:sz w:val="19"/>
                <w:szCs w:val="19"/>
              </w:rPr>
              <w:t xml:space="preserve">Remove data influence and restore accuracy only</w:t>
            </w:r>
          </w:p>
        </w:tc>
        <w:tc>
          <w:tcPr>
            <w:tcW w:type="dxa" w:w="3626"/>
            <w:tcMar>
              <w:top w:type="dxa" w:w="40"/>
              <w:left w:type="dxa" w:w="80"/>
              <w:bottom w:type="dxa" w:w="40"/>
              <w:right w:type="dxa" w:w="80"/>
            </w:tcMar>
          </w:tcPr>
          <w:p>
            <w:pPr>
              <w:spacing w:after="0" w:line="250"/>
              <w:jc w:val="left"/>
            </w:pPr>
            <w:r>
              <w:rPr>
                <w:b w:val="false"/>
                <w:bCs w:val="false"/>
                <w:color w:val="000000"/>
                <w:sz w:val="19"/>
                <w:szCs w:val="19"/>
              </w:rPr>
              <w:t xml:space="preserve">Additionally preserve explanation fidelity</w:t>
            </w:r>
          </w:p>
        </w:tc>
      </w:tr>
      <w:tr>
        <w:tc>
          <w:tcPr>
            <w:tcW w:type="dxa" w:w="22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Explanation during unlearning</w:t>
            </w:r>
          </w:p>
        </w:tc>
        <w:tc>
          <w:tcPr>
            <w:tcW w:type="dxa" w:w="32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Not considered</w:t>
            </w:r>
          </w:p>
        </w:tc>
        <w:tc>
          <w:tcPr>
            <w:tcW w:type="dxa" w:w="362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Attention-rollout fidelity used as an explicit training objective</w:t>
            </w:r>
          </w:p>
        </w:tc>
      </w:tr>
      <w:tr>
        <w:tc>
          <w:tcPr>
            <w:tcW w:type="dxa" w:w="2200"/>
            <w:tcMar>
              <w:top w:type="dxa" w:w="40"/>
              <w:left w:type="dxa" w:w="80"/>
              <w:bottom w:type="dxa" w:w="40"/>
              <w:right w:type="dxa" w:w="80"/>
            </w:tcMar>
          </w:tcPr>
          <w:p>
            <w:pPr>
              <w:spacing w:after="0" w:line="250"/>
              <w:jc w:val="left"/>
            </w:pPr>
            <w:r>
              <w:rPr>
                <w:b w:val="false"/>
                <w:bCs w:val="false"/>
                <w:color w:val="000000"/>
                <w:sz w:val="19"/>
                <w:szCs w:val="19"/>
              </w:rPr>
              <w:t xml:space="preserve">Model family</w:t>
            </w:r>
          </w:p>
        </w:tc>
        <w:tc>
          <w:tcPr>
            <w:tcW w:type="dxa" w:w="3200"/>
            <w:tcMar>
              <w:top w:type="dxa" w:w="40"/>
              <w:left w:type="dxa" w:w="80"/>
              <w:bottom w:type="dxa" w:w="40"/>
              <w:right w:type="dxa" w:w="80"/>
            </w:tcMar>
          </w:tcPr>
          <w:p>
            <w:pPr>
              <w:spacing w:after="0" w:line="250"/>
              <w:jc w:val="left"/>
            </w:pPr>
            <w:r>
              <w:rPr>
                <w:b w:val="false"/>
                <w:bCs w:val="false"/>
                <w:color w:val="000000"/>
                <w:sz w:val="19"/>
                <w:szCs w:val="19"/>
              </w:rPr>
              <w:t xml:space="preserve">Predominantly CNNs</w:t>
            </w:r>
          </w:p>
        </w:tc>
        <w:tc>
          <w:tcPr>
            <w:tcW w:type="dxa" w:w="3626"/>
            <w:tcMar>
              <w:top w:type="dxa" w:w="40"/>
              <w:left w:type="dxa" w:w="80"/>
              <w:bottom w:type="dxa" w:w="40"/>
              <w:right w:type="dxa" w:w="80"/>
            </w:tcMar>
          </w:tcPr>
          <w:p>
            <w:pPr>
              <w:spacing w:after="0" w:line="250"/>
              <w:jc w:val="left"/>
            </w:pPr>
            <w:r>
              <w:rPr>
                <w:b w:val="false"/>
                <w:bCs w:val="false"/>
                <w:color w:val="000000"/>
                <w:sz w:val="19"/>
                <w:szCs w:val="19"/>
              </w:rPr>
              <w:t xml:space="preserve">Vision Transformer (DeiT-Small)</w:t>
            </w:r>
          </w:p>
        </w:tc>
      </w:tr>
      <w:tr>
        <w:tc>
          <w:tcPr>
            <w:tcW w:type="dxa" w:w="22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Explanation measurement</w:t>
            </w:r>
          </w:p>
        </w:tc>
        <w:tc>
          <w:tcPr>
            <w:tcW w:type="dxa" w:w="32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Qualitative visualization after training</w:t>
            </w:r>
          </w:p>
        </w:tc>
        <w:tc>
          <w:tcPr>
            <w:tcW w:type="dxa" w:w="362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Quantitative metrics: cosine, Pearson, IoU, MSE</w:t>
            </w:r>
          </w:p>
        </w:tc>
      </w:tr>
      <w:tr>
        <w:tc>
          <w:tcPr>
            <w:tcW w:type="dxa" w:w="2200"/>
            <w:tcMar>
              <w:top w:type="dxa" w:w="40"/>
              <w:left w:type="dxa" w:w="80"/>
              <w:bottom w:type="dxa" w:w="40"/>
              <w:right w:type="dxa" w:w="80"/>
            </w:tcMar>
          </w:tcPr>
          <w:p>
            <w:pPr>
              <w:spacing w:after="0" w:line="250"/>
              <w:jc w:val="left"/>
            </w:pPr>
            <w:r>
              <w:rPr>
                <w:b w:val="false"/>
                <w:bCs w:val="false"/>
                <w:color w:val="000000"/>
                <w:sz w:val="19"/>
                <w:szCs w:val="19"/>
              </w:rPr>
              <w:t xml:space="preserve">Forgetting verification</w:t>
            </w:r>
          </w:p>
        </w:tc>
        <w:tc>
          <w:tcPr>
            <w:tcW w:type="dxa" w:w="3200"/>
            <w:tcMar>
              <w:top w:type="dxa" w:w="40"/>
              <w:left w:type="dxa" w:w="80"/>
              <w:bottom w:type="dxa" w:w="40"/>
              <w:right w:type="dxa" w:w="80"/>
            </w:tcMar>
          </w:tcPr>
          <w:p>
            <w:pPr>
              <w:spacing w:after="0" w:line="250"/>
              <w:jc w:val="left"/>
            </w:pPr>
            <w:r>
              <w:rPr>
                <w:b w:val="false"/>
                <w:bCs w:val="false"/>
                <w:color w:val="000000"/>
                <w:sz w:val="19"/>
                <w:szCs w:val="19"/>
              </w:rPr>
              <w:t xml:space="preserve">Assumed or loss-based</w:t>
            </w:r>
          </w:p>
        </w:tc>
        <w:tc>
          <w:tcPr>
            <w:tcW w:type="dxa" w:w="3626"/>
            <w:tcMar>
              <w:top w:type="dxa" w:w="40"/>
              <w:left w:type="dxa" w:w="80"/>
              <w:bottom w:type="dxa" w:w="40"/>
              <w:right w:type="dxa" w:w="80"/>
            </w:tcMar>
          </w:tcPr>
          <w:p>
            <w:pPr>
              <w:spacing w:after="0" w:line="250"/>
              <w:jc w:val="left"/>
            </w:pPr>
            <w:r>
              <w:rPr>
                <w:b w:val="false"/>
                <w:bCs w:val="false"/>
                <w:color w:val="000000"/>
                <w:sz w:val="19"/>
                <w:szCs w:val="19"/>
              </w:rPr>
              <w:t xml:space="preserve">Membership-inference AUC versus a retrain oracle</w:t>
            </w:r>
          </w:p>
        </w:tc>
      </w:tr>
      <w:tr>
        <w:tc>
          <w:tcPr>
            <w:tcW w:type="dxa" w:w="22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Reference standard</w:t>
            </w:r>
          </w:p>
        </w:tc>
        <w:tc>
          <w:tcPr>
            <w:tcW w:type="dxa" w:w="32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Often absent</w:t>
            </w:r>
          </w:p>
        </w:tc>
        <w:tc>
          <w:tcPr>
            <w:tcW w:type="dxa" w:w="362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Retrain-from-scratch oracle as the gold standard</w:t>
            </w:r>
          </w:p>
        </w:tc>
      </w:tr>
      <w:tr>
        <w:tc>
          <w:tcPr>
            <w:tcW w:type="dxa" w:w="2200"/>
            <w:tcMar>
              <w:top w:type="dxa" w:w="40"/>
              <w:left w:type="dxa" w:w="80"/>
              <w:bottom w:type="dxa" w:w="40"/>
              <w:right w:type="dxa" w:w="80"/>
            </w:tcMar>
          </w:tcPr>
          <w:p>
            <w:pPr>
              <w:spacing w:after="0" w:line="250"/>
              <w:jc w:val="left"/>
            </w:pPr>
            <w:r>
              <w:rPr>
                <w:b w:val="false"/>
                <w:bCs w:val="false"/>
                <w:color w:val="000000"/>
                <w:sz w:val="19"/>
                <w:szCs w:val="19"/>
              </w:rPr>
              <w:t xml:space="preserve">Reproducibility</w:t>
            </w:r>
          </w:p>
        </w:tc>
        <w:tc>
          <w:tcPr>
            <w:tcW w:type="dxa" w:w="3200"/>
            <w:tcMar>
              <w:top w:type="dxa" w:w="40"/>
              <w:left w:type="dxa" w:w="80"/>
              <w:bottom w:type="dxa" w:w="40"/>
              <w:right w:type="dxa" w:w="80"/>
            </w:tcMar>
          </w:tcPr>
          <w:p>
            <w:pPr>
              <w:spacing w:after="0" w:line="250"/>
              <w:jc w:val="left"/>
            </w:pPr>
            <w:r>
              <w:rPr>
                <w:b w:val="false"/>
                <w:bCs w:val="false"/>
                <w:color w:val="000000"/>
                <w:sz w:val="19"/>
                <w:szCs w:val="19"/>
              </w:rPr>
              <w:t xml:space="preserve">Frequently single-run</w:t>
            </w:r>
          </w:p>
        </w:tc>
        <w:tc>
          <w:tcPr>
            <w:tcW w:type="dxa" w:w="3626"/>
            <w:tcMar>
              <w:top w:type="dxa" w:w="40"/>
              <w:left w:type="dxa" w:w="80"/>
              <w:bottom w:type="dxa" w:w="40"/>
              <w:right w:type="dxa" w:w="80"/>
            </w:tcMar>
          </w:tcPr>
          <w:p>
            <w:pPr>
              <w:spacing w:after="0" w:line="250"/>
              <w:jc w:val="left"/>
            </w:pPr>
            <w:r>
              <w:rPr>
                <w:b w:val="false"/>
                <w:bCs w:val="false"/>
                <w:color w:val="000000"/>
                <w:sz w:val="19"/>
                <w:szCs w:val="19"/>
              </w:rPr>
              <w:t xml:space="preserve">Multi-seed (42/43/44), fixed regime, full artifact logging</w:t>
            </w:r>
          </w:p>
        </w:tc>
      </w:tr>
    </w:tbl>
    <w:p>
      <w:pPr>
        <w:spacing w:after="120" w:line="276"/>
        <w:jc w:val="both"/>
      </w:pPr>
      <w:r>
        <w:rPr>
          <w:sz w:val="22"/>
          <w:szCs w:val="22"/>
        </w:rPr>
        <w:t xml:space="preserve">The intersection of client-level federated unlearning, an explicit attention-fidelity objective, quantitative explanation measurement, oracle-referenced forgetting verification, and multi-seed reproducibility — all applied to a Vision-Transformer chest X-ray classifier — constitutes a genuinely unoccupied position in the literature, and is the defensible contribution this project occupies.</w:t>
      </w:r>
    </w:p>
    <w:p>
      <w:pPr>
        <w:pStyle w:val="Heading1"/>
        <w:spacing w:after="120" w:before="260"/>
      </w:pPr>
      <w:r>
        <w:rPr>
          <w:b/>
          <w:bCs/>
          <w:color w:val="1F3864"/>
          <w:sz w:val="30"/>
          <w:szCs w:val="30"/>
        </w:rPr>
        <w:t xml:space="preserve">4. Proposed System Architecture</w:t>
      </w:r>
    </w:p>
    <w:p>
      <w:pPr>
        <w:pStyle w:val="Heading2"/>
        <w:spacing w:after="80" w:before="180"/>
      </w:pPr>
      <w:r>
        <w:rPr>
          <w:b/>
          <w:bCs/>
          <w:color w:val="1F3864"/>
          <w:sz w:val="25"/>
          <w:szCs w:val="25"/>
        </w:rPr>
        <w:t xml:space="preserve">4.1 Architecture Overview</w:t>
      </w:r>
    </w:p>
    <w:p>
      <w:pPr>
        <w:spacing w:after="120" w:line="276"/>
        <w:jc w:val="both"/>
      </w:pPr>
      <w:r>
        <w:rPr>
          <w:sz w:val="22"/>
          <w:szCs w:val="22"/>
        </w:rPr>
        <w:t xml:space="preserve">The system is organized into five functional layers, each with a clearly bounded role: the Data and Partitioning layer, the Federated Training layer, the Federated Unlearning layer, the Evaluation layer, and the Artifacts and Reproducibility layer. This layered separation is a deliberate engineering decision. Because each layer exposes a well-defined interface — the data layer feeds partitioned client datasets to the training layer, the training layer produces the original global model consumed by the unlearning layer, the unlearning layer emits the unlearned model that the evaluation layer scores, and every stage writes to the artifact layer — the components can be developed, tested, and modified independently. This decoupling keeps the data pipeline, the learning logic, the unlearning procedures, and the measurement harness cleanly isolated from one another and makes the whole pipeline reproducible end to end.</w:t>
      </w:r>
    </w:p>
    <w:p>
      <w:pPr>
        <w:pStyle w:val="Heading2"/>
        <w:spacing w:after="80" w:before="180"/>
      </w:pPr>
      <w:r>
        <w:rPr>
          <w:b/>
          <w:bCs/>
          <w:color w:val="1F3864"/>
          <w:sz w:val="25"/>
          <w:szCs w:val="25"/>
        </w:rPr>
        <w:t xml:space="preserve">4.2 System Architecture Diagram</w:t>
      </w:r>
    </w:p>
    <w:p>
      <w:pPr>
        <w:spacing w:after="40" w:before="60"/>
        <w:jc w:val="center"/>
      </w:pPr>
      <w:r>
        <w:drawing>
          <wp:inline distT="0" distB="0" distL="0" distR="0">
            <wp:extent cx="5524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362325"/>
                    </a:xfrm>
                    <a:prstGeom prst="rect">
                      <a:avLst/>
                    </a:prstGeom>
                  </pic:spPr>
                </pic:pic>
              </a:graphicData>
            </a:graphic>
          </wp:inline>
        </w:drawing>
      </w:r>
    </w:p>
    <w:p>
      <w:pPr>
        <w:spacing w:after="160" w:before="60"/>
        <w:jc w:val="center"/>
      </w:pPr>
      <w:r>
        <w:rPr>
          <w:i/>
          <w:iCs/>
          <w:color w:val="555555"/>
          <w:sz w:val="20"/>
          <w:szCs w:val="20"/>
        </w:rPr>
        <w:t xml:space="preserve">Figure 1: Layered architecture of the Attention-Fidelity-Preserving Federated Unlearning system (★ marks the proposed research contributions).</w:t>
      </w:r>
    </w:p>
    <w:p>
      <w:pPr>
        <w:pStyle w:val="Heading2"/>
        <w:spacing w:after="80" w:before="180"/>
      </w:pPr>
      <w:r>
        <w:rPr>
          <w:b/>
          <w:bCs/>
          <w:color w:val="1F3864"/>
          <w:sz w:val="25"/>
          <w:szCs w:val="25"/>
        </w:rPr>
        <w:t xml:space="preserve">4.3 Component Description</w:t>
      </w:r>
    </w:p>
    <w:p>
      <w:pPr>
        <w:spacing w:after="160" w:before="60"/>
        <w:jc w:val="center"/>
      </w:pPr>
      <w:r>
        <w:rPr>
          <w:i/>
          <w:iCs/>
          <w:color w:val="555555"/>
          <w:sz w:val="20"/>
          <w:szCs w:val="20"/>
        </w:rPr>
        <w:t xml:space="preserve">Table 3: Component Description</w:t>
      </w:r>
    </w:p>
    <w:tbl>
      <w:tblPr>
        <w:tblW w:type="dxa" w:w="9026"/>
        <w:tblBorders>
          <w:top w:val="single" w:color="AAB4C4" w:sz="4"/>
          <w:left w:val="single" w:color="AAB4C4" w:sz="4"/>
          <w:bottom w:val="single" w:color="AAB4C4" w:sz="4"/>
          <w:right w:val="single" w:color="AAB4C4" w:sz="4"/>
          <w:insideH w:val="single" w:color="AAB4C4" w:sz="4"/>
          <w:insideV w:val="single" w:color="AAB4C4" w:sz="4"/>
        </w:tblBorders>
      </w:tblPr>
      <w:tblGrid>
        <w:gridCol w:w="720"/>
        <w:gridCol w:w="1700"/>
        <w:gridCol w:w="2000"/>
        <w:gridCol w:w="1800"/>
        <w:gridCol w:w="2806"/>
      </w:tblGrid>
      <w:tr>
        <w:trPr>
          <w:tblHeader/>
        </w:trPr>
        <w:tc>
          <w:tcPr>
            <w:tcW w:type="dxa" w:w="720"/>
            <w:shd w:fill="2E5496" w:val="clear"/>
            <w:tcMar>
              <w:top w:type="dxa" w:w="40"/>
              <w:left w:type="dxa" w:w="80"/>
              <w:bottom w:type="dxa" w:w="40"/>
              <w:right w:type="dxa" w:w="80"/>
            </w:tcMar>
          </w:tcPr>
          <w:p>
            <w:pPr>
              <w:spacing w:after="0" w:line="250"/>
              <w:jc w:val="center"/>
            </w:pPr>
            <w:r>
              <w:rPr>
                <w:b/>
                <w:bCs/>
                <w:color w:val="FFFFFF"/>
                <w:sz w:val="20"/>
                <w:szCs w:val="20"/>
              </w:rPr>
              <w:t xml:space="preserve">ID</w:t>
            </w:r>
          </w:p>
        </w:tc>
        <w:tc>
          <w:tcPr>
            <w:tcW w:type="dxa" w:w="1700"/>
            <w:shd w:fill="2E5496" w:val="clear"/>
            <w:tcMar>
              <w:top w:type="dxa" w:w="40"/>
              <w:left w:type="dxa" w:w="80"/>
              <w:bottom w:type="dxa" w:w="40"/>
              <w:right w:type="dxa" w:w="80"/>
            </w:tcMar>
          </w:tcPr>
          <w:p>
            <w:pPr>
              <w:spacing w:after="0" w:line="250"/>
              <w:jc w:val="center"/>
            </w:pPr>
            <w:r>
              <w:rPr>
                <w:b/>
                <w:bCs/>
                <w:color w:val="FFFFFF"/>
                <w:sz w:val="20"/>
                <w:szCs w:val="20"/>
              </w:rPr>
              <w:t xml:space="preserve">Component</w:t>
            </w:r>
          </w:p>
        </w:tc>
        <w:tc>
          <w:tcPr>
            <w:tcW w:type="dxa" w:w="2000"/>
            <w:shd w:fill="2E5496" w:val="clear"/>
            <w:tcMar>
              <w:top w:type="dxa" w:w="40"/>
              <w:left w:type="dxa" w:w="80"/>
              <w:bottom w:type="dxa" w:w="40"/>
              <w:right w:type="dxa" w:w="80"/>
            </w:tcMar>
          </w:tcPr>
          <w:p>
            <w:pPr>
              <w:spacing w:after="0" w:line="250"/>
              <w:jc w:val="center"/>
            </w:pPr>
            <w:r>
              <w:rPr>
                <w:b/>
                <w:bCs/>
                <w:color w:val="FFFFFF"/>
                <w:sz w:val="20"/>
                <w:szCs w:val="20"/>
              </w:rPr>
              <w:t xml:space="preserve">Responsibility</w:t>
            </w:r>
          </w:p>
        </w:tc>
        <w:tc>
          <w:tcPr>
            <w:tcW w:type="dxa" w:w="1800"/>
            <w:shd w:fill="2E5496" w:val="clear"/>
            <w:tcMar>
              <w:top w:type="dxa" w:w="40"/>
              <w:left w:type="dxa" w:w="80"/>
              <w:bottom w:type="dxa" w:w="40"/>
              <w:right w:type="dxa" w:w="80"/>
            </w:tcMar>
          </w:tcPr>
          <w:p>
            <w:pPr>
              <w:spacing w:after="0" w:line="250"/>
              <w:jc w:val="center"/>
            </w:pPr>
            <w:r>
              <w:rPr>
                <w:b/>
                <w:bCs/>
                <w:color w:val="FFFFFF"/>
                <w:sz w:val="20"/>
                <w:szCs w:val="20"/>
              </w:rPr>
              <w:t xml:space="preserve">Layer</w:t>
            </w:r>
          </w:p>
        </w:tc>
        <w:tc>
          <w:tcPr>
            <w:tcW w:type="dxa" w:w="2806"/>
            <w:shd w:fill="2E5496" w:val="clear"/>
            <w:tcMar>
              <w:top w:type="dxa" w:w="40"/>
              <w:left w:type="dxa" w:w="80"/>
              <w:bottom w:type="dxa" w:w="40"/>
              <w:right w:type="dxa" w:w="80"/>
            </w:tcMar>
          </w:tcPr>
          <w:p>
            <w:pPr>
              <w:spacing w:after="0" w:line="250"/>
              <w:jc w:val="center"/>
            </w:pPr>
            <w:r>
              <w:rPr>
                <w:b/>
                <w:bCs/>
                <w:color w:val="FFFFFF"/>
                <w:sz w:val="20"/>
                <w:szCs w:val="20"/>
              </w:rPr>
              <w:t xml:space="preserve">Key Detail</w:t>
            </w:r>
          </w:p>
        </w:tc>
      </w:tr>
      <w:tr>
        <w:tc>
          <w:tcPr>
            <w:tcW w:type="dxa" w:w="720"/>
            <w:tcMar>
              <w:top w:type="dxa" w:w="40"/>
              <w:left w:type="dxa" w:w="80"/>
              <w:bottom w:type="dxa" w:w="40"/>
              <w:right w:type="dxa" w:w="80"/>
            </w:tcMar>
          </w:tcPr>
          <w:p>
            <w:pPr>
              <w:spacing w:after="0" w:line="250"/>
              <w:jc w:val="left"/>
            </w:pPr>
            <w:r>
              <w:rPr>
                <w:b w:val="false"/>
                <w:bCs w:val="false"/>
                <w:color w:val="000000"/>
                <w:sz w:val="19"/>
                <w:szCs w:val="19"/>
              </w:rPr>
              <w:t xml:space="preserve">C1</w:t>
            </w:r>
          </w:p>
        </w:tc>
        <w:tc>
          <w:tcPr>
            <w:tcW w:type="dxa" w:w="1700"/>
            <w:tcMar>
              <w:top w:type="dxa" w:w="40"/>
              <w:left w:type="dxa" w:w="80"/>
              <w:bottom w:type="dxa" w:w="40"/>
              <w:right w:type="dxa" w:w="80"/>
            </w:tcMar>
          </w:tcPr>
          <w:p>
            <w:pPr>
              <w:spacing w:after="0" w:line="250"/>
              <w:jc w:val="left"/>
            </w:pPr>
            <w:r>
              <w:rPr>
                <w:b w:val="false"/>
                <w:bCs w:val="false"/>
                <w:color w:val="000000"/>
                <w:sz w:val="19"/>
                <w:szCs w:val="19"/>
              </w:rPr>
              <w:t xml:space="preserve">NIH data module</w:t>
            </w:r>
          </w:p>
        </w:tc>
        <w:tc>
          <w:tcPr>
            <w:tcW w:type="dxa" w:w="2000"/>
            <w:tcMar>
              <w:top w:type="dxa" w:w="40"/>
              <w:left w:type="dxa" w:w="80"/>
              <w:bottom w:type="dxa" w:w="40"/>
              <w:right w:type="dxa" w:w="80"/>
            </w:tcMar>
          </w:tcPr>
          <w:p>
            <w:pPr>
              <w:spacing w:after="0" w:line="250"/>
              <w:jc w:val="left"/>
            </w:pPr>
            <w:r>
              <w:rPr>
                <w:b w:val="false"/>
                <w:bCs w:val="false"/>
                <w:color w:val="000000"/>
                <w:sz w:val="19"/>
                <w:szCs w:val="19"/>
              </w:rPr>
              <w:t xml:space="preserve">Load and partition chest X-rays</w:t>
            </w:r>
          </w:p>
        </w:tc>
        <w:tc>
          <w:tcPr>
            <w:tcW w:type="dxa" w:w="1800"/>
            <w:tcMar>
              <w:top w:type="dxa" w:w="40"/>
              <w:left w:type="dxa" w:w="80"/>
              <w:bottom w:type="dxa" w:w="40"/>
              <w:right w:type="dxa" w:w="80"/>
            </w:tcMar>
          </w:tcPr>
          <w:p>
            <w:pPr>
              <w:spacing w:after="0" w:line="250"/>
              <w:jc w:val="left"/>
            </w:pPr>
            <w:r>
              <w:rPr>
                <w:b w:val="false"/>
                <w:bCs w:val="false"/>
                <w:color w:val="000000"/>
                <w:sz w:val="19"/>
                <w:szCs w:val="19"/>
              </w:rPr>
              <w:t xml:space="preserve">Data &amp; Partitioning</w:t>
            </w:r>
          </w:p>
        </w:tc>
        <w:tc>
          <w:tcPr>
            <w:tcW w:type="dxa" w:w="2806"/>
            <w:tcMar>
              <w:top w:type="dxa" w:w="40"/>
              <w:left w:type="dxa" w:w="80"/>
              <w:bottom w:type="dxa" w:w="40"/>
              <w:right w:type="dxa" w:w="80"/>
            </w:tcMar>
          </w:tcPr>
          <w:p>
            <w:pPr>
              <w:spacing w:after="0" w:line="250"/>
              <w:jc w:val="left"/>
            </w:pPr>
            <w:r>
              <w:rPr>
                <w:b w:val="false"/>
                <w:bCs w:val="false"/>
                <w:color w:val="000000"/>
                <w:sz w:val="19"/>
                <w:szCs w:val="19"/>
              </w:rPr>
              <w:t xml:space="preserve">Patient-disjoint; Dirichlet α=0.5; 5 clients</w:t>
            </w:r>
          </w:p>
        </w:tc>
      </w:tr>
      <w:tr>
        <w:tc>
          <w:tcPr>
            <w:tcW w:type="dxa" w:w="72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C2</w:t>
            </w:r>
          </w:p>
        </w:tc>
        <w:tc>
          <w:tcPr>
            <w:tcW w:type="dxa" w:w="17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Preprocessing</w:t>
            </w:r>
          </w:p>
        </w:tc>
        <w:tc>
          <w:tcPr>
            <w:tcW w:type="dxa" w:w="20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Normalize and resize inputs</w:t>
            </w:r>
          </w:p>
        </w:tc>
        <w:tc>
          <w:tcPr>
            <w:tcW w:type="dxa" w:w="18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Data &amp; Partitioning</w:t>
            </w:r>
          </w:p>
        </w:tc>
        <w:tc>
          <w:tcPr>
            <w:tcW w:type="dxa" w:w="280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Grayscale, 224×224, 1-channel</w:t>
            </w:r>
          </w:p>
        </w:tc>
      </w:tr>
      <w:tr>
        <w:tc>
          <w:tcPr>
            <w:tcW w:type="dxa" w:w="720"/>
            <w:tcMar>
              <w:top w:type="dxa" w:w="40"/>
              <w:left w:type="dxa" w:w="80"/>
              <w:bottom w:type="dxa" w:w="40"/>
              <w:right w:type="dxa" w:w="80"/>
            </w:tcMar>
          </w:tcPr>
          <w:p>
            <w:pPr>
              <w:spacing w:after="0" w:line="250"/>
              <w:jc w:val="left"/>
            </w:pPr>
            <w:r>
              <w:rPr>
                <w:b w:val="false"/>
                <w:bCs w:val="false"/>
                <w:color w:val="000000"/>
                <w:sz w:val="19"/>
                <w:szCs w:val="19"/>
              </w:rPr>
              <w:t xml:space="preserve">C3</w:t>
            </w:r>
          </w:p>
        </w:tc>
        <w:tc>
          <w:tcPr>
            <w:tcW w:type="dxa" w:w="1700"/>
            <w:tcMar>
              <w:top w:type="dxa" w:w="40"/>
              <w:left w:type="dxa" w:w="80"/>
              <w:bottom w:type="dxa" w:w="40"/>
              <w:right w:type="dxa" w:w="80"/>
            </w:tcMar>
          </w:tcPr>
          <w:p>
            <w:pPr>
              <w:spacing w:after="0" w:line="250"/>
              <w:jc w:val="left"/>
            </w:pPr>
            <w:r>
              <w:rPr>
                <w:b w:val="false"/>
                <w:bCs w:val="false"/>
                <w:color w:val="000000"/>
                <w:sz w:val="19"/>
                <w:szCs w:val="19"/>
              </w:rPr>
              <w:t xml:space="preserve">DeiT-Small client</w:t>
            </w:r>
          </w:p>
        </w:tc>
        <w:tc>
          <w:tcPr>
            <w:tcW w:type="dxa" w:w="2000"/>
            <w:tcMar>
              <w:top w:type="dxa" w:w="40"/>
              <w:left w:type="dxa" w:w="80"/>
              <w:bottom w:type="dxa" w:w="40"/>
              <w:right w:type="dxa" w:w="80"/>
            </w:tcMar>
          </w:tcPr>
          <w:p>
            <w:pPr>
              <w:spacing w:after="0" w:line="250"/>
              <w:jc w:val="left"/>
            </w:pPr>
            <w:r>
              <w:rPr>
                <w:b w:val="false"/>
                <w:bCs w:val="false"/>
                <w:color w:val="000000"/>
                <w:sz w:val="19"/>
                <w:szCs w:val="19"/>
              </w:rPr>
              <w:t xml:space="preserve">Local model training</w:t>
            </w:r>
          </w:p>
        </w:tc>
        <w:tc>
          <w:tcPr>
            <w:tcW w:type="dxa" w:w="1800"/>
            <w:tcMar>
              <w:top w:type="dxa" w:w="40"/>
              <w:left w:type="dxa" w:w="80"/>
              <w:bottom w:type="dxa" w:w="40"/>
              <w:right w:type="dxa" w:w="80"/>
            </w:tcMar>
          </w:tcPr>
          <w:p>
            <w:pPr>
              <w:spacing w:after="0" w:line="250"/>
              <w:jc w:val="left"/>
            </w:pPr>
            <w:r>
              <w:rPr>
                <w:b w:val="false"/>
                <w:bCs w:val="false"/>
                <w:color w:val="000000"/>
                <w:sz w:val="19"/>
                <w:szCs w:val="19"/>
              </w:rPr>
              <w:t xml:space="preserve">Federated Training</w:t>
            </w:r>
          </w:p>
        </w:tc>
        <w:tc>
          <w:tcPr>
            <w:tcW w:type="dxa" w:w="2806"/>
            <w:tcMar>
              <w:top w:type="dxa" w:w="40"/>
              <w:left w:type="dxa" w:w="80"/>
              <w:bottom w:type="dxa" w:w="40"/>
              <w:right w:type="dxa" w:w="80"/>
            </w:tcMar>
          </w:tcPr>
          <w:p>
            <w:pPr>
              <w:spacing w:after="0" w:line="250"/>
              <w:jc w:val="left"/>
            </w:pPr>
            <w:r>
              <w:rPr>
                <w:b w:val="false"/>
                <w:bCs w:val="false"/>
                <w:color w:val="000000"/>
                <w:sz w:val="19"/>
                <w:szCs w:val="19"/>
              </w:rPr>
              <w:t xml:space="preserve">Adam; pos-weight BCE; warmup + cosine LR</w:t>
            </w:r>
          </w:p>
        </w:tc>
      </w:tr>
      <w:tr>
        <w:tc>
          <w:tcPr>
            <w:tcW w:type="dxa" w:w="72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C4</w:t>
            </w:r>
          </w:p>
        </w:tc>
        <w:tc>
          <w:tcPr>
            <w:tcW w:type="dxa" w:w="17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FedAvg server</w:t>
            </w:r>
          </w:p>
        </w:tc>
        <w:tc>
          <w:tcPr>
            <w:tcW w:type="dxa" w:w="20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Weighted parameter aggregation</w:t>
            </w:r>
          </w:p>
        </w:tc>
        <w:tc>
          <w:tcPr>
            <w:tcW w:type="dxa" w:w="18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Federated Training</w:t>
            </w:r>
          </w:p>
        </w:tc>
        <w:tc>
          <w:tcPr>
            <w:tcW w:type="dxa" w:w="280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30 rounds; best-checkpoint; early stop</w:t>
            </w:r>
          </w:p>
        </w:tc>
      </w:tr>
      <w:tr>
        <w:tc>
          <w:tcPr>
            <w:tcW w:type="dxa" w:w="720"/>
            <w:tcMar>
              <w:top w:type="dxa" w:w="40"/>
              <w:left w:type="dxa" w:w="80"/>
              <w:bottom w:type="dxa" w:w="40"/>
              <w:right w:type="dxa" w:w="80"/>
            </w:tcMar>
          </w:tcPr>
          <w:p>
            <w:pPr>
              <w:spacing w:after="0" w:line="250"/>
              <w:jc w:val="left"/>
            </w:pPr>
            <w:r>
              <w:rPr>
                <w:b w:val="false"/>
                <w:bCs w:val="false"/>
                <w:color w:val="000000"/>
                <w:sz w:val="19"/>
                <w:szCs w:val="19"/>
              </w:rPr>
              <w:t xml:space="preserve">C5</w:t>
            </w:r>
          </w:p>
        </w:tc>
        <w:tc>
          <w:tcPr>
            <w:tcW w:type="dxa" w:w="1700"/>
            <w:tcMar>
              <w:top w:type="dxa" w:w="40"/>
              <w:left w:type="dxa" w:w="80"/>
              <w:bottom w:type="dxa" w:w="40"/>
              <w:right w:type="dxa" w:w="80"/>
            </w:tcMar>
          </w:tcPr>
          <w:p>
            <w:pPr>
              <w:spacing w:after="0" w:line="250"/>
              <w:jc w:val="left"/>
            </w:pPr>
            <w:r>
              <w:rPr>
                <w:b w:val="false"/>
                <w:bCs w:val="false"/>
                <w:color w:val="000000"/>
                <w:sz w:val="19"/>
                <w:szCs w:val="19"/>
              </w:rPr>
              <w:t xml:space="preserve">Original global model</w:t>
            </w:r>
          </w:p>
        </w:tc>
        <w:tc>
          <w:tcPr>
            <w:tcW w:type="dxa" w:w="2000"/>
            <w:tcMar>
              <w:top w:type="dxa" w:w="40"/>
              <w:left w:type="dxa" w:w="80"/>
              <w:bottom w:type="dxa" w:w="40"/>
              <w:right w:type="dxa" w:w="80"/>
            </w:tcMar>
          </w:tcPr>
          <w:p>
            <w:pPr>
              <w:spacing w:after="0" w:line="250"/>
              <w:jc w:val="left"/>
            </w:pPr>
            <w:r>
              <w:rPr>
                <w:b w:val="false"/>
                <w:bCs w:val="false"/>
                <w:color w:val="000000"/>
                <w:sz w:val="19"/>
                <w:szCs w:val="19"/>
              </w:rPr>
              <w:t xml:space="preserve">Pre-unlearning classifier</w:t>
            </w:r>
          </w:p>
        </w:tc>
        <w:tc>
          <w:tcPr>
            <w:tcW w:type="dxa" w:w="1800"/>
            <w:tcMar>
              <w:top w:type="dxa" w:w="40"/>
              <w:left w:type="dxa" w:w="80"/>
              <w:bottom w:type="dxa" w:w="40"/>
              <w:right w:type="dxa" w:w="80"/>
            </w:tcMar>
          </w:tcPr>
          <w:p>
            <w:pPr>
              <w:spacing w:after="0" w:line="250"/>
              <w:jc w:val="left"/>
            </w:pPr>
            <w:r>
              <w:rPr>
                <w:b w:val="false"/>
                <w:bCs w:val="false"/>
                <w:color w:val="000000"/>
                <w:sz w:val="19"/>
                <w:szCs w:val="19"/>
              </w:rPr>
              <w:t xml:space="preserve">Federated Training</w:t>
            </w:r>
          </w:p>
        </w:tc>
        <w:tc>
          <w:tcPr>
            <w:tcW w:type="dxa" w:w="2806"/>
            <w:tcMar>
              <w:top w:type="dxa" w:w="40"/>
              <w:left w:type="dxa" w:w="80"/>
              <w:bottom w:type="dxa" w:w="40"/>
              <w:right w:type="dxa" w:w="80"/>
            </w:tcMar>
          </w:tcPr>
          <w:p>
            <w:pPr>
              <w:spacing w:after="0" w:line="250"/>
              <w:jc w:val="left"/>
            </w:pPr>
            <w:r>
              <w:rPr>
                <w:b w:val="false"/>
                <w:bCs w:val="false"/>
                <w:color w:val="000000"/>
                <w:sz w:val="19"/>
                <w:szCs w:val="19"/>
              </w:rPr>
              <w:t xml:space="preserve">Frozen reference for the EPU loss</w:t>
            </w:r>
          </w:p>
        </w:tc>
      </w:tr>
      <w:tr>
        <w:tc>
          <w:tcPr>
            <w:tcW w:type="dxa" w:w="72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C6</w:t>
            </w:r>
          </w:p>
        </w:tc>
        <w:tc>
          <w:tcPr>
            <w:tcW w:type="dxa" w:w="17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Oracle (retrain)</w:t>
            </w:r>
          </w:p>
        </w:tc>
        <w:tc>
          <w:tcPr>
            <w:tcW w:type="dxa" w:w="20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Gold-standard reference</w:t>
            </w:r>
          </w:p>
        </w:tc>
        <w:tc>
          <w:tcPr>
            <w:tcW w:type="dxa" w:w="18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Unlearning</w:t>
            </w:r>
          </w:p>
        </w:tc>
        <w:tc>
          <w:tcPr>
            <w:tcW w:type="dxa" w:w="280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Retrain from scratch on retained clients</w:t>
            </w:r>
          </w:p>
        </w:tc>
      </w:tr>
      <w:tr>
        <w:tc>
          <w:tcPr>
            <w:tcW w:type="dxa" w:w="720"/>
            <w:tcMar>
              <w:top w:type="dxa" w:w="40"/>
              <w:left w:type="dxa" w:w="80"/>
              <w:bottom w:type="dxa" w:w="40"/>
              <w:right w:type="dxa" w:w="80"/>
            </w:tcMar>
          </w:tcPr>
          <w:p>
            <w:pPr>
              <w:spacing w:after="0" w:line="250"/>
              <w:jc w:val="left"/>
            </w:pPr>
            <w:r>
              <w:rPr>
                <w:b w:val="false"/>
                <w:bCs w:val="false"/>
                <w:color w:val="000000"/>
                <w:sz w:val="19"/>
                <w:szCs w:val="19"/>
              </w:rPr>
              <w:t xml:space="preserve">C7</w:t>
            </w:r>
          </w:p>
        </w:tc>
        <w:tc>
          <w:tcPr>
            <w:tcW w:type="dxa" w:w="1700"/>
            <w:tcMar>
              <w:top w:type="dxa" w:w="40"/>
              <w:left w:type="dxa" w:w="80"/>
              <w:bottom w:type="dxa" w:w="40"/>
              <w:right w:type="dxa" w:w="80"/>
            </w:tcMar>
          </w:tcPr>
          <w:p>
            <w:pPr>
              <w:spacing w:after="0" w:line="250"/>
              <w:jc w:val="left"/>
            </w:pPr>
            <w:r>
              <w:rPr>
                <w:b w:val="false"/>
                <w:bCs w:val="false"/>
                <w:color w:val="000000"/>
                <w:sz w:val="19"/>
                <w:szCs w:val="19"/>
              </w:rPr>
              <w:t xml:space="preserve">Plain unlearning</w:t>
            </w:r>
          </w:p>
        </w:tc>
        <w:tc>
          <w:tcPr>
            <w:tcW w:type="dxa" w:w="2000"/>
            <w:tcMar>
              <w:top w:type="dxa" w:w="40"/>
              <w:left w:type="dxa" w:w="80"/>
              <w:bottom w:type="dxa" w:w="40"/>
              <w:right w:type="dxa" w:w="80"/>
            </w:tcMar>
          </w:tcPr>
          <w:p>
            <w:pPr>
              <w:spacing w:after="0" w:line="250"/>
              <w:jc w:val="left"/>
            </w:pPr>
            <w:r>
              <w:rPr>
                <w:b w:val="false"/>
                <w:bCs w:val="false"/>
                <w:color w:val="000000"/>
                <w:sz w:val="19"/>
                <w:szCs w:val="19"/>
              </w:rPr>
              <w:t xml:space="preserve">Warm-start fine-tuning baseline</w:t>
            </w:r>
          </w:p>
        </w:tc>
        <w:tc>
          <w:tcPr>
            <w:tcW w:type="dxa" w:w="1800"/>
            <w:tcMar>
              <w:top w:type="dxa" w:w="40"/>
              <w:left w:type="dxa" w:w="80"/>
              <w:bottom w:type="dxa" w:w="40"/>
              <w:right w:type="dxa" w:w="80"/>
            </w:tcMar>
          </w:tcPr>
          <w:p>
            <w:pPr>
              <w:spacing w:after="0" w:line="250"/>
              <w:jc w:val="left"/>
            </w:pPr>
            <w:r>
              <w:rPr>
                <w:b w:val="false"/>
                <w:bCs w:val="false"/>
                <w:color w:val="000000"/>
                <w:sz w:val="19"/>
                <w:szCs w:val="19"/>
              </w:rPr>
              <w:t xml:space="preserve">Unlearning</w:t>
            </w:r>
          </w:p>
        </w:tc>
        <w:tc>
          <w:tcPr>
            <w:tcW w:type="dxa" w:w="2806"/>
            <w:tcMar>
              <w:top w:type="dxa" w:w="40"/>
              <w:left w:type="dxa" w:w="80"/>
              <w:bottom w:type="dxa" w:w="40"/>
              <w:right w:type="dxa" w:w="80"/>
            </w:tcMar>
          </w:tcPr>
          <w:p>
            <w:pPr>
              <w:spacing w:after="0" w:line="250"/>
              <w:jc w:val="left"/>
            </w:pPr>
            <w:r>
              <w:rPr>
                <w:b w:val="false"/>
                <w:bCs w:val="false"/>
                <w:color w:val="000000"/>
                <w:sz w:val="19"/>
                <w:szCs w:val="19"/>
              </w:rPr>
              <w:t xml:space="preserve">Fine-tune on retained clients only</w:t>
            </w:r>
          </w:p>
        </w:tc>
      </w:tr>
      <w:tr>
        <w:tc>
          <w:tcPr>
            <w:tcW w:type="dxa" w:w="72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C8 ★</w:t>
            </w:r>
          </w:p>
        </w:tc>
        <w:tc>
          <w:tcPr>
            <w:tcW w:type="dxa" w:w="17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EPU (proposed)</w:t>
            </w:r>
          </w:p>
        </w:tc>
        <w:tc>
          <w:tcPr>
            <w:tcW w:type="dxa" w:w="20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Explanation-preserving unlearning</w:t>
            </w:r>
          </w:p>
        </w:tc>
        <w:tc>
          <w:tcPr>
            <w:tcW w:type="dxa" w:w="18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Unlearning</w:t>
            </w:r>
          </w:p>
        </w:tc>
        <w:tc>
          <w:tcPr>
            <w:tcW w:type="dxa" w:w="280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NOVEL CORE — L = L_task + λ·L_exp</w:t>
            </w:r>
          </w:p>
        </w:tc>
      </w:tr>
      <w:tr>
        <w:tc>
          <w:tcPr>
            <w:tcW w:type="dxa" w:w="720"/>
            <w:tcMar>
              <w:top w:type="dxa" w:w="40"/>
              <w:left w:type="dxa" w:w="80"/>
              <w:bottom w:type="dxa" w:w="40"/>
              <w:right w:type="dxa" w:w="80"/>
            </w:tcMar>
          </w:tcPr>
          <w:p>
            <w:pPr>
              <w:spacing w:after="0" w:line="250"/>
              <w:jc w:val="left"/>
            </w:pPr>
            <w:r>
              <w:rPr>
                <w:b w:val="false"/>
                <w:bCs w:val="false"/>
                <w:color w:val="000000"/>
                <w:sz w:val="19"/>
                <w:szCs w:val="19"/>
              </w:rPr>
              <w:t xml:space="preserve">C9 ★</w:t>
            </w:r>
          </w:p>
        </w:tc>
        <w:tc>
          <w:tcPr>
            <w:tcW w:type="dxa" w:w="1700"/>
            <w:tcMar>
              <w:top w:type="dxa" w:w="40"/>
              <w:left w:type="dxa" w:w="80"/>
              <w:bottom w:type="dxa" w:w="40"/>
              <w:right w:type="dxa" w:w="80"/>
            </w:tcMar>
          </w:tcPr>
          <w:p>
            <w:pPr>
              <w:spacing w:after="0" w:line="250"/>
              <w:jc w:val="left"/>
            </w:pPr>
            <w:r>
              <w:rPr>
                <w:b w:val="false"/>
                <w:bCs w:val="false"/>
                <w:color w:val="000000"/>
                <w:sz w:val="19"/>
                <w:szCs w:val="19"/>
              </w:rPr>
              <w:t xml:space="preserve">Attention Rollout module</w:t>
            </w:r>
          </w:p>
        </w:tc>
        <w:tc>
          <w:tcPr>
            <w:tcW w:type="dxa" w:w="2000"/>
            <w:tcMar>
              <w:top w:type="dxa" w:w="40"/>
              <w:left w:type="dxa" w:w="80"/>
              <w:bottom w:type="dxa" w:w="40"/>
              <w:right w:type="dxa" w:w="80"/>
            </w:tcMar>
          </w:tcPr>
          <w:p>
            <w:pPr>
              <w:spacing w:after="0" w:line="250"/>
              <w:jc w:val="left"/>
            </w:pPr>
            <w:r>
              <w:rPr>
                <w:b w:val="false"/>
                <w:bCs w:val="false"/>
                <w:color w:val="000000"/>
                <w:sz w:val="19"/>
                <w:szCs w:val="19"/>
              </w:rPr>
              <w:t xml:space="preserve">Compute attention maps</w:t>
            </w:r>
          </w:p>
        </w:tc>
        <w:tc>
          <w:tcPr>
            <w:tcW w:type="dxa" w:w="1800"/>
            <w:tcMar>
              <w:top w:type="dxa" w:w="40"/>
              <w:left w:type="dxa" w:w="80"/>
              <w:bottom w:type="dxa" w:w="40"/>
              <w:right w:type="dxa" w:w="80"/>
            </w:tcMar>
          </w:tcPr>
          <w:p>
            <w:pPr>
              <w:spacing w:after="0" w:line="250"/>
              <w:jc w:val="left"/>
            </w:pPr>
            <w:r>
              <w:rPr>
                <w:b w:val="false"/>
                <w:bCs w:val="false"/>
                <w:color w:val="000000"/>
                <w:sz w:val="19"/>
                <w:szCs w:val="19"/>
              </w:rPr>
              <w:t xml:space="preserve">Explanation</w:t>
            </w:r>
          </w:p>
        </w:tc>
        <w:tc>
          <w:tcPr>
            <w:tcW w:type="dxa" w:w="2806"/>
            <w:tcMar>
              <w:top w:type="dxa" w:w="40"/>
              <w:left w:type="dxa" w:w="80"/>
              <w:bottom w:type="dxa" w:w="40"/>
              <w:right w:type="dxa" w:w="80"/>
            </w:tcMar>
          </w:tcPr>
          <w:p>
            <w:pPr>
              <w:spacing w:after="0" w:line="250"/>
              <w:jc w:val="left"/>
            </w:pPr>
            <w:r>
              <w:rPr>
                <w:b w:val="false"/>
                <w:bCs w:val="false"/>
                <w:color w:val="000000"/>
                <w:sz w:val="19"/>
                <w:szCs w:val="19"/>
              </w:rPr>
              <w:t xml:space="preserve">Hook on attn_drop; fused attention disabled</w:t>
            </w:r>
          </w:p>
        </w:tc>
      </w:tr>
      <w:tr>
        <w:tc>
          <w:tcPr>
            <w:tcW w:type="dxa" w:w="72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C10</w:t>
            </w:r>
          </w:p>
        </w:tc>
        <w:tc>
          <w:tcPr>
            <w:tcW w:type="dxa" w:w="17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Evaluation harness</w:t>
            </w:r>
          </w:p>
        </w:tc>
        <w:tc>
          <w:tcPr>
            <w:tcW w:type="dxa" w:w="20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Four-axis metric computation</w:t>
            </w:r>
          </w:p>
        </w:tc>
        <w:tc>
          <w:tcPr>
            <w:tcW w:type="dxa" w:w="18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Evaluation</w:t>
            </w:r>
          </w:p>
        </w:tc>
        <w:tc>
          <w:tcPr>
            <w:tcW w:type="dxa" w:w="280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Multi-seed; reports mean ± std</w:t>
            </w:r>
          </w:p>
        </w:tc>
      </w:tr>
      <w:tr>
        <w:tc>
          <w:tcPr>
            <w:tcW w:type="dxa" w:w="720"/>
            <w:tcMar>
              <w:top w:type="dxa" w:w="40"/>
              <w:left w:type="dxa" w:w="80"/>
              <w:bottom w:type="dxa" w:w="40"/>
              <w:right w:type="dxa" w:w="80"/>
            </w:tcMar>
          </w:tcPr>
          <w:p>
            <w:pPr>
              <w:spacing w:after="0" w:line="250"/>
              <w:jc w:val="left"/>
            </w:pPr>
            <w:r>
              <w:rPr>
                <w:b w:val="false"/>
                <w:bCs w:val="false"/>
                <w:color w:val="000000"/>
                <w:sz w:val="19"/>
                <w:szCs w:val="19"/>
              </w:rPr>
              <w:t xml:space="preserve">C11</w:t>
            </w:r>
          </w:p>
        </w:tc>
        <w:tc>
          <w:tcPr>
            <w:tcW w:type="dxa" w:w="1700"/>
            <w:tcMar>
              <w:top w:type="dxa" w:w="40"/>
              <w:left w:type="dxa" w:w="80"/>
              <w:bottom w:type="dxa" w:w="40"/>
              <w:right w:type="dxa" w:w="80"/>
            </w:tcMar>
          </w:tcPr>
          <w:p>
            <w:pPr>
              <w:spacing w:after="0" w:line="250"/>
              <w:jc w:val="left"/>
            </w:pPr>
            <w:r>
              <w:rPr>
                <w:b w:val="false"/>
                <w:bCs w:val="false"/>
                <w:color w:val="000000"/>
                <w:sz w:val="19"/>
                <w:szCs w:val="19"/>
              </w:rPr>
              <w:t xml:space="preserve">MIA module</w:t>
            </w:r>
          </w:p>
        </w:tc>
        <w:tc>
          <w:tcPr>
            <w:tcW w:type="dxa" w:w="2000"/>
            <w:tcMar>
              <w:top w:type="dxa" w:w="40"/>
              <w:left w:type="dxa" w:w="80"/>
              <w:bottom w:type="dxa" w:w="40"/>
              <w:right w:type="dxa" w:w="80"/>
            </w:tcMar>
          </w:tcPr>
          <w:p>
            <w:pPr>
              <w:spacing w:after="0" w:line="250"/>
              <w:jc w:val="left"/>
            </w:pPr>
            <w:r>
              <w:rPr>
                <w:b w:val="false"/>
                <w:bCs w:val="false"/>
                <w:color w:val="000000"/>
                <w:sz w:val="19"/>
                <w:szCs w:val="19"/>
              </w:rPr>
              <w:t xml:space="preserve">Verify forgetting</w:t>
            </w:r>
          </w:p>
        </w:tc>
        <w:tc>
          <w:tcPr>
            <w:tcW w:type="dxa" w:w="1800"/>
            <w:tcMar>
              <w:top w:type="dxa" w:w="40"/>
              <w:left w:type="dxa" w:w="80"/>
              <w:bottom w:type="dxa" w:w="40"/>
              <w:right w:type="dxa" w:w="80"/>
            </w:tcMar>
          </w:tcPr>
          <w:p>
            <w:pPr>
              <w:spacing w:after="0" w:line="250"/>
              <w:jc w:val="left"/>
            </w:pPr>
            <w:r>
              <w:rPr>
                <w:b w:val="false"/>
                <w:bCs w:val="false"/>
                <w:color w:val="000000"/>
                <w:sz w:val="19"/>
                <w:szCs w:val="19"/>
              </w:rPr>
              <w:t xml:space="preserve">Evaluation</w:t>
            </w:r>
          </w:p>
        </w:tc>
        <w:tc>
          <w:tcPr>
            <w:tcW w:type="dxa" w:w="2806"/>
            <w:tcMar>
              <w:top w:type="dxa" w:w="40"/>
              <w:left w:type="dxa" w:w="80"/>
              <w:bottom w:type="dxa" w:w="40"/>
              <w:right w:type="dxa" w:w="80"/>
            </w:tcMar>
          </w:tcPr>
          <w:p>
            <w:pPr>
              <w:spacing w:after="0" w:line="250"/>
              <w:jc w:val="left"/>
            </w:pPr>
            <w:r>
              <w:rPr>
                <w:b w:val="false"/>
                <w:bCs w:val="false"/>
                <w:color w:val="000000"/>
                <w:sz w:val="19"/>
                <w:szCs w:val="19"/>
              </w:rPr>
              <w:t xml:space="preserve">Membership-inference AUC vs oracle</w:t>
            </w:r>
          </w:p>
        </w:tc>
      </w:tr>
      <w:tr>
        <w:tc>
          <w:tcPr>
            <w:tcW w:type="dxa" w:w="72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C12</w:t>
            </w:r>
          </w:p>
        </w:tc>
        <w:tc>
          <w:tcPr>
            <w:tcW w:type="dxa" w:w="17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Artifact writer</w:t>
            </w:r>
          </w:p>
        </w:tc>
        <w:tc>
          <w:tcPr>
            <w:tcW w:type="dxa" w:w="20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Persist checkpoints and metrics</w:t>
            </w:r>
          </w:p>
        </w:tc>
        <w:tc>
          <w:tcPr>
            <w:tcW w:type="dxa" w:w="18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Reproducibility</w:t>
            </w:r>
          </w:p>
        </w:tc>
        <w:tc>
          <w:tcPr>
            <w:tcW w:type="dxa" w:w="280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Checkpoints, CSV/JSON, reproducibility.json</w:t>
            </w:r>
          </w:p>
        </w:tc>
      </w:tr>
    </w:tbl>
    <w:p>
      <w:pPr>
        <w:pStyle w:val="Heading2"/>
        <w:spacing w:after="80" w:before="180"/>
      </w:pPr>
      <w:r>
        <w:rPr>
          <w:b/>
          <w:bCs/>
          <w:color w:val="1F3864"/>
          <w:sz w:val="25"/>
          <w:szCs w:val="25"/>
        </w:rPr>
        <w:t xml:space="preserve">4.4 Data Flow</w:t>
      </w:r>
    </w:p>
    <w:p>
      <w:pPr>
        <w:spacing w:after="120" w:line="276"/>
        <w:jc w:val="both"/>
      </w:pPr>
      <w:r>
        <w:rPr>
          <w:b/>
          <w:bCs/>
          <w:sz w:val="22"/>
          <w:szCs w:val="22"/>
        </w:rPr>
        <w:t xml:space="preserve">Training path: </w:t>
      </w:r>
      <w:r>
        <w:rPr>
          <w:sz w:val="22"/>
          <w:szCs w:val="22"/>
        </w:rPr>
        <w:t xml:space="preserve">The NIH data module partitions the dataset into five patient-disjoint, non-IID client shards, which the DeiT-Small clients train locally each round; the FedAvg server aggregates their updates over 30 rounds to produce the original global model, retaining the best checkpoint by validation performance.</w:t>
      </w:r>
    </w:p>
    <w:p>
      <w:pPr>
        <w:spacing w:after="120" w:line="276"/>
        <w:jc w:val="both"/>
      </w:pPr>
      <w:r>
        <w:rPr>
          <w:b/>
          <w:bCs/>
          <w:sz w:val="22"/>
          <w:szCs w:val="22"/>
        </w:rPr>
        <w:t xml:space="preserve">Unlearning path: </w:t>
      </w:r>
      <w:r>
        <w:rPr>
          <w:sz w:val="22"/>
          <w:szCs w:val="22"/>
        </w:rPr>
        <w:t xml:space="preserve">Given a designated forget-client, three procedures branch from the original model — the oracle retrains from scratch on the retained clients, plain unlearning warm-starts a fine-tune on the retained clients, and EPU warm-starts the same fine-tune with the added explanation-consistency loss that anchors the model's attention-rollout maps to those of the frozen original model. Each procedure emits an unlearned global model.</w:t>
      </w:r>
    </w:p>
    <w:p>
      <w:pPr>
        <w:spacing w:after="120" w:line="276"/>
        <w:jc w:val="both"/>
      </w:pPr>
      <w:r>
        <w:rPr>
          <w:b/>
          <w:bCs/>
          <w:sz w:val="22"/>
          <w:szCs w:val="22"/>
        </w:rPr>
        <w:t xml:space="preserve">Evaluation path: </w:t>
      </w:r>
      <w:r>
        <w:rPr>
          <w:sz w:val="22"/>
          <w:szCs w:val="22"/>
        </w:rPr>
        <w:t xml:space="preserve">Every resulting model is scored by the evaluation harness along the four axes on a held-out test set, with membership inference verifying forgetting and attention-map metrics quantifying explanation fidelity, and all checkpoints, tables, and metadata are written to the artifact layer for reproducibility.</w:t>
      </w:r>
    </w:p>
    <w:p>
      <w:pPr>
        <w:pStyle w:val="Heading2"/>
        <w:spacing w:after="80" w:before="180"/>
      </w:pPr>
      <w:r>
        <w:rPr>
          <w:b/>
          <w:bCs/>
          <w:color w:val="1F3864"/>
          <w:sz w:val="25"/>
          <w:szCs w:val="25"/>
        </w:rPr>
        <w:t xml:space="preserve">4.5 Reproducibility Architecture</w:t>
      </w:r>
    </w:p>
    <w:p>
      <w:pPr>
        <w:spacing w:after="120" w:line="276"/>
        <w:jc w:val="both"/>
      </w:pPr>
      <w:r>
        <w:rPr>
          <w:sz w:val="22"/>
          <w:szCs w:val="22"/>
        </w:rPr>
        <w:t xml:space="preserve">The pipeline is executed as a single, fully seeded driver that runs the entire sequence — original training, oracle, plain unlearning, and EPU — for each of three random seeds, writing each seed's results atomically so that an interrupted run resumes from the last completed seed rather than restarting. Every model checkpoint is saved with its own configuration and seed embedded, and a reproducibility manifest records the exact regime. Because the measurement harness is cleanly separated from training and unlearning, the evaluation can be re-run or extended without re-training, and results are byte-reproducible across identical hardware. The full run is performed on a single GPU instance (NVIDIA T4).</w:t>
      </w:r>
    </w:p>
    <w:p>
      <w:pPr>
        <w:pStyle w:val="Heading1"/>
        <w:spacing w:after="120" w:before="260"/>
      </w:pPr>
      <w:r>
        <w:rPr>
          <w:b/>
          <w:bCs/>
          <w:color w:val="1F3864"/>
          <w:sz w:val="30"/>
          <w:szCs w:val="30"/>
        </w:rPr>
        <w:t xml:space="preserve">5. Methodology</w:t>
      </w:r>
    </w:p>
    <w:p>
      <w:pPr>
        <w:pStyle w:val="Heading2"/>
        <w:spacing w:after="80" w:before="180"/>
      </w:pPr>
      <w:r>
        <w:rPr>
          <w:b/>
          <w:bCs/>
          <w:color w:val="1F3864"/>
          <w:sz w:val="25"/>
          <w:szCs w:val="25"/>
        </w:rPr>
        <w:t xml:space="preserve">5.1 Unlearning Philosophy</w:t>
      </w:r>
    </w:p>
    <w:p>
      <w:pPr>
        <w:spacing w:after="120" w:line="276"/>
        <w:jc w:val="both"/>
      </w:pPr>
      <w:r>
        <w:rPr>
          <w:sz w:val="22"/>
          <w:szCs w:val="22"/>
        </w:rPr>
        <w:t xml:space="preserve">Trustworthy unlearning in medical imaging is inherently multi-objective: removing a client's influence, preserving diagnostic accuracy, and preserving the model's explanations are distinct requirements, and optimizing any one in isolation can silently damage the others. The method therefore treats the model after unlearning not merely as a predictor to be kept accurate, but as an explainable decision-maker whose visual reasoning must remain stable. Just as importantly, the notion of a correct explanation is defined relative to a concrete reference — the original, pre-unlearning model — so that explanation preservation becomes a measurable comparison rather than a subjective judgement. This framing is what allows explanation fidelity to be optimized during unlearning and verified afterward.</w:t>
      </w:r>
    </w:p>
    <w:p>
      <w:pPr>
        <w:pStyle w:val="Heading2"/>
        <w:spacing w:after="80" w:before="180"/>
      </w:pPr>
      <w:r>
        <w:rPr>
          <w:b/>
          <w:bCs/>
          <w:color w:val="1F3864"/>
          <w:sz w:val="25"/>
          <w:szCs w:val="25"/>
        </w:rPr>
        <w:t xml:space="preserve">5.2 Federated Training Model</w:t>
      </w:r>
    </w:p>
    <w:p>
      <w:pPr>
        <w:spacing w:after="120" w:line="276"/>
        <w:jc w:val="both"/>
      </w:pPr>
      <w:r>
        <w:rPr>
          <w:sz w:val="22"/>
          <w:szCs w:val="22"/>
        </w:rPr>
        <w:t xml:space="preserve">A DeiT-Small Vision Transformer, pretrained on ImageNet and adapted to single-channel 224×224 radiographs, is trained across five clients whose data is partitioned in a patient-disjoint, non-IID manner using a Dirichlet distribution (α = 0.5). Each federated round consists of local optimization on every client followed by weighted averaging of the client models on the server (FedAvg). Local training uses the Adam optimizer with a warmup-plus-cosine learning-rate schedule and a class-imbalance-aware binary cross-entropy loss with per-class positive weighting, reflecting the fourteen-finding multi-label nature of chest X-ray diagnosis. Training runs for a fixed number of rounds with early stopping and best-checkpoint selection, yielding the original global model that all subsequent unlearning operates upon.</w:t>
      </w:r>
    </w:p>
    <w:p>
      <w:pPr>
        <w:pStyle w:val="Heading2"/>
        <w:spacing w:after="80" w:before="180"/>
      </w:pPr>
      <w:r>
        <w:rPr>
          <w:b/>
          <w:bCs/>
          <w:color w:val="1F3864"/>
          <w:sz w:val="25"/>
          <w:szCs w:val="25"/>
        </w:rPr>
        <w:t xml:space="preserve">5.3 Unlearning Framework</w:t>
      </w:r>
    </w:p>
    <w:p>
      <w:pPr>
        <w:spacing w:after="120" w:line="276"/>
        <w:jc w:val="both"/>
      </w:pPr>
      <w:r>
        <w:rPr>
          <w:sz w:val="22"/>
          <w:szCs w:val="22"/>
        </w:rPr>
        <w:t xml:space="preserve">To forget a designated client, three procedures are defined and compared under identical data and regime settings so that their differences are attributable solely to the unlearning mechanism:</w:t>
      </w:r>
    </w:p>
    <w:p>
      <w:pPr>
        <w:pStyle w:val="ListParagraph"/>
        <w:numPr>
          <w:ilvl w:val="0"/>
          <w:numId w:val="1"/>
        </w:numPr>
        <w:spacing w:after="60" w:line="264"/>
      </w:pPr>
      <w:r>
        <w:rPr>
          <w:sz w:val="22"/>
          <w:szCs w:val="22"/>
        </w:rPr>
        <w:t xml:space="preserve">Oracle (reference): the model is retrained from scratch using only the retained clients. This is the gold-standard definition of forgetting — the departing client never participates — and provides the reference against which the other two procedures are judged.</w:t>
      </w:r>
    </w:p>
    <w:p>
      <w:pPr>
        <w:pStyle w:val="ListParagraph"/>
        <w:numPr>
          <w:ilvl w:val="0"/>
          <w:numId w:val="1"/>
        </w:numPr>
        <w:spacing w:after="60" w:line="264"/>
      </w:pPr>
      <w:r>
        <w:rPr>
          <w:sz w:val="22"/>
          <w:szCs w:val="22"/>
        </w:rPr>
        <w:t xml:space="preserve">Plain unlearning: the original model is warm-started and fine-tuned on the retained clients only. This is the efficient baseline; it recovers accuracy quickly but applies no constraint on the model's explanations.</w:t>
      </w:r>
    </w:p>
    <w:p>
      <w:pPr>
        <w:pStyle w:val="ListParagraph"/>
        <w:numPr>
          <w:ilvl w:val="0"/>
          <w:numId w:val="1"/>
        </w:numPr>
        <w:spacing w:after="60" w:line="264"/>
      </w:pPr>
      <w:r>
        <w:rPr>
          <w:sz w:val="22"/>
          <w:szCs w:val="22"/>
        </w:rPr>
        <w:t xml:space="preserve">EPU (proposed): the same warm-started fine-tune on the retained clients, augmented with an explanation-consistency term that penalizes drift of the model's attention maps from those of the original model, so that forgetting and accuracy recovery proceed without discarding the model's learned visual reasoning.</w:t>
      </w:r>
    </w:p>
    <w:p>
      <w:pPr>
        <w:pStyle w:val="Heading2"/>
        <w:spacing w:after="80" w:before="180"/>
      </w:pPr>
      <w:r>
        <w:rPr>
          <w:b/>
          <w:bCs/>
          <w:color w:val="1F3864"/>
          <w:sz w:val="25"/>
          <w:szCs w:val="25"/>
        </w:rPr>
        <w:t xml:space="preserve">5.4 Explanation-Preservation Model</w:t>
      </w:r>
    </w:p>
    <w:p>
      <w:pPr>
        <w:spacing w:after="120" w:line="276"/>
        <w:jc w:val="both"/>
      </w:pPr>
      <w:r>
        <w:rPr>
          <w:sz w:val="22"/>
          <w:szCs w:val="22"/>
        </w:rPr>
        <w:t xml:space="preserve">Explanations are extracted using Attention Rollout, which aggregates the self-attention across all transformer layers into a single per-image saliency map by accounting for residual connections and propagating attention from the input patches to the classification token. During EPU fine-tuning, the frozen original model produces reference maps on the retained-client data, and the model being unlearned produces current maps on the same inputs; the explanation-consistency loss is the mean-squared error between them. The total objective is:</w:t>
      </w:r>
    </w:p>
    <w:p>
      <w:pPr>
        <w:spacing w:after="120" w:before="60"/>
        <w:jc w:val="center"/>
      </w:pPr>
      <w:r>
        <w:rPr>
          <w:b/>
          <w:bCs/>
          <w:i/>
          <w:iCs/>
          <w:sz w:val="26"/>
          <w:szCs w:val="26"/>
        </w:rPr>
        <w:t xml:space="preserve">L = L_task + λ · L_exp</w:t>
      </w:r>
    </w:p>
    <w:p>
      <w:pPr>
        <w:spacing w:after="120" w:line="276"/>
        <w:jc w:val="both"/>
      </w:pPr>
      <w:r>
        <w:rPr>
          <w:sz w:val="22"/>
          <w:szCs w:val="22"/>
        </w:rPr>
        <w:t xml:space="preserve">Here L_task is the standard multi-label classification loss driving accuracy recovery on the retained clients, L_exp is the attention-map consistency term anchoring the model to the original's explanations, and λ controls the strength of the explanation constraint. Setting λ = 0 recovers plain unlearning exactly, which makes EPU a clean, controlled generalization of the baseline: any measured difference between them is attributable solely to the explanation term. The value of λ is treated as the primary design parameter and is swept across a range during evaluation.</w:t>
      </w:r>
    </w:p>
    <w:p>
      <w:pPr>
        <w:pStyle w:val="Heading2"/>
        <w:spacing w:after="80" w:before="180"/>
      </w:pPr>
      <w:r>
        <w:rPr>
          <w:b/>
          <w:bCs/>
          <w:color w:val="1F3864"/>
          <w:sz w:val="25"/>
          <w:szCs w:val="25"/>
        </w:rPr>
        <w:t xml:space="preserve">5.5 Evaluation Protocol</w:t>
      </w:r>
    </w:p>
    <w:p>
      <w:pPr>
        <w:spacing w:after="120" w:line="276"/>
        <w:jc w:val="both"/>
      </w:pPr>
      <w:r>
        <w:rPr>
          <w:sz w:val="22"/>
          <w:szCs w:val="22"/>
        </w:rPr>
        <w:t xml:space="preserve">Each unlearned model is assessed along four independent axes on a held-out test set, so that improvements on one axis cannot mask regressions on another. Explanation fidelity — the project's core contribution — is measured quantitatively, both against the original model (the definition of preservation) and against the oracle (the definition of correct forgetting).</w:t>
      </w:r>
    </w:p>
    <w:p>
      <w:pPr>
        <w:spacing w:after="160" w:before="60"/>
        <w:jc w:val="center"/>
      </w:pPr>
      <w:r>
        <w:rPr>
          <w:i/>
          <w:iCs/>
          <w:color w:val="555555"/>
          <w:sz w:val="20"/>
          <w:szCs w:val="20"/>
        </w:rPr>
        <w:t xml:space="preserve">Table 4: Evaluation Axes and Metrics</w:t>
      </w:r>
    </w:p>
    <w:tbl>
      <w:tblPr>
        <w:tblW w:type="dxa" w:w="9026"/>
        <w:tblBorders>
          <w:top w:val="single" w:color="AAB4C4" w:sz="4"/>
          <w:left w:val="single" w:color="AAB4C4" w:sz="4"/>
          <w:bottom w:val="single" w:color="AAB4C4" w:sz="4"/>
          <w:right w:val="single" w:color="AAB4C4" w:sz="4"/>
          <w:insideH w:val="single" w:color="AAB4C4" w:sz="4"/>
          <w:insideV w:val="single" w:color="AAB4C4" w:sz="4"/>
        </w:tblBorders>
      </w:tblPr>
      <w:tblGrid>
        <w:gridCol w:w="560"/>
        <w:gridCol w:w="2200"/>
        <w:gridCol w:w="3200"/>
        <w:gridCol w:w="3066"/>
      </w:tblGrid>
      <w:tr>
        <w:trPr>
          <w:tblHeader/>
        </w:trPr>
        <w:tc>
          <w:tcPr>
            <w:tcW w:type="dxa" w:w="560"/>
            <w:shd w:fill="2E5496" w:val="clear"/>
            <w:tcMar>
              <w:top w:type="dxa" w:w="40"/>
              <w:left w:type="dxa" w:w="80"/>
              <w:bottom w:type="dxa" w:w="40"/>
              <w:right w:type="dxa" w:w="80"/>
            </w:tcMar>
          </w:tcPr>
          <w:p>
            <w:pPr>
              <w:spacing w:after="0" w:line="250"/>
              <w:jc w:val="center"/>
            </w:pPr>
            <w:r>
              <w:rPr>
                <w:b/>
                <w:bCs/>
                <w:color w:val="FFFFFF"/>
                <w:sz w:val="20"/>
                <w:szCs w:val="20"/>
              </w:rPr>
              <w:t xml:space="preserve">#</w:t>
            </w:r>
          </w:p>
        </w:tc>
        <w:tc>
          <w:tcPr>
            <w:tcW w:type="dxa" w:w="2200"/>
            <w:shd w:fill="2E5496" w:val="clear"/>
            <w:tcMar>
              <w:top w:type="dxa" w:w="40"/>
              <w:left w:type="dxa" w:w="80"/>
              <w:bottom w:type="dxa" w:w="40"/>
              <w:right w:type="dxa" w:w="80"/>
            </w:tcMar>
          </w:tcPr>
          <w:p>
            <w:pPr>
              <w:spacing w:after="0" w:line="250"/>
              <w:jc w:val="center"/>
            </w:pPr>
            <w:r>
              <w:rPr>
                <w:b/>
                <w:bCs/>
                <w:color w:val="FFFFFF"/>
                <w:sz w:val="20"/>
                <w:szCs w:val="20"/>
              </w:rPr>
              <w:t xml:space="preserve">Evaluation Axis</w:t>
            </w:r>
          </w:p>
        </w:tc>
        <w:tc>
          <w:tcPr>
            <w:tcW w:type="dxa" w:w="3200"/>
            <w:shd w:fill="2E5496" w:val="clear"/>
            <w:tcMar>
              <w:top w:type="dxa" w:w="40"/>
              <w:left w:type="dxa" w:w="80"/>
              <w:bottom w:type="dxa" w:w="40"/>
              <w:right w:type="dxa" w:w="80"/>
            </w:tcMar>
          </w:tcPr>
          <w:p>
            <w:pPr>
              <w:spacing w:after="0" w:line="250"/>
              <w:jc w:val="center"/>
            </w:pPr>
            <w:r>
              <w:rPr>
                <w:b/>
                <w:bCs/>
                <w:color w:val="FFFFFF"/>
                <w:sz w:val="20"/>
                <w:szCs w:val="20"/>
              </w:rPr>
              <w:t xml:space="preserve">Metric(s)</w:t>
            </w:r>
          </w:p>
        </w:tc>
        <w:tc>
          <w:tcPr>
            <w:tcW w:type="dxa" w:w="3066"/>
            <w:shd w:fill="2E5496" w:val="clear"/>
            <w:tcMar>
              <w:top w:type="dxa" w:w="40"/>
              <w:left w:type="dxa" w:w="80"/>
              <w:bottom w:type="dxa" w:w="40"/>
              <w:right w:type="dxa" w:w="80"/>
            </w:tcMar>
          </w:tcPr>
          <w:p>
            <w:pPr>
              <w:spacing w:after="0" w:line="250"/>
              <w:jc w:val="center"/>
            </w:pPr>
            <w:r>
              <w:rPr>
                <w:b/>
                <w:bCs/>
                <w:color w:val="FFFFFF"/>
                <w:sz w:val="20"/>
                <w:szCs w:val="20"/>
              </w:rPr>
              <w:t xml:space="preserve">What It Captures</w:t>
            </w:r>
          </w:p>
        </w:tc>
      </w:tr>
      <w:tr>
        <w:tc>
          <w:tcPr>
            <w:tcW w:type="dxa" w:w="560"/>
            <w:tcMar>
              <w:top w:type="dxa" w:w="40"/>
              <w:left w:type="dxa" w:w="80"/>
              <w:bottom w:type="dxa" w:w="40"/>
              <w:right w:type="dxa" w:w="80"/>
            </w:tcMar>
          </w:tcPr>
          <w:p>
            <w:pPr>
              <w:spacing w:after="0" w:line="250"/>
              <w:jc w:val="left"/>
            </w:pPr>
            <w:r>
              <w:rPr>
                <w:b w:val="false"/>
                <w:bCs w:val="false"/>
                <w:color w:val="000000"/>
                <w:sz w:val="19"/>
                <w:szCs w:val="19"/>
              </w:rPr>
              <w:t xml:space="preserve">1</w:t>
            </w:r>
          </w:p>
        </w:tc>
        <w:tc>
          <w:tcPr>
            <w:tcW w:type="dxa" w:w="2200"/>
            <w:tcMar>
              <w:top w:type="dxa" w:w="40"/>
              <w:left w:type="dxa" w:w="80"/>
              <w:bottom w:type="dxa" w:w="40"/>
              <w:right w:type="dxa" w:w="80"/>
            </w:tcMar>
          </w:tcPr>
          <w:p>
            <w:pPr>
              <w:spacing w:after="0" w:line="250"/>
              <w:jc w:val="left"/>
            </w:pPr>
            <w:r>
              <w:rPr>
                <w:b w:val="false"/>
                <w:bCs w:val="false"/>
                <w:color w:val="000000"/>
                <w:sz w:val="19"/>
                <w:szCs w:val="19"/>
              </w:rPr>
              <w:t xml:space="preserve">Diagnostic utility</w:t>
            </w:r>
          </w:p>
        </w:tc>
        <w:tc>
          <w:tcPr>
            <w:tcW w:type="dxa" w:w="3200"/>
            <w:tcMar>
              <w:top w:type="dxa" w:w="40"/>
              <w:left w:type="dxa" w:w="80"/>
              <w:bottom w:type="dxa" w:w="40"/>
              <w:right w:type="dxa" w:w="80"/>
            </w:tcMar>
          </w:tcPr>
          <w:p>
            <w:pPr>
              <w:spacing w:after="0" w:line="250"/>
              <w:jc w:val="left"/>
            </w:pPr>
            <w:r>
              <w:rPr>
                <w:b w:val="false"/>
                <w:bCs w:val="false"/>
                <w:color w:val="000000"/>
                <w:sz w:val="19"/>
                <w:szCs w:val="19"/>
              </w:rPr>
              <w:t xml:space="preserve">Macro / micro AUROC, mAP, F1, precision, recall</w:t>
            </w:r>
          </w:p>
        </w:tc>
        <w:tc>
          <w:tcPr>
            <w:tcW w:type="dxa" w:w="3066"/>
            <w:tcMar>
              <w:top w:type="dxa" w:w="40"/>
              <w:left w:type="dxa" w:w="80"/>
              <w:bottom w:type="dxa" w:w="40"/>
              <w:right w:type="dxa" w:w="80"/>
            </w:tcMar>
          </w:tcPr>
          <w:p>
            <w:pPr>
              <w:spacing w:after="0" w:line="250"/>
              <w:jc w:val="left"/>
            </w:pPr>
            <w:r>
              <w:rPr>
                <w:b w:val="false"/>
                <w:bCs w:val="false"/>
                <w:color w:val="000000"/>
                <w:sz w:val="19"/>
                <w:szCs w:val="19"/>
              </w:rPr>
              <w:t xml:space="preserve">Multi-label classification quality after unlearning</w:t>
            </w:r>
          </w:p>
        </w:tc>
      </w:tr>
      <w:tr>
        <w:tc>
          <w:tcPr>
            <w:tcW w:type="dxa" w:w="56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2</w:t>
            </w:r>
          </w:p>
        </w:tc>
        <w:tc>
          <w:tcPr>
            <w:tcW w:type="dxa" w:w="22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Forgetting effectiveness</w:t>
            </w:r>
          </w:p>
        </w:tc>
        <w:tc>
          <w:tcPr>
            <w:tcW w:type="dxa" w:w="32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Membership-inference AUC, forget-loss, distance-to-oracle</w:t>
            </w:r>
          </w:p>
        </w:tc>
        <w:tc>
          <w:tcPr>
            <w:tcW w:type="dxa" w:w="306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Whether the forgotten client's influence is removed</w:t>
            </w:r>
          </w:p>
        </w:tc>
      </w:tr>
      <w:tr>
        <w:tc>
          <w:tcPr>
            <w:tcW w:type="dxa" w:w="560"/>
            <w:tcMar>
              <w:top w:type="dxa" w:w="40"/>
              <w:left w:type="dxa" w:w="80"/>
              <w:bottom w:type="dxa" w:w="40"/>
              <w:right w:type="dxa" w:w="80"/>
            </w:tcMar>
          </w:tcPr>
          <w:p>
            <w:pPr>
              <w:spacing w:after="0" w:line="250"/>
              <w:jc w:val="left"/>
            </w:pPr>
            <w:r>
              <w:rPr>
                <w:b w:val="false"/>
                <w:bCs w:val="false"/>
                <w:color w:val="000000"/>
                <w:sz w:val="19"/>
                <w:szCs w:val="19"/>
              </w:rPr>
              <w:t xml:space="preserve">3</w:t>
            </w:r>
          </w:p>
        </w:tc>
        <w:tc>
          <w:tcPr>
            <w:tcW w:type="dxa" w:w="2200"/>
            <w:tcMar>
              <w:top w:type="dxa" w:w="40"/>
              <w:left w:type="dxa" w:w="80"/>
              <w:bottom w:type="dxa" w:w="40"/>
              <w:right w:type="dxa" w:w="80"/>
            </w:tcMar>
          </w:tcPr>
          <w:p>
            <w:pPr>
              <w:spacing w:after="0" w:line="250"/>
              <w:jc w:val="left"/>
            </w:pPr>
            <w:r>
              <w:rPr>
                <w:b w:val="false"/>
                <w:bCs w:val="false"/>
                <w:color w:val="000000"/>
                <w:sz w:val="19"/>
                <w:szCs w:val="19"/>
              </w:rPr>
              <w:t xml:space="preserve">Explanation fidelity</w:t>
            </w:r>
          </w:p>
        </w:tc>
        <w:tc>
          <w:tcPr>
            <w:tcW w:type="dxa" w:w="3200"/>
            <w:tcMar>
              <w:top w:type="dxa" w:w="40"/>
              <w:left w:type="dxa" w:w="80"/>
              <w:bottom w:type="dxa" w:w="40"/>
              <w:right w:type="dxa" w:w="80"/>
            </w:tcMar>
          </w:tcPr>
          <w:p>
            <w:pPr>
              <w:spacing w:after="0" w:line="250"/>
              <w:jc w:val="left"/>
            </w:pPr>
            <w:r>
              <w:rPr>
                <w:b w:val="false"/>
                <w:bCs w:val="false"/>
                <w:color w:val="000000"/>
                <w:sz w:val="19"/>
                <w:szCs w:val="19"/>
              </w:rPr>
              <w:t xml:space="preserve">Cosine, Pearson, IoU, MSE of attention maps</w:t>
            </w:r>
          </w:p>
        </w:tc>
        <w:tc>
          <w:tcPr>
            <w:tcW w:type="dxa" w:w="3066"/>
            <w:tcMar>
              <w:top w:type="dxa" w:w="40"/>
              <w:left w:type="dxa" w:w="80"/>
              <w:bottom w:type="dxa" w:w="40"/>
              <w:right w:type="dxa" w:w="80"/>
            </w:tcMar>
          </w:tcPr>
          <w:p>
            <w:pPr>
              <w:spacing w:after="0" w:line="250"/>
              <w:jc w:val="left"/>
            </w:pPr>
            <w:r>
              <w:rPr>
                <w:b w:val="false"/>
                <w:bCs w:val="false"/>
                <w:color w:val="000000"/>
                <w:sz w:val="19"/>
                <w:szCs w:val="19"/>
              </w:rPr>
              <w:t xml:space="preserve">Whether the model's visual reasoning is preserved</w:t>
            </w:r>
          </w:p>
        </w:tc>
      </w:tr>
      <w:tr>
        <w:tc>
          <w:tcPr>
            <w:tcW w:type="dxa" w:w="56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4</w:t>
            </w:r>
          </w:p>
        </w:tc>
        <w:tc>
          <w:tcPr>
            <w:tcW w:type="dxa" w:w="22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Efficiency</w:t>
            </w:r>
          </w:p>
        </w:tc>
        <w:tc>
          <w:tcPr>
            <w:tcW w:type="dxa" w:w="32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Wall-clock time, rounds, speedup vs oracle</w:t>
            </w:r>
          </w:p>
        </w:tc>
        <w:tc>
          <w:tcPr>
            <w:tcW w:type="dxa" w:w="306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Practical cost of unlearning relative to full retrain</w:t>
            </w:r>
          </w:p>
        </w:tc>
      </w:tr>
    </w:tbl>
    <w:p>
      <w:pPr>
        <w:spacing w:after="120" w:line="276"/>
        <w:jc w:val="both"/>
      </w:pPr>
      <w:r>
        <w:rPr>
          <w:sz w:val="22"/>
          <w:szCs w:val="22"/>
        </w:rPr>
        <w:t xml:space="preserve">The complete protocol is repeated across three random seeds (42, 43, 44), and all metrics are reported as mean ± standard deviation. A pre-registered success bar is fixed in advance: EPU must improve explanation fidelity to the original model over the plain baseline by a margin exceeding roughly twice the across-seed standard deviation, under a paired statistical test, while keeping diagnostic performance within a small tolerance of the baseline — so that any claimed benefit is both statistically meaningful and honestly reported.</w:t>
      </w:r>
    </w:p>
    <w:p>
      <w:pPr>
        <w:pStyle w:val="Heading2"/>
        <w:spacing w:after="80" w:before="180"/>
      </w:pPr>
      <w:r>
        <w:rPr>
          <w:b/>
          <w:bCs/>
          <w:color w:val="1F3864"/>
          <w:sz w:val="25"/>
          <w:szCs w:val="25"/>
        </w:rPr>
        <w:t xml:space="preserve">5.6 Technology Stack</w:t>
      </w:r>
    </w:p>
    <w:p>
      <w:pPr>
        <w:spacing w:after="160" w:before="60"/>
        <w:jc w:val="center"/>
      </w:pPr>
      <w:r>
        <w:rPr>
          <w:i/>
          <w:iCs/>
          <w:color w:val="555555"/>
          <w:sz w:val="20"/>
          <w:szCs w:val="20"/>
        </w:rPr>
        <w:t xml:space="preserve">Table 5: Technology Stack</w:t>
      </w:r>
    </w:p>
    <w:tbl>
      <w:tblPr>
        <w:tblW w:type="dxa" w:w="9026"/>
        <w:tblBorders>
          <w:top w:val="single" w:color="AAB4C4" w:sz="4"/>
          <w:left w:val="single" w:color="AAB4C4" w:sz="4"/>
          <w:bottom w:val="single" w:color="AAB4C4" w:sz="4"/>
          <w:right w:val="single" w:color="AAB4C4" w:sz="4"/>
          <w:insideH w:val="single" w:color="AAB4C4" w:sz="4"/>
          <w:insideV w:val="single" w:color="AAB4C4" w:sz="4"/>
        </w:tblBorders>
      </w:tblPr>
      <w:tblGrid>
        <w:gridCol w:w="2600"/>
        <w:gridCol w:w="3200"/>
        <w:gridCol w:w="3226"/>
      </w:tblGrid>
      <w:tr>
        <w:trPr>
          <w:tblHeader/>
        </w:trPr>
        <w:tc>
          <w:tcPr>
            <w:tcW w:type="dxa" w:w="2600"/>
            <w:shd w:fill="2E5496" w:val="clear"/>
            <w:tcMar>
              <w:top w:type="dxa" w:w="40"/>
              <w:left w:type="dxa" w:w="80"/>
              <w:bottom w:type="dxa" w:w="40"/>
              <w:right w:type="dxa" w:w="80"/>
            </w:tcMar>
          </w:tcPr>
          <w:p>
            <w:pPr>
              <w:spacing w:after="0" w:line="250"/>
              <w:jc w:val="center"/>
            </w:pPr>
            <w:r>
              <w:rPr>
                <w:b/>
                <w:bCs/>
                <w:color w:val="FFFFFF"/>
                <w:sz w:val="20"/>
                <w:szCs w:val="20"/>
              </w:rPr>
              <w:t xml:space="preserve">Component</w:t>
            </w:r>
          </w:p>
        </w:tc>
        <w:tc>
          <w:tcPr>
            <w:tcW w:type="dxa" w:w="3200"/>
            <w:shd w:fill="2E5496" w:val="clear"/>
            <w:tcMar>
              <w:top w:type="dxa" w:w="40"/>
              <w:left w:type="dxa" w:w="80"/>
              <w:bottom w:type="dxa" w:w="40"/>
              <w:right w:type="dxa" w:w="80"/>
            </w:tcMar>
          </w:tcPr>
          <w:p>
            <w:pPr>
              <w:spacing w:after="0" w:line="250"/>
              <w:jc w:val="center"/>
            </w:pPr>
            <w:r>
              <w:rPr>
                <w:b/>
                <w:bCs/>
                <w:color w:val="FFFFFF"/>
                <w:sz w:val="20"/>
                <w:szCs w:val="20"/>
              </w:rPr>
              <w:t xml:space="preserve">Specification</w:t>
            </w:r>
          </w:p>
        </w:tc>
        <w:tc>
          <w:tcPr>
            <w:tcW w:type="dxa" w:w="3226"/>
            <w:shd w:fill="2E5496" w:val="clear"/>
            <w:tcMar>
              <w:top w:type="dxa" w:w="40"/>
              <w:left w:type="dxa" w:w="80"/>
              <w:bottom w:type="dxa" w:w="40"/>
              <w:right w:type="dxa" w:w="80"/>
            </w:tcMar>
          </w:tcPr>
          <w:p>
            <w:pPr>
              <w:spacing w:after="0" w:line="250"/>
              <w:jc w:val="center"/>
            </w:pPr>
            <w:r>
              <w:rPr>
                <w:b/>
                <w:bCs/>
                <w:color w:val="FFFFFF"/>
                <w:sz w:val="20"/>
                <w:szCs w:val="20"/>
              </w:rPr>
              <w:t xml:space="preserve">Role</w:t>
            </w:r>
          </w:p>
        </w:tc>
      </w:tr>
      <w:tr>
        <w:tc>
          <w:tcPr>
            <w:tcW w:type="dxa" w:w="2600"/>
            <w:tcMar>
              <w:top w:type="dxa" w:w="40"/>
              <w:left w:type="dxa" w:w="80"/>
              <w:bottom w:type="dxa" w:w="40"/>
              <w:right w:type="dxa" w:w="80"/>
            </w:tcMar>
          </w:tcPr>
          <w:p>
            <w:pPr>
              <w:spacing w:after="0" w:line="250"/>
              <w:jc w:val="left"/>
            </w:pPr>
            <w:r>
              <w:rPr>
                <w:b w:val="false"/>
                <w:bCs w:val="false"/>
                <w:color w:val="000000"/>
                <w:sz w:val="19"/>
                <w:szCs w:val="19"/>
              </w:rPr>
              <w:t xml:space="preserve">Python</w:t>
            </w:r>
          </w:p>
        </w:tc>
        <w:tc>
          <w:tcPr>
            <w:tcW w:type="dxa" w:w="3200"/>
            <w:tcMar>
              <w:top w:type="dxa" w:w="40"/>
              <w:left w:type="dxa" w:w="80"/>
              <w:bottom w:type="dxa" w:w="40"/>
              <w:right w:type="dxa" w:w="80"/>
            </w:tcMar>
          </w:tcPr>
          <w:p>
            <w:pPr>
              <w:spacing w:after="0" w:line="250"/>
              <w:jc w:val="left"/>
            </w:pPr>
            <w:r>
              <w:rPr>
                <w:b w:val="false"/>
                <w:bCs w:val="false"/>
                <w:color w:val="000000"/>
                <w:sz w:val="19"/>
                <w:szCs w:val="19"/>
              </w:rPr>
              <w:t xml:space="preserve">Runtime</w:t>
            </w:r>
          </w:p>
        </w:tc>
        <w:tc>
          <w:tcPr>
            <w:tcW w:type="dxa" w:w="3226"/>
            <w:tcMar>
              <w:top w:type="dxa" w:w="40"/>
              <w:left w:type="dxa" w:w="80"/>
              <w:bottom w:type="dxa" w:w="40"/>
              <w:right w:type="dxa" w:w="80"/>
            </w:tcMar>
          </w:tcPr>
          <w:p>
            <w:pPr>
              <w:spacing w:after="0" w:line="250"/>
              <w:jc w:val="left"/>
            </w:pPr>
            <w:r>
              <w:rPr>
                <w:b w:val="false"/>
                <w:bCs w:val="false"/>
                <w:color w:val="000000"/>
                <w:sz w:val="19"/>
                <w:szCs w:val="19"/>
              </w:rPr>
              <w:t xml:space="preserve">Reference implementation</w:t>
            </w:r>
          </w:p>
        </w:tc>
      </w:tr>
      <w:tr>
        <w:tc>
          <w:tcPr>
            <w:tcW w:type="dxa" w:w="26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PyTorch</w:t>
            </w:r>
          </w:p>
        </w:tc>
        <w:tc>
          <w:tcPr>
            <w:tcW w:type="dxa" w:w="32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Deep-learning framework</w:t>
            </w:r>
          </w:p>
        </w:tc>
        <w:tc>
          <w:tcPr>
            <w:tcW w:type="dxa" w:w="322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Model definition and training</w:t>
            </w:r>
          </w:p>
        </w:tc>
      </w:tr>
      <w:tr>
        <w:tc>
          <w:tcPr>
            <w:tcW w:type="dxa" w:w="2600"/>
            <w:tcMar>
              <w:top w:type="dxa" w:w="40"/>
              <w:left w:type="dxa" w:w="80"/>
              <w:bottom w:type="dxa" w:w="40"/>
              <w:right w:type="dxa" w:w="80"/>
            </w:tcMar>
          </w:tcPr>
          <w:p>
            <w:pPr>
              <w:spacing w:after="0" w:line="250"/>
              <w:jc w:val="left"/>
            </w:pPr>
            <w:r>
              <w:rPr>
                <w:b w:val="false"/>
                <w:bCs w:val="false"/>
                <w:color w:val="000000"/>
                <w:sz w:val="19"/>
                <w:szCs w:val="19"/>
              </w:rPr>
              <w:t xml:space="preserve">timm</w:t>
            </w:r>
          </w:p>
        </w:tc>
        <w:tc>
          <w:tcPr>
            <w:tcW w:type="dxa" w:w="3200"/>
            <w:tcMar>
              <w:top w:type="dxa" w:w="40"/>
              <w:left w:type="dxa" w:w="80"/>
              <w:bottom w:type="dxa" w:w="40"/>
              <w:right w:type="dxa" w:w="80"/>
            </w:tcMar>
          </w:tcPr>
          <w:p>
            <w:pPr>
              <w:spacing w:after="0" w:line="250"/>
              <w:jc w:val="left"/>
            </w:pPr>
            <w:r>
              <w:rPr>
                <w:b w:val="false"/>
                <w:bCs w:val="false"/>
                <w:color w:val="000000"/>
                <w:sz w:val="19"/>
                <w:szCs w:val="19"/>
              </w:rPr>
              <w:t xml:space="preserve">Model library</w:t>
            </w:r>
          </w:p>
        </w:tc>
        <w:tc>
          <w:tcPr>
            <w:tcW w:type="dxa" w:w="3226"/>
            <w:tcMar>
              <w:top w:type="dxa" w:w="40"/>
              <w:left w:type="dxa" w:w="80"/>
              <w:bottom w:type="dxa" w:w="40"/>
              <w:right w:type="dxa" w:w="80"/>
            </w:tcMar>
          </w:tcPr>
          <w:p>
            <w:pPr>
              <w:spacing w:after="0" w:line="250"/>
              <w:jc w:val="left"/>
            </w:pPr>
            <w:r>
              <w:rPr>
                <w:b w:val="false"/>
                <w:bCs w:val="false"/>
                <w:color w:val="000000"/>
                <w:sz w:val="19"/>
                <w:szCs w:val="19"/>
              </w:rPr>
              <w:t xml:space="preserve">DeiT-Small backbone (deit_small_patch16_224)</w:t>
            </w:r>
          </w:p>
        </w:tc>
      </w:tr>
      <w:tr>
        <w:tc>
          <w:tcPr>
            <w:tcW w:type="dxa" w:w="26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torchvision</w:t>
            </w:r>
          </w:p>
        </w:tc>
        <w:tc>
          <w:tcPr>
            <w:tcW w:type="dxa" w:w="32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Image utilities</w:t>
            </w:r>
          </w:p>
        </w:tc>
        <w:tc>
          <w:tcPr>
            <w:tcW w:type="dxa" w:w="322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Transforms and image handling</w:t>
            </w:r>
          </w:p>
        </w:tc>
      </w:tr>
      <w:tr>
        <w:tc>
          <w:tcPr>
            <w:tcW w:type="dxa" w:w="2600"/>
            <w:tcMar>
              <w:top w:type="dxa" w:w="40"/>
              <w:left w:type="dxa" w:w="80"/>
              <w:bottom w:type="dxa" w:w="40"/>
              <w:right w:type="dxa" w:w="80"/>
            </w:tcMar>
          </w:tcPr>
          <w:p>
            <w:pPr>
              <w:spacing w:after="0" w:line="250"/>
              <w:jc w:val="left"/>
            </w:pPr>
            <w:r>
              <w:rPr>
                <w:b w:val="false"/>
                <w:bCs w:val="false"/>
                <w:color w:val="000000"/>
                <w:sz w:val="19"/>
                <w:szCs w:val="19"/>
              </w:rPr>
              <w:t xml:space="preserve">NumPy / pandas</w:t>
            </w:r>
          </w:p>
        </w:tc>
        <w:tc>
          <w:tcPr>
            <w:tcW w:type="dxa" w:w="3200"/>
            <w:tcMar>
              <w:top w:type="dxa" w:w="40"/>
              <w:left w:type="dxa" w:w="80"/>
              <w:bottom w:type="dxa" w:w="40"/>
              <w:right w:type="dxa" w:w="80"/>
            </w:tcMar>
          </w:tcPr>
          <w:p>
            <w:pPr>
              <w:spacing w:after="0" w:line="250"/>
              <w:jc w:val="left"/>
            </w:pPr>
            <w:r>
              <w:rPr>
                <w:b w:val="false"/>
                <w:bCs w:val="false"/>
                <w:color w:val="000000"/>
                <w:sz w:val="19"/>
                <w:szCs w:val="19"/>
              </w:rPr>
              <w:t xml:space="preserve">Numerical / tabular</w:t>
            </w:r>
          </w:p>
        </w:tc>
        <w:tc>
          <w:tcPr>
            <w:tcW w:type="dxa" w:w="3226"/>
            <w:tcMar>
              <w:top w:type="dxa" w:w="40"/>
              <w:left w:type="dxa" w:w="80"/>
              <w:bottom w:type="dxa" w:w="40"/>
              <w:right w:type="dxa" w:w="80"/>
            </w:tcMar>
          </w:tcPr>
          <w:p>
            <w:pPr>
              <w:spacing w:after="0" w:line="250"/>
              <w:jc w:val="left"/>
            </w:pPr>
            <w:r>
              <w:rPr>
                <w:b w:val="false"/>
                <w:bCs w:val="false"/>
                <w:color w:val="000000"/>
                <w:sz w:val="19"/>
                <w:szCs w:val="19"/>
              </w:rPr>
              <w:t xml:space="preserve">Metric computation and aggregation</w:t>
            </w:r>
          </w:p>
        </w:tc>
      </w:tr>
      <w:tr>
        <w:tc>
          <w:tcPr>
            <w:tcW w:type="dxa" w:w="26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scikit-learn</w:t>
            </w:r>
          </w:p>
        </w:tc>
        <w:tc>
          <w:tcPr>
            <w:tcW w:type="dxa" w:w="32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ML metrics</w:t>
            </w:r>
          </w:p>
        </w:tc>
        <w:tc>
          <w:tcPr>
            <w:tcW w:type="dxa" w:w="322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AUROC, average precision, MIA scoring</w:t>
            </w:r>
          </w:p>
        </w:tc>
      </w:tr>
      <w:tr>
        <w:tc>
          <w:tcPr>
            <w:tcW w:type="dxa" w:w="2600"/>
            <w:tcMar>
              <w:top w:type="dxa" w:w="40"/>
              <w:left w:type="dxa" w:w="80"/>
              <w:bottom w:type="dxa" w:w="40"/>
              <w:right w:type="dxa" w:w="80"/>
            </w:tcMar>
          </w:tcPr>
          <w:p>
            <w:pPr>
              <w:spacing w:after="0" w:line="250"/>
              <w:jc w:val="left"/>
            </w:pPr>
            <w:r>
              <w:rPr>
                <w:b w:val="false"/>
                <w:bCs w:val="false"/>
                <w:color w:val="000000"/>
                <w:sz w:val="19"/>
                <w:szCs w:val="19"/>
              </w:rPr>
              <w:t xml:space="preserve">DeiT-Small</w:t>
            </w:r>
          </w:p>
        </w:tc>
        <w:tc>
          <w:tcPr>
            <w:tcW w:type="dxa" w:w="3200"/>
            <w:tcMar>
              <w:top w:type="dxa" w:w="40"/>
              <w:left w:type="dxa" w:w="80"/>
              <w:bottom w:type="dxa" w:w="40"/>
              <w:right w:type="dxa" w:w="80"/>
            </w:tcMar>
          </w:tcPr>
          <w:p>
            <w:pPr>
              <w:spacing w:after="0" w:line="250"/>
              <w:jc w:val="left"/>
            </w:pPr>
            <w:r>
              <w:rPr>
                <w:b w:val="false"/>
                <w:bCs w:val="false"/>
                <w:color w:val="000000"/>
                <w:sz w:val="19"/>
                <w:szCs w:val="19"/>
              </w:rPr>
              <w:t xml:space="preserve">ImageNet-pretrained ViT</w:t>
            </w:r>
          </w:p>
        </w:tc>
        <w:tc>
          <w:tcPr>
            <w:tcW w:type="dxa" w:w="3226"/>
            <w:tcMar>
              <w:top w:type="dxa" w:w="40"/>
              <w:left w:type="dxa" w:w="80"/>
              <w:bottom w:type="dxa" w:w="40"/>
              <w:right w:type="dxa" w:w="80"/>
            </w:tcMar>
          </w:tcPr>
          <w:p>
            <w:pPr>
              <w:spacing w:after="0" w:line="250"/>
              <w:jc w:val="left"/>
            </w:pPr>
            <w:r>
              <w:rPr>
                <w:b w:val="false"/>
                <w:bCs w:val="false"/>
                <w:color w:val="000000"/>
                <w:sz w:val="19"/>
                <w:szCs w:val="19"/>
              </w:rPr>
              <w:t xml:space="preserve">Chest X-ray classifier backbone</w:t>
            </w:r>
          </w:p>
        </w:tc>
      </w:tr>
      <w:tr>
        <w:tc>
          <w:tcPr>
            <w:tcW w:type="dxa" w:w="26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Adam + BCEWithLogits (pos-weight)</w:t>
            </w:r>
          </w:p>
        </w:tc>
        <w:tc>
          <w:tcPr>
            <w:tcW w:type="dxa" w:w="32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Optimizer / loss</w:t>
            </w:r>
          </w:p>
        </w:tc>
        <w:tc>
          <w:tcPr>
            <w:tcW w:type="dxa" w:w="322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Imbalance-aware local training</w:t>
            </w:r>
          </w:p>
        </w:tc>
      </w:tr>
      <w:tr>
        <w:tc>
          <w:tcPr>
            <w:tcW w:type="dxa" w:w="2600"/>
            <w:tcMar>
              <w:top w:type="dxa" w:w="40"/>
              <w:left w:type="dxa" w:w="80"/>
              <w:bottom w:type="dxa" w:w="40"/>
              <w:right w:type="dxa" w:w="80"/>
            </w:tcMar>
          </w:tcPr>
          <w:p>
            <w:pPr>
              <w:spacing w:after="0" w:line="250"/>
              <w:jc w:val="left"/>
            </w:pPr>
            <w:r>
              <w:rPr>
                <w:b w:val="false"/>
                <w:bCs w:val="false"/>
                <w:color w:val="000000"/>
                <w:sz w:val="19"/>
                <w:szCs w:val="19"/>
              </w:rPr>
              <w:t xml:space="preserve">Attention Rollout</w:t>
            </w:r>
          </w:p>
        </w:tc>
        <w:tc>
          <w:tcPr>
            <w:tcW w:type="dxa" w:w="3200"/>
            <w:tcMar>
              <w:top w:type="dxa" w:w="40"/>
              <w:left w:type="dxa" w:w="80"/>
              <w:bottom w:type="dxa" w:w="40"/>
              <w:right w:type="dxa" w:w="80"/>
            </w:tcMar>
          </w:tcPr>
          <w:p>
            <w:pPr>
              <w:spacing w:after="0" w:line="250"/>
              <w:jc w:val="left"/>
            </w:pPr>
            <w:r>
              <w:rPr>
                <w:b w:val="false"/>
                <w:bCs w:val="false"/>
                <w:color w:val="000000"/>
                <w:sz w:val="19"/>
                <w:szCs w:val="19"/>
              </w:rPr>
              <w:t xml:space="preserve">Abnar &amp; Zuidema</w:t>
            </w:r>
          </w:p>
        </w:tc>
        <w:tc>
          <w:tcPr>
            <w:tcW w:type="dxa" w:w="3226"/>
            <w:tcMar>
              <w:top w:type="dxa" w:w="40"/>
              <w:left w:type="dxa" w:w="80"/>
              <w:bottom w:type="dxa" w:w="40"/>
              <w:right w:type="dxa" w:w="80"/>
            </w:tcMar>
          </w:tcPr>
          <w:p>
            <w:pPr>
              <w:spacing w:after="0" w:line="250"/>
              <w:jc w:val="left"/>
            </w:pPr>
            <w:r>
              <w:rPr>
                <w:b w:val="false"/>
                <w:bCs w:val="false"/>
                <w:color w:val="000000"/>
                <w:sz w:val="19"/>
                <w:szCs w:val="19"/>
              </w:rPr>
              <w:t xml:space="preserve">Explanation extraction for the EPU loss</w:t>
            </w:r>
          </w:p>
        </w:tc>
      </w:tr>
      <w:tr>
        <w:tc>
          <w:tcPr>
            <w:tcW w:type="dxa" w:w="26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NIH ChestX-ray14</w:t>
            </w:r>
          </w:p>
        </w:tc>
        <w:tc>
          <w:tcPr>
            <w:tcW w:type="dxa" w:w="32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112,120 images, 14 findings</w:t>
            </w:r>
          </w:p>
        </w:tc>
        <w:tc>
          <w:tcPr>
            <w:tcW w:type="dxa" w:w="322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Dataset</w:t>
            </w:r>
          </w:p>
        </w:tc>
      </w:tr>
      <w:tr>
        <w:tc>
          <w:tcPr>
            <w:tcW w:type="dxa" w:w="2600"/>
            <w:tcMar>
              <w:top w:type="dxa" w:w="40"/>
              <w:left w:type="dxa" w:w="80"/>
              <w:bottom w:type="dxa" w:w="40"/>
              <w:right w:type="dxa" w:w="80"/>
            </w:tcMar>
          </w:tcPr>
          <w:p>
            <w:pPr>
              <w:spacing w:after="0" w:line="250"/>
              <w:jc w:val="left"/>
            </w:pPr>
            <w:r>
              <w:rPr>
                <w:b w:val="false"/>
                <w:bCs w:val="false"/>
                <w:color w:val="000000"/>
                <w:sz w:val="19"/>
                <w:szCs w:val="19"/>
              </w:rPr>
              <w:t xml:space="preserve">AWS EC2 (NVIDIA T4)</w:t>
            </w:r>
          </w:p>
        </w:tc>
        <w:tc>
          <w:tcPr>
            <w:tcW w:type="dxa" w:w="3200"/>
            <w:tcMar>
              <w:top w:type="dxa" w:w="40"/>
              <w:left w:type="dxa" w:w="80"/>
              <w:bottom w:type="dxa" w:w="40"/>
              <w:right w:type="dxa" w:w="80"/>
            </w:tcMar>
          </w:tcPr>
          <w:p>
            <w:pPr>
              <w:spacing w:after="0" w:line="250"/>
              <w:jc w:val="left"/>
            </w:pPr>
            <w:r>
              <w:rPr>
                <w:b w:val="false"/>
                <w:bCs w:val="false"/>
                <w:color w:val="000000"/>
                <w:sz w:val="19"/>
                <w:szCs w:val="19"/>
              </w:rPr>
              <w:t xml:space="preserve">GPU compute</w:t>
            </w:r>
          </w:p>
        </w:tc>
        <w:tc>
          <w:tcPr>
            <w:tcW w:type="dxa" w:w="3226"/>
            <w:tcMar>
              <w:top w:type="dxa" w:w="40"/>
              <w:left w:type="dxa" w:w="80"/>
              <w:bottom w:type="dxa" w:w="40"/>
              <w:right w:type="dxa" w:w="80"/>
            </w:tcMar>
          </w:tcPr>
          <w:p>
            <w:pPr>
              <w:spacing w:after="0" w:line="250"/>
              <w:jc w:val="left"/>
            </w:pPr>
            <w:r>
              <w:rPr>
                <w:b w:val="false"/>
                <w:bCs w:val="false"/>
                <w:color w:val="000000"/>
                <w:sz w:val="19"/>
                <w:szCs w:val="19"/>
              </w:rPr>
              <w:t xml:space="preserve">Federated simulation and unlearning runs</w:t>
            </w:r>
          </w:p>
        </w:tc>
      </w:tr>
    </w:tbl>
    <w:p>
      <w:pPr>
        <w:pStyle w:val="Heading1"/>
        <w:spacing w:after="120" w:before="260"/>
      </w:pPr>
      <w:r>
        <w:rPr>
          <w:b/>
          <w:bCs/>
          <w:color w:val="1F3864"/>
          <w:sz w:val="30"/>
          <w:szCs w:val="30"/>
        </w:rPr>
        <w:t xml:space="preserve">6. Experimental Setup and Evaluation Plan</w:t>
      </w:r>
    </w:p>
    <w:p>
      <w:pPr>
        <w:spacing w:after="120" w:line="276"/>
        <w:jc w:val="both"/>
      </w:pPr>
      <w:r>
        <w:rPr>
          <w:i/>
          <w:iCs/>
          <w:sz w:val="22"/>
          <w:szCs w:val="22"/>
        </w:rPr>
        <w:t xml:space="preserve">The quantitative results of this study are produced by a single multi-seed run that trains the original model and executes all three unlearning procedures end to end. That run is presently executing on GPU infrastructure. In keeping with sound research practice, no measured numbers are reported here; this section instead specifies the exact experimental configuration and the analysis that will populate the results section once the run completes, so that the study is fully pre-registered and the eventual results are interpretable without ambiguity.</w:t>
      </w:r>
    </w:p>
    <w:p>
      <w:pPr>
        <w:pStyle w:val="Heading2"/>
        <w:spacing w:after="80" w:before="180"/>
      </w:pPr>
      <w:r>
        <w:rPr>
          <w:b/>
          <w:bCs/>
          <w:color w:val="1F3864"/>
          <w:sz w:val="25"/>
          <w:szCs w:val="25"/>
        </w:rPr>
        <w:t xml:space="preserve">6.1 Dataset and Partitioning</w:t>
      </w:r>
    </w:p>
    <w:p>
      <w:pPr>
        <w:spacing w:after="120" w:line="276"/>
        <w:jc w:val="both"/>
      </w:pPr>
      <w:r>
        <w:rPr>
          <w:sz w:val="22"/>
          <w:szCs w:val="22"/>
        </w:rPr>
        <w:t xml:space="preserve">Experiments use the NIH ChestX-ray14 dataset (112,120 frontal chest radiographs labeled for fourteen thoracic findings). Images are converted to single-channel grayscale and resized to 224×224. The data is split into a patient-disjoint training and held-out test partition to prevent leakage, and the training partition is distributed across five clients using a Dirichlet(α = 0.5) scheme to produce a realistic non-IID federation. One client is designated as the forget-client for the unlearning experiments.</w:t>
      </w:r>
    </w:p>
    <w:p>
      <w:pPr>
        <w:pStyle w:val="Heading2"/>
        <w:spacing w:after="80" w:before="180"/>
      </w:pPr>
      <w:r>
        <w:rPr>
          <w:b/>
          <w:bCs/>
          <w:color w:val="1F3864"/>
          <w:sz w:val="25"/>
          <w:szCs w:val="25"/>
        </w:rPr>
        <w:t xml:space="preserve">6.2 Training and Unlearning Configuration</w:t>
      </w:r>
    </w:p>
    <w:p>
      <w:pPr>
        <w:spacing w:after="160" w:before="60"/>
        <w:jc w:val="center"/>
      </w:pPr>
      <w:r>
        <w:rPr>
          <w:i/>
          <w:iCs/>
          <w:color w:val="555555"/>
          <w:sz w:val="20"/>
          <w:szCs w:val="20"/>
        </w:rPr>
        <w:t xml:space="preserve">Table 6: Experimental Configuration</w:t>
      </w:r>
    </w:p>
    <w:tbl>
      <w:tblPr>
        <w:tblW w:type="dxa" w:w="9026"/>
        <w:tblBorders>
          <w:top w:val="single" w:color="AAB4C4" w:sz="4"/>
          <w:left w:val="single" w:color="AAB4C4" w:sz="4"/>
          <w:bottom w:val="single" w:color="AAB4C4" w:sz="4"/>
          <w:right w:val="single" w:color="AAB4C4" w:sz="4"/>
          <w:insideH w:val="single" w:color="AAB4C4" w:sz="4"/>
          <w:insideV w:val="single" w:color="AAB4C4" w:sz="4"/>
        </w:tblBorders>
      </w:tblPr>
      <w:tblGrid>
        <w:gridCol w:w="3400"/>
        <w:gridCol w:w="5626"/>
      </w:tblGrid>
      <w:tr>
        <w:trPr>
          <w:tblHeader/>
        </w:trPr>
        <w:tc>
          <w:tcPr>
            <w:tcW w:type="dxa" w:w="3400"/>
            <w:shd w:fill="2E5496" w:val="clear"/>
            <w:tcMar>
              <w:top w:type="dxa" w:w="40"/>
              <w:left w:type="dxa" w:w="80"/>
              <w:bottom w:type="dxa" w:w="40"/>
              <w:right w:type="dxa" w:w="80"/>
            </w:tcMar>
          </w:tcPr>
          <w:p>
            <w:pPr>
              <w:spacing w:after="0" w:line="250"/>
              <w:jc w:val="center"/>
            </w:pPr>
            <w:r>
              <w:rPr>
                <w:b/>
                <w:bCs/>
                <w:color w:val="FFFFFF"/>
                <w:sz w:val="20"/>
                <w:szCs w:val="20"/>
              </w:rPr>
              <w:t xml:space="preserve">Setting</w:t>
            </w:r>
          </w:p>
        </w:tc>
        <w:tc>
          <w:tcPr>
            <w:tcW w:type="dxa" w:w="5626"/>
            <w:shd w:fill="2E5496" w:val="clear"/>
            <w:tcMar>
              <w:top w:type="dxa" w:w="40"/>
              <w:left w:type="dxa" w:w="80"/>
              <w:bottom w:type="dxa" w:w="40"/>
              <w:right w:type="dxa" w:w="80"/>
            </w:tcMar>
          </w:tcPr>
          <w:p>
            <w:pPr>
              <w:spacing w:after="0" w:line="250"/>
              <w:jc w:val="center"/>
            </w:pPr>
            <w:r>
              <w:rPr>
                <w:b/>
                <w:bCs/>
                <w:color w:val="FFFFFF"/>
                <w:sz w:val="20"/>
                <w:szCs w:val="20"/>
              </w:rPr>
              <w:t xml:space="preserve">Value</w:t>
            </w:r>
          </w:p>
        </w:tc>
      </w:tr>
      <w:tr>
        <w:tc>
          <w:tcPr>
            <w:tcW w:type="dxa" w:w="3400"/>
            <w:tcMar>
              <w:top w:type="dxa" w:w="40"/>
              <w:left w:type="dxa" w:w="80"/>
              <w:bottom w:type="dxa" w:w="40"/>
              <w:right w:type="dxa" w:w="80"/>
            </w:tcMar>
          </w:tcPr>
          <w:p>
            <w:pPr>
              <w:spacing w:after="0" w:line="250"/>
              <w:jc w:val="left"/>
            </w:pPr>
            <w:r>
              <w:rPr>
                <w:b w:val="false"/>
                <w:bCs w:val="false"/>
                <w:color w:val="000000"/>
                <w:sz w:val="19"/>
                <w:szCs w:val="19"/>
              </w:rPr>
              <w:t xml:space="preserve">Backbone</w:t>
            </w:r>
          </w:p>
        </w:tc>
        <w:tc>
          <w:tcPr>
            <w:tcW w:type="dxa" w:w="5626"/>
            <w:tcMar>
              <w:top w:type="dxa" w:w="40"/>
              <w:left w:type="dxa" w:w="80"/>
              <w:bottom w:type="dxa" w:w="40"/>
              <w:right w:type="dxa" w:w="80"/>
            </w:tcMar>
          </w:tcPr>
          <w:p>
            <w:pPr>
              <w:spacing w:after="0" w:line="250"/>
              <w:jc w:val="left"/>
            </w:pPr>
            <w:r>
              <w:rPr>
                <w:b w:val="false"/>
                <w:bCs w:val="false"/>
                <w:color w:val="000000"/>
                <w:sz w:val="19"/>
                <w:szCs w:val="19"/>
              </w:rPr>
              <w:t xml:space="preserve">DeiT-Small (deit_small_patch16_224), ImageNet-pretrained</w:t>
            </w:r>
          </w:p>
        </w:tc>
      </w:tr>
      <w:tr>
        <w:tc>
          <w:tcPr>
            <w:tcW w:type="dxa" w:w="34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Input</w:t>
            </w:r>
          </w:p>
        </w:tc>
        <w:tc>
          <w:tcPr>
            <w:tcW w:type="dxa" w:w="562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224×224, grayscale (1-channel)</w:t>
            </w:r>
          </w:p>
        </w:tc>
      </w:tr>
      <w:tr>
        <w:tc>
          <w:tcPr>
            <w:tcW w:type="dxa" w:w="3400"/>
            <w:tcMar>
              <w:top w:type="dxa" w:w="40"/>
              <w:left w:type="dxa" w:w="80"/>
              <w:bottom w:type="dxa" w:w="40"/>
              <w:right w:type="dxa" w:w="80"/>
            </w:tcMar>
          </w:tcPr>
          <w:p>
            <w:pPr>
              <w:spacing w:after="0" w:line="250"/>
              <w:jc w:val="left"/>
            </w:pPr>
            <w:r>
              <w:rPr>
                <w:b w:val="false"/>
                <w:bCs w:val="false"/>
                <w:color w:val="000000"/>
                <w:sz w:val="19"/>
                <w:szCs w:val="19"/>
              </w:rPr>
              <w:t xml:space="preserve">Clients / partition</w:t>
            </w:r>
          </w:p>
        </w:tc>
        <w:tc>
          <w:tcPr>
            <w:tcW w:type="dxa" w:w="5626"/>
            <w:tcMar>
              <w:top w:type="dxa" w:w="40"/>
              <w:left w:type="dxa" w:w="80"/>
              <w:bottom w:type="dxa" w:w="40"/>
              <w:right w:type="dxa" w:w="80"/>
            </w:tcMar>
          </w:tcPr>
          <w:p>
            <w:pPr>
              <w:spacing w:after="0" w:line="250"/>
              <w:jc w:val="left"/>
            </w:pPr>
            <w:r>
              <w:rPr>
                <w:b w:val="false"/>
                <w:bCs w:val="false"/>
                <w:color w:val="000000"/>
                <w:sz w:val="19"/>
                <w:szCs w:val="19"/>
              </w:rPr>
              <w:t xml:space="preserve">5 clients, patient-disjoint, Dirichlet α = 0.5</w:t>
            </w:r>
          </w:p>
        </w:tc>
      </w:tr>
      <w:tr>
        <w:tc>
          <w:tcPr>
            <w:tcW w:type="dxa" w:w="34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Federated rounds / local epochs</w:t>
            </w:r>
          </w:p>
        </w:tc>
        <w:tc>
          <w:tcPr>
            <w:tcW w:type="dxa" w:w="562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30 rounds / 2 local epochs</w:t>
            </w:r>
          </w:p>
        </w:tc>
      </w:tr>
      <w:tr>
        <w:tc>
          <w:tcPr>
            <w:tcW w:type="dxa" w:w="3400"/>
            <w:tcMar>
              <w:top w:type="dxa" w:w="40"/>
              <w:left w:type="dxa" w:w="80"/>
              <w:bottom w:type="dxa" w:w="40"/>
              <w:right w:type="dxa" w:w="80"/>
            </w:tcMar>
          </w:tcPr>
          <w:p>
            <w:pPr>
              <w:spacing w:after="0" w:line="250"/>
              <w:jc w:val="left"/>
            </w:pPr>
            <w:r>
              <w:rPr>
                <w:b w:val="false"/>
                <w:bCs w:val="false"/>
                <w:color w:val="000000"/>
                <w:sz w:val="19"/>
                <w:szCs w:val="19"/>
              </w:rPr>
              <w:t xml:space="preserve">Optimizer / learning rate</w:t>
            </w:r>
          </w:p>
        </w:tc>
        <w:tc>
          <w:tcPr>
            <w:tcW w:type="dxa" w:w="5626"/>
            <w:tcMar>
              <w:top w:type="dxa" w:w="40"/>
              <w:left w:type="dxa" w:w="80"/>
              <w:bottom w:type="dxa" w:w="40"/>
              <w:right w:type="dxa" w:w="80"/>
            </w:tcMar>
          </w:tcPr>
          <w:p>
            <w:pPr>
              <w:spacing w:after="0" w:line="250"/>
              <w:jc w:val="left"/>
            </w:pPr>
            <w:r>
              <w:rPr>
                <w:b w:val="false"/>
                <w:bCs w:val="false"/>
                <w:color w:val="000000"/>
                <w:sz w:val="19"/>
                <w:szCs w:val="19"/>
              </w:rPr>
              <w:t xml:space="preserve">Adam / 2×10⁻⁴</w:t>
            </w:r>
          </w:p>
        </w:tc>
      </w:tr>
      <w:tr>
        <w:tc>
          <w:tcPr>
            <w:tcW w:type="dxa" w:w="34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LR schedule</w:t>
            </w:r>
          </w:p>
        </w:tc>
        <w:tc>
          <w:tcPr>
            <w:tcW w:type="dxa" w:w="562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Warmup (3 rounds) + cosine decay</w:t>
            </w:r>
          </w:p>
        </w:tc>
      </w:tr>
      <w:tr>
        <w:tc>
          <w:tcPr>
            <w:tcW w:type="dxa" w:w="3400"/>
            <w:tcMar>
              <w:top w:type="dxa" w:w="40"/>
              <w:left w:type="dxa" w:w="80"/>
              <w:bottom w:type="dxa" w:w="40"/>
              <w:right w:type="dxa" w:w="80"/>
            </w:tcMar>
          </w:tcPr>
          <w:p>
            <w:pPr>
              <w:spacing w:after="0" w:line="250"/>
              <w:jc w:val="left"/>
            </w:pPr>
            <w:r>
              <w:rPr>
                <w:b w:val="false"/>
                <w:bCs w:val="false"/>
                <w:color w:val="000000"/>
                <w:sz w:val="19"/>
                <w:szCs w:val="19"/>
              </w:rPr>
              <w:t xml:space="preserve">Loss</w:t>
            </w:r>
          </w:p>
        </w:tc>
        <w:tc>
          <w:tcPr>
            <w:tcW w:type="dxa" w:w="5626"/>
            <w:tcMar>
              <w:top w:type="dxa" w:w="40"/>
              <w:left w:type="dxa" w:w="80"/>
              <w:bottom w:type="dxa" w:w="40"/>
              <w:right w:type="dxa" w:w="80"/>
            </w:tcMar>
          </w:tcPr>
          <w:p>
            <w:pPr>
              <w:spacing w:after="0" w:line="250"/>
              <w:jc w:val="left"/>
            </w:pPr>
            <w:r>
              <w:rPr>
                <w:b w:val="false"/>
                <w:bCs w:val="false"/>
                <w:color w:val="000000"/>
                <w:sz w:val="19"/>
                <w:szCs w:val="19"/>
              </w:rPr>
              <w:t xml:space="preserve">BCEWithLogits + per-class positive weight (capped)</w:t>
            </w:r>
          </w:p>
        </w:tc>
      </w:tr>
      <w:tr>
        <w:tc>
          <w:tcPr>
            <w:tcW w:type="dxa" w:w="34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Model selection</w:t>
            </w:r>
          </w:p>
        </w:tc>
        <w:tc>
          <w:tcPr>
            <w:tcW w:type="dxa" w:w="562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Best checkpoint, early stopping (patience 5)</w:t>
            </w:r>
          </w:p>
        </w:tc>
      </w:tr>
      <w:tr>
        <w:tc>
          <w:tcPr>
            <w:tcW w:type="dxa" w:w="3400"/>
            <w:tcMar>
              <w:top w:type="dxa" w:w="40"/>
              <w:left w:type="dxa" w:w="80"/>
              <w:bottom w:type="dxa" w:w="40"/>
              <w:right w:type="dxa" w:w="80"/>
            </w:tcMar>
          </w:tcPr>
          <w:p>
            <w:pPr>
              <w:spacing w:after="0" w:line="250"/>
              <w:jc w:val="left"/>
            </w:pPr>
            <w:r>
              <w:rPr>
                <w:b w:val="false"/>
                <w:bCs w:val="false"/>
                <w:color w:val="000000"/>
                <w:sz w:val="19"/>
                <w:szCs w:val="19"/>
              </w:rPr>
              <w:t xml:space="preserve">Forget client</w:t>
            </w:r>
          </w:p>
        </w:tc>
        <w:tc>
          <w:tcPr>
            <w:tcW w:type="dxa" w:w="5626"/>
            <w:tcMar>
              <w:top w:type="dxa" w:w="40"/>
              <w:left w:type="dxa" w:w="80"/>
              <w:bottom w:type="dxa" w:w="40"/>
              <w:right w:type="dxa" w:w="80"/>
            </w:tcMar>
          </w:tcPr>
          <w:p>
            <w:pPr>
              <w:spacing w:after="0" w:line="250"/>
              <w:jc w:val="left"/>
            </w:pPr>
            <w:r>
              <w:rPr>
                <w:b w:val="false"/>
                <w:bCs w:val="false"/>
                <w:color w:val="000000"/>
                <w:sz w:val="19"/>
                <w:szCs w:val="19"/>
              </w:rPr>
              <w:t xml:space="preserve">Designated single client</w:t>
            </w:r>
          </w:p>
        </w:tc>
      </w:tr>
      <w:tr>
        <w:tc>
          <w:tcPr>
            <w:tcW w:type="dxa" w:w="34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Unlearning (Plain &amp; EPU)</w:t>
            </w:r>
          </w:p>
        </w:tc>
        <w:tc>
          <w:tcPr>
            <w:tcW w:type="dxa" w:w="562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Warm-start fine-tune on retained clients</w:t>
            </w:r>
          </w:p>
        </w:tc>
      </w:tr>
      <w:tr>
        <w:tc>
          <w:tcPr>
            <w:tcW w:type="dxa" w:w="3400"/>
            <w:tcMar>
              <w:top w:type="dxa" w:w="40"/>
              <w:left w:type="dxa" w:w="80"/>
              <w:bottom w:type="dxa" w:w="40"/>
              <w:right w:type="dxa" w:w="80"/>
            </w:tcMar>
          </w:tcPr>
          <w:p>
            <w:pPr>
              <w:spacing w:after="0" w:line="250"/>
              <w:jc w:val="left"/>
            </w:pPr>
            <w:r>
              <w:rPr>
                <w:b w:val="false"/>
                <w:bCs w:val="false"/>
                <w:color w:val="000000"/>
                <w:sz w:val="19"/>
                <w:szCs w:val="19"/>
              </w:rPr>
              <w:t xml:space="preserve">EPU objective</w:t>
            </w:r>
          </w:p>
        </w:tc>
        <w:tc>
          <w:tcPr>
            <w:tcW w:type="dxa" w:w="5626"/>
            <w:tcMar>
              <w:top w:type="dxa" w:w="40"/>
              <w:left w:type="dxa" w:w="80"/>
              <w:bottom w:type="dxa" w:w="40"/>
              <w:right w:type="dxa" w:w="80"/>
            </w:tcMar>
          </w:tcPr>
          <w:p>
            <w:pPr>
              <w:spacing w:after="0" w:line="250"/>
              <w:jc w:val="left"/>
            </w:pPr>
            <w:r>
              <w:rPr>
                <w:b w:val="false"/>
                <w:bCs w:val="false"/>
                <w:color w:val="000000"/>
                <w:sz w:val="19"/>
                <w:szCs w:val="19"/>
              </w:rPr>
              <w:t xml:space="preserve">L = L_task + λ·L_exp (λ swept)</w:t>
            </w:r>
          </w:p>
        </w:tc>
      </w:tr>
      <w:tr>
        <w:tc>
          <w:tcPr>
            <w:tcW w:type="dxa" w:w="34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Explanation operator</w:t>
            </w:r>
          </w:p>
        </w:tc>
        <w:tc>
          <w:tcPr>
            <w:tcW w:type="dxa" w:w="562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Attention rollout (fused attention disabled), min-max normalized</w:t>
            </w:r>
          </w:p>
        </w:tc>
      </w:tr>
      <w:tr>
        <w:tc>
          <w:tcPr>
            <w:tcW w:type="dxa" w:w="3400"/>
            <w:tcMar>
              <w:top w:type="dxa" w:w="40"/>
              <w:left w:type="dxa" w:w="80"/>
              <w:bottom w:type="dxa" w:w="40"/>
              <w:right w:type="dxa" w:w="80"/>
            </w:tcMar>
          </w:tcPr>
          <w:p>
            <w:pPr>
              <w:spacing w:after="0" w:line="250"/>
              <w:jc w:val="left"/>
            </w:pPr>
            <w:r>
              <w:rPr>
                <w:b w:val="false"/>
                <w:bCs w:val="false"/>
                <w:color w:val="000000"/>
                <w:sz w:val="19"/>
                <w:szCs w:val="19"/>
              </w:rPr>
              <w:t xml:space="preserve">Seeds</w:t>
            </w:r>
          </w:p>
        </w:tc>
        <w:tc>
          <w:tcPr>
            <w:tcW w:type="dxa" w:w="5626"/>
            <w:tcMar>
              <w:top w:type="dxa" w:w="40"/>
              <w:left w:type="dxa" w:w="80"/>
              <w:bottom w:type="dxa" w:w="40"/>
              <w:right w:type="dxa" w:w="80"/>
            </w:tcMar>
          </w:tcPr>
          <w:p>
            <w:pPr>
              <w:spacing w:after="0" w:line="250"/>
              <w:jc w:val="left"/>
            </w:pPr>
            <w:r>
              <w:rPr>
                <w:b w:val="false"/>
                <w:bCs w:val="false"/>
                <w:color w:val="000000"/>
                <w:sz w:val="19"/>
                <w:szCs w:val="19"/>
              </w:rPr>
              <w:t xml:space="preserve">42, 43, 44</w:t>
            </w:r>
          </w:p>
        </w:tc>
      </w:tr>
      <w:tr>
        <w:tc>
          <w:tcPr>
            <w:tcW w:type="dxa" w:w="3400"/>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Hardware</w:t>
            </w:r>
          </w:p>
        </w:tc>
        <w:tc>
          <w:tcPr>
            <w:tcW w:type="dxa" w:w="5626"/>
            <w:shd w:fill="EAF0F8" w:val="clear"/>
            <w:tcMar>
              <w:top w:type="dxa" w:w="40"/>
              <w:left w:type="dxa" w:w="80"/>
              <w:bottom w:type="dxa" w:w="40"/>
              <w:right w:type="dxa" w:w="80"/>
            </w:tcMar>
          </w:tcPr>
          <w:p>
            <w:pPr>
              <w:spacing w:after="0" w:line="250"/>
              <w:jc w:val="left"/>
            </w:pPr>
            <w:r>
              <w:rPr>
                <w:b w:val="false"/>
                <w:bCs w:val="false"/>
                <w:color w:val="000000"/>
                <w:sz w:val="19"/>
                <w:szCs w:val="19"/>
              </w:rPr>
              <w:t xml:space="preserve">AWS EC2, NVIDIA T4 GPU</w:t>
            </w:r>
          </w:p>
        </w:tc>
      </w:tr>
    </w:tbl>
    <w:p>
      <w:pPr>
        <w:pStyle w:val="Heading2"/>
        <w:spacing w:after="80" w:before="180"/>
      </w:pPr>
      <w:r>
        <w:rPr>
          <w:b/>
          <w:bCs/>
          <w:color w:val="1F3864"/>
          <w:sz w:val="25"/>
          <w:szCs w:val="25"/>
        </w:rPr>
        <w:t xml:space="preserve">6.3 Metrics to be Reported</w:t>
      </w:r>
    </w:p>
    <w:p>
      <w:pPr>
        <w:spacing w:after="120" w:line="276"/>
        <w:jc w:val="both"/>
      </w:pPr>
      <w:r>
        <w:rPr>
          <w:sz w:val="22"/>
          <w:szCs w:val="22"/>
        </w:rPr>
        <w:t xml:space="preserve">On completion, the results section will report, for the original model and each unlearning procedure, the full set of four-axis metrics defined in Table 4 — diagnostic utility, forgetting effectiveness, explanation fidelity, and efficiency — as mean ± standard deviation over the three seeds. Explanation fidelity will be reported both to the original model (measuring preservation) and to the oracle (measuring correct forgetting), for each value of λ in the sweep.</w:t>
      </w:r>
    </w:p>
    <w:p>
      <w:pPr>
        <w:pStyle w:val="Heading2"/>
        <w:spacing w:after="80" w:before="180"/>
      </w:pPr>
      <w:r>
        <w:rPr>
          <w:b/>
          <w:bCs/>
          <w:color w:val="1F3864"/>
          <w:sz w:val="25"/>
          <w:szCs w:val="25"/>
        </w:rPr>
        <w:t xml:space="preserve">6.4 Planned Analysis</w:t>
      </w:r>
    </w:p>
    <w:p>
      <w:pPr>
        <w:spacing w:after="120" w:line="276"/>
        <w:jc w:val="both"/>
      </w:pPr>
      <w:r>
        <w:rPr>
          <w:sz w:val="22"/>
          <w:szCs w:val="22"/>
        </w:rPr>
        <w:t xml:space="preserve">Three comparisons are planned. First, plain unlearning and EPU will each be compared against the oracle to confirm that both forget the designated client, using the membership-inference metric. Second, EPU will be compared against plain unlearning on explanation fidelity to the original model, under a paired statistical test across seeds, to determine whether the explanation-consistency term yields a statistically significant improvement that clears the pre-registered success bar. Third, the diagnostic-utility and efficiency axes will be checked to confirm that any explanation benefit is not purchased at the expense of accuracy or an impractical increase in cost. The best value of λ will be selected as the one that maximizes explanation fidelity subject to preserving diagnostic performance, and the final verdict — whether the proposed method is validated — will be stated against these pre-registered criteria rather than chosen after the fact.</w:t>
      </w:r>
    </w:p>
    <w:p>
      <w:pPr>
        <w:spacing w:after="120" w:line="276"/>
        <w:jc w:val="both"/>
      </w:pPr>
      <w:r>
        <w:rPr>
          <w:i/>
          <w:iCs/>
          <w:sz w:val="22"/>
          <w:szCs w:val="22"/>
        </w:rPr>
        <w:t xml:space="preserve">Because the study is pre-registered in this way, the reported results will be honest by construction: a null outcome, in which the explanation term does not significantly outperform the baseline, is a valid and reportable scientific finding and will be presented as such.</w:t>
      </w:r>
    </w:p>
    <w:p>
      <w:pPr>
        <w:pStyle w:val="Heading1"/>
        <w:spacing w:after="120" w:before="260"/>
      </w:pPr>
      <w:r>
        <w:rPr>
          <w:b/>
          <w:bCs/>
          <w:color w:val="1F3864"/>
          <w:sz w:val="30"/>
          <w:szCs w:val="30"/>
        </w:rPr>
        <w:t xml:space="preserve">7. References</w:t>
      </w:r>
    </w:p>
    <w:p>
      <w:pPr>
        <w:spacing w:after="80" w:line="264"/>
        <w:ind w:left="480" w:hanging="480"/>
        <w:jc w:val="both"/>
      </w:pPr>
      <w:r>
        <w:rPr>
          <w:b/>
          <w:bCs/>
          <w:sz w:val="21"/>
          <w:szCs w:val="21"/>
        </w:rPr>
        <w:t xml:space="preserve">[1] </w:t>
      </w:r>
      <w:r>
        <w:rPr>
          <w:sz w:val="21"/>
          <w:szCs w:val="21"/>
        </w:rPr>
        <w:t xml:space="preserve">B. McMahan, E. Moore, D. Ramage, S. Hampson, and B. A. y Arcas, “Communication-Efficient Learning of Deep Networks from Decentralized Data,” in Proc. AISTATS, 2017.</w:t>
      </w:r>
    </w:p>
    <w:p>
      <w:pPr>
        <w:spacing w:after="80" w:line="264"/>
        <w:ind w:left="480" w:hanging="480"/>
        <w:jc w:val="both"/>
      </w:pPr>
      <w:r>
        <w:rPr>
          <w:b/>
          <w:bCs/>
          <w:sz w:val="21"/>
          <w:szCs w:val="21"/>
        </w:rPr>
        <w:t xml:space="preserve">[2] </w:t>
      </w:r>
      <w:r>
        <w:rPr>
          <w:sz w:val="21"/>
          <w:szCs w:val="21"/>
        </w:rPr>
        <w:t xml:space="preserve">G. Liu, X. Ma, Y. Yang, C. Wang, and J. Liu, “FedEraser: Enabling Efficient Client-Level Data Removal from Federated Learning Models,” in Proc. IEEE/ACM IWQoS, 2021.</w:t>
      </w:r>
    </w:p>
    <w:p>
      <w:pPr>
        <w:spacing w:after="80" w:line="264"/>
        <w:ind w:left="480" w:hanging="480"/>
        <w:jc w:val="both"/>
      </w:pPr>
      <w:r>
        <w:rPr>
          <w:b/>
          <w:bCs/>
          <w:sz w:val="21"/>
          <w:szCs w:val="21"/>
        </w:rPr>
        <w:t xml:space="preserve">[3] </w:t>
      </w:r>
      <w:r>
        <w:rPr>
          <w:sz w:val="21"/>
          <w:szCs w:val="21"/>
        </w:rPr>
        <w:t xml:space="preserve">L. Bourtoule, V. Chandrasekaran, C. A. Choquette-Choo, H. Jia, A. Travers, B. Zhang, D. Lie, and N. Papernot, “Machine Unlearning,” in Proc. IEEE Symposium on Security and Privacy (S&amp;P), 2021.</w:t>
      </w:r>
    </w:p>
    <w:p>
      <w:pPr>
        <w:spacing w:after="80" w:line="264"/>
        <w:ind w:left="480" w:hanging="480"/>
        <w:jc w:val="both"/>
      </w:pPr>
      <w:r>
        <w:rPr>
          <w:b/>
          <w:bCs/>
          <w:sz w:val="21"/>
          <w:szCs w:val="21"/>
        </w:rPr>
        <w:t xml:space="preserve">[4] </w:t>
      </w:r>
      <w:r>
        <w:rPr>
          <w:sz w:val="21"/>
          <w:szCs w:val="21"/>
        </w:rPr>
        <w:t xml:space="preserve">Y. Cao and J. Yang, “Towards Making Systems Forget with Machine Unlearning,” in Proc. IEEE Symposium on Security and Privacy (S&amp;P), 2015.</w:t>
      </w:r>
    </w:p>
    <w:p>
      <w:pPr>
        <w:spacing w:after="80" w:line="264"/>
        <w:ind w:left="480" w:hanging="480"/>
        <w:jc w:val="both"/>
      </w:pPr>
      <w:r>
        <w:rPr>
          <w:b/>
          <w:bCs/>
          <w:sz w:val="21"/>
          <w:szCs w:val="21"/>
        </w:rPr>
        <w:t xml:space="preserve">[5] </w:t>
      </w:r>
      <w:r>
        <w:rPr>
          <w:sz w:val="21"/>
          <w:szCs w:val="21"/>
        </w:rPr>
        <w:t xml:space="preserve">A. Dosovitskiy et al., “An Image is Worth 16×16 Words: Transformers for Image Recognition at Scale,” in Proc. ICLR, 2021.</w:t>
      </w:r>
    </w:p>
    <w:p>
      <w:pPr>
        <w:spacing w:after="80" w:line="264"/>
        <w:ind w:left="480" w:hanging="480"/>
        <w:jc w:val="both"/>
      </w:pPr>
      <w:r>
        <w:rPr>
          <w:b/>
          <w:bCs/>
          <w:sz w:val="21"/>
          <w:szCs w:val="21"/>
        </w:rPr>
        <w:t xml:space="preserve">[6] </w:t>
      </w:r>
      <w:r>
        <w:rPr>
          <w:sz w:val="21"/>
          <w:szCs w:val="21"/>
        </w:rPr>
        <w:t xml:space="preserve">H. Touvron, M. Cord, M. Douze, F. Massa, A. Sablayrolles, and H. Jégou, “Training Data-Efficient Image Transformers &amp; Distillation through Attention,” in Proc. ICML, 2021.</w:t>
      </w:r>
    </w:p>
    <w:p>
      <w:pPr>
        <w:spacing w:after="80" w:line="264"/>
        <w:ind w:left="480" w:hanging="480"/>
        <w:jc w:val="both"/>
      </w:pPr>
      <w:r>
        <w:rPr>
          <w:b/>
          <w:bCs/>
          <w:sz w:val="21"/>
          <w:szCs w:val="21"/>
        </w:rPr>
        <w:t xml:space="preserve">[7] </w:t>
      </w:r>
      <w:r>
        <w:rPr>
          <w:sz w:val="21"/>
          <w:szCs w:val="21"/>
        </w:rPr>
        <w:t xml:space="preserve">S. Abnar and W. Zuidema, “Quantifying Attention Flow in Transformers,” in Proc. ACL, 2020.</w:t>
      </w:r>
    </w:p>
    <w:p>
      <w:pPr>
        <w:spacing w:after="80" w:line="264"/>
        <w:ind w:left="480" w:hanging="480"/>
        <w:jc w:val="both"/>
      </w:pPr>
      <w:r>
        <w:rPr>
          <w:b/>
          <w:bCs/>
          <w:sz w:val="21"/>
          <w:szCs w:val="21"/>
        </w:rPr>
        <w:t xml:space="preserve">[8] </w:t>
      </w:r>
      <w:r>
        <w:rPr>
          <w:sz w:val="21"/>
          <w:szCs w:val="21"/>
        </w:rPr>
        <w:t xml:space="preserve">R. R. Selvaraju, M. Cogswell, A. Das, R. Vedantam, D. Parikh, and D. Batra, “Grad-CAM: Visual Explanations from Deep Networks via Gradient-Based Localization,” in Proc. IEEE ICCV, 2017.</w:t>
      </w:r>
    </w:p>
    <w:p>
      <w:pPr>
        <w:spacing w:after="80" w:line="264"/>
        <w:ind w:left="480" w:hanging="480"/>
        <w:jc w:val="both"/>
      </w:pPr>
      <w:r>
        <w:rPr>
          <w:b/>
          <w:bCs/>
          <w:sz w:val="21"/>
          <w:szCs w:val="21"/>
        </w:rPr>
        <w:t xml:space="preserve">[9] </w:t>
      </w:r>
      <w:r>
        <w:rPr>
          <w:sz w:val="21"/>
          <w:szCs w:val="21"/>
        </w:rPr>
        <w:t xml:space="preserve">X. Wang, Y. Peng, L. Lu, Z. Lu, M. Bagheri, and R. M. Summers, “ChestX-ray8: Hospital-Scale Chest X-Ray Database and Benchmarks on Weakly-Supervised Classification and Localization of Common Thorax Diseases,” in Proc. IEEE CVPR, 2017.</w:t>
      </w:r>
    </w:p>
    <w:p>
      <w:pPr>
        <w:spacing w:after="80" w:line="264"/>
        <w:ind w:left="480" w:hanging="480"/>
        <w:jc w:val="both"/>
      </w:pPr>
      <w:r>
        <w:rPr>
          <w:b/>
          <w:bCs/>
          <w:sz w:val="21"/>
          <w:szCs w:val="21"/>
        </w:rPr>
        <w:t xml:space="preserve">[10] </w:t>
      </w:r>
      <w:r>
        <w:rPr>
          <w:sz w:val="21"/>
          <w:szCs w:val="21"/>
        </w:rPr>
        <w:t xml:space="preserve">P. Rajpurkar et al., “CheXNet: Radiologist-Level Pneumonia Detection on Chest X-Rays with Deep Learning,” arXiv:1711.05225, 2017.</w:t>
      </w:r>
    </w:p>
    <w:p>
      <w:pPr>
        <w:spacing w:after="80" w:line="264"/>
        <w:ind w:left="480" w:hanging="480"/>
        <w:jc w:val="both"/>
      </w:pPr>
      <w:r>
        <w:rPr>
          <w:b/>
          <w:bCs/>
          <w:sz w:val="21"/>
          <w:szCs w:val="21"/>
        </w:rPr>
        <w:t xml:space="preserve">[11] </w:t>
      </w:r>
      <w:r>
        <w:rPr>
          <w:sz w:val="21"/>
          <w:szCs w:val="21"/>
        </w:rPr>
        <w:t xml:space="preserve">R. Shokri, M. Stronati, C. Song, and V. Shmatikov, “Membership Inference Attacks Against Machine Learning Models,” in Proc. IEEE Symposium on Security and Privacy (S&amp;P), 2017.</w:t>
      </w:r>
    </w:p>
    <w:p>
      <w:pPr>
        <w:spacing w:after="80" w:line="264"/>
        <w:ind w:left="480" w:hanging="480"/>
        <w:jc w:val="both"/>
      </w:pPr>
      <w:r>
        <w:rPr>
          <w:b/>
          <w:bCs/>
          <w:sz w:val="21"/>
          <w:szCs w:val="21"/>
        </w:rPr>
        <w:t xml:space="preserve">[12] </w:t>
      </w:r>
      <w:r>
        <w:rPr>
          <w:sz w:val="21"/>
          <w:szCs w:val="21"/>
        </w:rPr>
        <w:t xml:space="preserve">E. Tjoa and C. Guan, “A Survey on Explainable Artificial Intelligence (XAI): Toward Medical XAI,” IEEE Transactions on Neural Networks and Learning Systems, 2021.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REVIEW-1  ·  Attention-Fidelity-Preserving Federated Unlearning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50585c3bbd2a434b00102a37dd48c2735c67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Project Report</dc:creator>
  <cp:lastModifiedBy>Un-named</cp:lastModifiedBy>
  <cp:revision>1</cp:revision>
  <dcterms:created xsi:type="dcterms:W3CDTF">2026-07-28T16:10:51.974Z</dcterms:created>
  <dcterms:modified xsi:type="dcterms:W3CDTF">2026-07-28T16:10:51.974Z</dcterms:modified>
</cp:coreProperties>
</file>

<file path=docProps/custom.xml><?xml version="1.0" encoding="utf-8"?>
<Properties xmlns="http://schemas.openxmlformats.org/officeDocument/2006/custom-properties" xmlns:vt="http://schemas.openxmlformats.org/officeDocument/2006/docPropsVTypes"/>
</file>