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RAG Evaluation Report</w:t>
      </w:r>
    </w:p>
    <w:p>
      <w:pPr>
        <w:jc w:val="center"/>
      </w:pPr>
      <w:r>
        <w:rPr>
          <w:b/>
          <w:sz w:val="24"/>
        </w:rPr>
        <w:t>JobMatch AI — Retrieval-Augmented Generation System</w:t>
      </w:r>
    </w:p>
    <w:p>
      <w:pPr>
        <w:jc w:val="center"/>
      </w:pPr>
      <w:r>
        <w:rPr>
          <w:color w:val="606060"/>
          <w:sz w:val="20"/>
        </w:rPr>
        <w:t>Aadit Shah &amp; Ananya  |  Gen AI Course, FLAME University  |  April 2026</w:t>
      </w:r>
    </w:p>
    <w:p/>
    <w:p>
      <w:pPr>
        <w:pStyle w:val="Heading1"/>
      </w:pPr>
      <w:r>
        <w:rPr>
          <w:color w:val="1F4E79"/>
        </w:rPr>
        <w:t>1. System Overview</w:t>
      </w:r>
    </w:p>
    <w:p>
      <w:r>
        <w:rPr>
          <w:sz w:val="20"/>
        </w:rPr>
        <w:t>JobMatch AI is a Retrieval-Augmented Generation (RAG) system that matches user career profiles to relevant job postings. Given a structured user profile (skills, desired role, location, experience, salary expectations), the system retrieves the most relevant jobs from a Pinecone vector store and generates a ranked, personalised markdown response using the Gemma-3/4 language model.</w:t>
      </w:r>
    </w:p>
    <w:p/>
    <w:p>
      <w:pPr>
        <w:pStyle w:val="Heading2"/>
      </w:pPr>
      <w:r>
        <w:rPr>
          <w:color w:val="2E74B5"/>
        </w:rPr>
        <w:t>Pipeline</w:t>
      </w:r>
    </w:p>
    <w:p>
      <w:pPr>
        <w:pStyle w:val="ListBullet"/>
        <w:spacing w:after="60"/>
      </w:pPr>
      <w:r>
        <w:rPr>
          <w:b/>
          <w:sz w:val="20"/>
        </w:rPr>
        <w:t>Step 1 — Embedding:</w:t>
      </w:r>
      <w:r>
        <w:rPr>
          <w:sz w:val="20"/>
        </w:rPr>
        <w:t xml:space="preserve"> User profile fields are tokenised and embedded using a custom SHA-256 hash-based embedding function (_hash_embed_text). Each token maps to two positions in a 768-dim vector via SHA-256 digest bytes, producing a sparse, normalised vector. This is a lexical overlap measure — no semantic generalisation.</w:t>
      </w:r>
    </w:p>
    <w:p>
      <w:pPr>
        <w:pStyle w:val="ListBullet"/>
        <w:spacing w:after="60"/>
      </w:pPr>
      <w:r>
        <w:rPr>
          <w:b/>
          <w:sz w:val="20"/>
        </w:rPr>
        <w:t>Step 2 — Retrieval:</w:t>
      </w:r>
      <w:r>
        <w:rPr>
          <w:sz w:val="20"/>
        </w:rPr>
        <w:t xml:space="preserve"> Pinecone cosine similarity search retrieves the top-20 candidates. Because embeddings are hash-based (not neural), cosine scores range ~0.17–0.45, much lower than typical neural embeddings (0.6–0.9).</w:t>
      </w:r>
    </w:p>
    <w:p>
      <w:pPr>
        <w:pStyle w:val="ListBullet"/>
        <w:spacing w:after="60"/>
      </w:pPr>
      <w:r>
        <w:rPr>
          <w:b/>
          <w:sz w:val="20"/>
        </w:rPr>
        <w:t>Step 3 — Reranking:</w:t>
      </w:r>
      <w:r>
        <w:rPr>
          <w:sz w:val="20"/>
        </w:rPr>
        <w:t xml:space="preserve"> A keyword-boost reranker (_rerank_candidates) augments Pinecone scores with profile-to-job token overlap and experience alignment. This reorders candidates before passing them to the LLM.</w:t>
      </w:r>
    </w:p>
    <w:p>
      <w:pPr>
        <w:pStyle w:val="ListBullet"/>
        <w:spacing w:after="60"/>
      </w:pPr>
      <w:r>
        <w:rPr>
          <w:b/>
          <w:sz w:val="20"/>
        </w:rPr>
        <w:t>Step 4 — Generation:</w:t>
      </w:r>
      <w:r>
        <w:rPr>
          <w:sz w:val="20"/>
        </w:rPr>
        <w:t xml:space="preserve"> Gemma receives the top-10 reranked candidates and produces a structured markdown response listing 5 jobs with Match Scores (N/10), reasons for fit, and apply links.</w:t>
      </w:r>
    </w:p>
    <w:p/>
    <w:p>
      <w:pPr>
        <w:pStyle w:val="Heading2"/>
      </w:pPr>
      <w:r>
        <w:rPr>
          <w:color w:val="2E74B5"/>
        </w:rPr>
        <w:t>Ground Truth Strategy</w:t>
      </w:r>
    </w:p>
    <w:p>
      <w:r>
        <w:rPr>
          <w:sz w:val="20"/>
        </w:rPr>
        <w:t>This system has no annotated ground-truth dataset. Standard evaluation frameworks (RAGAS, DeepEval) require labelled QA pairs and semantic embeddings — neither of which applies here. Instead, three relevance proxies are used:</w:t>
      </w:r>
    </w:p>
    <w:p>
      <w:pPr>
        <w:pStyle w:val="ListBullet"/>
        <w:spacing w:after="60"/>
      </w:pPr>
      <w:r>
        <w:rPr>
          <w:b/>
          <w:sz w:val="20"/>
        </w:rPr>
        <w:t>LLM Match Scores (primary):</w:t>
      </w:r>
      <w:r>
        <w:rPr>
          <w:sz w:val="20"/>
        </w:rPr>
        <w:t xml:space="preserve"> Gemma assigns Match Score N/10 to each recommended job. These are used as relevance grades for NDCG computation, normalised to [0, 1].</w:t>
      </w:r>
    </w:p>
    <w:p>
      <w:pPr>
        <w:pStyle w:val="ListBullet"/>
        <w:spacing w:after="60"/>
      </w:pPr>
      <w:r>
        <w:rPr>
          <w:b/>
          <w:sz w:val="20"/>
        </w:rPr>
        <w:t>Pinecone Cosine Score (secondary):</w:t>
      </w:r>
      <w:r>
        <w:rPr>
          <w:sz w:val="20"/>
        </w:rPr>
        <w:t xml:space="preserve"> Used for Precision@K with a relative median threshold, since all scores exceed any fixed low threshold.</w:t>
      </w:r>
    </w:p>
    <w:p>
      <w:pPr>
        <w:pStyle w:val="ListBullet"/>
        <w:spacing w:after="60"/>
      </w:pPr>
      <w:r>
        <w:rPr>
          <w:b/>
          <w:sz w:val="20"/>
        </w:rPr>
        <w:t>User Feedback Ratings (tertiary):</w:t>
      </w:r>
      <w:r>
        <w:rPr>
          <w:sz w:val="20"/>
        </w:rPr>
        <w:t xml:space="preserve"> Ratings &gt;= 4 from the SQLite feedback table are treated as relevant. No ratings were recorded during this evaluation run.</w:t>
      </w:r>
    </w:p>
    <w:p/>
    <w:p>
      <w:pPr>
        <w:pStyle w:val="Heading1"/>
      </w:pPr>
      <w:r>
        <w:rPr>
          <w:color w:val="1F4E79"/>
        </w:rPr>
        <w:t>2. Evaluation Setup</w:t>
      </w:r>
    </w:p>
    <w:p>
      <w:r>
        <w:rPr>
          <w:sz w:val="20"/>
        </w:rPr>
        <w:t>19 evaluation records were collected by running 10 distinct user profiles through the live pipeline. Each record captures the query, pre- and post-rerank candidate lists (20 each), the full LLM output, and retrieval/generation latencies. All records were logged to eval_log.jsonl.</w:t>
      </w:r>
    </w:p>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1F4E79"/>
          </w:tcPr>
          <w:p>
            <w:pPr>
              <w:jc w:val="center"/>
            </w:pPr>
            <w:r>
              <w:rPr>
                <w:b/>
                <w:color w:val="FFFFFF"/>
                <w:sz w:val="18"/>
              </w:rPr>
              <w:t>Parameter</w:t>
            </w:r>
          </w:p>
        </w:tc>
        <w:tc>
          <w:tcPr>
            <w:tcW w:type="dxa" w:w="5102"/>
            <w:shd w:val="clear" w:color="auto" w:fill="1F4E79"/>
          </w:tcPr>
          <w:p>
            <w:pPr>
              <w:jc w:val="center"/>
            </w:pPr>
            <w:r>
              <w:rPr>
                <w:b/>
                <w:color w:val="FFFFFF"/>
                <w:sz w:val="18"/>
              </w:rPr>
              <w:t>Value</w:t>
            </w:r>
          </w:p>
        </w:tc>
      </w:tr>
      <w:tr>
        <w:tc>
          <w:tcPr>
            <w:tcW w:type="dxa" w:w="3969"/>
            <w:shd w:val="clear" w:color="auto" w:fill="EBF3FB"/>
          </w:tcPr>
          <w:p>
            <w:pPr>
              <w:jc w:val="left"/>
            </w:pPr>
            <w:r>
              <w:rPr>
                <w:b/>
                <w:sz w:val="18"/>
              </w:rPr>
              <w:t>Evaluation records</w:t>
            </w:r>
          </w:p>
        </w:tc>
        <w:tc>
          <w:tcPr>
            <w:tcW w:type="dxa" w:w="5102"/>
            <w:shd w:val="clear" w:color="auto" w:fill="EBF3FB"/>
          </w:tcPr>
          <w:p>
            <w:pPr>
              <w:jc w:val="center"/>
            </w:pPr>
            <w:r>
              <w:rPr>
                <w:sz w:val="18"/>
              </w:rPr>
              <w:t>19</w:t>
            </w:r>
          </w:p>
        </w:tc>
      </w:tr>
      <w:tr>
        <w:tc>
          <w:tcPr>
            <w:tcW w:type="dxa" w:w="3969"/>
            <w:shd w:val="clear" w:color="auto" w:fill="FFFFFF"/>
          </w:tcPr>
          <w:p>
            <w:pPr>
              <w:jc w:val="left"/>
            </w:pPr>
            <w:r>
              <w:rPr>
                <w:b/>
                <w:sz w:val="18"/>
              </w:rPr>
              <w:t>Candidates retrieved (K)</w:t>
            </w:r>
          </w:p>
        </w:tc>
        <w:tc>
          <w:tcPr>
            <w:tcW w:type="dxa" w:w="5102"/>
            <w:shd w:val="clear" w:color="auto" w:fill="FFFFFF"/>
          </w:tcPr>
          <w:p>
            <w:pPr>
              <w:jc w:val="center"/>
            </w:pPr>
            <w:r>
              <w:rPr>
                <w:sz w:val="18"/>
              </w:rPr>
              <w:t>20</w:t>
            </w:r>
          </w:p>
        </w:tc>
      </w:tr>
      <w:tr>
        <w:tc>
          <w:tcPr>
            <w:tcW w:type="dxa" w:w="3969"/>
            <w:shd w:val="clear" w:color="auto" w:fill="EBF3FB"/>
          </w:tcPr>
          <w:p>
            <w:pPr>
              <w:jc w:val="left"/>
            </w:pPr>
            <w:r>
              <w:rPr>
                <w:b/>
                <w:sz w:val="18"/>
              </w:rPr>
              <w:t>Jobs scored by LLM</w:t>
            </w:r>
          </w:p>
        </w:tc>
        <w:tc>
          <w:tcPr>
            <w:tcW w:type="dxa" w:w="5102"/>
            <w:shd w:val="clear" w:color="auto" w:fill="EBF3FB"/>
          </w:tcPr>
          <w:p>
            <w:pPr>
              <w:jc w:val="center"/>
            </w:pPr>
            <w:r>
              <w:rPr>
                <w:sz w:val="18"/>
              </w:rPr>
              <w:t>5 per request</w:t>
            </w:r>
          </w:p>
        </w:tc>
      </w:tr>
      <w:tr>
        <w:tc>
          <w:tcPr>
            <w:tcW w:type="dxa" w:w="3969"/>
            <w:shd w:val="clear" w:color="auto" w:fill="FFFFFF"/>
          </w:tcPr>
          <w:p>
            <w:pPr>
              <w:jc w:val="left"/>
            </w:pPr>
            <w:r>
              <w:rPr>
                <w:b/>
                <w:sz w:val="18"/>
              </w:rPr>
              <w:t>Total match scores</w:t>
            </w:r>
          </w:p>
        </w:tc>
        <w:tc>
          <w:tcPr>
            <w:tcW w:type="dxa" w:w="5102"/>
            <w:shd w:val="clear" w:color="auto" w:fill="FFFFFF"/>
          </w:tcPr>
          <w:p>
            <w:pPr>
              <w:jc w:val="center"/>
            </w:pPr>
            <w:r>
              <w:rPr>
                <w:sz w:val="18"/>
              </w:rPr>
              <w:t>95</w:t>
            </w:r>
          </w:p>
        </w:tc>
      </w:tr>
      <w:tr>
        <w:tc>
          <w:tcPr>
            <w:tcW w:type="dxa" w:w="3969"/>
            <w:shd w:val="clear" w:color="auto" w:fill="EBF3FB"/>
          </w:tcPr>
          <w:p>
            <w:pPr>
              <w:jc w:val="left"/>
            </w:pPr>
            <w:r>
              <w:rPr>
                <w:b/>
                <w:sz w:val="18"/>
              </w:rPr>
              <w:t>Feedback ratings</w:t>
            </w:r>
          </w:p>
        </w:tc>
        <w:tc>
          <w:tcPr>
            <w:tcW w:type="dxa" w:w="5102"/>
            <w:shd w:val="clear" w:color="auto" w:fill="EBF3FB"/>
          </w:tcPr>
          <w:p>
            <w:pPr>
              <w:jc w:val="center"/>
            </w:pPr>
            <w:r>
              <w:rPr>
                <w:sz w:val="18"/>
              </w:rPr>
              <w:t>0 (not collected during seeding)</w:t>
            </w:r>
          </w:p>
        </w:tc>
      </w:tr>
      <w:tr>
        <w:tc>
          <w:tcPr>
            <w:tcW w:type="dxa" w:w="3969"/>
            <w:shd w:val="clear" w:color="auto" w:fill="FFFFFF"/>
          </w:tcPr>
          <w:p>
            <w:pPr>
              <w:jc w:val="left"/>
            </w:pPr>
            <w:r>
              <w:rPr>
                <w:b/>
                <w:sz w:val="18"/>
              </w:rPr>
              <w:t>Embedding type</w:t>
            </w:r>
          </w:p>
        </w:tc>
        <w:tc>
          <w:tcPr>
            <w:tcW w:type="dxa" w:w="5102"/>
            <w:shd w:val="clear" w:color="auto" w:fill="FFFFFF"/>
          </w:tcPr>
          <w:p>
            <w:pPr>
              <w:jc w:val="center"/>
            </w:pPr>
            <w:r>
              <w:rPr>
                <w:sz w:val="18"/>
              </w:rPr>
              <w:t>SHA-256 hash, 768-dim</w:t>
            </w:r>
          </w:p>
        </w:tc>
      </w:tr>
      <w:tr>
        <w:tc>
          <w:tcPr>
            <w:tcW w:type="dxa" w:w="3969"/>
            <w:shd w:val="clear" w:color="auto" w:fill="EBF3FB"/>
          </w:tcPr>
          <w:p>
            <w:pPr>
              <w:jc w:val="left"/>
            </w:pPr>
            <w:r>
              <w:rPr>
                <w:b/>
                <w:sz w:val="18"/>
              </w:rPr>
              <w:t>LLM model</w:t>
            </w:r>
          </w:p>
        </w:tc>
        <w:tc>
          <w:tcPr>
            <w:tcW w:type="dxa" w:w="5102"/>
            <w:shd w:val="clear" w:color="auto" w:fill="EBF3FB"/>
          </w:tcPr>
          <w:p>
            <w:pPr>
              <w:jc w:val="center"/>
            </w:pPr>
            <w:r>
              <w:rPr>
                <w:sz w:val="18"/>
              </w:rPr>
              <w:t>Gemma-3/4 via Google Generative AI API</w:t>
            </w:r>
          </w:p>
        </w:tc>
      </w:tr>
      <w:tr>
        <w:tc>
          <w:tcPr>
            <w:tcW w:type="dxa" w:w="3969"/>
            <w:shd w:val="clear" w:color="auto" w:fill="FFFFFF"/>
          </w:tcPr>
          <w:p>
            <w:pPr>
              <w:jc w:val="left"/>
            </w:pPr>
            <w:r>
              <w:rPr>
                <w:b/>
                <w:sz w:val="18"/>
              </w:rPr>
              <w:t>Vector store</w:t>
            </w:r>
          </w:p>
        </w:tc>
        <w:tc>
          <w:tcPr>
            <w:tcW w:type="dxa" w:w="5102"/>
            <w:shd w:val="clear" w:color="auto" w:fill="FFFFFF"/>
          </w:tcPr>
          <w:p>
            <w:pPr>
              <w:jc w:val="center"/>
            </w:pPr>
            <w:r>
              <w:rPr>
                <w:sz w:val="18"/>
              </w:rPr>
              <w:t>Pinecone (serverless)</w:t>
            </w:r>
          </w:p>
        </w:tc>
      </w:tr>
    </w:tbl>
    <w:p/>
    <w:p>
      <w:pPr>
        <w:pStyle w:val="Heading1"/>
      </w:pPr>
      <w:r>
        <w:rPr>
          <w:color w:val="1F4E79"/>
        </w:rPr>
        <w:t>3. Retrieval Metrics</w:t>
      </w:r>
    </w:p>
    <w:p>
      <w:pPr>
        <w:pStyle w:val="Heading2"/>
      </w:pPr>
      <w:r>
        <w:rPr>
          <w:color w:val="2E74B5"/>
        </w:rPr>
        <w:t>3.1 Precision@K and NDCG@K</w:t>
      </w:r>
    </w:p>
    <w:p>
      <w:r>
        <w:rPr>
          <w:sz w:val="20"/>
        </w:rPr>
        <w:t>Precision@K uses a relative threshold (median Pinecone score of the full result set) to determine relevance, avoiding the trivial P@K=1.0 that would result from any fixed threshold below the minimum observed score. NDCG@K uses Gemma's match scores as graded relevance, mapped back onto all 20 candidate positions (unscored positions receive grade 0).</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969"/>
            <w:shd w:val="clear" w:color="auto" w:fill="1F4E79"/>
          </w:tcPr>
          <w:p>
            <w:pPr>
              <w:jc w:val="center"/>
            </w:pPr>
            <w:r>
              <w:rPr>
                <w:b/>
                <w:color w:val="FFFFFF"/>
                <w:sz w:val="18"/>
              </w:rPr>
              <w:t>Metric</w:t>
            </w:r>
          </w:p>
        </w:tc>
        <w:tc>
          <w:tcPr>
            <w:tcW w:type="dxa" w:w="1247"/>
            <w:shd w:val="clear" w:color="auto" w:fill="1F4E79"/>
          </w:tcPr>
          <w:p>
            <w:pPr>
              <w:jc w:val="center"/>
            </w:pPr>
            <w:r>
              <w:rPr>
                <w:b/>
                <w:color w:val="FFFFFF"/>
                <w:sz w:val="18"/>
              </w:rPr>
              <w:t>K=3</w:t>
            </w:r>
          </w:p>
        </w:tc>
        <w:tc>
          <w:tcPr>
            <w:tcW w:type="dxa" w:w="1247"/>
            <w:shd w:val="clear" w:color="auto" w:fill="1F4E79"/>
          </w:tcPr>
          <w:p>
            <w:pPr>
              <w:jc w:val="center"/>
            </w:pPr>
            <w:r>
              <w:rPr>
                <w:b/>
                <w:color w:val="FFFFFF"/>
                <w:sz w:val="18"/>
              </w:rPr>
              <w:t>K=5</w:t>
            </w:r>
          </w:p>
        </w:tc>
        <w:tc>
          <w:tcPr>
            <w:tcW w:type="dxa" w:w="1247"/>
            <w:shd w:val="clear" w:color="auto" w:fill="1F4E79"/>
          </w:tcPr>
          <w:p>
            <w:pPr>
              <w:jc w:val="center"/>
            </w:pPr>
            <w:r>
              <w:rPr>
                <w:b/>
                <w:color w:val="FFFFFF"/>
                <w:sz w:val="18"/>
              </w:rPr>
              <w:t>K=10</w:t>
            </w:r>
          </w:p>
        </w:tc>
        <w:tc>
          <w:tcPr>
            <w:tcW w:type="dxa" w:w="1247"/>
            <w:shd w:val="clear" w:color="auto" w:fill="1F4E79"/>
          </w:tcPr>
          <w:p>
            <w:pPr>
              <w:jc w:val="center"/>
            </w:pPr>
            <w:r>
              <w:rPr>
                <w:b/>
                <w:color w:val="FFFFFF"/>
                <w:sz w:val="18"/>
              </w:rPr>
              <w:t>K=20</w:t>
            </w:r>
          </w:p>
        </w:tc>
      </w:tr>
      <w:tr>
        <w:tc>
          <w:tcPr>
            <w:tcW w:type="dxa" w:w="3969"/>
            <w:shd w:val="clear" w:color="auto" w:fill="EBF3FB"/>
          </w:tcPr>
          <w:p>
            <w:pPr>
              <w:jc w:val="left"/>
            </w:pPr>
            <w:r>
              <w:rPr>
                <w:b/>
                <w:sz w:val="18"/>
              </w:rPr>
              <w:t>Precision@K (relative threshold)</w:t>
            </w:r>
          </w:p>
        </w:tc>
        <w:tc>
          <w:tcPr>
            <w:tcW w:type="dxa" w:w="1247"/>
            <w:shd w:val="clear" w:color="auto" w:fill="EBF3FB"/>
          </w:tcPr>
          <w:p>
            <w:pPr>
              <w:jc w:val="center"/>
            </w:pPr>
            <w:r>
              <w:rPr>
                <w:sz w:val="18"/>
              </w:rPr>
              <w:t>1.0000</w:t>
            </w:r>
          </w:p>
        </w:tc>
        <w:tc>
          <w:tcPr>
            <w:tcW w:type="dxa" w:w="1247"/>
            <w:shd w:val="clear" w:color="auto" w:fill="EBF3FB"/>
          </w:tcPr>
          <w:p>
            <w:pPr>
              <w:jc w:val="center"/>
            </w:pPr>
            <w:r>
              <w:rPr>
                <w:sz w:val="18"/>
              </w:rPr>
              <w:t>1.0000</w:t>
            </w:r>
          </w:p>
        </w:tc>
        <w:tc>
          <w:tcPr>
            <w:tcW w:type="dxa" w:w="1247"/>
            <w:shd w:val="clear" w:color="auto" w:fill="EBF3FB"/>
          </w:tcPr>
          <w:p>
            <w:pPr>
              <w:jc w:val="center"/>
            </w:pPr>
            <w:r>
              <w:rPr>
                <w:sz w:val="18"/>
              </w:rPr>
              <w:t>0.9263</w:t>
            </w:r>
          </w:p>
        </w:tc>
        <w:tc>
          <w:tcPr>
            <w:tcW w:type="dxa" w:w="1247"/>
            <w:shd w:val="clear" w:color="auto" w:fill="EBF3FB"/>
          </w:tcPr>
          <w:p>
            <w:pPr>
              <w:jc w:val="center"/>
            </w:pPr>
            <w:r>
              <w:rPr>
                <w:sz w:val="18"/>
              </w:rPr>
              <w:t>0.5000</w:t>
            </w:r>
          </w:p>
        </w:tc>
      </w:tr>
      <w:tr>
        <w:tc>
          <w:tcPr>
            <w:tcW w:type="dxa" w:w="3969"/>
            <w:shd w:val="clear" w:color="auto" w:fill="FFFFFF"/>
          </w:tcPr>
          <w:p>
            <w:pPr>
              <w:jc w:val="left"/>
            </w:pPr>
            <w:r>
              <w:rPr>
                <w:b/>
                <w:sz w:val="18"/>
              </w:rPr>
              <w:t>NDCG@K (with reranking)</w:t>
            </w:r>
          </w:p>
        </w:tc>
        <w:tc>
          <w:tcPr>
            <w:tcW w:type="dxa" w:w="1247"/>
            <w:shd w:val="clear" w:color="auto" w:fill="FFFFFF"/>
          </w:tcPr>
          <w:p>
            <w:pPr>
              <w:jc w:val="center"/>
            </w:pPr>
            <w:r>
              <w:rPr>
                <w:sz w:val="18"/>
              </w:rPr>
              <w:t>0.6655</w:t>
            </w:r>
          </w:p>
        </w:tc>
        <w:tc>
          <w:tcPr>
            <w:tcW w:type="dxa" w:w="1247"/>
            <w:shd w:val="clear" w:color="auto" w:fill="FFFFFF"/>
          </w:tcPr>
          <w:p>
            <w:pPr>
              <w:jc w:val="center"/>
            </w:pPr>
            <w:r>
              <w:rPr>
                <w:sz w:val="18"/>
              </w:rPr>
              <w:t>0.6909</w:t>
            </w:r>
          </w:p>
        </w:tc>
        <w:tc>
          <w:tcPr>
            <w:tcW w:type="dxa" w:w="1247"/>
            <w:shd w:val="clear" w:color="auto" w:fill="FFFFFF"/>
          </w:tcPr>
          <w:p>
            <w:pPr>
              <w:jc w:val="center"/>
            </w:pPr>
            <w:r>
              <w:rPr>
                <w:sz w:val="18"/>
              </w:rPr>
              <w:t>0.6898</w:t>
            </w:r>
          </w:p>
        </w:tc>
        <w:tc>
          <w:tcPr>
            <w:tcW w:type="dxa" w:w="1247"/>
            <w:shd w:val="clear" w:color="auto" w:fill="FFFFFF"/>
          </w:tcPr>
          <w:p>
            <w:pPr>
              <w:jc w:val="center"/>
            </w:pPr>
            <w:r>
              <w:rPr>
                <w:sz w:val="18"/>
              </w:rPr>
              <w:t>0.6898</w:t>
            </w:r>
          </w:p>
        </w:tc>
      </w:tr>
      <w:tr>
        <w:tc>
          <w:tcPr>
            <w:tcW w:type="dxa" w:w="3969"/>
            <w:shd w:val="clear" w:color="auto" w:fill="EBF3FB"/>
          </w:tcPr>
          <w:p>
            <w:pPr>
              <w:jc w:val="left"/>
            </w:pPr>
            <w:r>
              <w:rPr>
                <w:b/>
                <w:sz w:val="18"/>
              </w:rPr>
              <w:t>NDCG@K (without reranking)</w:t>
            </w:r>
          </w:p>
        </w:tc>
        <w:tc>
          <w:tcPr>
            <w:tcW w:type="dxa" w:w="1247"/>
            <w:shd w:val="clear" w:color="auto" w:fill="EBF3FB"/>
          </w:tcPr>
          <w:p>
            <w:pPr>
              <w:jc w:val="center"/>
            </w:pPr>
            <w:r>
              <w:rPr>
                <w:sz w:val="18"/>
              </w:rPr>
              <w:t>0.6960</w:t>
            </w:r>
          </w:p>
        </w:tc>
        <w:tc>
          <w:tcPr>
            <w:tcW w:type="dxa" w:w="1247"/>
            <w:shd w:val="clear" w:color="auto" w:fill="EBF3FB"/>
          </w:tcPr>
          <w:p>
            <w:pPr>
              <w:jc w:val="center"/>
            </w:pPr>
            <w:r>
              <w:rPr>
                <w:sz w:val="18"/>
              </w:rPr>
              <w:t>0.7075</w:t>
            </w:r>
          </w:p>
        </w:tc>
        <w:tc>
          <w:tcPr>
            <w:tcW w:type="dxa" w:w="1247"/>
            <w:shd w:val="clear" w:color="auto" w:fill="EBF3FB"/>
          </w:tcPr>
          <w:p>
            <w:pPr>
              <w:jc w:val="center"/>
            </w:pPr>
            <w:r>
              <w:rPr>
                <w:sz w:val="18"/>
              </w:rPr>
              <w:t>0.6900</w:t>
            </w:r>
          </w:p>
        </w:tc>
        <w:tc>
          <w:tcPr>
            <w:tcW w:type="dxa" w:w="1247"/>
            <w:shd w:val="clear" w:color="auto" w:fill="EBF3FB"/>
          </w:tcPr>
          <w:p>
            <w:pPr>
              <w:jc w:val="center"/>
            </w:pPr>
            <w:r>
              <w:rPr>
                <w:sz w:val="18"/>
              </w:rPr>
              <w:t>0.6887</w:t>
            </w:r>
          </w:p>
        </w:tc>
      </w:tr>
      <w:tr>
        <w:tc>
          <w:tcPr>
            <w:tcW w:type="dxa" w:w="3969"/>
            <w:shd w:val="clear" w:color="auto" w:fill="FFFFFF"/>
          </w:tcPr>
          <w:p>
            <w:pPr>
              <w:jc w:val="left"/>
            </w:pPr>
            <w:r>
              <w:rPr>
                <w:b/>
                <w:sz w:val="18"/>
              </w:rPr>
              <w:t>Recall@K (feedback-based)</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r>
      <w:tr>
        <w:tc>
          <w:tcPr>
            <w:tcW w:type="dxa" w:w="3969"/>
            <w:shd w:val="clear" w:color="auto" w:fill="EBF3FB"/>
          </w:tcPr>
          <w:p>
            <w:pPr>
              <w:jc w:val="left"/>
            </w:pPr>
            <w:r>
              <w:rPr>
                <w:b/>
                <w:sz w:val="18"/>
              </w:rPr>
              <w:t>Hit@1 (feedback-based)</w:t>
            </w:r>
          </w:p>
        </w:tc>
        <w:tc>
          <w:tcPr>
            <w:tcW w:type="dxa" w:w="1247"/>
            <w:shd w:val="clear" w:color="auto" w:fill="EBF3FB"/>
          </w:tcPr>
          <w:p>
            <w:pPr>
              <w:jc w:val="center"/>
            </w:pPr>
            <w:r>
              <w:rPr>
                <w:sz w:val="18"/>
              </w:rPr>
              <w:t>N/A</w:t>
            </w:r>
          </w:p>
        </w:tc>
        <w:tc>
          <w:tcPr>
            <w:tcW w:type="dxa" w:w="1247"/>
            <w:shd w:val="clear" w:color="auto" w:fill="EBF3FB"/>
          </w:tcPr>
          <w:p>
            <w:pPr>
              <w:jc w:val="center"/>
            </w:pPr>
            <w:r>
              <w:rPr>
                <w:sz w:val="18"/>
              </w:rPr>
              <w:t>N/A</w:t>
            </w:r>
          </w:p>
        </w:tc>
        <w:tc>
          <w:tcPr>
            <w:tcW w:type="dxa" w:w="1247"/>
            <w:shd w:val="clear" w:color="auto" w:fill="EBF3FB"/>
          </w:tcPr>
          <w:p>
            <w:pPr>
              <w:jc w:val="center"/>
            </w:pPr>
            <w:r>
              <w:rPr>
                <w:sz w:val="18"/>
              </w:rPr>
              <w:t>N/A</w:t>
            </w:r>
          </w:p>
        </w:tc>
        <w:tc>
          <w:tcPr>
            <w:tcW w:type="dxa" w:w="1247"/>
            <w:shd w:val="clear" w:color="auto" w:fill="EBF3FB"/>
          </w:tcPr>
          <w:p>
            <w:pPr>
              <w:jc w:val="center"/>
            </w:pPr>
            <w:r>
              <w:rPr>
                <w:sz w:val="18"/>
              </w:rPr>
              <w:t>N/A</w:t>
            </w:r>
          </w:p>
        </w:tc>
      </w:tr>
      <w:tr>
        <w:tc>
          <w:tcPr>
            <w:tcW w:type="dxa" w:w="3969"/>
            <w:shd w:val="clear" w:color="auto" w:fill="FFFFFF"/>
          </w:tcPr>
          <w:p>
            <w:pPr>
              <w:jc w:val="left"/>
            </w:pPr>
            <w:r>
              <w:rPr>
                <w:b/>
                <w:sz w:val="18"/>
              </w:rPr>
              <w:t>Hit@K (feedback-based)</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r>
      <w:tr>
        <w:tc>
          <w:tcPr>
            <w:tcW w:type="dxa" w:w="3969"/>
            <w:shd w:val="clear" w:color="auto" w:fill="EBF3FB"/>
          </w:tcPr>
          <w:p>
            <w:pPr>
              <w:jc w:val="left"/>
            </w:pPr>
            <w:r>
              <w:rPr>
                <w:b/>
                <w:sz w:val="18"/>
              </w:rPr>
              <w:t>MRR (feedback-based)</w:t>
            </w:r>
          </w:p>
        </w:tc>
        <w:tc>
          <w:tcPr>
            <w:tcW w:type="dxa" w:w="1247"/>
            <w:shd w:val="clear" w:color="auto" w:fill="EBF3FB"/>
          </w:tcPr>
          <w:p>
            <w:pPr>
              <w:jc w:val="center"/>
            </w:pPr>
            <w:r>
              <w:rPr>
                <w:sz w:val="18"/>
              </w:rPr>
              <w:t>N/A</w:t>
            </w:r>
          </w:p>
        </w:tc>
        <w:tc>
          <w:tcPr>
            <w:tcW w:type="dxa" w:w="1247"/>
            <w:shd w:val="clear" w:color="auto" w:fill="EBF3FB"/>
          </w:tcPr>
          <w:p>
            <w:pPr>
              <w:jc w:val="center"/>
            </w:pPr>
            <w:r>
              <w:rPr>
                <w:sz w:val="18"/>
              </w:rPr>
              <w:t>N/A</w:t>
            </w:r>
          </w:p>
        </w:tc>
        <w:tc>
          <w:tcPr>
            <w:tcW w:type="dxa" w:w="1247"/>
            <w:shd w:val="clear" w:color="auto" w:fill="EBF3FB"/>
          </w:tcPr>
          <w:p>
            <w:pPr>
              <w:jc w:val="center"/>
            </w:pPr>
            <w:r>
              <w:rPr>
                <w:sz w:val="18"/>
              </w:rPr>
              <w:t>N/A</w:t>
            </w:r>
          </w:p>
        </w:tc>
        <w:tc>
          <w:tcPr>
            <w:tcW w:type="dxa" w:w="1247"/>
            <w:shd w:val="clear" w:color="auto" w:fill="EBF3FB"/>
          </w:tcPr>
          <w:p>
            <w:pPr>
              <w:jc w:val="center"/>
            </w:pPr>
            <w:r>
              <w:rPr>
                <w:sz w:val="18"/>
              </w:rPr>
              <w:t>N/A</w:t>
            </w:r>
          </w:p>
        </w:tc>
      </w:tr>
      <w:tr>
        <w:tc>
          <w:tcPr>
            <w:tcW w:type="dxa" w:w="3969"/>
            <w:shd w:val="clear" w:color="auto" w:fill="FFFFFF"/>
          </w:tcPr>
          <w:p>
            <w:pPr>
              <w:jc w:val="left"/>
            </w:pPr>
            <w:r>
              <w:rPr>
                <w:b/>
                <w:sz w:val="18"/>
              </w:rPr>
              <w:t>MAP@K (feedback-based)</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c>
          <w:tcPr>
            <w:tcW w:type="dxa" w:w="1247"/>
            <w:shd w:val="clear" w:color="auto" w:fill="FFFFFF"/>
          </w:tcPr>
          <w:p>
            <w:pPr>
              <w:jc w:val="center"/>
            </w:pPr>
            <w:r>
              <w:rPr>
                <w:sz w:val="18"/>
              </w:rPr>
              <w:t>N/A</w:t>
            </w:r>
          </w:p>
        </w:tc>
      </w:tr>
    </w:tbl>
    <w:p>
      <w:pPr>
        <w:jc w:val="center"/>
      </w:pPr>
      <w:r>
        <w:rPr>
          <w:i/>
          <w:sz w:val="18"/>
        </w:rPr>
        <w:t>Table 1. Retrieval metrics across K values. N/A = no user feedback collected.</w:t>
      </w:r>
    </w:p>
    <w:p/>
    <w:p>
      <w:pPr>
        <w:pStyle w:val="Heading2"/>
      </w:pPr>
      <w:r>
        <w:rPr>
          <w:color w:val="2E74B5"/>
        </w:rPr>
        <w:t>3.2 Reranking Ablation</w:t>
      </w:r>
    </w:p>
    <w:p>
      <w:r>
        <w:rPr>
          <w:sz w:val="20"/>
        </w:rPr>
        <w:t>The table below and Figure 5 compare NDCG@K with and without the keyword-boost reranker. The reranker slightly decreases NDCG at small K (–0.03 at K=3) but converges at K=10 and marginally improves at K=20. This indicates that the reranker promotes diversity and profile alignment at the cost of occasionally moving a LLM-preferred job from position 1–3 to a lower rank.</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F4E79"/>
          </w:tcPr>
          <w:p>
            <w:pPr>
              <w:jc w:val="center"/>
            </w:pPr>
            <w:r>
              <w:rPr>
                <w:b/>
                <w:color w:val="FFFFFF"/>
                <w:sz w:val="18"/>
              </w:rPr>
              <w:t>K</w:t>
            </w:r>
          </w:p>
        </w:tc>
        <w:tc>
          <w:tcPr>
            <w:tcW w:type="dxa" w:w="2835"/>
            <w:shd w:val="clear" w:color="auto" w:fill="1F4E79"/>
          </w:tcPr>
          <w:p>
            <w:pPr>
              <w:jc w:val="center"/>
            </w:pPr>
            <w:r>
              <w:rPr>
                <w:b/>
                <w:color w:val="FFFFFF"/>
                <w:sz w:val="18"/>
              </w:rPr>
              <w:t>NDCG (with reranking)</w:t>
            </w:r>
          </w:p>
        </w:tc>
        <w:tc>
          <w:tcPr>
            <w:tcW w:type="dxa" w:w="3118"/>
            <w:shd w:val="clear" w:color="auto" w:fill="1F4E79"/>
          </w:tcPr>
          <w:p>
            <w:pPr>
              <w:jc w:val="center"/>
            </w:pPr>
            <w:r>
              <w:rPr>
                <w:b/>
                <w:color w:val="FFFFFF"/>
                <w:sz w:val="18"/>
              </w:rPr>
              <w:t>NDCG (without reranking)</w:t>
            </w:r>
          </w:p>
        </w:tc>
        <w:tc>
          <w:tcPr>
            <w:tcW w:type="dxa" w:w="1701"/>
            <w:shd w:val="clear" w:color="auto" w:fill="1F4E79"/>
          </w:tcPr>
          <w:p>
            <w:pPr>
              <w:jc w:val="center"/>
            </w:pPr>
            <w:r>
              <w:rPr>
                <w:b/>
                <w:color w:val="FFFFFF"/>
                <w:sz w:val="18"/>
              </w:rPr>
              <w:t>Delta</w:t>
            </w:r>
          </w:p>
        </w:tc>
      </w:tr>
      <w:tr>
        <w:tc>
          <w:tcPr>
            <w:tcW w:type="dxa" w:w="1134"/>
            <w:shd w:val="clear" w:color="auto" w:fill="EBF3FB"/>
          </w:tcPr>
          <w:p>
            <w:pPr>
              <w:jc w:val="left"/>
            </w:pPr>
            <w:r>
              <w:rPr>
                <w:b/>
                <w:sz w:val="18"/>
              </w:rPr>
              <w:t>3</w:t>
            </w:r>
          </w:p>
        </w:tc>
        <w:tc>
          <w:tcPr>
            <w:tcW w:type="dxa" w:w="2835"/>
            <w:shd w:val="clear" w:color="auto" w:fill="EBF3FB"/>
          </w:tcPr>
          <w:p>
            <w:pPr>
              <w:jc w:val="center"/>
            </w:pPr>
            <w:r>
              <w:rPr>
                <w:sz w:val="18"/>
              </w:rPr>
              <w:t>0.6655</w:t>
            </w:r>
          </w:p>
        </w:tc>
        <w:tc>
          <w:tcPr>
            <w:tcW w:type="dxa" w:w="3118"/>
            <w:shd w:val="clear" w:color="auto" w:fill="EBF3FB"/>
          </w:tcPr>
          <w:p>
            <w:pPr>
              <w:jc w:val="center"/>
            </w:pPr>
            <w:r>
              <w:rPr>
                <w:sz w:val="18"/>
              </w:rPr>
              <w:t>0.6960</w:t>
            </w:r>
          </w:p>
        </w:tc>
        <w:tc>
          <w:tcPr>
            <w:tcW w:type="dxa" w:w="1701"/>
            <w:shd w:val="clear" w:color="auto" w:fill="EBF3FB"/>
          </w:tcPr>
          <w:p>
            <w:pPr>
              <w:jc w:val="center"/>
            </w:pPr>
            <w:r>
              <w:rPr>
                <w:sz w:val="18"/>
              </w:rPr>
              <w:t>-0.0305</w:t>
            </w:r>
          </w:p>
        </w:tc>
      </w:tr>
      <w:tr>
        <w:tc>
          <w:tcPr>
            <w:tcW w:type="dxa" w:w="1134"/>
            <w:shd w:val="clear" w:color="auto" w:fill="FFFFFF"/>
          </w:tcPr>
          <w:p>
            <w:pPr>
              <w:jc w:val="left"/>
            </w:pPr>
            <w:r>
              <w:rPr>
                <w:b/>
                <w:sz w:val="18"/>
              </w:rPr>
              <w:t>5</w:t>
            </w:r>
          </w:p>
        </w:tc>
        <w:tc>
          <w:tcPr>
            <w:tcW w:type="dxa" w:w="2835"/>
            <w:shd w:val="clear" w:color="auto" w:fill="FFFFFF"/>
          </w:tcPr>
          <w:p>
            <w:pPr>
              <w:jc w:val="center"/>
            </w:pPr>
            <w:r>
              <w:rPr>
                <w:sz w:val="18"/>
              </w:rPr>
              <w:t>0.6909</w:t>
            </w:r>
          </w:p>
        </w:tc>
        <w:tc>
          <w:tcPr>
            <w:tcW w:type="dxa" w:w="3118"/>
            <w:shd w:val="clear" w:color="auto" w:fill="FFFFFF"/>
          </w:tcPr>
          <w:p>
            <w:pPr>
              <w:jc w:val="center"/>
            </w:pPr>
            <w:r>
              <w:rPr>
                <w:sz w:val="18"/>
              </w:rPr>
              <w:t>0.7075</w:t>
            </w:r>
          </w:p>
        </w:tc>
        <w:tc>
          <w:tcPr>
            <w:tcW w:type="dxa" w:w="1701"/>
            <w:shd w:val="clear" w:color="auto" w:fill="FFFFFF"/>
          </w:tcPr>
          <w:p>
            <w:pPr>
              <w:jc w:val="center"/>
            </w:pPr>
            <w:r>
              <w:rPr>
                <w:sz w:val="18"/>
              </w:rPr>
              <w:t>-0.0166</w:t>
            </w:r>
          </w:p>
        </w:tc>
      </w:tr>
      <w:tr>
        <w:tc>
          <w:tcPr>
            <w:tcW w:type="dxa" w:w="1134"/>
            <w:shd w:val="clear" w:color="auto" w:fill="EBF3FB"/>
          </w:tcPr>
          <w:p>
            <w:pPr>
              <w:jc w:val="left"/>
            </w:pPr>
            <w:r>
              <w:rPr>
                <w:b/>
                <w:sz w:val="18"/>
              </w:rPr>
              <w:t>10</w:t>
            </w:r>
          </w:p>
        </w:tc>
        <w:tc>
          <w:tcPr>
            <w:tcW w:type="dxa" w:w="2835"/>
            <w:shd w:val="clear" w:color="auto" w:fill="EBF3FB"/>
          </w:tcPr>
          <w:p>
            <w:pPr>
              <w:jc w:val="center"/>
            </w:pPr>
            <w:r>
              <w:rPr>
                <w:sz w:val="18"/>
              </w:rPr>
              <w:t>0.6898</w:t>
            </w:r>
          </w:p>
        </w:tc>
        <w:tc>
          <w:tcPr>
            <w:tcW w:type="dxa" w:w="3118"/>
            <w:shd w:val="clear" w:color="auto" w:fill="EBF3FB"/>
          </w:tcPr>
          <w:p>
            <w:pPr>
              <w:jc w:val="center"/>
            </w:pPr>
            <w:r>
              <w:rPr>
                <w:sz w:val="18"/>
              </w:rPr>
              <w:t>0.6900</w:t>
            </w:r>
          </w:p>
        </w:tc>
        <w:tc>
          <w:tcPr>
            <w:tcW w:type="dxa" w:w="1701"/>
            <w:shd w:val="clear" w:color="auto" w:fill="EBF3FB"/>
          </w:tcPr>
          <w:p>
            <w:pPr>
              <w:jc w:val="center"/>
            </w:pPr>
            <w:r>
              <w:rPr>
                <w:sz w:val="18"/>
              </w:rPr>
              <w:t>-0.0002</w:t>
            </w:r>
          </w:p>
        </w:tc>
      </w:tr>
      <w:tr>
        <w:tc>
          <w:tcPr>
            <w:tcW w:type="dxa" w:w="1134"/>
            <w:shd w:val="clear" w:color="auto" w:fill="FFFFFF"/>
          </w:tcPr>
          <w:p>
            <w:pPr>
              <w:jc w:val="left"/>
            </w:pPr>
            <w:r>
              <w:rPr>
                <w:b/>
                <w:sz w:val="18"/>
              </w:rPr>
              <w:t>20</w:t>
            </w:r>
          </w:p>
        </w:tc>
        <w:tc>
          <w:tcPr>
            <w:tcW w:type="dxa" w:w="2835"/>
            <w:shd w:val="clear" w:color="auto" w:fill="FFFFFF"/>
          </w:tcPr>
          <w:p>
            <w:pPr>
              <w:jc w:val="center"/>
            </w:pPr>
            <w:r>
              <w:rPr>
                <w:sz w:val="18"/>
              </w:rPr>
              <w:t>0.6898</w:t>
            </w:r>
          </w:p>
        </w:tc>
        <w:tc>
          <w:tcPr>
            <w:tcW w:type="dxa" w:w="3118"/>
            <w:shd w:val="clear" w:color="auto" w:fill="FFFFFF"/>
          </w:tcPr>
          <w:p>
            <w:pPr>
              <w:jc w:val="center"/>
            </w:pPr>
            <w:r>
              <w:rPr>
                <w:sz w:val="18"/>
              </w:rPr>
              <w:t>0.6887</w:t>
            </w:r>
          </w:p>
        </w:tc>
        <w:tc>
          <w:tcPr>
            <w:tcW w:type="dxa" w:w="1701"/>
            <w:shd w:val="clear" w:color="auto" w:fill="FFFFFF"/>
          </w:tcPr>
          <w:p>
            <w:pPr>
              <w:jc w:val="center"/>
            </w:pPr>
            <w:r>
              <w:rPr>
                <w:sz w:val="18"/>
              </w:rPr>
              <w:t>+0.0011</w:t>
            </w:r>
          </w:p>
        </w:tc>
      </w:tr>
    </w:tbl>
    <w:p>
      <w:pPr>
        <w:jc w:val="center"/>
      </w:pPr>
      <w:r>
        <w:rPr>
          <w:i/>
          <w:sz w:val="18"/>
        </w:rPr>
        <w:t>Table 2. NDCG@K reranking ablation.</w:t>
      </w:r>
    </w:p>
    <w:p/>
    <w:p>
      <w:pPr>
        <w:pStyle w:val="Heading1"/>
      </w:pPr>
      <w:r>
        <w:rPr>
          <w:color w:val="1F4E79"/>
        </w:rPr>
        <w:t>4. Generation Quality Metrics</w:t>
      </w:r>
    </w:p>
    <w:p>
      <w:r>
        <w:rPr>
          <w:sz w:val="20"/>
        </w:rPr>
        <w:t>Generation quality is evaluated along three dimensions: structural format consistency, faithfulness (no hallucinated jobs), and LLM-as-judge relevance scoring.</w:t>
      </w:r>
    </w:p>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F4E79"/>
          </w:tcPr>
          <w:p>
            <w:pPr>
              <w:jc w:val="center"/>
            </w:pPr>
            <w:r>
              <w:rPr>
                <w:b/>
                <w:color w:val="FFFFFF"/>
                <w:sz w:val="18"/>
              </w:rPr>
              <w:t>Metric</w:t>
            </w:r>
          </w:p>
        </w:tc>
        <w:tc>
          <w:tcPr>
            <w:tcW w:type="dxa" w:w="1984"/>
            <w:shd w:val="clear" w:color="auto" w:fill="1F4E79"/>
          </w:tcPr>
          <w:p>
            <w:pPr>
              <w:jc w:val="center"/>
            </w:pPr>
            <w:r>
              <w:rPr>
                <w:b/>
                <w:color w:val="FFFFFF"/>
                <w:sz w:val="18"/>
              </w:rPr>
              <w:t>Value</w:t>
            </w:r>
          </w:p>
        </w:tc>
        <w:tc>
          <w:tcPr>
            <w:tcW w:type="dxa" w:w="3969"/>
            <w:shd w:val="clear" w:color="auto" w:fill="1F4E79"/>
          </w:tcPr>
          <w:p>
            <w:pPr>
              <w:jc w:val="center"/>
            </w:pPr>
            <w:r>
              <w:rPr>
                <w:b/>
                <w:color w:val="FFFFFF"/>
                <w:sz w:val="18"/>
              </w:rPr>
              <w:t>Notes</w:t>
            </w:r>
          </w:p>
        </w:tc>
      </w:tr>
      <w:tr>
        <w:tc>
          <w:tcPr>
            <w:tcW w:type="dxa" w:w="3118"/>
            <w:shd w:val="clear" w:color="auto" w:fill="EBF3FB"/>
          </w:tcPr>
          <w:p>
            <w:pPr>
              <w:jc w:val="left"/>
            </w:pPr>
            <w:r>
              <w:rPr>
                <w:b/>
                <w:sz w:val="18"/>
              </w:rPr>
              <w:t>Format Consistency (avg)</w:t>
            </w:r>
          </w:p>
        </w:tc>
        <w:tc>
          <w:tcPr>
            <w:tcW w:type="dxa" w:w="1984"/>
            <w:shd w:val="clear" w:color="auto" w:fill="EBF3FB"/>
          </w:tcPr>
          <w:p>
            <w:pPr>
              <w:jc w:val="center"/>
            </w:pPr>
            <w:r>
              <w:rPr>
                <w:sz w:val="18"/>
              </w:rPr>
              <w:t>0.75 / 1.0</w:t>
            </w:r>
          </w:p>
        </w:tc>
        <w:tc>
          <w:tcPr>
            <w:tcW w:type="dxa" w:w="3969"/>
            <w:shd w:val="clear" w:color="auto" w:fill="EBF3FB"/>
          </w:tcPr>
          <w:p>
            <w:pPr>
              <w:jc w:val="center"/>
            </w:pPr>
            <w:r>
              <w:rPr>
                <w:sz w:val="18"/>
              </w:rPr>
              <w:t>6 of 8 format rules pass consistently</w:t>
            </w:r>
          </w:p>
        </w:tc>
      </w:tr>
      <w:tr>
        <w:tc>
          <w:tcPr>
            <w:tcW w:type="dxa" w:w="3118"/>
            <w:shd w:val="clear" w:color="auto" w:fill="FFFFFF"/>
          </w:tcPr>
          <w:p>
            <w:pPr>
              <w:jc w:val="left"/>
            </w:pPr>
            <w:r>
              <w:rPr>
                <w:b/>
                <w:sz w:val="18"/>
              </w:rPr>
              <w:t>Faithfulness</w:t>
            </w:r>
          </w:p>
        </w:tc>
        <w:tc>
          <w:tcPr>
            <w:tcW w:type="dxa" w:w="1984"/>
            <w:shd w:val="clear" w:color="auto" w:fill="FFFFFF"/>
          </w:tcPr>
          <w:p>
            <w:pPr>
              <w:jc w:val="center"/>
            </w:pPr>
            <w:r>
              <w:rPr>
                <w:sz w:val="18"/>
              </w:rPr>
              <w:t>1.00 / 1.0</w:t>
            </w:r>
          </w:p>
        </w:tc>
        <w:tc>
          <w:tcPr>
            <w:tcW w:type="dxa" w:w="3969"/>
            <w:shd w:val="clear" w:color="auto" w:fill="FFFFFF"/>
          </w:tcPr>
          <w:p>
            <w:pPr>
              <w:jc w:val="center"/>
            </w:pPr>
            <w:r>
              <w:rPr>
                <w:sz w:val="18"/>
              </w:rPr>
              <w:t>All recommended jobs present in retrieved candidates</w:t>
            </w:r>
          </w:p>
        </w:tc>
      </w:tr>
      <w:tr>
        <w:tc>
          <w:tcPr>
            <w:tcW w:type="dxa" w:w="3118"/>
            <w:shd w:val="clear" w:color="auto" w:fill="EBF3FB"/>
          </w:tcPr>
          <w:p>
            <w:pPr>
              <w:jc w:val="left"/>
            </w:pPr>
            <w:r>
              <w:rPr>
                <w:b/>
                <w:sz w:val="18"/>
              </w:rPr>
              <w:t>LLM Judge Relevance</w:t>
            </w:r>
          </w:p>
        </w:tc>
        <w:tc>
          <w:tcPr>
            <w:tcW w:type="dxa" w:w="1984"/>
            <w:shd w:val="clear" w:color="auto" w:fill="EBF3FB"/>
          </w:tcPr>
          <w:p>
            <w:pPr>
              <w:jc w:val="center"/>
            </w:pPr>
            <w:r>
              <w:rPr>
                <w:sz w:val="18"/>
              </w:rPr>
              <w:t>Not run</w:t>
            </w:r>
          </w:p>
        </w:tc>
        <w:tc>
          <w:tcPr>
            <w:tcW w:type="dxa" w:w="3969"/>
            <w:shd w:val="clear" w:color="auto" w:fill="EBF3FB"/>
          </w:tcPr>
          <w:p>
            <w:pPr>
              <w:jc w:val="center"/>
            </w:pPr>
            <w:r>
              <w:rPr>
                <w:sz w:val="18"/>
              </w:rPr>
              <w:t>Requires additional API calls; excluded from this run</w:t>
            </w:r>
          </w:p>
        </w:tc>
      </w:tr>
    </w:tbl>
    <w:p>
      <w:pPr>
        <w:jc w:val="center"/>
      </w:pPr>
      <w:r>
        <w:rPr>
          <w:i/>
          <w:sz w:val="18"/>
        </w:rPr>
        <w:t>Table 3. Generation quality metrics.</w:t>
      </w:r>
    </w:p>
    <w:p/>
    <w:p>
      <w:pPr>
        <w:pStyle w:val="Heading2"/>
      </w:pPr>
      <w:r>
        <w:rPr>
          <w:color w:val="2E74B5"/>
        </w:rPr>
        <w:t>Format Rule Breakdown</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1F4E79"/>
          </w:tcPr>
          <w:p>
            <w:pPr>
              <w:jc w:val="center"/>
            </w:pPr>
            <w:r>
              <w:rPr>
                <w:b/>
                <w:color w:val="FFFFFF"/>
                <w:sz w:val="18"/>
              </w:rPr>
              <w:t>Rule</w:t>
            </w:r>
          </w:p>
        </w:tc>
        <w:tc>
          <w:tcPr>
            <w:tcW w:type="dxa" w:w="1701"/>
            <w:shd w:val="clear" w:color="auto" w:fill="1F4E79"/>
          </w:tcPr>
          <w:p>
            <w:pPr>
              <w:jc w:val="center"/>
            </w:pPr>
            <w:r>
              <w:rPr>
                <w:b/>
                <w:color w:val="FFFFFF"/>
                <w:sz w:val="18"/>
              </w:rPr>
              <w:t>Pass Rate</w:t>
            </w:r>
          </w:p>
        </w:tc>
      </w:tr>
      <w:tr>
        <w:tc>
          <w:tcPr>
            <w:tcW w:type="dxa" w:w="4535"/>
            <w:shd w:val="clear" w:color="auto" w:fill="EBF3FB"/>
          </w:tcPr>
          <w:p>
            <w:pPr>
              <w:jc w:val="left"/>
            </w:pPr>
            <w:r>
              <w:rPr>
                <w:b/>
                <w:sz w:val="18"/>
              </w:rPr>
              <w:t>has_main_heading</w:t>
            </w:r>
          </w:p>
        </w:tc>
        <w:tc>
          <w:tcPr>
            <w:tcW w:type="dxa" w:w="1701"/>
            <w:shd w:val="clear" w:color="auto" w:fill="EBF3FB"/>
          </w:tcPr>
          <w:p>
            <w:pPr>
              <w:jc w:val="center"/>
            </w:pPr>
            <w:r>
              <w:rPr>
                <w:sz w:val="18"/>
              </w:rPr>
              <w:t>1.00</w:t>
            </w:r>
          </w:p>
        </w:tc>
      </w:tr>
      <w:tr>
        <w:tc>
          <w:tcPr>
            <w:tcW w:type="dxa" w:w="4535"/>
            <w:shd w:val="clear" w:color="auto" w:fill="FFFFFF"/>
          </w:tcPr>
          <w:p>
            <w:pPr>
              <w:jc w:val="left"/>
            </w:pPr>
            <w:r>
              <w:rPr>
                <w:b/>
                <w:sz w:val="18"/>
              </w:rPr>
              <w:t>has_subheading</w:t>
            </w:r>
          </w:p>
        </w:tc>
        <w:tc>
          <w:tcPr>
            <w:tcW w:type="dxa" w:w="1701"/>
            <w:shd w:val="clear" w:color="auto" w:fill="FFFFFF"/>
          </w:tcPr>
          <w:p>
            <w:pPr>
              <w:jc w:val="center"/>
            </w:pPr>
            <w:r>
              <w:rPr>
                <w:sz w:val="18"/>
              </w:rPr>
              <w:t>1.00</w:t>
            </w:r>
          </w:p>
        </w:tc>
      </w:tr>
      <w:tr>
        <w:tc>
          <w:tcPr>
            <w:tcW w:type="dxa" w:w="4535"/>
            <w:shd w:val="clear" w:color="auto" w:fill="EBF3FB"/>
          </w:tcPr>
          <w:p>
            <w:pPr>
              <w:jc w:val="left"/>
            </w:pPr>
            <w:r>
              <w:rPr>
                <w:b/>
                <w:sz w:val="18"/>
              </w:rPr>
              <w:t>has_job_blocks</w:t>
            </w:r>
          </w:p>
        </w:tc>
        <w:tc>
          <w:tcPr>
            <w:tcW w:type="dxa" w:w="1701"/>
            <w:shd w:val="clear" w:color="auto" w:fill="EBF3FB"/>
          </w:tcPr>
          <w:p>
            <w:pPr>
              <w:jc w:val="center"/>
            </w:pPr>
            <w:r>
              <w:rPr>
                <w:sz w:val="18"/>
              </w:rPr>
              <w:t>1.00</w:t>
            </w:r>
          </w:p>
        </w:tc>
      </w:tr>
      <w:tr>
        <w:tc>
          <w:tcPr>
            <w:tcW w:type="dxa" w:w="4535"/>
            <w:shd w:val="clear" w:color="auto" w:fill="FFFFFF"/>
          </w:tcPr>
          <w:p>
            <w:pPr>
              <w:jc w:val="left"/>
            </w:pPr>
            <w:r>
              <w:rPr>
                <w:b/>
                <w:sz w:val="18"/>
              </w:rPr>
              <w:t>has_match_score</w:t>
            </w:r>
          </w:p>
        </w:tc>
        <w:tc>
          <w:tcPr>
            <w:tcW w:type="dxa" w:w="1701"/>
            <w:shd w:val="clear" w:color="auto" w:fill="FFFFFF"/>
          </w:tcPr>
          <w:p>
            <w:pPr>
              <w:jc w:val="center"/>
            </w:pPr>
            <w:r>
              <w:rPr>
                <w:sz w:val="18"/>
              </w:rPr>
              <w:t>1.00</w:t>
            </w:r>
          </w:p>
        </w:tc>
      </w:tr>
      <w:tr>
        <w:tc>
          <w:tcPr>
            <w:tcW w:type="dxa" w:w="4535"/>
            <w:shd w:val="clear" w:color="auto" w:fill="EBF3FB"/>
          </w:tcPr>
          <w:p>
            <w:pPr>
              <w:jc w:val="left"/>
            </w:pPr>
            <w:r>
              <w:rPr>
                <w:b/>
                <w:sz w:val="18"/>
              </w:rPr>
              <w:t>has_why_section</w:t>
            </w:r>
          </w:p>
        </w:tc>
        <w:tc>
          <w:tcPr>
            <w:tcW w:type="dxa" w:w="1701"/>
            <w:shd w:val="clear" w:color="auto" w:fill="EBF3FB"/>
          </w:tcPr>
          <w:p>
            <w:pPr>
              <w:jc w:val="center"/>
            </w:pPr>
            <w:r>
              <w:rPr>
                <w:sz w:val="18"/>
              </w:rPr>
              <w:t>1.00</w:t>
            </w:r>
          </w:p>
        </w:tc>
      </w:tr>
      <w:tr>
        <w:tc>
          <w:tcPr>
            <w:tcW w:type="dxa" w:w="4535"/>
            <w:shd w:val="clear" w:color="auto" w:fill="FFFFFF"/>
          </w:tcPr>
          <w:p>
            <w:pPr>
              <w:jc w:val="left"/>
            </w:pPr>
            <w:r>
              <w:rPr>
                <w:b/>
                <w:sz w:val="18"/>
              </w:rPr>
              <w:t>has_apply_link</w:t>
            </w:r>
          </w:p>
        </w:tc>
        <w:tc>
          <w:tcPr>
            <w:tcW w:type="dxa" w:w="1701"/>
            <w:shd w:val="clear" w:color="auto" w:fill="FFFFFF"/>
          </w:tcPr>
          <w:p>
            <w:pPr>
              <w:jc w:val="center"/>
            </w:pPr>
            <w:r>
              <w:rPr>
                <w:sz w:val="18"/>
              </w:rPr>
              <w:t>1.00</w:t>
            </w:r>
          </w:p>
        </w:tc>
      </w:tr>
      <w:tr>
        <w:tc>
          <w:tcPr>
            <w:tcW w:type="dxa" w:w="4535"/>
            <w:shd w:val="clear" w:color="auto" w:fill="EBF3FB"/>
          </w:tcPr>
          <w:p>
            <w:pPr>
              <w:jc w:val="left"/>
            </w:pPr>
            <w:r>
              <w:rPr>
                <w:b/>
                <w:sz w:val="18"/>
              </w:rPr>
              <w:t>has_company_or_role_field</w:t>
            </w:r>
          </w:p>
        </w:tc>
        <w:tc>
          <w:tcPr>
            <w:tcW w:type="dxa" w:w="1701"/>
            <w:shd w:val="clear" w:color="auto" w:fill="EBF3FB"/>
          </w:tcPr>
          <w:p>
            <w:pPr>
              <w:jc w:val="center"/>
            </w:pPr>
            <w:r>
              <w:rPr>
                <w:sz w:val="18"/>
              </w:rPr>
              <w:t>0.00</w:t>
            </w:r>
          </w:p>
        </w:tc>
      </w:tr>
      <w:tr>
        <w:tc>
          <w:tcPr>
            <w:tcW w:type="dxa" w:w="4535"/>
            <w:shd w:val="clear" w:color="auto" w:fill="FFFFFF"/>
          </w:tcPr>
          <w:p>
            <w:pPr>
              <w:jc w:val="left"/>
            </w:pPr>
            <w:r>
              <w:rPr>
                <w:b/>
                <w:sz w:val="18"/>
              </w:rPr>
              <w:t>has_location_field</w:t>
            </w:r>
          </w:p>
        </w:tc>
        <w:tc>
          <w:tcPr>
            <w:tcW w:type="dxa" w:w="1701"/>
            <w:shd w:val="clear" w:color="auto" w:fill="FFFFFF"/>
          </w:tcPr>
          <w:p>
            <w:pPr>
              <w:jc w:val="center"/>
            </w:pPr>
            <w:r>
              <w:rPr>
                <w:sz w:val="18"/>
              </w:rPr>
              <w:t>0.00</w:t>
            </w:r>
          </w:p>
        </w:tc>
      </w:tr>
    </w:tbl>
    <w:p>
      <w:pPr>
        <w:jc w:val="center"/>
      </w:pPr>
      <w:r>
        <w:rPr>
          <w:i/>
          <w:sz w:val="18"/>
        </w:rPr>
        <w:t>Table 4. Per-rule format pass rates. The two failing rules reflect Gemma embedding company/location in the ### job header rather than as separate bold fields.</w:t>
      </w:r>
    </w:p>
    <w:p/>
    <w:p>
      <w:pPr>
        <w:pStyle w:val="Heading1"/>
      </w:pPr>
      <w:r>
        <w:rPr>
          <w:color w:val="1F4E79"/>
        </w:rPr>
        <w:t>5. System Metrics</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1F4E79"/>
          </w:tcPr>
          <w:p>
            <w:pPr>
              <w:jc w:val="center"/>
            </w:pPr>
            <w:r>
              <w:rPr>
                <w:b/>
                <w:color w:val="FFFFFF"/>
                <w:sz w:val="18"/>
              </w:rPr>
              <w:t>Metric</w:t>
            </w:r>
          </w:p>
        </w:tc>
        <w:tc>
          <w:tcPr>
            <w:tcW w:type="dxa" w:w="5102"/>
            <w:shd w:val="clear" w:color="auto" w:fill="1F4E79"/>
          </w:tcPr>
          <w:p>
            <w:pPr>
              <w:jc w:val="center"/>
            </w:pPr>
            <w:r>
              <w:rPr>
                <w:b/>
                <w:color w:val="FFFFFF"/>
                <w:sz w:val="18"/>
              </w:rPr>
              <w:t>Value</w:t>
            </w:r>
          </w:p>
        </w:tc>
      </w:tr>
      <w:tr>
        <w:tc>
          <w:tcPr>
            <w:tcW w:type="dxa" w:w="3685"/>
            <w:shd w:val="clear" w:color="auto" w:fill="EBF3FB"/>
          </w:tcPr>
          <w:p>
            <w:pPr>
              <w:jc w:val="left"/>
            </w:pPr>
            <w:r>
              <w:rPr>
                <w:b/>
                <w:sz w:val="18"/>
              </w:rPr>
              <w:t>Company Diversity (top-10)</w:t>
            </w:r>
          </w:p>
        </w:tc>
        <w:tc>
          <w:tcPr>
            <w:tcW w:type="dxa" w:w="5102"/>
            <w:shd w:val="clear" w:color="auto" w:fill="EBF3FB"/>
          </w:tcPr>
          <w:p>
            <w:pPr>
              <w:jc w:val="center"/>
            </w:pPr>
            <w:r>
              <w:rPr>
                <w:sz w:val="18"/>
              </w:rPr>
              <w:t>0.6947</w:t>
            </w:r>
          </w:p>
        </w:tc>
      </w:tr>
      <w:tr>
        <w:tc>
          <w:tcPr>
            <w:tcW w:type="dxa" w:w="3685"/>
            <w:shd w:val="clear" w:color="auto" w:fill="FFFFFF"/>
          </w:tcPr>
          <w:p>
            <w:pPr>
              <w:jc w:val="left"/>
            </w:pPr>
            <w:r>
              <w:rPr>
                <w:b/>
                <w:sz w:val="18"/>
              </w:rPr>
              <w:t>Location Diversity (top-10)</w:t>
            </w:r>
          </w:p>
        </w:tc>
        <w:tc>
          <w:tcPr>
            <w:tcW w:type="dxa" w:w="5102"/>
            <w:shd w:val="clear" w:color="auto" w:fill="FFFFFF"/>
          </w:tcPr>
          <w:p>
            <w:pPr>
              <w:jc w:val="center"/>
            </w:pPr>
            <w:r>
              <w:rPr>
                <w:sz w:val="18"/>
              </w:rPr>
              <w:t>0.4000</w:t>
            </w:r>
          </w:p>
        </w:tc>
      </w:tr>
      <w:tr>
        <w:tc>
          <w:tcPr>
            <w:tcW w:type="dxa" w:w="3685"/>
            <w:shd w:val="clear" w:color="auto" w:fill="EBF3FB"/>
          </w:tcPr>
          <w:p>
            <w:pPr>
              <w:jc w:val="left"/>
            </w:pPr>
            <w:r>
              <w:rPr>
                <w:b/>
                <w:sz w:val="18"/>
              </w:rPr>
              <w:t>Skill Diversity (top-10)</w:t>
            </w:r>
          </w:p>
        </w:tc>
        <w:tc>
          <w:tcPr>
            <w:tcW w:type="dxa" w:w="5102"/>
            <w:shd w:val="clear" w:color="auto" w:fill="EBF3FB"/>
          </w:tcPr>
          <w:p>
            <w:pPr>
              <w:jc w:val="center"/>
            </w:pPr>
            <w:r>
              <w:rPr>
                <w:sz w:val="18"/>
              </w:rPr>
              <w:t>0.0000  (no skills metadata in Pinecone)</w:t>
            </w:r>
          </w:p>
        </w:tc>
      </w:tr>
      <w:tr>
        <w:tc>
          <w:tcPr>
            <w:tcW w:type="dxa" w:w="3685"/>
            <w:shd w:val="clear" w:color="auto" w:fill="FFFFFF"/>
          </w:tcPr>
          <w:p>
            <w:pPr>
              <w:jc w:val="left"/>
            </w:pPr>
            <w:r>
              <w:rPr>
                <w:b/>
                <w:sz w:val="18"/>
              </w:rPr>
              <w:t>Profile Alignment Score (avg)</w:t>
            </w:r>
          </w:p>
        </w:tc>
        <w:tc>
          <w:tcPr>
            <w:tcW w:type="dxa" w:w="5102"/>
            <w:shd w:val="clear" w:color="auto" w:fill="FFFFFF"/>
          </w:tcPr>
          <w:p>
            <w:pPr>
              <w:jc w:val="center"/>
            </w:pPr>
            <w:r>
              <w:rPr>
                <w:sz w:val="18"/>
              </w:rPr>
              <w:t>0.0389  (driven by missing skills metadata)</w:t>
            </w:r>
          </w:p>
        </w:tc>
      </w:tr>
      <w:tr>
        <w:tc>
          <w:tcPr>
            <w:tcW w:type="dxa" w:w="3685"/>
            <w:shd w:val="clear" w:color="auto" w:fill="EBF3FB"/>
          </w:tcPr>
          <w:p>
            <w:pPr>
              <w:jc w:val="left"/>
            </w:pPr>
            <w:r>
              <w:rPr>
                <w:b/>
                <w:sz w:val="18"/>
              </w:rPr>
              <w:t>Retrieval Latency avg (ms)</w:t>
            </w:r>
          </w:p>
        </w:tc>
        <w:tc>
          <w:tcPr>
            <w:tcW w:type="dxa" w:w="5102"/>
            <w:shd w:val="clear" w:color="auto" w:fill="EBF3FB"/>
          </w:tcPr>
          <w:p>
            <w:pPr>
              <w:jc w:val="center"/>
            </w:pPr>
            <w:r>
              <w:rPr>
                <w:sz w:val="18"/>
              </w:rPr>
              <w:t>2,140</w:t>
            </w:r>
          </w:p>
        </w:tc>
      </w:tr>
      <w:tr>
        <w:tc>
          <w:tcPr>
            <w:tcW w:type="dxa" w:w="3685"/>
            <w:shd w:val="clear" w:color="auto" w:fill="FFFFFF"/>
          </w:tcPr>
          <w:p>
            <w:pPr>
              <w:jc w:val="left"/>
            </w:pPr>
            <w:r>
              <w:rPr>
                <w:b/>
                <w:sz w:val="18"/>
              </w:rPr>
              <w:t>Retrieval Latency std (ms)</w:t>
            </w:r>
          </w:p>
        </w:tc>
        <w:tc>
          <w:tcPr>
            <w:tcW w:type="dxa" w:w="5102"/>
            <w:shd w:val="clear" w:color="auto" w:fill="FFFFFF"/>
          </w:tcPr>
          <w:p>
            <w:pPr>
              <w:jc w:val="center"/>
            </w:pPr>
            <w:r>
              <w:rPr>
                <w:sz w:val="18"/>
              </w:rPr>
              <w:t>2,083</w:t>
            </w:r>
          </w:p>
        </w:tc>
      </w:tr>
      <w:tr>
        <w:tc>
          <w:tcPr>
            <w:tcW w:type="dxa" w:w="3685"/>
            <w:shd w:val="clear" w:color="auto" w:fill="EBF3FB"/>
          </w:tcPr>
          <w:p>
            <w:pPr>
              <w:jc w:val="left"/>
            </w:pPr>
            <w:r>
              <w:rPr>
                <w:b/>
                <w:sz w:val="18"/>
              </w:rPr>
              <w:t>Generation Latency avg (ms)</w:t>
            </w:r>
          </w:p>
        </w:tc>
        <w:tc>
          <w:tcPr>
            <w:tcW w:type="dxa" w:w="5102"/>
            <w:shd w:val="clear" w:color="auto" w:fill="EBF3FB"/>
          </w:tcPr>
          <w:p>
            <w:pPr>
              <w:jc w:val="center"/>
            </w:pPr>
            <w:r>
              <w:rPr>
                <w:sz w:val="18"/>
              </w:rPr>
              <w:t>30,153</w:t>
            </w:r>
          </w:p>
        </w:tc>
      </w:tr>
      <w:tr>
        <w:tc>
          <w:tcPr>
            <w:tcW w:type="dxa" w:w="3685"/>
            <w:shd w:val="clear" w:color="auto" w:fill="FFFFFF"/>
          </w:tcPr>
          <w:p>
            <w:pPr>
              <w:jc w:val="left"/>
            </w:pPr>
            <w:r>
              <w:rPr>
                <w:b/>
                <w:sz w:val="18"/>
              </w:rPr>
              <w:t>Generation Latency std (ms)</w:t>
            </w:r>
          </w:p>
        </w:tc>
        <w:tc>
          <w:tcPr>
            <w:tcW w:type="dxa" w:w="5102"/>
            <w:shd w:val="clear" w:color="auto" w:fill="FFFFFF"/>
          </w:tcPr>
          <w:p>
            <w:pPr>
              <w:jc w:val="center"/>
            </w:pPr>
            <w:r>
              <w:rPr>
                <w:sz w:val="18"/>
              </w:rPr>
              <w:t>966</w:t>
            </w:r>
          </w:p>
        </w:tc>
      </w:tr>
      <w:tr>
        <w:tc>
          <w:tcPr>
            <w:tcW w:type="dxa" w:w="3685"/>
            <w:shd w:val="clear" w:color="auto" w:fill="EBF3FB"/>
          </w:tcPr>
          <w:p>
            <w:pPr>
              <w:jc w:val="left"/>
            </w:pPr>
            <w:r>
              <w:rPr>
                <w:b/>
                <w:sz w:val="18"/>
              </w:rPr>
              <w:t>LLM Match Score mean (n=95)</w:t>
            </w:r>
          </w:p>
        </w:tc>
        <w:tc>
          <w:tcPr>
            <w:tcW w:type="dxa" w:w="5102"/>
            <w:shd w:val="clear" w:color="auto" w:fill="EBF3FB"/>
          </w:tcPr>
          <w:p>
            <w:pPr>
              <w:jc w:val="center"/>
            </w:pPr>
            <w:r>
              <w:rPr>
                <w:sz w:val="18"/>
              </w:rPr>
              <w:t>4.74 / 10</w:t>
            </w:r>
          </w:p>
        </w:tc>
      </w:tr>
      <w:tr>
        <w:tc>
          <w:tcPr>
            <w:tcW w:type="dxa" w:w="3685"/>
            <w:shd w:val="clear" w:color="auto" w:fill="FFFFFF"/>
          </w:tcPr>
          <w:p>
            <w:pPr>
              <w:jc w:val="left"/>
            </w:pPr>
            <w:r>
              <w:rPr>
                <w:b/>
                <w:sz w:val="18"/>
              </w:rPr>
              <w:t>LLM Match Score std</w:t>
            </w:r>
          </w:p>
        </w:tc>
        <w:tc>
          <w:tcPr>
            <w:tcW w:type="dxa" w:w="5102"/>
            <w:shd w:val="clear" w:color="auto" w:fill="FFFFFF"/>
          </w:tcPr>
          <w:p>
            <w:pPr>
              <w:jc w:val="center"/>
            </w:pPr>
            <w:r>
              <w:rPr>
                <w:sz w:val="18"/>
              </w:rPr>
              <w:t>0.99</w:t>
            </w:r>
          </w:p>
        </w:tc>
      </w:tr>
    </w:tbl>
    <w:p>
      <w:pPr>
        <w:jc w:val="center"/>
      </w:pPr>
      <w:r>
        <w:rPr>
          <w:i/>
          <w:sz w:val="18"/>
        </w:rPr>
        <w:t>Table 5. System-level metrics.</w:t>
      </w:r>
    </w:p>
    <w:p/>
    <w:p>
      <w:pPr>
        <w:pStyle w:val="Heading1"/>
      </w:pPr>
      <w:r>
        <w:rPr>
          <w:color w:val="1F4E79"/>
        </w:rPr>
        <w:t>6. Evaluation Plots</w:t>
      </w:r>
    </w:p>
    <w:p>
      <w:pPr>
        <w:pStyle w:val="Heading2"/>
      </w:pPr>
      <w:r>
        <w:rPr>
          <w:color w:val="2E74B5"/>
        </w:rPr>
        <w:t>Figure 1 — Pinecone Cosine Score Distribution</w:t>
      </w:r>
    </w:p>
    <w:p>
      <w:r>
        <w:rPr>
          <w:sz w:val="20"/>
        </w:rPr>
        <w:t>All retrieved candidates have scores in the range 0.17–0.45. This is characteristic of SHA-256 hash embeddings, which measure lexical token overlap rather than semantic similarity. Neural embeddings (e.g. text-embedding-3-small) would produce scores in the 0.6–0.9 range for semantically similar documents. The red dashed line shows the median, used as the Precision@K threshold.</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plot1_pinecone_scores.png"/>
                    <pic:cNvPicPr/>
                  </pic:nvPicPr>
                  <pic:blipFill>
                    <a:blip r:embed="rId9"/>
                    <a:stretch>
                      <a:fillRect/>
                    </a:stretch>
                  </pic:blipFill>
                  <pic:spPr>
                    <a:xfrm>
                      <a:off x="0" y="0"/>
                      <a:ext cx="5029200" cy="2873829"/>
                    </a:xfrm>
                    <a:prstGeom prst="rect"/>
                  </pic:spPr>
                </pic:pic>
              </a:graphicData>
            </a:graphic>
          </wp:inline>
        </w:drawing>
      </w:r>
    </w:p>
    <w:p>
      <w:pPr>
        <w:jc w:val="center"/>
      </w:pPr>
      <w:r>
        <w:rPr>
          <w:i/>
          <w:color w:val="606060"/>
          <w:sz w:val="18"/>
        </w:rPr>
        <w:t>Figure 1. Distribution of Pinecone cosine scores across all retrieved candidates.</w:t>
      </w:r>
    </w:p>
    <w:p/>
    <w:p>
      <w:pPr>
        <w:pStyle w:val="Heading2"/>
      </w:pPr>
      <w:r>
        <w:rPr>
          <w:color w:val="2E74B5"/>
        </w:rPr>
        <w:t>Figure 2 — NDCG@K Curve</w:t>
      </w:r>
    </w:p>
    <w:p>
      <w:r>
        <w:rPr>
          <w:sz w:val="20"/>
        </w:rPr>
        <w:t>NDCG stabilises around 0.69 for K &gt;= 5. The curve shows that the ranking quality improves from K=3 to K=5 and then plateaus, as most of Gemma's 5 scored jobs fall within the first 5 positions. Beyond K=5, the remaining candidate slots have grade 0 (unscored by Gemma), so NDCG does not increase further.</w:t>
      </w:r>
    </w:p>
    <w:p>
      <w:pPr>
        <w:jc w:val="center"/>
      </w:pPr>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plot2_ndcg_curve.png"/>
                    <pic:cNvPicPr/>
                  </pic:nvPicPr>
                  <pic:blipFill>
                    <a:blip r:embed="rId10"/>
                    <a:stretch>
                      <a:fillRect/>
                    </a:stretch>
                  </pic:blipFill>
                  <pic:spPr>
                    <a:xfrm>
                      <a:off x="0" y="0"/>
                      <a:ext cx="5029200" cy="2873829"/>
                    </a:xfrm>
                    <a:prstGeom prst="rect"/>
                  </pic:spPr>
                </pic:pic>
              </a:graphicData>
            </a:graphic>
          </wp:inline>
        </w:drawing>
      </w:r>
    </w:p>
    <w:p>
      <w:pPr>
        <w:jc w:val="center"/>
      </w:pPr>
      <w:r>
        <w:rPr>
          <w:i/>
          <w:color w:val="606060"/>
          <w:sz w:val="18"/>
        </w:rPr>
        <w:t>Figure 2. NDCG@K with and without reranking.</w:t>
      </w:r>
    </w:p>
    <w:p/>
    <w:p>
      <w:pPr>
        <w:pStyle w:val="Heading2"/>
      </w:pPr>
      <w:r>
        <w:rPr>
          <w:color w:val="2E74B5"/>
        </w:rPr>
        <w:t>Figure 3 — LLM Match Score Distribution</w:t>
      </w:r>
    </w:p>
    <w:p>
      <w:r>
        <w:rPr>
          <w:sz w:val="20"/>
        </w:rPr>
        <w:t>Gemma consistently assigns scores in the 3–6 range (mean=4.74, std=0.99). The absence of high scores (7–10) reflects the limitations of hash embeddings — the retrieved jobs are lexically similar but not semantically optimal. A neural embedding model would likely retrieve more semantically relevant jobs and yield higher match scores.</w:t>
      </w:r>
    </w:p>
    <w:p>
      <w:pPr>
        <w:jc w:val="center"/>
      </w:pPr>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plot3_match_scores.png"/>
                    <pic:cNvPicPr/>
                  </pic:nvPicPr>
                  <pic:blipFill>
                    <a:blip r:embed="rId11"/>
                    <a:stretch>
                      <a:fillRect/>
                    </a:stretch>
                  </pic:blipFill>
                  <pic:spPr>
                    <a:xfrm>
                      <a:off x="0" y="0"/>
                      <a:ext cx="5029200" cy="2873829"/>
                    </a:xfrm>
                    <a:prstGeom prst="rect"/>
                  </pic:spPr>
                </pic:pic>
              </a:graphicData>
            </a:graphic>
          </wp:inline>
        </w:drawing>
      </w:r>
    </w:p>
    <w:p>
      <w:pPr>
        <w:jc w:val="center"/>
      </w:pPr>
      <w:r>
        <w:rPr>
          <w:i/>
          <w:color w:val="606060"/>
          <w:sz w:val="18"/>
        </w:rPr>
        <w:t>Figure 3. Distribution of LLM match scores (1–10) across all 95 scored jobs.</w:t>
      </w:r>
    </w:p>
    <w:p/>
    <w:p>
      <w:pPr>
        <w:pStyle w:val="Heading2"/>
      </w:pPr>
      <w:r>
        <w:rPr>
          <w:color w:val="2E74B5"/>
        </w:rPr>
        <w:t>Figure 4 — Latency Breakdown</w:t>
      </w:r>
    </w:p>
    <w:p>
      <w:r>
        <w:rPr>
          <w:sz w:val="20"/>
        </w:rPr>
        <w:t>Retrieval latency averages ~2.1s (Pinecone query + network). Generation latency averages ~30s (Gemma API call). Generation dominates total latency. The high std in retrieval (~2s) is due to Pinecone cold-start on the first query per session; subsequent queries benefit from connection reuse.</w:t>
      </w:r>
    </w:p>
    <w:p>
      <w:pPr>
        <w:jc w:val="center"/>
      </w:pPr>
      <w:r>
        <w:drawing>
          <wp:inline xmlns:a="http://schemas.openxmlformats.org/drawingml/2006/main" xmlns:pic="http://schemas.openxmlformats.org/drawingml/2006/picture">
            <wp:extent cx="5029200" cy="2235200"/>
            <wp:docPr id="4" name="Picture 4"/>
            <wp:cNvGraphicFramePr>
              <a:graphicFrameLocks noChangeAspect="1"/>
            </wp:cNvGraphicFramePr>
            <a:graphic>
              <a:graphicData uri="http://schemas.openxmlformats.org/drawingml/2006/picture">
                <pic:pic>
                  <pic:nvPicPr>
                    <pic:cNvPr id="0" name="plot4_latency.png"/>
                    <pic:cNvPicPr/>
                  </pic:nvPicPr>
                  <pic:blipFill>
                    <a:blip r:embed="rId12"/>
                    <a:stretch>
                      <a:fillRect/>
                    </a:stretch>
                  </pic:blipFill>
                  <pic:spPr>
                    <a:xfrm>
                      <a:off x="0" y="0"/>
                      <a:ext cx="5029200" cy="2235200"/>
                    </a:xfrm>
                    <a:prstGeom prst="rect"/>
                  </pic:spPr>
                </pic:pic>
              </a:graphicData>
            </a:graphic>
          </wp:inline>
        </w:drawing>
      </w:r>
    </w:p>
    <w:p>
      <w:pPr>
        <w:jc w:val="center"/>
      </w:pPr>
      <w:r>
        <w:rPr>
          <w:i/>
          <w:color w:val="606060"/>
          <w:sz w:val="18"/>
        </w:rPr>
        <w:t>Figure 4. Retrieval vs generation latency per request (ms).</w:t>
      </w:r>
    </w:p>
    <w:p/>
    <w:p>
      <w:pPr>
        <w:pStyle w:val="Heading2"/>
      </w:pPr>
      <w:r>
        <w:rPr>
          <w:color w:val="2E74B5"/>
        </w:rPr>
        <w:t>Figure 5 — Reranking Ablation</w:t>
      </w:r>
    </w:p>
    <w:p>
      <w:r>
        <w:rPr>
          <w:sz w:val="20"/>
        </w:rPr>
        <w:t>The keyword-boost reranker has a negligible negative effect at small K and converges at K=10+. This is expected: the reranker is designed to promote profile-aligned jobs that Pinecone may have ranked lower due to lexical mismatch, at the cost of occasionally displacing a Gemma-preferred job from a top position.</w:t>
      </w:r>
    </w:p>
    <w:p>
      <w:pPr>
        <w:jc w:val="center"/>
      </w:pPr>
      <w:r>
        <w:drawing>
          <wp:inline xmlns:a="http://schemas.openxmlformats.org/drawingml/2006/main" xmlns:pic="http://schemas.openxmlformats.org/drawingml/2006/picture">
            <wp:extent cx="5029200" cy="2873829"/>
            <wp:docPr id="5" name="Picture 5"/>
            <wp:cNvGraphicFramePr>
              <a:graphicFrameLocks noChangeAspect="1"/>
            </wp:cNvGraphicFramePr>
            <a:graphic>
              <a:graphicData uri="http://schemas.openxmlformats.org/drawingml/2006/picture">
                <pic:pic>
                  <pic:nvPicPr>
                    <pic:cNvPr id="0" name="plot5_rerank_ablation.png"/>
                    <pic:cNvPicPr/>
                  </pic:nvPicPr>
                  <pic:blipFill>
                    <a:blip r:embed="rId13"/>
                    <a:stretch>
                      <a:fillRect/>
                    </a:stretch>
                  </pic:blipFill>
                  <pic:spPr>
                    <a:xfrm>
                      <a:off x="0" y="0"/>
                      <a:ext cx="5029200" cy="2873829"/>
                    </a:xfrm>
                    <a:prstGeom prst="rect"/>
                  </pic:spPr>
                </pic:pic>
              </a:graphicData>
            </a:graphic>
          </wp:inline>
        </w:drawing>
      </w:r>
    </w:p>
    <w:p>
      <w:pPr>
        <w:jc w:val="center"/>
      </w:pPr>
      <w:r>
        <w:rPr>
          <w:i/>
          <w:color w:val="606060"/>
          <w:sz w:val="18"/>
        </w:rPr>
        <w:t>Figure 5. NDCG@K before vs after reranking.</w:t>
      </w:r>
    </w:p>
    <w:p/>
    <w:p>
      <w:pPr>
        <w:pStyle w:val="Heading1"/>
      </w:pPr>
      <w:r>
        <w:rPr>
          <w:color w:val="1F4E79"/>
        </w:rPr>
        <w:t>7. Discussion &amp; Limitations</w:t>
      </w:r>
    </w:p>
    <w:p>
      <w:pPr>
        <w:pStyle w:val="Heading2"/>
      </w:pPr>
      <w:r>
        <w:rPr>
          <w:color w:val="2E74B5"/>
        </w:rPr>
        <w:t>Why RAGAS/DeepEval were not used</w:t>
      </w:r>
    </w:p>
    <w:p>
      <w:r>
        <w:rPr>
          <w:sz w:val="20"/>
        </w:rPr>
        <w:t>RAGAS and DeepEval require: (1) annotated question-answer pairs with ground-truth context, and (2) semantic embeddings to compute answer similarity. This system has neither — there are no labelled job-profile pairs, and the embeddings are hash-based (lexical), not semantic. All metrics are therefore approximated from available signals.</w:t>
      </w:r>
    </w:p>
    <w:p>
      <w:pPr>
        <w:pStyle w:val="Heading2"/>
      </w:pPr>
      <w:r>
        <w:rPr>
          <w:color w:val="2E74B5"/>
        </w:rPr>
        <w:t>Hash Embedding Limitations</w:t>
      </w:r>
    </w:p>
    <w:p>
      <w:r>
        <w:rPr>
          <w:sz w:val="20"/>
        </w:rPr>
        <w:t>SHA-256 hash embeddings map each token to a fixed vector position. Two synonymous tokens (e.g. 'ML' and 'machine learning') produce completely different embeddings with zero cosine overlap. This means the system cannot retrieve jobs based on semantic similarity — only exact or near-exact lexical overlap. This is the primary bottleneck for retrieval quality and explains the moderate NDCG (~0.69) and low match scores (~4.74/10).</w:t>
      </w:r>
    </w:p>
    <w:p>
      <w:pPr>
        <w:pStyle w:val="Heading2"/>
      </w:pPr>
      <w:r>
        <w:rPr>
          <w:color w:val="2E74B5"/>
        </w:rPr>
        <w:t>Absence of Feedback Data</w:t>
      </w:r>
    </w:p>
    <w:p>
      <w:r>
        <w:rPr>
          <w:sz w:val="20"/>
        </w:rPr>
        <w:t>Recall@K, Hit@K, MRR, and MAP@K all require user feedback ratings. None were collected during this evaluation run (the feedback table was empty). These metrics would be computable if users rated recommended jobs through the application's feedback endpoint. Even a small sample of 20–30 rated sessions would enable meaningful feedback-based evaluation.</w:t>
      </w:r>
    </w:p>
    <w:p>
      <w:pPr>
        <w:pStyle w:val="Heading2"/>
      </w:pPr>
      <w:r>
        <w:rPr>
          <w:color w:val="2E74B5"/>
        </w:rPr>
        <w:t>Self-Evaluation Bias</w:t>
      </w:r>
    </w:p>
    <w:p>
      <w:r>
        <w:rPr>
          <w:sz w:val="20"/>
        </w:rPr>
        <w:t>LLM match scores are generated by the same model (Gemma) that produces the recommendations. This introduces self-evaluation bias — the model may rate its own outputs higher than an independent evaluator would. The LLM-as-judge metric (disabled in this run) partially mitigates this by using a separate prompt, but does not eliminate the bias entirely.</w:t>
      </w:r>
    </w:p>
    <w:p>
      <w:pPr>
        <w:pStyle w:val="Heading1"/>
      </w:pPr>
      <w:r>
        <w:rPr>
          <w:color w:val="1F4E79"/>
        </w:rPr>
        <w:t>8. Conclusion</w:t>
      </w:r>
    </w:p>
    <w:p>
      <w:r>
        <w:rPr>
          <w:sz w:val="20"/>
        </w:rPr>
        <w:t>The JobMatch AI RAG pipeline achieves reasonable retrieval quality given the constraints of hash-based embeddings. Key findings:</w:t>
      </w:r>
    </w:p>
    <w:p>
      <w:pPr>
        <w:pStyle w:val="ListBullet"/>
        <w:spacing w:after="60"/>
      </w:pPr>
      <w:r>
        <w:rPr>
          <w:sz w:val="20"/>
        </w:rPr>
        <w:t>Precision@K=1.0 at K&lt;=5 confirms that retrieved jobs are consistently above-median relevance.</w:t>
      </w:r>
    </w:p>
    <w:p>
      <w:pPr>
        <w:pStyle w:val="ListBullet"/>
        <w:spacing w:after="60"/>
      </w:pPr>
      <w:r>
        <w:rPr>
          <w:sz w:val="20"/>
        </w:rPr>
        <w:t>NDCG@10=0.69 indicates the ranking is meaningful but not optimal — the top-5 LLM-selected jobs are not always the top-5 by Pinecone score.</w:t>
      </w:r>
    </w:p>
    <w:p>
      <w:pPr>
        <w:pStyle w:val="ListBullet"/>
        <w:spacing w:after="60"/>
      </w:pPr>
      <w:r>
        <w:rPr>
          <w:sz w:val="20"/>
        </w:rPr>
        <w:t>Faithfulness=1.0 confirms the LLM does not hallucinate jobs outside the retrieved candidate set.</w:t>
      </w:r>
    </w:p>
    <w:p>
      <w:pPr>
        <w:pStyle w:val="ListBullet"/>
        <w:spacing w:after="60"/>
      </w:pPr>
      <w:r>
        <w:rPr>
          <w:sz w:val="20"/>
        </w:rPr>
        <w:t>Format Consistency=0.75 is high; the two failing rules are due to Gemma's output style variation rather than structural failure.</w:t>
      </w:r>
    </w:p>
    <w:p>
      <w:pPr>
        <w:pStyle w:val="ListBullet"/>
        <w:spacing w:after="60"/>
      </w:pPr>
      <w:r>
        <w:rPr>
          <w:sz w:val="20"/>
        </w:rPr>
        <w:t>Reranking has minimal effect on NDCG, suggesting its value lies in profile alignment and diversity rather than raw ranking quality.</w:t>
      </w:r>
    </w:p>
    <w:p>
      <w:pPr>
        <w:pStyle w:val="ListBullet"/>
        <w:spacing w:after="60"/>
      </w:pPr>
      <w:r>
        <w:rPr>
          <w:sz w:val="20"/>
        </w:rPr>
        <w:t>End-to-end latency is dominated by Gemma generation (~30s); retrieval is fast (~2s on average).</w:t>
      </w:r>
    </w:p>
    <w:p>
      <w:pPr>
        <w:pStyle w:val="ListBullet"/>
        <w:spacing w:after="60"/>
      </w:pPr>
      <w:r>
        <w:rPr>
          <w:sz w:val="20"/>
        </w:rPr>
        <w:t>Replacing SHA-256 hash embeddings with a neural embedding model is the single highest-impact improvement for retrieval quality.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