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A1A"/>
          <w:sz w:val="30"/>
        </w:rPr>
        <w:t>Deliverable 1 — Requirements Table</w:t>
      </w:r>
    </w:p>
    <w:p>
      <w:pPr>
        <w:spacing w:after="160"/>
      </w:pPr>
      <w:r>
        <w:rPr>
          <w:i/>
          <w:color w:val="555555"/>
          <w:sz w:val="19"/>
        </w:rPr>
        <w:t>Campus Placement &amp; Internship Pipeline  •  Requirements Engineering &amp; UML Use-Case Modelling</w:t>
      </w:r>
    </w:p>
    <w:tbl>
      <w:tblPr>
        <w:tblStyle w:val="TableGrid"/>
        <w:tblW w:type="auto" w:w="0"/>
        <w:jc w:val="left"/>
        <w:tblLook w:firstColumn="1" w:firstRow="1" w:lastColumn="0" w:lastRow="0" w:noHBand="0" w:noVBand="1" w:val="04A0"/>
      </w:tblPr>
      <w:tblGrid>
        <w:gridCol w:w="3884"/>
        <w:gridCol w:w="3884"/>
        <w:gridCol w:w="3884"/>
        <w:gridCol w:w="3884"/>
      </w:tblGrid>
      <w:tr>
        <w:tc>
          <w:tcPr>
            <w:tcW w:type="dxa" w:w="3884"/>
            <w:shd w:val="clear" w:fill="2F5C9E"/>
          </w:tcPr>
          <w:p>
            <w:pPr>
              <w:spacing w:before="20" w:after="20"/>
            </w:pPr>
            <w:r/>
            <w:r>
              <w:rPr>
                <w:rFonts w:ascii="Calibri" w:hAnsi="Calibri"/>
                <w:b/>
                <w:color w:val="FFFFFF"/>
                <w:sz w:val="16"/>
              </w:rPr>
              <w:t>Name</w:t>
            </w:r>
          </w:p>
        </w:tc>
        <w:tc>
          <w:tcPr>
            <w:tcW w:type="dxa" w:w="3884"/>
            <w:shd w:val="clear" w:fill="2F5C9E"/>
          </w:tcPr>
          <w:p>
            <w:pPr>
              <w:spacing w:before="20" w:after="20"/>
            </w:pPr>
            <w:r/>
            <w:r>
              <w:rPr>
                <w:rFonts w:ascii="Calibri" w:hAnsi="Calibri"/>
                <w:b/>
                <w:color w:val="FFFFFF"/>
                <w:sz w:val="16"/>
              </w:rPr>
              <w:t>SRN</w:t>
            </w:r>
          </w:p>
        </w:tc>
        <w:tc>
          <w:tcPr>
            <w:tcW w:type="dxa" w:w="3884"/>
            <w:shd w:val="clear" w:fill="2F5C9E"/>
          </w:tcPr>
          <w:p>
            <w:pPr>
              <w:spacing w:before="20" w:after="20"/>
            </w:pPr>
            <w:r/>
            <w:r>
              <w:rPr>
                <w:rFonts w:ascii="Calibri" w:hAnsi="Calibri"/>
                <w:b/>
                <w:color w:val="FFFFFF"/>
                <w:sz w:val="16"/>
              </w:rPr>
              <w:t>Course</w:t>
            </w:r>
          </w:p>
        </w:tc>
        <w:tc>
          <w:tcPr>
            <w:tcW w:type="dxa" w:w="3884"/>
            <w:shd w:val="clear" w:fill="2F5C9E"/>
          </w:tcPr>
          <w:p>
            <w:pPr>
              <w:spacing w:before="20" w:after="20"/>
            </w:pPr>
            <w:r/>
            <w:r>
              <w:rPr>
                <w:rFonts w:ascii="Calibri" w:hAnsi="Calibri"/>
                <w:b/>
                <w:color w:val="FFFFFF"/>
                <w:sz w:val="16"/>
              </w:rPr>
              <w:t>Problem Statement</w:t>
            </w:r>
          </w:p>
        </w:tc>
      </w:tr>
      <w:tr>
        <w:tc>
          <w:tcPr>
            <w:tcW w:type="dxa" w:w="3884"/>
          </w:tcPr>
          <w:p>
            <w:pPr>
              <w:spacing w:before="20" w:after="20"/>
            </w:pPr>
            <w:r/>
            <w:r>
              <w:rPr>
                <w:rFonts w:ascii="Calibri" w:hAnsi="Calibri"/>
                <w:b w:val="0"/>
                <w:sz w:val="17"/>
              </w:rPr>
              <w:t>Aaditya Shankar Chandan</w:t>
            </w:r>
          </w:p>
        </w:tc>
        <w:tc>
          <w:tcPr>
            <w:tcW w:type="dxa" w:w="3884"/>
          </w:tcPr>
          <w:p>
            <w:pPr>
              <w:spacing w:before="20" w:after="20"/>
            </w:pPr>
            <w:r/>
            <w:r>
              <w:rPr>
                <w:rFonts w:ascii="Calibri" w:hAnsi="Calibri"/>
                <w:b w:val="0"/>
                <w:sz w:val="17"/>
              </w:rPr>
              <w:t>PES1UG24CS003</w:t>
            </w:r>
          </w:p>
        </w:tc>
        <w:tc>
          <w:tcPr>
            <w:tcW w:type="dxa" w:w="3884"/>
          </w:tcPr>
          <w:p>
            <w:pPr>
              <w:spacing w:before="20" w:after="20"/>
            </w:pPr>
            <w:r/>
            <w:r>
              <w:rPr>
                <w:rFonts w:ascii="Calibri" w:hAnsi="Calibri"/>
                <w:b w:val="0"/>
                <w:sz w:val="17"/>
              </w:rPr>
              <w:t>Software Engineering - Lab 1</w:t>
            </w:r>
          </w:p>
        </w:tc>
        <w:tc>
          <w:tcPr>
            <w:tcW w:type="dxa" w:w="3884"/>
          </w:tcPr>
          <w:p>
            <w:pPr>
              <w:spacing w:before="20" w:after="20"/>
            </w:pPr>
            <w:r/>
            <w:r>
              <w:rPr>
                <w:rFonts w:ascii="Calibri" w:hAnsi="Calibri"/>
                <w:b w:val="0"/>
                <w:sz w:val="17"/>
              </w:rPr>
              <w:t>Problem Statement #03 | Campus &amp; Academic Operations</w:t>
            </w:r>
          </w:p>
        </w:tc>
      </w:tr>
    </w:tbl>
    <w:p>
      <w:pPr>
        <w:spacing w:after="40"/>
      </w:pPr>
    </w:p>
    <w:p>
      <w:pPr>
        <w:spacing w:after="120"/>
      </w:pPr>
      <w:r>
        <w:rPr>
          <w:b/>
          <w:sz w:val="17"/>
        </w:rPr>
        <w:t xml:space="preserve">Scenario: </w:t>
      </w:r>
      <w:r>
        <w:rPr>
          <w:sz w:val="17"/>
        </w:rPr>
        <w:t>The campus placement cell manages hundreds of corporate drives with varying eligibility criteria. The platform must parse student resumes, apply multi-tier CGPA and backlog filters, manage multi-round interview queues, and process offer letters.</w:t>
      </w:r>
    </w:p>
    <w:tbl>
      <w:tblPr>
        <w:tblStyle w:val="TableGrid"/>
        <w:tblW w:type="auto" w:w="0"/>
        <w:tblLayout w:type="fixed"/>
        <w:tblLook w:firstColumn="1" w:firstRow="1" w:lastColumn="0" w:lastRow="0" w:noHBand="0" w:noVBand="1" w:val="04A0"/>
      </w:tblPr>
      <w:tblGrid>
        <w:gridCol w:w="2220"/>
        <w:gridCol w:w="2220"/>
        <w:gridCol w:w="2220"/>
        <w:gridCol w:w="2220"/>
        <w:gridCol w:w="2220"/>
        <w:gridCol w:w="2220"/>
        <w:gridCol w:w="2220"/>
      </w:tblGrid>
      <w:tr>
        <w:tc>
          <w:tcPr>
            <w:tcW w:type="dxa" w:w="893"/>
            <w:shd w:val="clear" w:fill="2F5C9E"/>
          </w:tcPr>
          <w:p>
            <w:pPr>
              <w:spacing w:before="20" w:after="20"/>
            </w:pPr>
            <w:r/>
            <w:r>
              <w:rPr>
                <w:rFonts w:ascii="Calibri" w:hAnsi="Calibri"/>
                <w:b/>
                <w:color w:val="FFFFFF"/>
                <w:sz w:val="16"/>
              </w:rPr>
              <w:t>Req ID</w:t>
            </w:r>
          </w:p>
        </w:tc>
        <w:tc>
          <w:tcPr>
            <w:tcW w:type="dxa" w:w="1368"/>
            <w:shd w:val="clear" w:fill="2F5C9E"/>
          </w:tcPr>
          <w:p>
            <w:pPr>
              <w:spacing w:before="20" w:after="20"/>
            </w:pPr>
            <w:r/>
            <w:r>
              <w:rPr>
                <w:rFonts w:ascii="Calibri" w:hAnsi="Calibri"/>
                <w:b/>
                <w:color w:val="FFFFFF"/>
                <w:sz w:val="16"/>
              </w:rPr>
              <w:t>Type</w:t>
            </w:r>
          </w:p>
        </w:tc>
        <w:tc>
          <w:tcPr>
            <w:tcW w:type="dxa" w:w="3672"/>
            <w:shd w:val="clear" w:fill="2F5C9E"/>
          </w:tcPr>
          <w:p>
            <w:pPr>
              <w:spacing w:before="20" w:after="20"/>
            </w:pPr>
            <w:r/>
            <w:r>
              <w:rPr>
                <w:rFonts w:ascii="Calibri" w:hAnsi="Calibri"/>
                <w:b/>
                <w:color w:val="FFFFFF"/>
                <w:sz w:val="16"/>
              </w:rPr>
              <w:t>Description (“The system shall …”)</w:t>
            </w:r>
          </w:p>
        </w:tc>
        <w:tc>
          <w:tcPr>
            <w:tcW w:type="dxa" w:w="749"/>
            <w:shd w:val="clear" w:fill="2F5C9E"/>
          </w:tcPr>
          <w:p>
            <w:pPr>
              <w:spacing w:before="20" w:after="20"/>
            </w:pPr>
            <w:r/>
            <w:r>
              <w:rPr>
                <w:rFonts w:ascii="Calibri" w:hAnsi="Calibri"/>
                <w:b/>
                <w:color w:val="FFFFFF"/>
                <w:sz w:val="16"/>
              </w:rPr>
              <w:t>Priority</w:t>
            </w:r>
          </w:p>
        </w:tc>
        <w:tc>
          <w:tcPr>
            <w:tcW w:type="dxa" w:w="3816"/>
            <w:shd w:val="clear" w:fill="2F5C9E"/>
          </w:tcPr>
          <w:p>
            <w:pPr>
              <w:spacing w:before="20" w:after="20"/>
            </w:pPr>
            <w:r/>
            <w:r>
              <w:rPr>
                <w:rFonts w:ascii="Calibri" w:hAnsi="Calibri"/>
                <w:b/>
                <w:color w:val="FFFFFF"/>
                <w:sz w:val="16"/>
              </w:rPr>
              <w:t>Acceptance Criteria (measurable pass/fail)</w:t>
            </w:r>
          </w:p>
        </w:tc>
        <w:tc>
          <w:tcPr>
            <w:tcW w:type="dxa" w:w="2520"/>
            <w:shd w:val="clear" w:fill="2F5C9E"/>
          </w:tcPr>
          <w:p>
            <w:pPr>
              <w:spacing w:before="20" w:after="20"/>
            </w:pPr>
            <w:r/>
            <w:r>
              <w:rPr>
                <w:rFonts w:ascii="Calibri" w:hAnsi="Calibri"/>
                <w:b/>
                <w:color w:val="FFFFFF"/>
                <w:sz w:val="16"/>
              </w:rPr>
              <w:t>Rationale</w:t>
            </w:r>
          </w:p>
        </w:tc>
        <w:tc>
          <w:tcPr>
            <w:tcW w:type="dxa" w:w="2520"/>
            <w:shd w:val="clear" w:fill="2F5C9E"/>
          </w:tcPr>
          <w:p>
            <w:pPr>
              <w:spacing w:before="20" w:after="20"/>
            </w:pPr>
            <w:r/>
            <w:r>
              <w:rPr>
                <w:rFonts w:ascii="Calibri" w:hAnsi="Calibri"/>
                <w:b/>
                <w:color w:val="FFFFFF"/>
                <w:sz w:val="16"/>
              </w:rPr>
              <w:t>Comments (peer critique → revision)</w:t>
            </w:r>
          </w:p>
        </w:tc>
      </w:tr>
      <w:tr>
        <w:tc>
          <w:tcPr>
            <w:tcW w:type="dxa" w:w="893"/>
          </w:tcPr>
          <w:p>
            <w:pPr>
              <w:spacing w:before="20" w:after="20"/>
            </w:pPr>
            <w:r/>
            <w:r>
              <w:rPr>
                <w:rFonts w:ascii="Calibri" w:hAnsi="Calibri"/>
                <w:b/>
                <w:sz w:val="14"/>
              </w:rPr>
              <w:t>FR-001</w:t>
            </w:r>
          </w:p>
        </w:tc>
        <w:tc>
          <w:tcPr>
            <w:tcW w:type="dxa" w:w="1368"/>
          </w:tcPr>
          <w:p>
            <w:pPr>
              <w:spacing w:before="20" w:after="20"/>
            </w:pPr>
            <w:r/>
            <w:r>
              <w:rPr>
                <w:rFonts w:ascii="Calibri" w:hAnsi="Calibri"/>
                <w:b w:val="0"/>
                <w:sz w:val="14"/>
              </w:rPr>
              <w:t>Functional</w:t>
            </w:r>
          </w:p>
        </w:tc>
        <w:tc>
          <w:tcPr>
            <w:tcW w:type="dxa" w:w="3672"/>
          </w:tcPr>
          <w:p>
            <w:pPr>
              <w:spacing w:before="20" w:after="20"/>
            </w:pPr>
            <w:r/>
            <w:r>
              <w:rPr>
                <w:rFonts w:ascii="Calibri" w:hAnsi="Calibri"/>
                <w:b w:val="0"/>
                <w:sz w:val="14"/>
              </w:rPr>
              <w:t>The system shall parse an uploaded student resume (PDF, up to 5 MB), extract skill tags onto the student profile, and evaluate the profile against the eligibility rule set of every active drive, recording a per-tier verdict with a discrepancy reason.</w:t>
            </w:r>
          </w:p>
        </w:tc>
        <w:tc>
          <w:tcPr>
            <w:tcW w:type="dxa" w:w="749"/>
          </w:tcPr>
          <w:p>
            <w:pPr>
              <w:spacing w:before="20" w:after="20"/>
            </w:pPr>
            <w:r/>
            <w:r>
              <w:rPr>
                <w:rFonts w:ascii="Calibri" w:hAnsi="Calibri"/>
                <w:b w:val="0"/>
                <w:sz w:val="14"/>
              </w:rPr>
              <w:t>High</w:t>
            </w:r>
          </w:p>
        </w:tc>
        <w:tc>
          <w:tcPr>
            <w:tcW w:type="dxa" w:w="3816"/>
          </w:tcPr>
          <w:p>
            <w:pPr>
              <w:spacing w:before="20" w:after="20"/>
            </w:pPr>
            <w:r/>
            <w:r>
              <w:rPr>
                <w:rFonts w:ascii="Calibri" w:hAnsi="Calibri"/>
                <w:b w:val="0"/>
                <w:sz w:val="14"/>
              </w:rPr>
              <w:t>PASS: for a student holding an active backlog, every drive requiring zero backlogs is marked Ineligible with reason ACTIVE_BACKLOG, and the extracted skill tags appear on the profile within 30 seconds of upload. FAIL: a student with an active backlog is shown as Eligible for a zero-backlog drive, or a resume is accepted with no skill tags extracted.</w:t>
            </w:r>
          </w:p>
        </w:tc>
        <w:tc>
          <w:tcPr>
            <w:tcW w:type="dxa" w:w="2520"/>
          </w:tcPr>
          <w:p>
            <w:pPr>
              <w:spacing w:before="20" w:after="20"/>
            </w:pPr>
            <w:r/>
            <w:r>
              <w:rPr>
                <w:rFonts w:ascii="Calibri" w:hAnsi="Calibri"/>
                <w:b w:val="0"/>
                <w:sz w:val="14"/>
              </w:rPr>
              <w:t>Eligibility screening is the gate for every later stage of the pipeline; an applicant who slips past a backlog rule consumes a recruiter's interview slot and costs the cell credibility with the company.</w:t>
            </w:r>
          </w:p>
        </w:tc>
        <w:tc>
          <w:tcPr>
            <w:tcW w:type="dxa" w:w="2520"/>
          </w:tcPr>
          <w:p>
            <w:pPr>
              <w:spacing w:before="20" w:after="20"/>
            </w:pPr>
            <w:r/>
            <w:r>
              <w:rPr>
                <w:rFonts w:ascii="Calibri" w:hAnsi="Calibri"/>
                <w:b w:val="0"/>
                <w:sz w:val="14"/>
              </w:rPr>
              <w:t>Peer: "Does 'filtered out' mean the drive disappears?" -&gt; reworded: ineligible drives stay visible with the failing tier named, so a student can contest a stale record. (Given requirement, refined.)</w:t>
            </w:r>
          </w:p>
        </w:tc>
      </w:tr>
      <w:tr>
        <w:tc>
          <w:tcPr>
            <w:tcW w:type="dxa" w:w="893"/>
            <w:shd w:val="clear" w:fill="F4F7FC"/>
          </w:tcPr>
          <w:p>
            <w:pPr>
              <w:spacing w:before="20" w:after="20"/>
            </w:pPr>
            <w:r/>
            <w:r>
              <w:rPr>
                <w:rFonts w:ascii="Calibri" w:hAnsi="Calibri"/>
                <w:b/>
                <w:sz w:val="14"/>
              </w:rPr>
              <w:t>FR-002</w:t>
            </w:r>
          </w:p>
        </w:tc>
        <w:tc>
          <w:tcPr>
            <w:tcW w:type="dxa" w:w="1368"/>
            <w:shd w:val="clear" w:fill="F4F7FC"/>
          </w:tcPr>
          <w:p>
            <w:pPr>
              <w:spacing w:before="20" w:after="20"/>
            </w:pPr>
            <w:r/>
            <w:r>
              <w:rPr>
                <w:rFonts w:ascii="Calibri" w:hAnsi="Calibri"/>
                <w:b w:val="0"/>
                <w:sz w:val="14"/>
              </w:rPr>
              <w:t>Functional</w:t>
            </w:r>
          </w:p>
        </w:tc>
        <w:tc>
          <w:tcPr>
            <w:tcW w:type="dxa" w:w="3672"/>
            <w:shd w:val="clear" w:fill="F4F7FC"/>
          </w:tcPr>
          <w:p>
            <w:pPr>
              <w:spacing w:before="20" w:after="20"/>
            </w:pPr>
            <w:r/>
            <w:r>
              <w:rPr>
                <w:rFonts w:ascii="Calibri" w:hAnsi="Calibri"/>
                <w:b w:val="0"/>
                <w:sz w:val="14"/>
              </w:rPr>
              <w:t>The system shall allow a Placement Officer to publish a corporate drive specifying an application window, a round structure, and a multi-tier eligibility rule set covering minimum CGPA, maximum active backlogs, permitted branches and a prior-offer cap.</w:t>
            </w:r>
          </w:p>
        </w:tc>
        <w:tc>
          <w:tcPr>
            <w:tcW w:type="dxa" w:w="749"/>
            <w:shd w:val="clear" w:fill="F4F7FC"/>
          </w:tcPr>
          <w:p>
            <w:pPr>
              <w:spacing w:before="20" w:after="20"/>
            </w:pPr>
            <w:r/>
            <w:r>
              <w:rPr>
                <w:rFonts w:ascii="Calibri" w:hAnsi="Calibri"/>
                <w:b w:val="0"/>
                <w:sz w:val="14"/>
              </w:rPr>
              <w:t>High</w:t>
            </w:r>
          </w:p>
        </w:tc>
        <w:tc>
          <w:tcPr>
            <w:tcW w:type="dxa" w:w="3816"/>
            <w:shd w:val="clear" w:fill="F4F7FC"/>
          </w:tcPr>
          <w:p>
            <w:pPr>
              <w:spacing w:before="20" w:after="20"/>
            </w:pPr>
            <w:r/>
            <w:r>
              <w:rPr>
                <w:rFonts w:ascii="Calibri" w:hAnsi="Calibri"/>
                <w:b w:val="0"/>
                <w:sz w:val="14"/>
              </w:rPr>
              <w:t>PASS: a published drive refuses an application from a student who violates any single tier, and the refusal names the tier violated. FAIL: a drive can be published with no CGPA tier and no backlog tier set, or a student violating one tier can still apply.</w:t>
            </w:r>
          </w:p>
        </w:tc>
        <w:tc>
          <w:tcPr>
            <w:tcW w:type="dxa" w:w="2520"/>
            <w:shd w:val="clear" w:fill="F4F7FC"/>
          </w:tcPr>
          <w:p>
            <w:pPr>
              <w:spacing w:before="20" w:after="20"/>
            </w:pPr>
            <w:r/>
            <w:r>
              <w:rPr>
                <w:rFonts w:ascii="Calibri" w:hAnsi="Calibri"/>
                <w:b w:val="0"/>
                <w:sz w:val="14"/>
              </w:rPr>
              <w:t>Every company sets its own thresholds; encoding them once at publish time is what makes the automated screening in FR-001 possible instead of a manual spreadsheet pass.</w:t>
            </w:r>
          </w:p>
        </w:tc>
        <w:tc>
          <w:tcPr>
            <w:tcW w:type="dxa" w:w="2520"/>
            <w:shd w:val="clear" w:fill="F4F7FC"/>
          </w:tcPr>
          <w:p>
            <w:pPr>
              <w:spacing w:before="20" w:after="20"/>
            </w:pPr>
            <w:r/>
            <w:r>
              <w:rPr>
                <w:rFonts w:ascii="Calibri" w:hAnsi="Calibri"/>
                <w:b w:val="0"/>
                <w:sz w:val="14"/>
              </w:rPr>
              <w:t>Peer: "What about a company with no branch restriction?" -&gt; the branch list defaults to 'all programmes' rather than being a mandatory field.</w:t>
            </w:r>
          </w:p>
        </w:tc>
      </w:tr>
      <w:tr>
        <w:tc>
          <w:tcPr>
            <w:tcW w:type="dxa" w:w="893"/>
          </w:tcPr>
          <w:p>
            <w:pPr>
              <w:spacing w:before="20" w:after="20"/>
            </w:pPr>
            <w:r/>
            <w:r>
              <w:rPr>
                <w:rFonts w:ascii="Calibri" w:hAnsi="Calibri"/>
                <w:b/>
                <w:sz w:val="14"/>
              </w:rPr>
              <w:t>FR-003</w:t>
            </w:r>
          </w:p>
        </w:tc>
        <w:tc>
          <w:tcPr>
            <w:tcW w:type="dxa" w:w="1368"/>
          </w:tcPr>
          <w:p>
            <w:pPr>
              <w:spacing w:before="20" w:after="20"/>
            </w:pPr>
            <w:r/>
            <w:r>
              <w:rPr>
                <w:rFonts w:ascii="Calibri" w:hAnsi="Calibri"/>
                <w:b w:val="0"/>
                <w:sz w:val="14"/>
              </w:rPr>
              <w:t>Functional</w:t>
            </w:r>
          </w:p>
        </w:tc>
        <w:tc>
          <w:tcPr>
            <w:tcW w:type="dxa" w:w="3672"/>
          </w:tcPr>
          <w:p>
            <w:pPr>
              <w:spacing w:before="20" w:after="20"/>
            </w:pPr>
            <w:r/>
            <w:r>
              <w:rPr>
                <w:rFonts w:ascii="Calibri" w:hAnsi="Calibri"/>
                <w:b w:val="0"/>
                <w:sz w:val="14"/>
              </w:rPr>
              <w:t>The system shall allow a Student Applicant to apply to any drive for which they are marked Eligible at any time before the application window closes, and shall refuse the application once the window has closed or the student's prior-offer cap is reached.</w:t>
            </w:r>
          </w:p>
        </w:tc>
        <w:tc>
          <w:tcPr>
            <w:tcW w:type="dxa" w:w="749"/>
          </w:tcPr>
          <w:p>
            <w:pPr>
              <w:spacing w:before="20" w:after="20"/>
            </w:pPr>
            <w:r/>
            <w:r>
              <w:rPr>
                <w:rFonts w:ascii="Calibri" w:hAnsi="Calibri"/>
                <w:b w:val="0"/>
                <w:sz w:val="14"/>
              </w:rPr>
              <w:t>High</w:t>
            </w:r>
          </w:p>
        </w:tc>
        <w:tc>
          <w:tcPr>
            <w:tcW w:type="dxa" w:w="3816"/>
          </w:tcPr>
          <w:p>
            <w:pPr>
              <w:spacing w:before="20" w:after="20"/>
            </w:pPr>
            <w:r/>
            <w:r>
              <w:rPr>
                <w:rFonts w:ascii="Calibri" w:hAnsi="Calibri"/>
                <w:b w:val="0"/>
                <w:sz w:val="14"/>
              </w:rPr>
              <w:t>PASS: an application submitted 1 minute before the window closes is accepted and appears in the recruiter's applicant list; one submitted 1 minute after is refused with reason WINDOW_CLOSED, and a student already at the cap is refused with reason OFFER_CAP_REACHED. FAIL: a late application is accepted, or an eligible in-window application is refused.</w:t>
            </w:r>
          </w:p>
        </w:tc>
        <w:tc>
          <w:tcPr>
            <w:tcW w:type="dxa" w:w="2520"/>
          </w:tcPr>
          <w:p>
            <w:pPr>
              <w:spacing w:before="20" w:after="20"/>
            </w:pPr>
            <w:r/>
            <w:r>
              <w:rPr>
                <w:rFonts w:ascii="Calibri" w:hAnsi="Calibri"/>
                <w:b w:val="0"/>
                <w:sz w:val="14"/>
              </w:rPr>
              <w:t>The application window is contractual with the visiting company; accepting a late application forces the cell to reconcile the shortlist by hand after it has been sent.</w:t>
            </w:r>
          </w:p>
        </w:tc>
        <w:tc>
          <w:tcPr>
            <w:tcW w:type="dxa" w:w="2520"/>
          </w:tcPr>
          <w:p>
            <w:pPr>
              <w:spacing w:before="20" w:after="20"/>
            </w:pPr>
            <w:r/>
            <w:r>
              <w:rPr>
                <w:rFonts w:ascii="Calibri" w:hAnsi="Calibri"/>
                <w:b w:val="0"/>
                <w:sz w:val="14"/>
              </w:rPr>
              <w:t>Peer: "Two different refusals are bundled into one requirement." -&gt; kept as one requirement because both are window/quota gates on the same action, but each now has its own reason code in the criteria.</w:t>
            </w:r>
          </w:p>
        </w:tc>
      </w:tr>
      <w:tr>
        <w:tc>
          <w:tcPr>
            <w:tcW w:type="dxa" w:w="893"/>
            <w:shd w:val="clear" w:fill="F4F7FC"/>
          </w:tcPr>
          <w:p>
            <w:pPr>
              <w:spacing w:before="20" w:after="20"/>
            </w:pPr>
            <w:r/>
            <w:r>
              <w:rPr>
                <w:rFonts w:ascii="Calibri" w:hAnsi="Calibri"/>
                <w:b/>
                <w:sz w:val="14"/>
              </w:rPr>
              <w:t>FR-004</w:t>
            </w:r>
          </w:p>
        </w:tc>
        <w:tc>
          <w:tcPr>
            <w:tcW w:type="dxa" w:w="1368"/>
            <w:shd w:val="clear" w:fill="F4F7FC"/>
          </w:tcPr>
          <w:p>
            <w:pPr>
              <w:spacing w:before="20" w:after="20"/>
            </w:pPr>
            <w:r/>
            <w:r>
              <w:rPr>
                <w:rFonts w:ascii="Calibri" w:hAnsi="Calibri"/>
                <w:b w:val="0"/>
                <w:sz w:val="14"/>
              </w:rPr>
              <w:t>Functional</w:t>
            </w:r>
          </w:p>
        </w:tc>
        <w:tc>
          <w:tcPr>
            <w:tcW w:type="dxa" w:w="3672"/>
            <w:shd w:val="clear" w:fill="F4F7FC"/>
          </w:tcPr>
          <w:p>
            <w:pPr>
              <w:spacing w:before="20" w:after="20"/>
            </w:pPr>
            <w:r/>
            <w:r>
              <w:rPr>
                <w:rFonts w:ascii="Calibri" w:hAnsi="Calibri"/>
                <w:b w:val="0"/>
                <w:sz w:val="14"/>
              </w:rPr>
              <w:t>The system shall allow a Company Recruiter to mark every applicant in a closing interview round as Advanced, Rejected or On Hold, and shall place advanced applicants in the queue for the next round while preserving each applicant's round history.</w:t>
            </w:r>
          </w:p>
        </w:tc>
        <w:tc>
          <w:tcPr>
            <w:tcW w:type="dxa" w:w="749"/>
            <w:shd w:val="clear" w:fill="F4F7FC"/>
          </w:tcPr>
          <w:p>
            <w:pPr>
              <w:spacing w:before="20" w:after="20"/>
            </w:pPr>
            <w:r/>
            <w:r>
              <w:rPr>
                <w:rFonts w:ascii="Calibri" w:hAnsi="Calibri"/>
                <w:b w:val="0"/>
                <w:sz w:val="14"/>
              </w:rPr>
              <w:t>High</w:t>
            </w:r>
          </w:p>
        </w:tc>
        <w:tc>
          <w:tcPr>
            <w:tcW w:type="dxa" w:w="3816"/>
            <w:shd w:val="clear" w:fill="F4F7FC"/>
          </w:tcPr>
          <w:p>
            <w:pPr>
              <w:spacing w:before="20" w:after="20"/>
            </w:pPr>
            <w:r/>
            <w:r>
              <w:rPr>
                <w:rFonts w:ascii="Calibri" w:hAnsi="Calibri"/>
                <w:b w:val="0"/>
                <w:sz w:val="14"/>
              </w:rPr>
              <w:t>PASS: once round N is closed every applicant carries exactly one outcome, advanced applicants appear in round N+1's queue, and rejected applicants appear in no later queue. FAIL: an applicant appears in two round queues at once, a rejected applicant reaches round N+1, or a round closes with an applicant left unmarked.</w:t>
            </w:r>
          </w:p>
        </w:tc>
        <w:tc>
          <w:tcPr>
            <w:tcW w:type="dxa" w:w="2520"/>
            <w:shd w:val="clear" w:fill="F4F7FC"/>
          </w:tcPr>
          <w:p>
            <w:pPr>
              <w:spacing w:before="20" w:after="20"/>
            </w:pPr>
            <w:r/>
            <w:r>
              <w:rPr>
                <w:rFonts w:ascii="Calibri" w:hAnsi="Calibri"/>
                <w:b w:val="0"/>
                <w:sz w:val="14"/>
              </w:rPr>
              <w:t>A drive runs three to five rounds across several days; without one authoritative queue the cell reconciles rounds over email and students receive contradictory call letters.</w:t>
            </w:r>
          </w:p>
        </w:tc>
        <w:tc>
          <w:tcPr>
            <w:tcW w:type="dxa" w:w="2520"/>
            <w:shd w:val="clear" w:fill="F4F7FC"/>
          </w:tcPr>
          <w:p>
            <w:pPr>
              <w:spacing w:before="20" w:after="20"/>
            </w:pPr>
            <w:r/>
            <w:r>
              <w:rPr>
                <w:rFonts w:ascii="Calibri" w:hAnsi="Calibri"/>
                <w:b w:val="0"/>
                <w:sz w:val="14"/>
              </w:rPr>
              <w:t>Peer: "'On Hold' is ambiguous - held until when?" -&gt; On Hold applicants stay in round N's pool and may be advanced until the drive is closed, then lapse to Rejected.</w:t>
            </w:r>
          </w:p>
        </w:tc>
      </w:tr>
      <w:tr>
        <w:tc>
          <w:tcPr>
            <w:tcW w:type="dxa" w:w="893"/>
          </w:tcPr>
          <w:p>
            <w:pPr>
              <w:spacing w:before="20" w:after="20"/>
            </w:pPr>
            <w:r/>
            <w:r>
              <w:rPr>
                <w:rFonts w:ascii="Calibri" w:hAnsi="Calibri"/>
                <w:b/>
                <w:sz w:val="14"/>
              </w:rPr>
              <w:t>FR-005</w:t>
            </w:r>
          </w:p>
        </w:tc>
        <w:tc>
          <w:tcPr>
            <w:tcW w:type="dxa" w:w="1368"/>
          </w:tcPr>
          <w:p>
            <w:pPr>
              <w:spacing w:before="20" w:after="20"/>
            </w:pPr>
            <w:r/>
            <w:r>
              <w:rPr>
                <w:rFonts w:ascii="Calibri" w:hAnsi="Calibri"/>
                <w:b w:val="0"/>
                <w:sz w:val="14"/>
              </w:rPr>
              <w:t>Functional</w:t>
            </w:r>
          </w:p>
        </w:tc>
        <w:tc>
          <w:tcPr>
            <w:tcW w:type="dxa" w:w="3672"/>
          </w:tcPr>
          <w:p>
            <w:pPr>
              <w:spacing w:before="20" w:after="20"/>
            </w:pPr>
            <w:r/>
            <w:r>
              <w:rPr>
                <w:rFonts w:ascii="Calibri" w:hAnsi="Calibri"/>
                <w:b w:val="0"/>
                <w:sz w:val="14"/>
              </w:rPr>
              <w:t>The system shall allow a Placement Officer to release an offer letter to a selected applicant recording company, role, CTC and acceptance deadline, and shall increment the student's accepted-offer count when the student accepts.</w:t>
            </w:r>
          </w:p>
        </w:tc>
        <w:tc>
          <w:tcPr>
            <w:tcW w:type="dxa" w:w="749"/>
          </w:tcPr>
          <w:p>
            <w:pPr>
              <w:spacing w:before="20" w:after="20"/>
            </w:pPr>
            <w:r/>
            <w:r>
              <w:rPr>
                <w:rFonts w:ascii="Calibri" w:hAnsi="Calibri"/>
                <w:b w:val="0"/>
                <w:sz w:val="14"/>
              </w:rPr>
              <w:t>High</w:t>
            </w:r>
          </w:p>
        </w:tc>
        <w:tc>
          <w:tcPr>
            <w:tcW w:type="dxa" w:w="3816"/>
          </w:tcPr>
          <w:p>
            <w:pPr>
              <w:spacing w:before="20" w:after="20"/>
            </w:pPr>
            <w:r/>
            <w:r>
              <w:rPr>
                <w:rFonts w:ascii="Calibri" w:hAnsi="Calibri"/>
                <w:b w:val="0"/>
                <w:sz w:val="14"/>
              </w:rPr>
              <w:t>PASS: on release the student is notified and the letter is downloadable; on acceptance the offer count increments and every drive above the student's prior-offer cap turns Ineligible. FAIL: an offer is released with no acceptance deadline, or an accepted offer leaves the student's eligibility for further drives unchanged.</w:t>
            </w:r>
          </w:p>
        </w:tc>
        <w:tc>
          <w:tcPr>
            <w:tcW w:type="dxa" w:w="2520"/>
          </w:tcPr>
          <w:p>
            <w:pPr>
              <w:spacing w:before="20" w:after="20"/>
            </w:pPr>
            <w:r/>
            <w:r>
              <w:rPr>
                <w:rFonts w:ascii="Calibri" w:hAnsi="Calibri"/>
                <w:b w:val="0"/>
                <w:sz w:val="14"/>
              </w:rPr>
              <w:t>The offer is the terminal event of the pipeline and the input to the one-offer policy that FR-003 enforces, so it must feed straight back into eligibility.</w:t>
            </w:r>
          </w:p>
        </w:tc>
        <w:tc>
          <w:tcPr>
            <w:tcW w:type="dxa" w:w="2520"/>
          </w:tcPr>
          <w:p>
            <w:pPr>
              <w:spacing w:before="20" w:after="20"/>
            </w:pPr>
            <w:r/>
            <w:r>
              <w:rPr>
                <w:rFonts w:ascii="Calibri" w:hAnsi="Calibri"/>
                <w:b w:val="0"/>
                <w:sz w:val="14"/>
              </w:rPr>
              <w:t>Peer: "Who is allowed to see the CTC?" -&gt; visibility limited to the student and the placement cell; the confidentiality obligation is carried by NFR-001.</w:t>
            </w:r>
          </w:p>
        </w:tc>
      </w:tr>
      <w:tr>
        <w:tc>
          <w:tcPr>
            <w:tcW w:type="dxa" w:w="893"/>
            <w:shd w:val="clear" w:fill="FFF7E8"/>
          </w:tcPr>
          <w:p>
            <w:pPr>
              <w:spacing w:before="20" w:after="20"/>
            </w:pPr>
            <w:r/>
            <w:r>
              <w:rPr>
                <w:rFonts w:ascii="Calibri" w:hAnsi="Calibri"/>
                <w:b/>
                <w:sz w:val="14"/>
              </w:rPr>
              <w:t>NFR-001</w:t>
            </w:r>
          </w:p>
        </w:tc>
        <w:tc>
          <w:tcPr>
            <w:tcW w:type="dxa" w:w="1368"/>
            <w:shd w:val="clear" w:fill="FFF7E8"/>
          </w:tcPr>
          <w:p>
            <w:pPr>
              <w:spacing w:before="20" w:after="20"/>
            </w:pPr>
            <w:r/>
            <w:r>
              <w:rPr>
                <w:rFonts w:ascii="Calibri" w:hAnsi="Calibri"/>
                <w:b w:val="0"/>
                <w:sz w:val="14"/>
              </w:rPr>
              <w:t>Nonfunctional - Performance &amp; Security</w:t>
            </w:r>
          </w:p>
        </w:tc>
        <w:tc>
          <w:tcPr>
            <w:tcW w:type="dxa" w:w="3672"/>
            <w:shd w:val="clear" w:fill="FFF7E8"/>
          </w:tcPr>
          <w:p>
            <w:pPr>
              <w:spacing w:before="20" w:after="20"/>
            </w:pPr>
            <w:r/>
            <w:r>
              <w:rPr>
                <w:rFonts w:ascii="Calibri" w:hAnsi="Calibri"/>
                <w:b w:val="0"/>
                <w:sz w:val="14"/>
              </w:rPr>
              <w:t>The system shall store all student academic records and offer documents encrypted at rest with AES-256, and shall serve an authenticated document download in under 3 seconds while the platform is under peak drive-season load.</w:t>
            </w:r>
          </w:p>
        </w:tc>
        <w:tc>
          <w:tcPr>
            <w:tcW w:type="dxa" w:w="749"/>
            <w:shd w:val="clear" w:fill="FFF7E8"/>
          </w:tcPr>
          <w:p>
            <w:pPr>
              <w:spacing w:before="20" w:after="20"/>
            </w:pPr>
            <w:r/>
            <w:r>
              <w:rPr>
                <w:rFonts w:ascii="Calibri" w:hAnsi="Calibri"/>
                <w:b w:val="0"/>
                <w:sz w:val="14"/>
              </w:rPr>
              <w:t>High</w:t>
            </w:r>
          </w:p>
        </w:tc>
        <w:tc>
          <w:tcPr>
            <w:tcW w:type="dxa" w:w="3816"/>
            <w:shd w:val="clear" w:fill="FFF7E8"/>
          </w:tcPr>
          <w:p>
            <w:pPr>
              <w:spacing w:before="20" w:after="20"/>
            </w:pPr>
            <w:r/>
            <w:r>
              <w:rPr>
                <w:rFonts w:ascii="Calibri" w:hAnsi="Calibri"/>
                <w:b w:val="0"/>
                <w:sz w:val="14"/>
              </w:rPr>
              <w:t>PASS: a raw read of the database files and object store yields no plaintext CGPA, resume text or offer content, and under a simulated peak of 500 concurrent users 95% of authenticated downloads complete in under 3 s. FAIL: any plaintext record is recoverable from the storage media, or the 95th-percentile download exceeds 3 s.</w:t>
            </w:r>
          </w:p>
        </w:tc>
        <w:tc>
          <w:tcPr>
            <w:tcW w:type="dxa" w:w="2520"/>
            <w:shd w:val="clear" w:fill="FFF7E8"/>
          </w:tcPr>
          <w:p>
            <w:pPr>
              <w:spacing w:before="20" w:after="20"/>
            </w:pPr>
            <w:r/>
            <w:r>
              <w:rPr>
                <w:rFonts w:ascii="Calibri" w:hAnsi="Calibri"/>
                <w:b w:val="0"/>
                <w:sz w:val="14"/>
              </w:rPr>
              <w:t>Academic records and offer terms are personal data the university is accountable for, and drive season concentrates nearly all traffic into a few days, so the encryption must not be paid for in latency.</w:t>
            </w:r>
          </w:p>
        </w:tc>
        <w:tc>
          <w:tcPr>
            <w:tcW w:type="dxa" w:w="2520"/>
            <w:shd w:val="clear" w:fill="FFF7E8"/>
          </w:tcPr>
          <w:p>
            <w:pPr>
              <w:spacing w:before="20" w:after="20"/>
            </w:pPr>
            <w:r/>
            <w:r>
              <w:rPr>
                <w:rFonts w:ascii="Calibri" w:hAnsi="Calibri"/>
                <w:b w:val="0"/>
                <w:sz w:val="14"/>
              </w:rPr>
              <w:t>Peer: "The given criterion only says 'benchmarking tests confirm' - confirm what number?" -&gt; pinned to 500 concurrent users and a 3 s 95th-percentile target. (Given requirement, refined.)</w:t>
            </w:r>
          </w:p>
        </w:tc>
      </w:tr>
      <w:tr>
        <w:tc>
          <w:tcPr>
            <w:tcW w:type="dxa" w:w="893"/>
            <w:shd w:val="clear" w:fill="FFF7E8"/>
          </w:tcPr>
          <w:p>
            <w:pPr>
              <w:spacing w:before="20" w:after="20"/>
            </w:pPr>
            <w:r/>
            <w:r>
              <w:rPr>
                <w:rFonts w:ascii="Calibri" w:hAnsi="Calibri"/>
                <w:b/>
                <w:sz w:val="14"/>
              </w:rPr>
              <w:t>NFR-002</w:t>
            </w:r>
          </w:p>
        </w:tc>
        <w:tc>
          <w:tcPr>
            <w:tcW w:type="dxa" w:w="1368"/>
            <w:shd w:val="clear" w:fill="FFF7E8"/>
          </w:tcPr>
          <w:p>
            <w:pPr>
              <w:spacing w:before="20" w:after="20"/>
            </w:pPr>
            <w:r/>
            <w:r>
              <w:rPr>
                <w:rFonts w:ascii="Calibri" w:hAnsi="Calibri"/>
                <w:b w:val="0"/>
                <w:sz w:val="14"/>
              </w:rPr>
              <w:t>Nonfunctional - Auditability</w:t>
            </w:r>
          </w:p>
        </w:tc>
        <w:tc>
          <w:tcPr>
            <w:tcW w:type="dxa" w:w="3672"/>
            <w:shd w:val="clear" w:fill="FFF7E8"/>
          </w:tcPr>
          <w:p>
            <w:pPr>
              <w:spacing w:before="20" w:after="20"/>
            </w:pPr>
            <w:r/>
            <w:r>
              <w:rPr>
                <w:rFonts w:ascii="Calibri" w:hAnsi="Calibri"/>
                <w:b w:val="0"/>
                <w:sz w:val="14"/>
              </w:rPr>
              <w:t>The system shall write every eligibility verdict, round outcome and offer release to an append-only audit log capturing the actor, the rule or decision applied and a UTC timestamp, retain entries for 3 years, and expose no interface that edits or deletes them.</w:t>
            </w:r>
          </w:p>
        </w:tc>
        <w:tc>
          <w:tcPr>
            <w:tcW w:type="dxa" w:w="749"/>
            <w:shd w:val="clear" w:fill="FFF7E8"/>
          </w:tcPr>
          <w:p>
            <w:pPr>
              <w:spacing w:before="20" w:after="20"/>
            </w:pPr>
            <w:r/>
            <w:r>
              <w:rPr>
                <w:rFonts w:ascii="Calibri" w:hAnsi="Calibri"/>
                <w:b w:val="0"/>
                <w:sz w:val="14"/>
              </w:rPr>
              <w:t>High</w:t>
            </w:r>
          </w:p>
        </w:tc>
        <w:tc>
          <w:tcPr>
            <w:tcW w:type="dxa" w:w="3816"/>
            <w:shd w:val="clear" w:fill="FFF7E8"/>
          </w:tcPr>
          <w:p>
            <w:pPr>
              <w:spacing w:before="20" w:after="20"/>
            </w:pPr>
            <w:r/>
            <w:r>
              <w:rPr>
                <w:rFonts w:ascii="Calibri" w:hAnsi="Calibri"/>
                <w:b w:val="0"/>
                <w:sz w:val="14"/>
              </w:rPr>
              <w:t>PASS: for any applicant the full chain from resume upload to final outcome can be reconstructed from the log alone, and an attempt to modify or delete an entry through the application returns HTTP 403 and is itself logged. FAIL: any decision has no log entry, or an existing entry can be altered through the application.</w:t>
            </w:r>
          </w:p>
        </w:tc>
        <w:tc>
          <w:tcPr>
            <w:tcW w:type="dxa" w:w="2520"/>
            <w:shd w:val="clear" w:fill="FFF7E8"/>
          </w:tcPr>
          <w:p>
            <w:pPr>
              <w:spacing w:before="20" w:after="20"/>
            </w:pPr>
            <w:r/>
            <w:r>
              <w:rPr>
                <w:rFonts w:ascii="Calibri" w:hAnsi="Calibri"/>
                <w:b w:val="0"/>
                <w:sz w:val="14"/>
              </w:rPr>
              <w:t>Placement outcomes are routinely contested by students and by companies; without an immutable trail the cell cannot show that a multi-tier rule was applied consistently across hundreds of drives.</w:t>
            </w:r>
          </w:p>
        </w:tc>
        <w:tc>
          <w:tcPr>
            <w:tcW w:type="dxa" w:w="2520"/>
            <w:shd w:val="clear" w:fill="FFF7E8"/>
          </w:tcPr>
          <w:p>
            <w:pPr>
              <w:spacing w:before="20" w:after="20"/>
            </w:pPr>
            <w:r/>
            <w:r>
              <w:rPr>
                <w:rFonts w:ascii="Calibri" w:hAnsi="Calibri"/>
                <w:b w:val="0"/>
                <w:sz w:val="14"/>
              </w:rPr>
              <w:t>Peer: "Where does 3 years come from?" -&gt; matched to the university's grievance-redressal window for a graduating batch.</w:t>
            </w:r>
          </w:p>
        </w:tc>
      </w:tr>
    </w:tbl>
    <w:p>
      <w:pPr>
        <w:spacing w:before="120"/>
      </w:pPr>
      <w:r>
        <w:rPr>
          <w:i/>
          <w:color w:val="666666"/>
          <w:sz w:val="15"/>
        </w:rPr>
        <w:t>FR-001 and NFR-001 are the requirements supplied with the problem statement; FR-002–FR-005 and NFR-002 are student-authored. The Comments column records the peer-critique round (Lab step 3) and the revision each comment produced.</w:t>
      </w:r>
    </w:p>
    <w:p>
      <w:r>
        <w:br w:type="page"/>
      </w:r>
    </w:p>
    <w:p>
      <w:r>
        <w:rPr>
          <w:b/>
          <w:sz w:val="25"/>
        </w:rPr>
        <w:t>Actors and Use Cases extracted from the approved requirements</w:t>
      </w:r>
    </w:p>
    <w:p>
      <w:pPr>
        <w:spacing w:after="0"/>
      </w:pPr>
    </w:p>
    <w:tbl>
      <w:tblPr>
        <w:tblStyle w:val="TableGrid"/>
        <w:tblW w:type="auto" w:w="0"/>
        <w:tblLook w:firstColumn="1" w:firstRow="1" w:lastColumn="0" w:lastRow="0" w:noHBand="0" w:noVBand="1" w:val="04A0"/>
      </w:tblPr>
      <w:tblGrid>
        <w:gridCol w:w="5179"/>
        <w:gridCol w:w="5179"/>
        <w:gridCol w:w="5179"/>
      </w:tblGrid>
      <w:tr>
        <w:tc>
          <w:tcPr>
            <w:tcW w:type="dxa" w:w="2304"/>
            <w:shd w:val="clear" w:fill="2F5C9E"/>
          </w:tcPr>
          <w:p>
            <w:pPr>
              <w:spacing w:before="20" w:after="20"/>
            </w:pPr>
            <w:r/>
            <w:r>
              <w:rPr>
                <w:rFonts w:ascii="Calibri" w:hAnsi="Calibri"/>
                <w:b/>
                <w:color w:val="FFFFFF"/>
                <w:sz w:val="16"/>
              </w:rPr>
              <w:t>Actor</w:t>
            </w:r>
          </w:p>
        </w:tc>
        <w:tc>
          <w:tcPr>
            <w:tcW w:type="dxa" w:w="2880"/>
            <w:shd w:val="clear" w:fill="2F5C9E"/>
          </w:tcPr>
          <w:p>
            <w:pPr>
              <w:spacing w:before="20" w:after="20"/>
            </w:pPr>
            <w:r/>
            <w:r>
              <w:rPr>
                <w:rFonts w:ascii="Calibri" w:hAnsi="Calibri"/>
                <w:b/>
                <w:color w:val="FFFFFF"/>
                <w:sz w:val="16"/>
              </w:rPr>
              <w:t>Classification</w:t>
            </w:r>
          </w:p>
        </w:tc>
        <w:tc>
          <w:tcPr>
            <w:tcW w:type="dxa" w:w="8928"/>
            <w:shd w:val="clear" w:fill="2F5C9E"/>
          </w:tcPr>
          <w:p>
            <w:pPr>
              <w:spacing w:before="20" w:after="20"/>
            </w:pPr>
            <w:r/>
            <w:r>
              <w:rPr>
                <w:rFonts w:ascii="Calibri" w:hAnsi="Calibri"/>
                <w:b/>
                <w:color w:val="FFFFFF"/>
                <w:sz w:val="16"/>
              </w:rPr>
              <w:t>Goal in the system</w:t>
            </w:r>
          </w:p>
        </w:tc>
      </w:tr>
      <w:tr>
        <w:tc>
          <w:tcPr>
            <w:tcW w:type="dxa" w:w="2304"/>
          </w:tcPr>
          <w:p>
            <w:pPr>
              <w:spacing w:before="20" w:after="20"/>
            </w:pPr>
            <w:r/>
            <w:r>
              <w:rPr>
                <w:rFonts w:ascii="Calibri" w:hAnsi="Calibri"/>
                <w:b/>
                <w:sz w:val="16"/>
              </w:rPr>
              <w:t>Student Applicant</w:t>
            </w:r>
          </w:p>
        </w:tc>
        <w:tc>
          <w:tcPr>
            <w:tcW w:type="dxa" w:w="2880"/>
          </w:tcPr>
          <w:p>
            <w:pPr>
              <w:spacing w:before="20" w:after="20"/>
            </w:pPr>
            <w:r/>
            <w:r>
              <w:rPr>
                <w:rFonts w:ascii="Calibri" w:hAnsi="Calibri"/>
                <w:b w:val="0"/>
                <w:sz w:val="16"/>
              </w:rPr>
              <w:t>Primary</w:t>
            </w:r>
          </w:p>
        </w:tc>
        <w:tc>
          <w:tcPr>
            <w:tcW w:type="dxa" w:w="8928"/>
          </w:tcPr>
          <w:p>
            <w:pPr>
              <w:spacing w:before="20" w:after="20"/>
            </w:pPr>
            <w:r/>
            <w:r>
              <w:rPr>
                <w:rFonts w:ascii="Calibri" w:hAnsi="Calibri"/>
                <w:b w:val="0"/>
                <w:sz w:val="16"/>
              </w:rPr>
              <w:t>Uploads a resume, applies to eligible drives, attends rounds and responds to offers.</w:t>
            </w:r>
          </w:p>
        </w:tc>
      </w:tr>
      <w:tr>
        <w:tc>
          <w:tcPr>
            <w:tcW w:type="dxa" w:w="2304"/>
          </w:tcPr>
          <w:p>
            <w:pPr>
              <w:spacing w:before="20" w:after="20"/>
            </w:pPr>
            <w:r/>
            <w:r>
              <w:rPr>
                <w:rFonts w:ascii="Calibri" w:hAnsi="Calibri"/>
                <w:b/>
                <w:sz w:val="16"/>
              </w:rPr>
              <w:t>Placement Officer</w:t>
            </w:r>
          </w:p>
        </w:tc>
        <w:tc>
          <w:tcPr>
            <w:tcW w:type="dxa" w:w="2880"/>
          </w:tcPr>
          <w:p>
            <w:pPr>
              <w:spacing w:before="20" w:after="20"/>
            </w:pPr>
            <w:r/>
            <w:r>
              <w:rPr>
                <w:rFonts w:ascii="Calibri" w:hAnsi="Calibri"/>
                <w:b w:val="0"/>
                <w:sz w:val="16"/>
              </w:rPr>
              <w:t>Primary</w:t>
            </w:r>
          </w:p>
        </w:tc>
        <w:tc>
          <w:tcPr>
            <w:tcW w:type="dxa" w:w="8928"/>
          </w:tcPr>
          <w:p>
            <w:pPr>
              <w:spacing w:before="20" w:after="20"/>
            </w:pPr>
            <w:r/>
            <w:r>
              <w:rPr>
                <w:rFonts w:ascii="Calibri" w:hAnsi="Calibri"/>
                <w:b w:val="0"/>
                <w:sz w:val="16"/>
              </w:rPr>
              <w:t>Publishes drives with their eligibility rule sets and releases offer letters.</w:t>
            </w:r>
          </w:p>
        </w:tc>
      </w:tr>
      <w:tr>
        <w:tc>
          <w:tcPr>
            <w:tcW w:type="dxa" w:w="2304"/>
          </w:tcPr>
          <w:p>
            <w:pPr>
              <w:spacing w:before="20" w:after="20"/>
            </w:pPr>
            <w:r/>
            <w:r>
              <w:rPr>
                <w:rFonts w:ascii="Calibri" w:hAnsi="Calibri"/>
                <w:b/>
                <w:sz w:val="16"/>
              </w:rPr>
              <w:t>Company Recruiter</w:t>
            </w:r>
          </w:p>
        </w:tc>
        <w:tc>
          <w:tcPr>
            <w:tcW w:type="dxa" w:w="2880"/>
          </w:tcPr>
          <w:p>
            <w:pPr>
              <w:spacing w:before="20" w:after="20"/>
            </w:pPr>
            <w:r/>
            <w:r>
              <w:rPr>
                <w:rFonts w:ascii="Calibri" w:hAnsi="Calibri"/>
                <w:b w:val="0"/>
                <w:sz w:val="16"/>
              </w:rPr>
              <w:t>Primary (external organisation)</w:t>
            </w:r>
          </w:p>
        </w:tc>
        <w:tc>
          <w:tcPr>
            <w:tcW w:type="dxa" w:w="8928"/>
          </w:tcPr>
          <w:p>
            <w:pPr>
              <w:spacing w:before="20" w:after="20"/>
            </w:pPr>
            <w:r/>
            <w:r>
              <w:rPr>
                <w:rFonts w:ascii="Calibri" w:hAnsi="Calibri"/>
                <w:b w:val="0"/>
                <w:sz w:val="16"/>
              </w:rPr>
              <w:t>Reviews the applicant queue and records the outcome of each interview round.</w:t>
            </w:r>
          </w:p>
        </w:tc>
      </w:tr>
      <w:tr>
        <w:tc>
          <w:tcPr>
            <w:tcW w:type="dxa" w:w="2304"/>
          </w:tcPr>
          <w:p>
            <w:pPr>
              <w:spacing w:before="20" w:after="20"/>
            </w:pPr>
            <w:r/>
            <w:r>
              <w:rPr>
                <w:rFonts w:ascii="Calibri" w:hAnsi="Calibri"/>
                <w:b/>
                <w:sz w:val="16"/>
              </w:rPr>
              <w:t>Academic Records System</w:t>
            </w:r>
          </w:p>
        </w:tc>
        <w:tc>
          <w:tcPr>
            <w:tcW w:type="dxa" w:w="2880"/>
          </w:tcPr>
          <w:p>
            <w:pPr>
              <w:spacing w:before="20" w:after="20"/>
            </w:pPr>
            <w:r/>
            <w:r>
              <w:rPr>
                <w:rFonts w:ascii="Calibri" w:hAnsi="Calibri"/>
                <w:b w:val="0"/>
                <w:sz w:val="16"/>
              </w:rPr>
              <w:t>Secondary (external system)</w:t>
            </w:r>
          </w:p>
        </w:tc>
        <w:tc>
          <w:tcPr>
            <w:tcW w:type="dxa" w:w="8928"/>
          </w:tcPr>
          <w:p>
            <w:pPr>
              <w:spacing w:before="20" w:after="20"/>
            </w:pPr>
            <w:r/>
            <w:r>
              <w:rPr>
                <w:rFonts w:ascii="Calibri" w:hAnsi="Calibri"/>
                <w:b w:val="0"/>
                <w:sz w:val="16"/>
              </w:rPr>
              <w:t>Supplies the authoritative CGPA and active-backlog figures used for eligibility checks.</w:t>
            </w:r>
          </w:p>
        </w:tc>
      </w:tr>
    </w:tbl>
    <w:p>
      <w:pPr>
        <w:spacing w:after="40"/>
      </w:pPr>
    </w:p>
    <w:tbl>
      <w:tblPr>
        <w:tblStyle w:val="TableGrid"/>
        <w:tblW w:type="auto" w:w="0"/>
        <w:tblLook w:firstColumn="1" w:firstRow="1" w:lastColumn="0" w:lastRow="0" w:noHBand="0" w:noVBand="1" w:val="04A0"/>
      </w:tblPr>
      <w:tblGrid>
        <w:gridCol w:w="3884"/>
        <w:gridCol w:w="3884"/>
        <w:gridCol w:w="3884"/>
        <w:gridCol w:w="3884"/>
      </w:tblGrid>
      <w:tr>
        <w:tc>
          <w:tcPr>
            <w:tcW w:type="dxa" w:w="1152"/>
            <w:shd w:val="clear" w:fill="2F5C9E"/>
          </w:tcPr>
          <w:p>
            <w:pPr>
              <w:spacing w:before="20" w:after="20"/>
            </w:pPr>
            <w:r/>
            <w:r>
              <w:rPr>
                <w:rFonts w:ascii="Calibri" w:hAnsi="Calibri"/>
                <w:b/>
                <w:color w:val="FFFFFF"/>
                <w:sz w:val="16"/>
              </w:rPr>
              <w:t>UC ID</w:t>
            </w:r>
          </w:p>
        </w:tc>
        <w:tc>
          <w:tcPr>
            <w:tcW w:type="dxa" w:w="4320"/>
            <w:shd w:val="clear" w:fill="2F5C9E"/>
          </w:tcPr>
          <w:p>
            <w:pPr>
              <w:spacing w:before="20" w:after="20"/>
            </w:pPr>
            <w:r/>
            <w:r>
              <w:rPr>
                <w:rFonts w:ascii="Calibri" w:hAnsi="Calibri"/>
                <w:b/>
                <w:color w:val="FFFFFF"/>
                <w:sz w:val="16"/>
              </w:rPr>
              <w:t>Use Case</w:t>
            </w:r>
          </w:p>
        </w:tc>
        <w:tc>
          <w:tcPr>
            <w:tcW w:type="dxa" w:w="4320"/>
            <w:shd w:val="clear" w:fill="2F5C9E"/>
          </w:tcPr>
          <w:p>
            <w:pPr>
              <w:spacing w:before="20" w:after="20"/>
            </w:pPr>
            <w:r/>
            <w:r>
              <w:rPr>
                <w:rFonts w:ascii="Calibri" w:hAnsi="Calibri"/>
                <w:b/>
                <w:color w:val="FFFFFF"/>
                <w:sz w:val="16"/>
              </w:rPr>
              <w:t>Actor / relationship</w:t>
            </w:r>
          </w:p>
        </w:tc>
        <w:tc>
          <w:tcPr>
            <w:tcW w:type="dxa" w:w="4320"/>
            <w:shd w:val="clear" w:fill="2F5C9E"/>
          </w:tcPr>
          <w:p>
            <w:pPr>
              <w:spacing w:before="20" w:after="20"/>
            </w:pPr>
            <w:r/>
            <w:r>
              <w:rPr>
                <w:rFonts w:ascii="Calibri" w:hAnsi="Calibri"/>
                <w:b/>
                <w:color w:val="FFFFFF"/>
                <w:sz w:val="16"/>
              </w:rPr>
              <w:t>Traces to</w:t>
            </w:r>
          </w:p>
        </w:tc>
      </w:tr>
      <w:tr>
        <w:tc>
          <w:tcPr>
            <w:tcW w:type="dxa" w:w="1152"/>
          </w:tcPr>
          <w:p>
            <w:pPr>
              <w:spacing w:before="20" w:after="20"/>
            </w:pPr>
            <w:r/>
            <w:r>
              <w:rPr>
                <w:rFonts w:ascii="Calibri" w:hAnsi="Calibri"/>
                <w:b/>
                <w:sz w:val="16"/>
              </w:rPr>
              <w:t>UC-01</w:t>
            </w:r>
          </w:p>
        </w:tc>
        <w:tc>
          <w:tcPr>
            <w:tcW w:type="dxa" w:w="4320"/>
          </w:tcPr>
          <w:p>
            <w:pPr>
              <w:spacing w:before="20" w:after="20"/>
            </w:pPr>
            <w:r/>
            <w:r>
              <w:rPr>
                <w:rFonts w:ascii="Calibri" w:hAnsi="Calibri"/>
                <w:b w:val="0"/>
                <w:sz w:val="16"/>
              </w:rPr>
              <w:t>Upload &amp; Parse Resume</w:t>
            </w:r>
          </w:p>
        </w:tc>
        <w:tc>
          <w:tcPr>
            <w:tcW w:type="dxa" w:w="4320"/>
          </w:tcPr>
          <w:p>
            <w:pPr>
              <w:spacing w:before="20" w:after="20"/>
            </w:pPr>
            <w:r/>
            <w:r>
              <w:rPr>
                <w:rFonts w:ascii="Calibri" w:hAnsi="Calibri"/>
                <w:b w:val="0"/>
                <w:sz w:val="16"/>
              </w:rPr>
              <w:t>Student Applicant</w:t>
            </w:r>
          </w:p>
        </w:tc>
        <w:tc>
          <w:tcPr>
            <w:tcW w:type="dxa" w:w="4320"/>
          </w:tcPr>
          <w:p>
            <w:pPr>
              <w:spacing w:before="20" w:after="20"/>
            </w:pPr>
            <w:r/>
            <w:r>
              <w:rPr>
                <w:rFonts w:ascii="Calibri" w:hAnsi="Calibri"/>
                <w:b w:val="0"/>
                <w:sz w:val="16"/>
              </w:rPr>
              <w:t>FR-001, NFR-001</w:t>
            </w:r>
          </w:p>
        </w:tc>
      </w:tr>
      <w:tr>
        <w:tc>
          <w:tcPr>
            <w:tcW w:type="dxa" w:w="1152"/>
          </w:tcPr>
          <w:p>
            <w:pPr>
              <w:spacing w:before="20" w:after="20"/>
            </w:pPr>
            <w:r/>
            <w:r>
              <w:rPr>
                <w:rFonts w:ascii="Calibri" w:hAnsi="Calibri"/>
                <w:b/>
                <w:sz w:val="16"/>
              </w:rPr>
              <w:t>UC-02</w:t>
            </w:r>
          </w:p>
        </w:tc>
        <w:tc>
          <w:tcPr>
            <w:tcW w:type="dxa" w:w="4320"/>
          </w:tcPr>
          <w:p>
            <w:pPr>
              <w:spacing w:before="20" w:after="20"/>
            </w:pPr>
            <w:r/>
            <w:r>
              <w:rPr>
                <w:rFonts w:ascii="Calibri" w:hAnsi="Calibri"/>
                <w:b w:val="0"/>
                <w:sz w:val="16"/>
              </w:rPr>
              <w:t>Apply to Drive</w:t>
            </w:r>
          </w:p>
        </w:tc>
        <w:tc>
          <w:tcPr>
            <w:tcW w:type="dxa" w:w="4320"/>
          </w:tcPr>
          <w:p>
            <w:pPr>
              <w:spacing w:before="20" w:after="20"/>
            </w:pPr>
            <w:r/>
            <w:r>
              <w:rPr>
                <w:rFonts w:ascii="Calibri" w:hAnsi="Calibri"/>
                <w:b w:val="0"/>
                <w:sz w:val="16"/>
              </w:rPr>
              <w:t>Student Applicant</w:t>
            </w:r>
          </w:p>
        </w:tc>
        <w:tc>
          <w:tcPr>
            <w:tcW w:type="dxa" w:w="4320"/>
          </w:tcPr>
          <w:p>
            <w:pPr>
              <w:spacing w:before="20" w:after="20"/>
            </w:pPr>
            <w:r/>
            <w:r>
              <w:rPr>
                <w:rFonts w:ascii="Calibri" w:hAnsi="Calibri"/>
                <w:b w:val="0"/>
                <w:sz w:val="16"/>
              </w:rPr>
              <w:t>FR-003</w:t>
            </w:r>
          </w:p>
        </w:tc>
      </w:tr>
      <w:tr>
        <w:tc>
          <w:tcPr>
            <w:tcW w:type="dxa" w:w="1152"/>
          </w:tcPr>
          <w:p>
            <w:pPr>
              <w:spacing w:before="20" w:after="20"/>
            </w:pPr>
            <w:r/>
            <w:r>
              <w:rPr>
                <w:rFonts w:ascii="Calibri" w:hAnsi="Calibri"/>
                <w:b/>
                <w:sz w:val="16"/>
              </w:rPr>
              <w:t>UC-03</w:t>
            </w:r>
          </w:p>
        </w:tc>
        <w:tc>
          <w:tcPr>
            <w:tcW w:type="dxa" w:w="4320"/>
          </w:tcPr>
          <w:p>
            <w:pPr>
              <w:spacing w:before="20" w:after="20"/>
            </w:pPr>
            <w:r/>
            <w:r>
              <w:rPr>
                <w:rFonts w:ascii="Calibri" w:hAnsi="Calibri"/>
                <w:b w:val="0"/>
                <w:sz w:val="16"/>
              </w:rPr>
              <w:t>Publish Corporate Drive</w:t>
            </w:r>
          </w:p>
        </w:tc>
        <w:tc>
          <w:tcPr>
            <w:tcW w:type="dxa" w:w="4320"/>
          </w:tcPr>
          <w:p>
            <w:pPr>
              <w:spacing w:before="20" w:after="20"/>
            </w:pPr>
            <w:r/>
            <w:r>
              <w:rPr>
                <w:rFonts w:ascii="Calibri" w:hAnsi="Calibri"/>
                <w:b w:val="0"/>
                <w:sz w:val="16"/>
              </w:rPr>
              <w:t>Placement Officer</w:t>
            </w:r>
          </w:p>
        </w:tc>
        <w:tc>
          <w:tcPr>
            <w:tcW w:type="dxa" w:w="4320"/>
          </w:tcPr>
          <w:p>
            <w:pPr>
              <w:spacing w:before="20" w:after="20"/>
            </w:pPr>
            <w:r/>
            <w:r>
              <w:rPr>
                <w:rFonts w:ascii="Calibri" w:hAnsi="Calibri"/>
                <w:b w:val="0"/>
                <w:sz w:val="16"/>
              </w:rPr>
              <w:t>FR-002</w:t>
            </w:r>
          </w:p>
        </w:tc>
      </w:tr>
      <w:tr>
        <w:tc>
          <w:tcPr>
            <w:tcW w:type="dxa" w:w="1152"/>
          </w:tcPr>
          <w:p>
            <w:pPr>
              <w:spacing w:before="20" w:after="20"/>
            </w:pPr>
            <w:r/>
            <w:r>
              <w:rPr>
                <w:rFonts w:ascii="Calibri" w:hAnsi="Calibri"/>
                <w:b/>
                <w:sz w:val="16"/>
              </w:rPr>
              <w:t>UC-04</w:t>
            </w:r>
          </w:p>
        </w:tc>
        <w:tc>
          <w:tcPr>
            <w:tcW w:type="dxa" w:w="4320"/>
          </w:tcPr>
          <w:p>
            <w:pPr>
              <w:spacing w:before="20" w:after="20"/>
            </w:pPr>
            <w:r/>
            <w:r>
              <w:rPr>
                <w:rFonts w:ascii="Calibri" w:hAnsi="Calibri"/>
                <w:b w:val="0"/>
                <w:sz w:val="16"/>
              </w:rPr>
              <w:t>Release Offer Letter</w:t>
            </w:r>
          </w:p>
        </w:tc>
        <w:tc>
          <w:tcPr>
            <w:tcW w:type="dxa" w:w="4320"/>
          </w:tcPr>
          <w:p>
            <w:pPr>
              <w:spacing w:before="20" w:after="20"/>
            </w:pPr>
            <w:r/>
            <w:r>
              <w:rPr>
                <w:rFonts w:ascii="Calibri" w:hAnsi="Calibri"/>
                <w:b w:val="0"/>
                <w:sz w:val="16"/>
              </w:rPr>
              <w:t>Placement Officer</w:t>
            </w:r>
          </w:p>
        </w:tc>
        <w:tc>
          <w:tcPr>
            <w:tcW w:type="dxa" w:w="4320"/>
          </w:tcPr>
          <w:p>
            <w:pPr>
              <w:spacing w:before="20" w:after="20"/>
            </w:pPr>
            <w:r/>
            <w:r>
              <w:rPr>
                <w:rFonts w:ascii="Calibri" w:hAnsi="Calibri"/>
                <w:b w:val="0"/>
                <w:sz w:val="16"/>
              </w:rPr>
              <w:t>FR-005</w:t>
            </w:r>
          </w:p>
        </w:tc>
      </w:tr>
      <w:tr>
        <w:tc>
          <w:tcPr>
            <w:tcW w:type="dxa" w:w="1152"/>
          </w:tcPr>
          <w:p>
            <w:pPr>
              <w:spacing w:before="20" w:after="20"/>
            </w:pPr>
            <w:r/>
            <w:r>
              <w:rPr>
                <w:rFonts w:ascii="Calibri" w:hAnsi="Calibri"/>
                <w:b/>
                <w:sz w:val="16"/>
              </w:rPr>
              <w:t>UC-05</w:t>
            </w:r>
          </w:p>
        </w:tc>
        <w:tc>
          <w:tcPr>
            <w:tcW w:type="dxa" w:w="4320"/>
          </w:tcPr>
          <w:p>
            <w:pPr>
              <w:spacing w:before="20" w:after="20"/>
            </w:pPr>
            <w:r/>
            <w:r>
              <w:rPr>
                <w:rFonts w:ascii="Calibri" w:hAnsi="Calibri"/>
                <w:b w:val="0"/>
                <w:sz w:val="16"/>
              </w:rPr>
              <w:t>Conduct Interview Round</w:t>
            </w:r>
          </w:p>
        </w:tc>
        <w:tc>
          <w:tcPr>
            <w:tcW w:type="dxa" w:w="4320"/>
          </w:tcPr>
          <w:p>
            <w:pPr>
              <w:spacing w:before="20" w:after="20"/>
            </w:pPr>
            <w:r/>
            <w:r>
              <w:rPr>
                <w:rFonts w:ascii="Calibri" w:hAnsi="Calibri"/>
                <w:b w:val="0"/>
                <w:sz w:val="16"/>
              </w:rPr>
              <w:t>Company Recruiter</w:t>
            </w:r>
          </w:p>
        </w:tc>
        <w:tc>
          <w:tcPr>
            <w:tcW w:type="dxa" w:w="4320"/>
          </w:tcPr>
          <w:p>
            <w:pPr>
              <w:spacing w:before="20" w:after="20"/>
            </w:pPr>
            <w:r/>
            <w:r>
              <w:rPr>
                <w:rFonts w:ascii="Calibri" w:hAnsi="Calibri"/>
                <w:b w:val="0"/>
                <w:sz w:val="16"/>
              </w:rPr>
              <w:t>FR-004</w:t>
            </w:r>
          </w:p>
        </w:tc>
      </w:tr>
      <w:tr>
        <w:tc>
          <w:tcPr>
            <w:tcW w:type="dxa" w:w="1152"/>
          </w:tcPr>
          <w:p>
            <w:pPr>
              <w:spacing w:before="20" w:after="20"/>
            </w:pPr>
            <w:r/>
            <w:r>
              <w:rPr>
                <w:rFonts w:ascii="Calibri" w:hAnsi="Calibri"/>
                <w:b/>
                <w:sz w:val="16"/>
              </w:rPr>
              <w:t>UC-06</w:t>
            </w:r>
          </w:p>
        </w:tc>
        <w:tc>
          <w:tcPr>
            <w:tcW w:type="dxa" w:w="4320"/>
          </w:tcPr>
          <w:p>
            <w:pPr>
              <w:spacing w:before="20" w:after="20"/>
            </w:pPr>
            <w:r/>
            <w:r>
              <w:rPr>
                <w:rFonts w:ascii="Calibri" w:hAnsi="Calibri"/>
                <w:b w:val="0"/>
                <w:sz w:val="16"/>
              </w:rPr>
              <w:t>Verify Eligibility</w:t>
            </w:r>
          </w:p>
        </w:tc>
        <w:tc>
          <w:tcPr>
            <w:tcW w:type="dxa" w:w="4320"/>
          </w:tcPr>
          <w:p>
            <w:pPr>
              <w:spacing w:before="20" w:after="20"/>
            </w:pPr>
            <w:r/>
            <w:r>
              <w:rPr>
                <w:rFonts w:ascii="Calibri" w:hAnsi="Calibri"/>
                <w:b w:val="0"/>
                <w:sz w:val="16"/>
              </w:rPr>
              <w:t>Academic Records System; (included by UC-01, UC-02)</w:t>
            </w:r>
          </w:p>
        </w:tc>
        <w:tc>
          <w:tcPr>
            <w:tcW w:type="dxa" w:w="4320"/>
          </w:tcPr>
          <w:p>
            <w:pPr>
              <w:spacing w:before="20" w:after="20"/>
            </w:pPr>
            <w:r/>
            <w:r>
              <w:rPr>
                <w:rFonts w:ascii="Calibri" w:hAnsi="Calibri"/>
                <w:b w:val="0"/>
                <w:sz w:val="16"/>
              </w:rPr>
              <w:t>FR-001, FR-002, NFR-002</w:t>
            </w:r>
          </w:p>
        </w:tc>
      </w:tr>
      <w:tr>
        <w:tc>
          <w:tcPr>
            <w:tcW w:type="dxa" w:w="1152"/>
          </w:tcPr>
          <w:p>
            <w:pPr>
              <w:spacing w:before="20" w:after="20"/>
            </w:pPr>
            <w:r/>
            <w:r>
              <w:rPr>
                <w:rFonts w:ascii="Calibri" w:hAnsi="Calibri"/>
                <w:b/>
                <w:sz w:val="16"/>
              </w:rPr>
              <w:t>UC-07</w:t>
            </w:r>
          </w:p>
        </w:tc>
        <w:tc>
          <w:tcPr>
            <w:tcW w:type="dxa" w:w="4320"/>
          </w:tcPr>
          <w:p>
            <w:pPr>
              <w:spacing w:before="20" w:after="20"/>
            </w:pPr>
            <w:r/>
            <w:r>
              <w:rPr>
                <w:rFonts w:ascii="Calibri" w:hAnsi="Calibri"/>
                <w:b w:val="0"/>
                <w:sz w:val="16"/>
              </w:rPr>
              <w:t>Request Eligibility Waiver</w:t>
            </w:r>
          </w:p>
        </w:tc>
        <w:tc>
          <w:tcPr>
            <w:tcW w:type="dxa" w:w="4320"/>
          </w:tcPr>
          <w:p>
            <w:pPr>
              <w:spacing w:before="20" w:after="20"/>
            </w:pPr>
            <w:r/>
            <w:r>
              <w:rPr>
                <w:rFonts w:ascii="Calibri" w:hAnsi="Calibri"/>
                <w:b w:val="0"/>
                <w:sz w:val="16"/>
              </w:rPr>
              <w:t>(extends UC-02)</w:t>
            </w:r>
          </w:p>
        </w:tc>
        <w:tc>
          <w:tcPr>
            <w:tcW w:type="dxa" w:w="4320"/>
          </w:tcPr>
          <w:p>
            <w:pPr>
              <w:spacing w:before="20" w:after="20"/>
            </w:pPr>
            <w:r/>
            <w:r>
              <w:rPr>
                <w:rFonts w:ascii="Calibri" w:hAnsi="Calibri"/>
                <w:b w:val="0"/>
                <w:sz w:val="16"/>
              </w:rPr>
              <w:t>FR-001, FR-003</w:t>
            </w:r>
          </w:p>
        </w:tc>
      </w:tr>
      <w:tr>
        <w:tc>
          <w:tcPr>
            <w:tcW w:type="dxa" w:w="1152"/>
          </w:tcPr>
          <w:p>
            <w:pPr>
              <w:spacing w:before="20" w:after="20"/>
            </w:pPr>
            <w:r/>
            <w:r>
              <w:rPr>
                <w:rFonts w:ascii="Calibri" w:hAnsi="Calibri"/>
                <w:b/>
                <w:sz w:val="16"/>
              </w:rPr>
              <w:t>UC-08</w:t>
            </w:r>
          </w:p>
        </w:tc>
        <w:tc>
          <w:tcPr>
            <w:tcW w:type="dxa" w:w="4320"/>
          </w:tcPr>
          <w:p>
            <w:pPr>
              <w:spacing w:before="20" w:after="20"/>
            </w:pPr>
            <w:r/>
            <w:r>
              <w:rPr>
                <w:rFonts w:ascii="Calibri" w:hAnsi="Calibri"/>
                <w:b w:val="0"/>
                <w:sz w:val="16"/>
              </w:rPr>
              <w:t>Generate Offer Document</w:t>
            </w:r>
          </w:p>
        </w:tc>
        <w:tc>
          <w:tcPr>
            <w:tcW w:type="dxa" w:w="4320"/>
          </w:tcPr>
          <w:p>
            <w:pPr>
              <w:spacing w:before="20" w:after="20"/>
            </w:pPr>
            <w:r/>
            <w:r>
              <w:rPr>
                <w:rFonts w:ascii="Calibri" w:hAnsi="Calibri"/>
                <w:b w:val="0"/>
                <w:sz w:val="16"/>
              </w:rPr>
              <w:t>(included by UC-04)</w:t>
            </w:r>
          </w:p>
        </w:tc>
        <w:tc>
          <w:tcPr>
            <w:tcW w:type="dxa" w:w="4320"/>
          </w:tcPr>
          <w:p>
            <w:pPr>
              <w:spacing w:before="20" w:after="20"/>
            </w:pPr>
            <w:r/>
            <w:r>
              <w:rPr>
                <w:rFonts w:ascii="Calibri" w:hAnsi="Calibri"/>
                <w:b w:val="0"/>
                <w:sz w:val="16"/>
              </w:rPr>
              <w:t>FR-005, NFR-001</w:t>
            </w:r>
          </w:p>
        </w:tc>
      </w:tr>
      <w:tr>
        <w:tc>
          <w:tcPr>
            <w:tcW w:type="dxa" w:w="1152"/>
          </w:tcPr>
          <w:p>
            <w:pPr>
              <w:spacing w:before="20" w:after="20"/>
            </w:pPr>
            <w:r/>
            <w:r>
              <w:rPr>
                <w:rFonts w:ascii="Calibri" w:hAnsi="Calibri"/>
                <w:b/>
                <w:sz w:val="16"/>
              </w:rPr>
              <w:t>UC-09</w:t>
            </w:r>
          </w:p>
        </w:tc>
        <w:tc>
          <w:tcPr>
            <w:tcW w:type="dxa" w:w="4320"/>
          </w:tcPr>
          <w:p>
            <w:pPr>
              <w:spacing w:before="20" w:after="20"/>
            </w:pPr>
            <w:r/>
            <w:r>
              <w:rPr>
                <w:rFonts w:ascii="Calibri" w:hAnsi="Calibri"/>
                <w:b w:val="0"/>
                <w:sz w:val="16"/>
              </w:rPr>
              <w:t>Reschedule Interview Slot</w:t>
            </w:r>
          </w:p>
        </w:tc>
        <w:tc>
          <w:tcPr>
            <w:tcW w:type="dxa" w:w="4320"/>
          </w:tcPr>
          <w:p>
            <w:pPr>
              <w:spacing w:before="20" w:after="20"/>
            </w:pPr>
            <w:r/>
            <w:r>
              <w:rPr>
                <w:rFonts w:ascii="Calibri" w:hAnsi="Calibri"/>
                <w:b w:val="0"/>
                <w:sz w:val="16"/>
              </w:rPr>
              <w:t>(extends UC-05)</w:t>
            </w:r>
          </w:p>
        </w:tc>
        <w:tc>
          <w:tcPr>
            <w:tcW w:type="dxa" w:w="4320"/>
          </w:tcPr>
          <w:p>
            <w:pPr>
              <w:spacing w:before="20" w:after="20"/>
            </w:pPr>
            <w:r/>
            <w:r>
              <w:rPr>
                <w:rFonts w:ascii="Calibri" w:hAnsi="Calibri"/>
                <w:b w:val="0"/>
                <w:sz w:val="16"/>
              </w:rPr>
              <w:t>FR-004</w:t>
            </w:r>
          </w:p>
        </w:tc>
      </w:tr>
      <w:tr>
        <w:tc>
          <w:tcPr>
            <w:tcW w:type="dxa" w:w="1152"/>
          </w:tcPr>
          <w:p>
            <w:pPr>
              <w:spacing w:before="20" w:after="20"/>
            </w:pPr>
            <w:r/>
            <w:r>
              <w:rPr>
                <w:rFonts w:ascii="Calibri" w:hAnsi="Calibri"/>
                <w:b/>
                <w:sz w:val="16"/>
              </w:rPr>
              <w:t>UC-10</w:t>
            </w:r>
          </w:p>
        </w:tc>
        <w:tc>
          <w:tcPr>
            <w:tcW w:type="dxa" w:w="4320"/>
          </w:tcPr>
          <w:p>
            <w:pPr>
              <w:spacing w:before="20" w:after="20"/>
            </w:pPr>
            <w:r/>
            <w:r>
              <w:rPr>
                <w:rFonts w:ascii="Calibri" w:hAnsi="Calibri"/>
                <w:b w:val="0"/>
                <w:sz w:val="16"/>
              </w:rPr>
              <w:t>Record Round Outcome</w:t>
            </w:r>
          </w:p>
        </w:tc>
        <w:tc>
          <w:tcPr>
            <w:tcW w:type="dxa" w:w="4320"/>
          </w:tcPr>
          <w:p>
            <w:pPr>
              <w:spacing w:before="20" w:after="20"/>
            </w:pPr>
            <w:r/>
            <w:r>
              <w:rPr>
                <w:rFonts w:ascii="Calibri" w:hAnsi="Calibri"/>
                <w:b w:val="0"/>
                <w:sz w:val="16"/>
              </w:rPr>
              <w:t>(included by UC-05)</w:t>
            </w:r>
          </w:p>
        </w:tc>
        <w:tc>
          <w:tcPr>
            <w:tcW w:type="dxa" w:w="4320"/>
          </w:tcPr>
          <w:p>
            <w:pPr>
              <w:spacing w:before="20" w:after="20"/>
            </w:pPr>
            <w:r/>
            <w:r>
              <w:rPr>
                <w:rFonts w:ascii="Calibri" w:hAnsi="Calibri"/>
                <w:b w:val="0"/>
                <w:sz w:val="16"/>
              </w:rPr>
              <w:t>FR-004, NFR-002</w:t>
            </w:r>
          </w:p>
        </w:tc>
      </w:tr>
    </w:tbl>
    <w:p>
      <w:pPr>
        <w:spacing w:after="40"/>
      </w:pPr>
    </w:p>
    <w:tbl>
      <w:tblPr>
        <w:tblStyle w:val="TableGrid"/>
        <w:tblW w:type="auto" w:w="0"/>
        <w:tblLook w:firstColumn="1" w:firstRow="1" w:lastColumn="0" w:lastRow="0" w:noHBand="0" w:noVBand="1" w:val="04A0"/>
      </w:tblPr>
      <w:tblGrid>
        <w:gridCol w:w="3884"/>
        <w:gridCol w:w="3884"/>
        <w:gridCol w:w="3884"/>
        <w:gridCol w:w="3884"/>
      </w:tblGrid>
      <w:tr>
        <w:tc>
          <w:tcPr>
            <w:tcW w:type="dxa" w:w="3884"/>
            <w:shd w:val="clear" w:fill="2F5C9E"/>
          </w:tcPr>
          <w:p>
            <w:pPr>
              <w:spacing w:before="20" w:after="20"/>
            </w:pPr>
            <w:r/>
            <w:r>
              <w:rPr>
                <w:rFonts w:ascii="Calibri" w:hAnsi="Calibri"/>
                <w:b/>
                <w:color w:val="FFFFFF"/>
                <w:sz w:val="16"/>
              </w:rPr>
              <w:t>Stereotype</w:t>
            </w:r>
          </w:p>
        </w:tc>
        <w:tc>
          <w:tcPr>
            <w:tcW w:type="dxa" w:w="3884"/>
            <w:shd w:val="clear" w:fill="2F5C9E"/>
          </w:tcPr>
          <w:p>
            <w:pPr>
              <w:spacing w:before="20" w:after="20"/>
            </w:pPr>
            <w:r/>
            <w:r>
              <w:rPr>
                <w:rFonts w:ascii="Calibri" w:hAnsi="Calibri"/>
                <w:b/>
                <w:color w:val="FFFFFF"/>
                <w:sz w:val="16"/>
              </w:rPr>
              <w:t>From</w:t>
            </w:r>
          </w:p>
        </w:tc>
        <w:tc>
          <w:tcPr>
            <w:tcW w:type="dxa" w:w="3884"/>
            <w:shd w:val="clear" w:fill="2F5C9E"/>
          </w:tcPr>
          <w:p>
            <w:pPr>
              <w:spacing w:before="20" w:after="20"/>
            </w:pPr>
            <w:r/>
            <w:r>
              <w:rPr>
                <w:rFonts w:ascii="Calibri" w:hAnsi="Calibri"/>
                <w:b/>
                <w:color w:val="FFFFFF"/>
                <w:sz w:val="16"/>
              </w:rPr>
              <w:t>To</w:t>
            </w:r>
          </w:p>
        </w:tc>
        <w:tc>
          <w:tcPr>
            <w:tcW w:type="dxa" w:w="3884"/>
            <w:shd w:val="clear" w:fill="2F5C9E"/>
          </w:tcPr>
          <w:p>
            <w:pPr>
              <w:spacing w:before="20" w:after="20"/>
            </w:pPr>
            <w:r/>
            <w:r>
              <w:rPr>
                <w:rFonts w:ascii="Calibri" w:hAnsi="Calibri"/>
                <w:b/>
                <w:color w:val="FFFFFF"/>
                <w:sz w:val="16"/>
              </w:rPr>
              <w:t>Why</w:t>
            </w:r>
          </w:p>
        </w:tc>
      </w:tr>
      <w:tr>
        <w:tc>
          <w:tcPr>
            <w:tcW w:type="dxa" w:w="3884"/>
          </w:tcPr>
          <w:p>
            <w:pPr>
              <w:spacing w:before="20" w:after="20"/>
            </w:pPr>
            <w:r/>
            <w:r>
              <w:rPr>
                <w:rFonts w:ascii="Calibri" w:hAnsi="Calibri"/>
                <w:b/>
                <w:sz w:val="16"/>
              </w:rPr>
              <w:t>«include»</w:t>
            </w:r>
          </w:p>
        </w:tc>
        <w:tc>
          <w:tcPr>
            <w:tcW w:type="dxa" w:w="3884"/>
          </w:tcPr>
          <w:p>
            <w:pPr>
              <w:spacing w:before="20" w:after="20"/>
            </w:pPr>
            <w:r/>
            <w:r>
              <w:rPr>
                <w:rFonts w:ascii="Calibri" w:hAnsi="Calibri"/>
                <w:b w:val="0"/>
                <w:sz w:val="16"/>
              </w:rPr>
              <w:t>UC-01</w:t>
            </w:r>
          </w:p>
        </w:tc>
        <w:tc>
          <w:tcPr>
            <w:tcW w:type="dxa" w:w="3884"/>
          </w:tcPr>
          <w:p>
            <w:pPr>
              <w:spacing w:before="20" w:after="20"/>
            </w:pPr>
            <w:r/>
            <w:r>
              <w:rPr>
                <w:rFonts w:ascii="Calibri" w:hAnsi="Calibri"/>
                <w:b w:val="0"/>
                <w:sz w:val="16"/>
              </w:rPr>
              <w:t>UC-06</w:t>
            </w:r>
          </w:p>
        </w:tc>
        <w:tc>
          <w:tcPr>
            <w:tcW w:type="dxa" w:w="3884"/>
          </w:tcPr>
          <w:p>
            <w:pPr>
              <w:spacing w:before="20" w:after="20"/>
            </w:pPr>
            <w:r/>
            <w:r>
              <w:rPr>
                <w:rFonts w:ascii="Calibri" w:hAnsi="Calibri"/>
                <w:b w:val="0"/>
                <w:sz w:val="16"/>
              </w:rPr>
              <w:t>parsing a resume always screens it against every active drive</w:t>
            </w:r>
          </w:p>
        </w:tc>
      </w:tr>
      <w:tr>
        <w:tc>
          <w:tcPr>
            <w:tcW w:type="dxa" w:w="3884"/>
          </w:tcPr>
          <w:p>
            <w:pPr>
              <w:spacing w:before="20" w:after="20"/>
            </w:pPr>
            <w:r/>
            <w:r>
              <w:rPr>
                <w:rFonts w:ascii="Calibri" w:hAnsi="Calibri"/>
                <w:b/>
                <w:sz w:val="16"/>
              </w:rPr>
              <w:t>«include»</w:t>
            </w:r>
          </w:p>
        </w:tc>
        <w:tc>
          <w:tcPr>
            <w:tcW w:type="dxa" w:w="3884"/>
          </w:tcPr>
          <w:p>
            <w:pPr>
              <w:spacing w:before="20" w:after="20"/>
            </w:pPr>
            <w:r/>
            <w:r>
              <w:rPr>
                <w:rFonts w:ascii="Calibri" w:hAnsi="Calibri"/>
                <w:b w:val="0"/>
                <w:sz w:val="16"/>
              </w:rPr>
              <w:t>UC-02</w:t>
            </w:r>
          </w:p>
        </w:tc>
        <w:tc>
          <w:tcPr>
            <w:tcW w:type="dxa" w:w="3884"/>
          </w:tcPr>
          <w:p>
            <w:pPr>
              <w:spacing w:before="20" w:after="20"/>
            </w:pPr>
            <w:r/>
            <w:r>
              <w:rPr>
                <w:rFonts w:ascii="Calibri" w:hAnsi="Calibri"/>
                <w:b w:val="0"/>
                <w:sz w:val="16"/>
              </w:rPr>
              <w:t>UC-06</w:t>
            </w:r>
          </w:p>
        </w:tc>
        <w:tc>
          <w:tcPr>
            <w:tcW w:type="dxa" w:w="3884"/>
          </w:tcPr>
          <w:p>
            <w:pPr>
              <w:spacing w:before="20" w:after="20"/>
            </w:pPr>
            <w:r/>
            <w:r>
              <w:rPr>
                <w:rFonts w:ascii="Calibri" w:hAnsi="Calibri"/>
                <w:b w:val="0"/>
                <w:sz w:val="16"/>
              </w:rPr>
              <w:t>every application is re-screened against that drive's rule set</w:t>
            </w:r>
          </w:p>
        </w:tc>
      </w:tr>
      <w:tr>
        <w:tc>
          <w:tcPr>
            <w:tcW w:type="dxa" w:w="3884"/>
          </w:tcPr>
          <w:p>
            <w:pPr>
              <w:spacing w:before="20" w:after="20"/>
            </w:pPr>
            <w:r/>
            <w:r>
              <w:rPr>
                <w:rFonts w:ascii="Calibri" w:hAnsi="Calibri"/>
                <w:b/>
                <w:sz w:val="16"/>
              </w:rPr>
              <w:t>«include»</w:t>
            </w:r>
          </w:p>
        </w:tc>
        <w:tc>
          <w:tcPr>
            <w:tcW w:type="dxa" w:w="3884"/>
          </w:tcPr>
          <w:p>
            <w:pPr>
              <w:spacing w:before="20" w:after="20"/>
            </w:pPr>
            <w:r/>
            <w:r>
              <w:rPr>
                <w:rFonts w:ascii="Calibri" w:hAnsi="Calibri"/>
                <w:b w:val="0"/>
                <w:sz w:val="16"/>
              </w:rPr>
              <w:t>UC-04</w:t>
            </w:r>
          </w:p>
        </w:tc>
        <w:tc>
          <w:tcPr>
            <w:tcW w:type="dxa" w:w="3884"/>
          </w:tcPr>
          <w:p>
            <w:pPr>
              <w:spacing w:before="20" w:after="20"/>
            </w:pPr>
            <w:r/>
            <w:r>
              <w:rPr>
                <w:rFonts w:ascii="Calibri" w:hAnsi="Calibri"/>
                <w:b w:val="0"/>
                <w:sz w:val="16"/>
              </w:rPr>
              <w:t>UC-08</w:t>
            </w:r>
          </w:p>
        </w:tc>
        <w:tc>
          <w:tcPr>
            <w:tcW w:type="dxa" w:w="3884"/>
          </w:tcPr>
          <w:p>
            <w:pPr>
              <w:spacing w:before="20" w:after="20"/>
            </w:pPr>
            <w:r/>
            <w:r>
              <w:rPr>
                <w:rFonts w:ascii="Calibri" w:hAnsi="Calibri"/>
                <w:b w:val="0"/>
                <w:sz w:val="16"/>
              </w:rPr>
              <w:t>releasing an offer always generates the offer document</w:t>
            </w:r>
          </w:p>
        </w:tc>
      </w:tr>
      <w:tr>
        <w:tc>
          <w:tcPr>
            <w:tcW w:type="dxa" w:w="3884"/>
          </w:tcPr>
          <w:p>
            <w:pPr>
              <w:spacing w:before="20" w:after="20"/>
            </w:pPr>
            <w:r/>
            <w:r>
              <w:rPr>
                <w:rFonts w:ascii="Calibri" w:hAnsi="Calibri"/>
                <w:b/>
                <w:sz w:val="16"/>
              </w:rPr>
              <w:t>«include»</w:t>
            </w:r>
          </w:p>
        </w:tc>
        <w:tc>
          <w:tcPr>
            <w:tcW w:type="dxa" w:w="3884"/>
          </w:tcPr>
          <w:p>
            <w:pPr>
              <w:spacing w:before="20" w:after="20"/>
            </w:pPr>
            <w:r/>
            <w:r>
              <w:rPr>
                <w:rFonts w:ascii="Calibri" w:hAnsi="Calibri"/>
                <w:b w:val="0"/>
                <w:sz w:val="16"/>
              </w:rPr>
              <w:t>UC-05</w:t>
            </w:r>
          </w:p>
        </w:tc>
        <w:tc>
          <w:tcPr>
            <w:tcW w:type="dxa" w:w="3884"/>
          </w:tcPr>
          <w:p>
            <w:pPr>
              <w:spacing w:before="20" w:after="20"/>
            </w:pPr>
            <w:r/>
            <w:r>
              <w:rPr>
                <w:rFonts w:ascii="Calibri" w:hAnsi="Calibri"/>
                <w:b w:val="0"/>
                <w:sz w:val="16"/>
              </w:rPr>
              <w:t>UC-10</w:t>
            </w:r>
          </w:p>
        </w:tc>
        <w:tc>
          <w:tcPr>
            <w:tcW w:type="dxa" w:w="3884"/>
          </w:tcPr>
          <w:p>
            <w:pPr>
              <w:spacing w:before="20" w:after="20"/>
            </w:pPr>
            <w:r/>
            <w:r>
              <w:rPr>
                <w:rFonts w:ascii="Calibri" w:hAnsi="Calibri"/>
                <w:b w:val="0"/>
                <w:sz w:val="16"/>
              </w:rPr>
              <w:t>closing a round always records an outcome for every applicant</w:t>
            </w:r>
          </w:p>
        </w:tc>
      </w:tr>
      <w:tr>
        <w:tc>
          <w:tcPr>
            <w:tcW w:type="dxa" w:w="3884"/>
          </w:tcPr>
          <w:p>
            <w:pPr>
              <w:spacing w:before="20" w:after="20"/>
            </w:pPr>
            <w:r/>
            <w:r>
              <w:rPr>
                <w:rFonts w:ascii="Calibri" w:hAnsi="Calibri"/>
                <w:b/>
                <w:sz w:val="16"/>
              </w:rPr>
              <w:t>«extend»</w:t>
            </w:r>
          </w:p>
        </w:tc>
        <w:tc>
          <w:tcPr>
            <w:tcW w:type="dxa" w:w="3884"/>
          </w:tcPr>
          <w:p>
            <w:pPr>
              <w:spacing w:before="20" w:after="20"/>
            </w:pPr>
            <w:r/>
            <w:r>
              <w:rPr>
                <w:rFonts w:ascii="Calibri" w:hAnsi="Calibri"/>
                <w:b w:val="0"/>
                <w:sz w:val="16"/>
              </w:rPr>
              <w:t>UC-07</w:t>
            </w:r>
          </w:p>
        </w:tc>
        <w:tc>
          <w:tcPr>
            <w:tcW w:type="dxa" w:w="3884"/>
          </w:tcPr>
          <w:p>
            <w:pPr>
              <w:spacing w:before="20" w:after="20"/>
            </w:pPr>
            <w:r/>
            <w:r>
              <w:rPr>
                <w:rFonts w:ascii="Calibri" w:hAnsi="Calibri"/>
                <w:b w:val="0"/>
                <w:sz w:val="16"/>
              </w:rPr>
              <w:t>UC-02</w:t>
            </w:r>
          </w:p>
        </w:tc>
        <w:tc>
          <w:tcPr>
            <w:tcW w:type="dxa" w:w="3884"/>
          </w:tcPr>
          <w:p>
            <w:pPr>
              <w:spacing w:before="20" w:after="20"/>
            </w:pPr>
            <w:r/>
            <w:r>
              <w:rPr>
                <w:rFonts w:ascii="Calibri" w:hAnsi="Calibri"/>
                <w:b w:val="0"/>
                <w:sz w:val="16"/>
              </w:rPr>
              <w:t>condition: an eligibility tier was failed on stale record data</w:t>
            </w:r>
          </w:p>
        </w:tc>
      </w:tr>
      <w:tr>
        <w:tc>
          <w:tcPr>
            <w:tcW w:type="dxa" w:w="3884"/>
          </w:tcPr>
          <w:p>
            <w:pPr>
              <w:spacing w:before="20" w:after="20"/>
            </w:pPr>
            <w:r/>
            <w:r>
              <w:rPr>
                <w:rFonts w:ascii="Calibri" w:hAnsi="Calibri"/>
                <w:b/>
                <w:sz w:val="16"/>
              </w:rPr>
              <w:t>«extend»</w:t>
            </w:r>
          </w:p>
        </w:tc>
        <w:tc>
          <w:tcPr>
            <w:tcW w:type="dxa" w:w="3884"/>
          </w:tcPr>
          <w:p>
            <w:pPr>
              <w:spacing w:before="20" w:after="20"/>
            </w:pPr>
            <w:r/>
            <w:r>
              <w:rPr>
                <w:rFonts w:ascii="Calibri" w:hAnsi="Calibri"/>
                <w:b w:val="0"/>
                <w:sz w:val="16"/>
              </w:rPr>
              <w:t>UC-09</w:t>
            </w:r>
          </w:p>
        </w:tc>
        <w:tc>
          <w:tcPr>
            <w:tcW w:type="dxa" w:w="3884"/>
          </w:tcPr>
          <w:p>
            <w:pPr>
              <w:spacing w:before="20" w:after="20"/>
            </w:pPr>
            <w:r/>
            <w:r>
              <w:rPr>
                <w:rFonts w:ascii="Calibri" w:hAnsi="Calibri"/>
                <w:b w:val="0"/>
                <w:sz w:val="16"/>
              </w:rPr>
              <w:t>UC-05</w:t>
            </w:r>
          </w:p>
        </w:tc>
        <w:tc>
          <w:tcPr>
            <w:tcW w:type="dxa" w:w="3884"/>
          </w:tcPr>
          <w:p>
            <w:pPr>
              <w:spacing w:before="20" w:after="20"/>
            </w:pPr>
            <w:r/>
            <w:r>
              <w:rPr>
                <w:rFonts w:ascii="Calibri" w:hAnsi="Calibri"/>
                <w:b w:val="0"/>
                <w:sz w:val="16"/>
              </w:rPr>
              <w:t>condition: applicant requests a different interview slot</w:t>
            </w:r>
          </w:p>
        </w:tc>
      </w:tr>
    </w:tbl>
    <w:sectPr w:rsidR="00FC693F" w:rsidRPr="0006063C"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