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1A365D"/>
          <w:sz w:val="64"/>
        </w:rPr>
        <w:t>BANKMITRA</w:t>
      </w:r>
    </w:p>
    <w:p>
      <w:pPr>
        <w:jc w:val="center"/>
      </w:pPr>
      <w:r>
        <w:rPr>
          <w:b/>
          <w:sz w:val="36"/>
        </w:rPr>
        <w:t>Inactive Account Re-engagement Engine</w:t>
      </w:r>
    </w:p>
    <w:p>
      <w:pPr>
        <w:jc w:val="center"/>
      </w:pPr>
      <w:r>
        <w:rPr>
          <w:i/>
        </w:rPr>
        <w:t>Research dossier • Product concept • Evidence register • MVP data model • Antigravity build brief</w:t>
      </w:r>
    </w:p>
    <w:p>
      <w:pPr>
        <w:spacing w:before="1100"/>
        <w:jc w:val="center"/>
      </w:pPr>
      <w:r>
        <w:t>The India @ 71/100 Challenge | Theme 3: Financial Inclusion &amp; Meaningful Banking Access</w:t>
      </w:r>
    </w:p>
    <w:p>
      <w:pPr>
        <w:jc w:val="center"/>
      </w:pPr>
      <w:r>
        <w:t>Research snapshot: 21 October 2026</w:t>
      </w:r>
    </w:p>
    <w:p>
      <w:r>
        <w:br w:type="page"/>
      </w:r>
    </w:p>
    <w:p>
      <w:pPr>
        <w:pStyle w:val="Heading1"/>
      </w:pPr>
      <w:r>
        <w:t>How to use this document</w:t>
      </w:r>
    </w:p>
    <w:p>
      <w:r>
        <w:t>Use this as the project’s single reference for research, proposal writing, MVP development and demo claims. It separates sourced facts from hypotheses and prototype assumptions.</w:t>
      </w:r>
    </w:p>
    <w:p>
      <w:pPr>
        <w:pStyle w:val="ListBullet"/>
        <w:spacing w:after="40"/>
      </w:pPr>
      <w:r>
        <w:t>Verified evidence: directly supported by cited RBI / Government of India sources.</w:t>
      </w:r>
    </w:p>
    <w:p>
      <w:pPr>
        <w:pStyle w:val="ListBullet"/>
        <w:spacing w:after="40"/>
      </w:pPr>
      <w:r>
        <w:t>Design hypothesis: plausible explanation or product mechanism requiring interviews or authorised pilot data.</w:t>
      </w:r>
    </w:p>
    <w:p>
      <w:pPr>
        <w:pStyle w:val="ListBullet"/>
        <w:spacing w:after="40"/>
      </w:pPr>
      <w:r>
        <w:t>MVP assumption: simplification for a synthetic-data demonstration, not a claim about real customers.</w:t>
      </w:r>
    </w:p>
    <w:p>
      <w:pPr>
        <w:pStyle w:val="ListBullet"/>
        <w:spacing w:after="40"/>
      </w:pPr>
      <w:r>
        <w:t>Deployment dependency: requires an authorised institution, approved channel, legal review or permitted data-sharing arrangement.</w:t>
      </w:r>
    </w:p>
    <w:p>
      <w:r>
        <w:rPr>
          <w:i/>
          <w:color w:val="5A5A5A"/>
          <w:sz w:val="16"/>
        </w:rPr>
        <w:t>This is a research and product-design reference, not legal advice and not proof of any bank or government partnership.</w:t>
      </w:r>
    </w:p>
    <w:p>
      <w:pPr>
        <w:pStyle w:val="Heading1"/>
      </w:pPr>
      <w:r>
        <w:t>1. Executive summary</w:t>
      </w:r>
    </w:p>
    <w:p>
      <w:r>
        <w:t>BankMitra is a proposed bank-led or authorised-partner-led system that helps understand why some bank accounts become inactive, selects a proportionate intervention for the underlying barrier, and measures whether the customer voluntarily regains useful access. It is not another consumer app that expects people with inactive accounts to discover it themselves.</w:t>
      </w:r>
    </w:p>
    <w:p>
      <w:r>
        <w:t>The core hypothesis: a generic reactivation reminder is weaker than a barrier-specific intervention. A customer who cannot complete KYC needs a verified activation path; someone facing access friction may need an authorised local service channel; a customer who stopped after a bad experience may need the original issue resolved before re-engagement. These are design hypotheses, not prevalence estimates.</w:t>
      </w:r>
    </w:p>
    <w:p>
      <w:pPr>
        <w:pStyle w:val="Heading2"/>
      </w:pPr>
      <w:r>
        <w:t>One-line pitch</w:t>
      </w:r>
    </w:p>
    <w:p>
      <w:r>
        <w:t>BankMitra helps banks and authorised financial-inclusion partners understand the barrier behind account inactivity, deliver the least intrusive useful intervention through a trusted channel, and measure voluntary, sustained access rather than raw reactivation counts.</w:t>
      </w:r>
    </w:p>
    <w:p>
      <w:pPr>
        <w:pStyle w:val="Heading2"/>
      </w:pPr>
      <w:r>
        <w:t>Why this concept is worth testing</w:t>
      </w:r>
    </w:p>
    <w:p>
      <w:pPr>
        <w:pStyle w:val="ListBullet"/>
        <w:spacing w:after="40"/>
      </w:pPr>
      <w:r>
        <w:t>It starts from the customer’s reason for inactivity rather than assuming inactivity is itself the problem.</w:t>
      </w:r>
    </w:p>
    <w:p>
      <w:pPr>
        <w:pStyle w:val="ListBullet"/>
        <w:spacing w:after="40"/>
      </w:pPr>
      <w:r>
        <w:t>Outreach channel selection is part of the solution: bank branch, authorised Business Correspondent (BC), verified bank contact or partner-assisted contact where permitted.</w:t>
      </w:r>
    </w:p>
    <w:p>
      <w:pPr>
        <w:pStyle w:val="ListBullet"/>
        <w:spacing w:after="40"/>
      </w:pPr>
      <w:r>
        <w:t>It permits a 'do not push reactivation' outcome where the account is redundant or the customer does not want further use.</w:t>
      </w:r>
    </w:p>
    <w:p>
      <w:pPr>
        <w:pStyle w:val="ListBullet"/>
        <w:spacing w:after="40"/>
      </w:pPr>
      <w:r>
        <w:t>It measures barrier resolution and sustained voluntary use, not just messages sent or status changes.</w:t>
      </w:r>
    </w:p>
    <w:p>
      <w:pPr>
        <w:pStyle w:val="ListBullet"/>
        <w:spacing w:after="40"/>
      </w:pPr>
      <w:r>
        <w:t>It can be demonstrated using synthetic data and transparent rules without pretending to have bank integration.</w:t>
      </w:r>
    </w:p>
    <w:p>
      <w:pPr>
        <w:pStyle w:val="Heading1"/>
      </w:pPr>
      <w:r>
        <w:t>2. Problem framing and evidence boundaries</w:t>
      </w:r>
    </w:p>
    <w:p>
      <w:r>
        <w:t>India has a large formal account base, but account ownership does not prove that an account is actively used, accessible, suitable or valuable to its holder. BankMitra focuses on the gap between account opening and useful ongoing access.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CFE2F3"/>
          </w:tcPr>
          <w:p>
            <w:r>
              <w:rPr>
                <w:b/>
                <w:sz w:val="16"/>
              </w:rPr>
              <w:t>Statement</w:t>
            </w:r>
          </w:p>
        </w:tc>
        <w:tc>
          <w:tcPr>
            <w:tcW w:type="dxa" w:w="3360"/>
            <w:shd w:fill="CFE2F3"/>
          </w:tcPr>
          <w:p>
            <w:r>
              <w:rPr>
                <w:b/>
                <w:sz w:val="16"/>
              </w:rPr>
              <w:t>Evidence status</w:t>
            </w:r>
          </w:p>
        </w:tc>
        <w:tc>
          <w:tcPr>
            <w:tcW w:type="dxa" w:w="3360"/>
            <w:shd w:fill="CFE2F3"/>
          </w:tcPr>
          <w:p>
            <w:r>
              <w:rPr>
                <w:b/>
                <w:sz w:val="16"/>
              </w:rPr>
              <w:t>Safe interpretation</w:t>
            </w:r>
          </w:p>
        </w:tc>
      </w:tr>
      <w:tr>
        <w:tc>
          <w:tcPr>
            <w:tcW w:type="dxa" w:w="3360"/>
            <w:vAlign w:val="center"/>
          </w:tcPr>
          <w:p>
            <w:pPr>
              <w:spacing w:after="20"/>
            </w:pPr>
            <w:r>
              <w:rPr>
                <w:rFonts w:ascii="Aptos" w:hAnsi="Aptos"/>
                <w:sz w:val="15"/>
              </w:rPr>
              <w:t>RBI has detailed instructions for review and activation of inoperative accounts / unclaimed deposits.</w:t>
            </w:r>
          </w:p>
        </w:tc>
        <w:tc>
          <w:tcPr>
            <w:tcW w:type="dxa" w:w="3360"/>
            <w:vAlign w:val="center"/>
          </w:tcPr>
          <w:p>
            <w:pPr>
              <w:spacing w:after="20"/>
            </w:pPr>
            <w:r>
              <w:rPr>
                <w:rFonts w:ascii="Aptos" w:hAnsi="Aptos"/>
                <w:sz w:val="15"/>
              </w:rPr>
              <w:t>Verified</w:t>
            </w:r>
          </w:p>
        </w:tc>
        <w:tc>
          <w:tcPr>
            <w:tcW w:type="dxa" w:w="3360"/>
            <w:vAlign w:val="center"/>
          </w:tcPr>
          <w:p>
            <w:pPr>
              <w:spacing w:after="20"/>
            </w:pPr>
            <w:r>
              <w:rPr>
                <w:rFonts w:ascii="Aptos" w:hAnsi="Aptos"/>
                <w:sz w:val="15"/>
              </w:rPr>
              <w:t>There is an established regulatory process; BankMitra must complement it, not claim to invent it.</w:t>
            </w:r>
          </w:p>
        </w:tc>
      </w:tr>
      <w:tr>
        <w:tc>
          <w:tcPr>
            <w:tcW w:type="dxa" w:w="3360"/>
            <w:vAlign w:val="center"/>
          </w:tcPr>
          <w:p>
            <w:pPr>
              <w:spacing w:after="20"/>
            </w:pPr>
            <w:r>
              <w:rPr>
                <w:rFonts w:ascii="Aptos" w:hAnsi="Aptos"/>
                <w:sz w:val="15"/>
              </w:rPr>
              <w:t>RBI reported high volumes at several banks and observed activation inconvenience, KYC pendency and customer-detail mismatches.</w:t>
            </w:r>
          </w:p>
        </w:tc>
        <w:tc>
          <w:tcPr>
            <w:tcW w:type="dxa" w:w="3360"/>
            <w:vAlign w:val="center"/>
          </w:tcPr>
          <w:p>
            <w:pPr>
              <w:spacing w:after="20"/>
            </w:pPr>
            <w:r>
              <w:rPr>
                <w:rFonts w:ascii="Aptos" w:hAnsi="Aptos"/>
                <w:sz w:val="15"/>
              </w:rPr>
              <w:t>Verified; RBI, 2 Dec 2024</w:t>
            </w:r>
          </w:p>
        </w:tc>
        <w:tc>
          <w:tcPr>
            <w:tcW w:type="dxa" w:w="3360"/>
            <w:vAlign w:val="center"/>
          </w:tcPr>
          <w:p>
            <w:pPr>
              <w:spacing w:after="20"/>
            </w:pPr>
            <w:r>
              <w:rPr>
                <w:rFonts w:ascii="Aptos" w:hAnsi="Aptos"/>
                <w:sz w:val="15"/>
              </w:rPr>
              <w:t>Process friction is documented; this does not establish national prevalence by cause.</w:t>
            </w:r>
          </w:p>
        </w:tc>
      </w:tr>
      <w:tr>
        <w:tc>
          <w:tcPr>
            <w:tcW w:type="dxa" w:w="3360"/>
            <w:vAlign w:val="center"/>
          </w:tcPr>
          <w:p>
            <w:pPr>
              <w:spacing w:after="20"/>
            </w:pPr>
            <w:r>
              <w:rPr>
                <w:rFonts w:ascii="Aptos" w:hAnsi="Aptos"/>
                <w:sz w:val="15"/>
              </w:rPr>
              <w:t>Some accounts may be inactive due to documentation friction, access, trust, unresolved service issues or low perceived utility.</w:t>
            </w:r>
          </w:p>
        </w:tc>
        <w:tc>
          <w:tcPr>
            <w:tcW w:type="dxa" w:w="3360"/>
            <w:vAlign w:val="center"/>
          </w:tcPr>
          <w:p>
            <w:pPr>
              <w:spacing w:after="20"/>
            </w:pPr>
            <w:r>
              <w:rPr>
                <w:rFonts w:ascii="Aptos" w:hAnsi="Aptos"/>
                <w:sz w:val="15"/>
              </w:rPr>
              <w:t>Hypothesis</w:t>
            </w:r>
          </w:p>
        </w:tc>
        <w:tc>
          <w:tcPr>
            <w:tcW w:type="dxa" w:w="3360"/>
            <w:vAlign w:val="center"/>
          </w:tcPr>
          <w:p>
            <w:pPr>
              <w:spacing w:after="20"/>
            </w:pPr>
            <w:r>
              <w:rPr>
                <w:rFonts w:ascii="Aptos" w:hAnsi="Aptos"/>
                <w:sz w:val="15"/>
              </w:rPr>
              <w:t>Use as interview categories, not quantified findings.</w:t>
            </w:r>
          </w:p>
        </w:tc>
      </w:tr>
      <w:tr>
        <w:tc>
          <w:tcPr>
            <w:tcW w:type="dxa" w:w="3360"/>
            <w:vAlign w:val="center"/>
          </w:tcPr>
          <w:p>
            <w:pPr>
              <w:spacing w:after="20"/>
            </w:pPr>
            <w:r>
              <w:rPr>
                <w:rFonts w:ascii="Aptos" w:hAnsi="Aptos"/>
                <w:sz w:val="15"/>
              </w:rPr>
              <w:t>Transaction history alone reliably tells us why an account is inactive.</w:t>
            </w:r>
          </w:p>
        </w:tc>
        <w:tc>
          <w:tcPr>
            <w:tcW w:type="dxa" w:w="3360"/>
            <w:vAlign w:val="center"/>
          </w:tcPr>
          <w:p>
            <w:pPr>
              <w:spacing w:after="20"/>
            </w:pPr>
            <w:r>
              <w:rPr>
                <w:rFonts w:ascii="Aptos" w:hAnsi="Aptos"/>
                <w:sz w:val="15"/>
              </w:rPr>
              <w:t>Unsupported; do not claim</w:t>
            </w:r>
          </w:p>
        </w:tc>
        <w:tc>
          <w:tcPr>
            <w:tcW w:type="dxa" w:w="3360"/>
            <w:vAlign w:val="center"/>
          </w:tcPr>
          <w:p>
            <w:pPr>
              <w:spacing w:after="20"/>
            </w:pPr>
            <w:r>
              <w:rPr>
                <w:rFonts w:ascii="Aptos" w:hAnsi="Aptos"/>
                <w:sz w:val="15"/>
              </w:rPr>
              <w:t>Signals may prompt review but cannot establish a person’s motive.</w:t>
            </w:r>
          </w:p>
        </w:tc>
      </w:tr>
      <w:tr>
        <w:tc>
          <w:tcPr>
            <w:tcW w:type="dxa" w:w="3360"/>
            <w:vAlign w:val="center"/>
          </w:tcPr>
          <w:p>
            <w:pPr>
              <w:spacing w:after="20"/>
            </w:pPr>
            <w:r>
              <w:rPr>
                <w:rFonts w:ascii="Aptos" w:hAnsi="Aptos"/>
                <w:sz w:val="15"/>
              </w:rPr>
              <w:t>BankMitra will reactivate a stated percentage of accounts.</w:t>
            </w:r>
          </w:p>
        </w:tc>
        <w:tc>
          <w:tcPr>
            <w:tcW w:type="dxa" w:w="3360"/>
            <w:vAlign w:val="center"/>
          </w:tcPr>
          <w:p>
            <w:pPr>
              <w:spacing w:after="20"/>
            </w:pPr>
            <w:r>
              <w:rPr>
                <w:rFonts w:ascii="Aptos" w:hAnsi="Aptos"/>
                <w:sz w:val="15"/>
              </w:rPr>
              <w:t>Unproven</w:t>
            </w:r>
          </w:p>
        </w:tc>
        <w:tc>
          <w:tcPr>
            <w:tcW w:type="dxa" w:w="3360"/>
            <w:vAlign w:val="center"/>
          </w:tcPr>
          <w:p>
            <w:pPr>
              <w:spacing w:after="20"/>
            </w:pPr>
            <w:r>
              <w:rPr>
                <w:rFonts w:ascii="Aptos" w:hAnsi="Aptos"/>
                <w:sz w:val="15"/>
              </w:rPr>
              <w:t>Only report after a valid pilot with a defined denominator and follow-up window.</w:t>
            </w:r>
          </w:p>
        </w:tc>
      </w:tr>
    </w:tbl>
    <w:p/>
    <w:p>
      <w:pPr>
        <w:pStyle w:val="Heading2"/>
      </w:pPr>
      <w:r>
        <w:t>Definitions that must not be confused</w:t>
      </w:r>
    </w:p>
    <w:p>
      <w:pPr>
        <w:pStyle w:val="ListBullet"/>
        <w:spacing w:after="40"/>
      </w:pPr>
      <w:r>
        <w:t>Inoperative account: under RBI’s revised instructions, a savings/current account with no customer-induced transactions for over two years is treated as inoperative, subject to the circular’s definitions and exceptions.</w:t>
      </w:r>
    </w:p>
    <w:p>
      <w:pPr>
        <w:pStyle w:val="ListBullet"/>
        <w:spacing w:after="40"/>
      </w:pPr>
      <w:r>
        <w:t>Unclaimed deposit: a distinct category associated with deposits / amounts unclaimed for ten years or more and transfer to the Depositor Education and Awareness (DEA) Fund.</w:t>
      </w:r>
    </w:p>
    <w:p>
      <w:pPr>
        <w:pStyle w:val="ListBullet"/>
        <w:spacing w:after="40"/>
      </w:pPr>
      <w:r>
        <w:t>Reactivation: the bank’s operational status is restored. This alone does not prove that the barrier was solved or that ongoing use is wanted.</w:t>
      </w:r>
    </w:p>
    <w:p>
      <w:pPr>
        <w:pStyle w:val="ListBullet"/>
        <w:spacing w:after="40"/>
      </w:pPr>
      <w:r>
        <w:t>Meaningful access: BankMitra’s proposed outcome definition: the customer can voluntarily and safely use the account for a purpose they value. This is not an RBI legal term.</w:t>
      </w:r>
    </w:p>
    <w:p>
      <w:pPr>
        <w:pStyle w:val="Heading1"/>
      </w:pPr>
      <w:r>
        <w:t>3. Official research and public data</w:t>
      </w:r>
    </w:p>
    <w:p>
      <w:pPr>
        <w:pStyle w:val="Heading2"/>
      </w:pPr>
      <w:r>
        <w:t>3.1 RBI revised instructions (1 January 2024)</w:t>
      </w:r>
    </w:p>
    <w:p>
      <w:r>
        <w:t>RBI consolidated instructions covering classification, periodic review, fraud risk, grievance redress, tracing customers / nominees / legal heirs, activation and claims. The revised instructions took effect from 1 April 2024. Implement only rules checked against the current circular and later amendments.</w:t>
      </w:r>
    </w:p>
    <w:p>
      <w:pPr>
        <w:spacing w:after="40"/>
      </w:pPr>
      <w:r>
        <w:rPr>
          <w:b/>
        </w:rPr>
        <w:t xml:space="preserve">R1. RBI circular </w:t>
      </w:r>
      <w:r>
        <w:t>https://www.rbi.org.in/Scripts/NotificationUser.aspx?Id=12589 — Primary source for definitions, review, activation and safeguards.</w:t>
      </w:r>
    </w:p>
    <w:p>
      <w:pPr>
        <w:pStyle w:val="Heading2"/>
      </w:pPr>
      <w:r>
        <w:t>3.2 RBI observations on process friction (2 December 2024)</w:t>
      </w:r>
    </w:p>
    <w:p>
      <w:r>
        <w:t>RBI stated that supervisory analysis found inoperative / unclaimed accounts high in several banks relative to total deposits and in absolute terms. Reported reasons included long inactivity or pending KYC updation; observed customer inconvenience included customer-detail mismatches and activation friction. This is not a national cause-by-cause breakdown.</w:t>
      </w:r>
    </w:p>
    <w:p>
      <w:pPr>
        <w:spacing w:after="40"/>
      </w:pPr>
      <w:r>
        <w:rPr>
          <w:b/>
        </w:rPr>
        <w:t xml:space="preserve">R2. RBI circular </w:t>
      </w:r>
      <w:r>
        <w:t>https://www.rbi.org.in/Scripts/NotificationUser.aspx/NotificationUser.aspx?Id=12750 — Use the observations accurately; do not extrapolate them into unsupported percentages.</w:t>
      </w:r>
    </w:p>
    <w:p>
      <w:pPr>
        <w:pStyle w:val="Heading2"/>
      </w:pPr>
      <w:r>
        <w:t>3.3 RBI amendment on BC and KYC pathways (12 June 2025)</w:t>
      </w:r>
    </w:p>
    <w:p>
      <w:r>
        <w:t>The amendment says banks must make KYC updation for activation available at all branches, including non-home branches, should endeavour to provide Video-Customer Identification Process (V-CIP), and may use an authorised BC for activation as prescribed by applicable directions. This does not authorise an arbitrary third-party app to perform KYC or activate accounts.</w:t>
      </w:r>
    </w:p>
    <w:p>
      <w:pPr>
        <w:spacing w:after="40"/>
      </w:pPr>
      <w:r>
        <w:rPr>
          <w:b/>
        </w:rPr>
        <w:t xml:space="preserve">R3. RBI circular index </w:t>
      </w:r>
      <w:r>
        <w:t>https://www.rbi.org.in/Scripts/BS_CircularIndexDisplay.aspx?Id=12864 — Read the amendment and current KYC directions before defining real workflows.</w:t>
      </w:r>
    </w:p>
    <w:p>
      <w:pPr>
        <w:pStyle w:val="Heading2"/>
      </w:pPr>
      <w:r>
        <w:t>3.4 RBI UDGAM: existing infrastructure</w:t>
      </w:r>
    </w:p>
    <w:p>
      <w:r>
        <w:t>RBI launched UDGAM in August 2023 for searching unclaimed deposits across participating banks. RBI’s FAQ said that, as of 4 March 2024, 30 banks were on the portal and covered around 90% of unclaimed deposits by value in the DEA Fund. This is not a live public database of all recently inoperative accounts.</w:t>
      </w:r>
    </w:p>
    <w:p>
      <w:pPr>
        <w:spacing w:after="40"/>
      </w:pPr>
      <w:r>
        <w:rPr>
          <w:b/>
        </w:rPr>
        <w:t xml:space="preserve">R4. UDGAM launch </w:t>
      </w:r>
      <w:r>
        <w:t>https://www.rbi.org.in/scripts/FS_PressRelease.aspx?prid=56216 — Official launch and stated purpose.</w:t>
      </w:r>
    </w:p>
    <w:p>
      <w:pPr>
        <w:spacing w:after="40"/>
      </w:pPr>
      <w:r>
        <w:rPr>
          <w:b/>
        </w:rPr>
        <w:t xml:space="preserve">R5. UDGAM FAQ PDF </w:t>
      </w:r>
      <w:r>
        <w:t>https://www.rbi.org.in/commonman/Upload/English/FAQs/PDFs/FAQonUDGAMPortal.pdf — Coverage as of the FAQ’s stated date.</w:t>
      </w:r>
    </w:p>
    <w:p>
      <w:pPr>
        <w:pStyle w:val="Heading2"/>
      </w:pPr>
      <w:r>
        <w:t>3.5 PMJDY scale and context</w:t>
      </w:r>
    </w:p>
    <w:p>
      <w:r>
        <w:t>The Department of Financial Services’ 2024–25 Annual Report stated that 54.50 crore Jan-Dhan accounts had been opened by 8 January 2025, with ₹2,44,381 crore in deposits and an average balance of about ₹4,484 per account. It reported 30.33 crore women account holders and about 36.28 crore accounts in rural / semi-urban areas. These figures show scale, not dormant-account prevalence or causes.</w:t>
      </w:r>
    </w:p>
    <w:p>
      <w:pPr>
        <w:spacing w:after="40"/>
      </w:pPr>
      <w:r>
        <w:rPr>
          <w:b/>
        </w:rPr>
        <w:t xml:space="preserve">R6. DFS Annual Report 2024–25 </w:t>
      </w:r>
      <w:r>
        <w:t>https://financialservices.gov.in/sites/default/files/2026-01/Annual-Report-2024-25.pdf — Use dates and definitions when citing these figures.</w:t>
      </w:r>
    </w:p>
    <w:p>
      <w:pPr>
        <w:spacing w:after="40"/>
      </w:pPr>
      <w:r>
        <w:rPr>
          <w:b/>
        </w:rPr>
        <w:t xml:space="preserve">R7. PMJDY overview </w:t>
      </w:r>
      <w:r>
        <w:t>https://www.financialservices.gov.in/pradhan-mantri-jan-dhan-yojana-pmjdy — Scheme purpose, basic account features and Bank Mitra context.</w:t>
      </w:r>
    </w:p>
    <w:p>
      <w:pPr>
        <w:spacing w:after="40"/>
      </w:pPr>
      <w:r>
        <w:rPr>
          <w:b/>
        </w:rPr>
        <w:t xml:space="preserve">R8. DFS banking overview </w:t>
      </w:r>
      <w:r>
        <w:t>https://www.financialservices.gov.in/banking — DEA Fund / ten-year unclaimed-deposit context.</w:t>
      </w:r>
    </w:p>
    <w:p>
      <w:pPr>
        <w:pStyle w:val="Heading2"/>
      </w:pPr>
      <w:r>
        <w:t>What public sources do not establish</w:t>
      </w:r>
    </w:p>
    <w:p>
      <w:pPr>
        <w:pStyle w:val="ListBullet"/>
        <w:spacing w:after="40"/>
      </w:pPr>
      <w:r>
        <w:t>A current national breakdown of all inoperative accounts by customers’ actual reason for inactivity.</w:t>
      </w:r>
    </w:p>
    <w:p>
      <w:pPr>
        <w:pStyle w:val="ListBullet"/>
        <w:spacing w:after="40"/>
      </w:pPr>
      <w:r>
        <w:t>Customer-level records connecting account status to personal reasons, channel preference or successful interventions.</w:t>
      </w:r>
    </w:p>
    <w:p>
      <w:pPr>
        <w:pStyle w:val="ListBullet"/>
        <w:spacing w:after="40"/>
      </w:pPr>
      <w:r>
        <w:t>A public causal estimate of which outreach method best restores meaningful access.</w:t>
      </w:r>
    </w:p>
    <w:p>
      <w:pPr>
        <w:pStyle w:val="ListBullet"/>
        <w:spacing w:after="40"/>
      </w:pPr>
      <w:r>
        <w:t>Permission for this project to access core banking systems, KYC, transactions or customer contact details.</w:t>
      </w:r>
    </w:p>
    <w:p>
      <w:r>
        <w:rPr>
          <w:i/>
          <w:color w:val="5A5A5A"/>
          <w:sz w:val="16"/>
        </w:rPr>
        <w:t>Do not present PMJDY account totals, UDGAM coverage or RBI’s observations as the number of inactive accounts. They measure different things.</w:t>
      </w:r>
    </w:p>
    <w:p>
      <w:pPr>
        <w:pStyle w:val="Heading1"/>
      </w:pPr>
      <w:r>
        <w:t>4. Existing ecosystem and differentiation boundary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CFE2F3"/>
          </w:tcPr>
          <w:p>
            <w:r>
              <w:rPr>
                <w:b/>
                <w:sz w:val="16"/>
              </w:rPr>
              <w:t>Existing mechanism</w:t>
            </w:r>
          </w:p>
        </w:tc>
        <w:tc>
          <w:tcPr>
            <w:tcW w:type="dxa" w:w="2520"/>
            <w:shd w:fill="CFE2F3"/>
          </w:tcPr>
          <w:p>
            <w:r>
              <w:rPr>
                <w:b/>
                <w:sz w:val="16"/>
              </w:rPr>
              <w:t>What it already does</w:t>
            </w:r>
          </w:p>
        </w:tc>
        <w:tc>
          <w:tcPr>
            <w:tcW w:type="dxa" w:w="2520"/>
            <w:shd w:fill="CFE2F3"/>
          </w:tcPr>
          <w:p>
            <w:r>
              <w:rPr>
                <w:b/>
                <w:sz w:val="16"/>
              </w:rPr>
              <w:t>Do not claim</w:t>
            </w:r>
          </w:p>
        </w:tc>
        <w:tc>
          <w:tcPr>
            <w:tcW w:type="dxa" w:w="2520"/>
            <w:shd w:fill="CFE2F3"/>
          </w:tcPr>
          <w:p>
            <w:r>
              <w:rPr>
                <w:b/>
                <w:sz w:val="16"/>
              </w:rPr>
              <w:t>Potential complementary role</w:t>
            </w:r>
          </w:p>
        </w:tc>
      </w:tr>
      <w:tr>
        <w:tc>
          <w:tcPr>
            <w:tcW w:type="dxa" w:w="2520"/>
            <w:vAlign w:val="center"/>
          </w:tcPr>
          <w:p>
            <w:pPr>
              <w:spacing w:after="20"/>
            </w:pPr>
            <w:r>
              <w:rPr>
                <w:rFonts w:ascii="Aptos" w:hAnsi="Aptos"/>
                <w:sz w:val="15"/>
              </w:rPr>
              <w:t>Bank core banking / account-status systems</w:t>
            </w:r>
          </w:p>
        </w:tc>
        <w:tc>
          <w:tcPr>
            <w:tcW w:type="dxa" w:w="2520"/>
            <w:vAlign w:val="center"/>
          </w:tcPr>
          <w:p>
            <w:pPr>
              <w:spacing w:after="20"/>
            </w:pPr>
            <w:r>
              <w:rPr>
                <w:rFonts w:ascii="Aptos" w:hAnsi="Aptos"/>
                <w:sz w:val="15"/>
              </w:rPr>
              <w:t>Maintain account records and status; banks review and activate accounts.</w:t>
            </w:r>
          </w:p>
        </w:tc>
        <w:tc>
          <w:tcPr>
            <w:tcW w:type="dxa" w:w="2520"/>
            <w:vAlign w:val="center"/>
          </w:tcPr>
          <w:p>
            <w:pPr>
              <w:spacing w:after="20"/>
            </w:pPr>
            <w:r>
              <w:rPr>
                <w:rFonts w:ascii="Aptos" w:hAnsi="Aptos"/>
                <w:sz w:val="15"/>
              </w:rPr>
              <w:t>That BankMitra invents inactivity detection or activation.</w:t>
            </w:r>
          </w:p>
        </w:tc>
        <w:tc>
          <w:tcPr>
            <w:tcW w:type="dxa" w:w="2520"/>
            <w:vAlign w:val="center"/>
          </w:tcPr>
          <w:p>
            <w:pPr>
              <w:spacing w:after="20"/>
            </w:pPr>
            <w:r>
              <w:rPr>
                <w:rFonts w:ascii="Aptos" w:hAnsi="Aptos"/>
                <w:sz w:val="15"/>
              </w:rPr>
              <w:t>Structure reason capture, intervention choice and outcome tracking around authorised workflows.</w:t>
            </w:r>
          </w:p>
        </w:tc>
      </w:tr>
      <w:tr>
        <w:tc>
          <w:tcPr>
            <w:tcW w:type="dxa" w:w="2520"/>
            <w:vAlign w:val="center"/>
          </w:tcPr>
          <w:p>
            <w:pPr>
              <w:spacing w:after="20"/>
            </w:pPr>
            <w:r>
              <w:rPr>
                <w:rFonts w:ascii="Aptos" w:hAnsi="Aptos"/>
                <w:sz w:val="15"/>
              </w:rPr>
              <w:t>RBI inoperative-account instructions</w:t>
            </w:r>
          </w:p>
        </w:tc>
        <w:tc>
          <w:tcPr>
            <w:tcW w:type="dxa" w:w="2520"/>
            <w:vAlign w:val="center"/>
          </w:tcPr>
          <w:p>
            <w:pPr>
              <w:spacing w:after="20"/>
            </w:pPr>
            <w:r>
              <w:rPr>
                <w:rFonts w:ascii="Aptos" w:hAnsi="Aptos"/>
                <w:sz w:val="15"/>
              </w:rPr>
              <w:t>Set requirements for review, tracing, activation and safeguards.</w:t>
            </w:r>
          </w:p>
        </w:tc>
        <w:tc>
          <w:tcPr>
            <w:tcW w:type="dxa" w:w="2520"/>
            <w:vAlign w:val="center"/>
          </w:tcPr>
          <w:p>
            <w:pPr>
              <w:spacing w:after="20"/>
            </w:pPr>
            <w:r>
              <w:rPr>
                <w:rFonts w:ascii="Aptos" w:hAnsi="Aptos"/>
                <w:sz w:val="15"/>
              </w:rPr>
              <w:t>That BankMitra creates the regulatory process.</w:t>
            </w:r>
          </w:p>
        </w:tc>
        <w:tc>
          <w:tcPr>
            <w:tcW w:type="dxa" w:w="2520"/>
            <w:vAlign w:val="center"/>
          </w:tcPr>
          <w:p>
            <w:pPr>
              <w:spacing w:after="20"/>
            </w:pPr>
            <w:r>
              <w:rPr>
                <w:rFonts w:ascii="Aptos" w:hAnsi="Aptos"/>
                <w:sz w:val="15"/>
              </w:rPr>
              <w:t>Support an auditable, customer-centred workflow subordinate to bank rules.</w:t>
            </w:r>
          </w:p>
        </w:tc>
      </w:tr>
      <w:tr>
        <w:tc>
          <w:tcPr>
            <w:tcW w:type="dxa" w:w="2520"/>
            <w:vAlign w:val="center"/>
          </w:tcPr>
          <w:p>
            <w:pPr>
              <w:spacing w:after="20"/>
            </w:pPr>
            <w:r>
              <w:rPr>
                <w:rFonts w:ascii="Aptos" w:hAnsi="Aptos"/>
                <w:sz w:val="15"/>
              </w:rPr>
              <w:t>Authorised BCs</w:t>
            </w:r>
          </w:p>
        </w:tc>
        <w:tc>
          <w:tcPr>
            <w:tcW w:type="dxa" w:w="2520"/>
            <w:vAlign w:val="center"/>
          </w:tcPr>
          <w:p>
            <w:pPr>
              <w:spacing w:after="20"/>
            </w:pPr>
            <w:r>
              <w:rPr>
                <w:rFonts w:ascii="Aptos" w:hAnsi="Aptos"/>
                <w:sz w:val="15"/>
              </w:rPr>
              <w:t>Provide permitted banking services and may support specified activation / KYC paths.</w:t>
            </w:r>
          </w:p>
        </w:tc>
        <w:tc>
          <w:tcPr>
            <w:tcW w:type="dxa" w:w="2520"/>
            <w:vAlign w:val="center"/>
          </w:tcPr>
          <w:p>
            <w:pPr>
              <w:spacing w:after="20"/>
            </w:pPr>
            <w:r>
              <w:rPr>
                <w:rFonts w:ascii="Aptos" w:hAnsi="Aptos"/>
                <w:sz w:val="15"/>
              </w:rPr>
              <w:t>That any agent or third-party app can perform banking or KYC.</w:t>
            </w:r>
          </w:p>
        </w:tc>
        <w:tc>
          <w:tcPr>
            <w:tcW w:type="dxa" w:w="2520"/>
            <w:vAlign w:val="center"/>
          </w:tcPr>
          <w:p>
            <w:pPr>
              <w:spacing w:after="20"/>
            </w:pPr>
            <w:r>
              <w:rPr>
                <w:rFonts w:ascii="Aptos" w:hAnsi="Aptos"/>
                <w:sz w:val="15"/>
              </w:rPr>
              <w:t>Bank-authorised referral / task queue where a partnership exists.</w:t>
            </w:r>
          </w:p>
        </w:tc>
      </w:tr>
      <w:tr>
        <w:tc>
          <w:tcPr>
            <w:tcW w:type="dxa" w:w="2520"/>
            <w:vAlign w:val="center"/>
          </w:tcPr>
          <w:p>
            <w:pPr>
              <w:spacing w:after="20"/>
            </w:pPr>
            <w:r>
              <w:rPr>
                <w:rFonts w:ascii="Aptos" w:hAnsi="Aptos"/>
                <w:sz w:val="15"/>
              </w:rPr>
              <w:t>RBI UDGAM</w:t>
            </w:r>
          </w:p>
        </w:tc>
        <w:tc>
          <w:tcPr>
            <w:tcW w:type="dxa" w:w="2520"/>
            <w:vAlign w:val="center"/>
          </w:tcPr>
          <w:p>
            <w:pPr>
              <w:spacing w:after="20"/>
            </w:pPr>
            <w:r>
              <w:rPr>
                <w:rFonts w:ascii="Aptos" w:hAnsi="Aptos"/>
                <w:sz w:val="15"/>
              </w:rPr>
              <w:t>Search unclaimed deposits across participating banks.</w:t>
            </w:r>
          </w:p>
        </w:tc>
        <w:tc>
          <w:tcPr>
            <w:tcW w:type="dxa" w:w="2520"/>
            <w:vAlign w:val="center"/>
          </w:tcPr>
          <w:p>
            <w:pPr>
              <w:spacing w:after="20"/>
            </w:pPr>
            <w:r>
              <w:rPr>
                <w:rFonts w:ascii="Aptos" w:hAnsi="Aptos"/>
                <w:sz w:val="15"/>
              </w:rPr>
              <w:t>That UDGAM is a live database of every inoperative account.</w:t>
            </w:r>
          </w:p>
        </w:tc>
        <w:tc>
          <w:tcPr>
            <w:tcW w:type="dxa" w:w="2520"/>
            <w:vAlign w:val="center"/>
          </w:tcPr>
          <w:p>
            <w:pPr>
              <w:spacing w:after="20"/>
            </w:pPr>
            <w:r>
              <w:rPr>
                <w:rFonts w:ascii="Aptos" w:hAnsi="Aptos"/>
                <w:sz w:val="15"/>
              </w:rPr>
              <w:t>Refer eligible users to official unclaimed-deposit recovery paths.</w:t>
            </w:r>
          </w:p>
        </w:tc>
      </w:tr>
      <w:tr>
        <w:tc>
          <w:tcPr>
            <w:tcW w:type="dxa" w:w="2520"/>
            <w:vAlign w:val="center"/>
          </w:tcPr>
          <w:p>
            <w:pPr>
              <w:spacing w:after="20"/>
            </w:pPr>
            <w:r>
              <w:rPr>
                <w:rFonts w:ascii="Aptos" w:hAnsi="Aptos"/>
                <w:sz w:val="15"/>
              </w:rPr>
              <w:t>PMJDY / inclusion programmes</w:t>
            </w:r>
          </w:p>
        </w:tc>
        <w:tc>
          <w:tcPr>
            <w:tcW w:type="dxa" w:w="2520"/>
            <w:vAlign w:val="center"/>
          </w:tcPr>
          <w:p>
            <w:pPr>
              <w:spacing w:after="20"/>
            </w:pPr>
            <w:r>
              <w:rPr>
                <w:rFonts w:ascii="Aptos" w:hAnsi="Aptos"/>
                <w:sz w:val="15"/>
              </w:rPr>
              <w:t>Expand access to basic accounts and banking touchpoints.</w:t>
            </w:r>
          </w:p>
        </w:tc>
        <w:tc>
          <w:tcPr>
            <w:tcW w:type="dxa" w:w="2520"/>
            <w:vAlign w:val="center"/>
          </w:tcPr>
          <w:p>
            <w:pPr>
              <w:spacing w:after="20"/>
            </w:pPr>
            <w:r>
              <w:rPr>
                <w:rFonts w:ascii="Aptos" w:hAnsi="Aptos"/>
                <w:sz w:val="15"/>
              </w:rPr>
              <w:t>That account opening guarantees meaningful use.</w:t>
            </w:r>
          </w:p>
        </w:tc>
        <w:tc>
          <w:tcPr>
            <w:tcW w:type="dxa" w:w="2520"/>
            <w:vAlign w:val="center"/>
          </w:tcPr>
          <w:p>
            <w:pPr>
              <w:spacing w:after="20"/>
            </w:pPr>
            <w:r>
              <w:rPr>
                <w:rFonts w:ascii="Aptos" w:hAnsi="Aptos"/>
                <w:sz w:val="15"/>
              </w:rPr>
              <w:t>Test post-opening support without duplicating programme functions.</w:t>
            </w:r>
          </w:p>
        </w:tc>
      </w:tr>
    </w:tbl>
    <w:p/>
    <w:p>
      <w:pPr>
        <w:pStyle w:val="Heading2"/>
      </w:pPr>
      <w:r>
        <w:t>Differentiation hypothesis to test</w:t>
      </w:r>
    </w:p>
    <w:p>
      <w:r>
        <w:t>The potential differentiator is not an inactivity flag. It is a barrier-to-intervention learning loop: capture the customer’s stated barrier through a trusted channel; route only to a verified intervention; check whether the original barrier was solved; measure voluntary use over a pre-defined window; and learn which interventions work for which verified barriers. It must protect privacy and allow no action.</w:t>
      </w:r>
    </w:p>
    <w:p>
      <w:r>
        <w:t>This is not yet a proven novelty claim. Compare against bank CRM / dormant-account outreach products, financial-inclusion programmes, BC workflows and academic work before claiming differentiation.</w:t>
      </w:r>
    </w:p>
    <w:p>
      <w:pPr>
        <w:pStyle w:val="Heading1"/>
      </w:pPr>
      <w:r>
        <w:t>5. Initial target segment</w:t>
      </w:r>
    </w:p>
    <w:p>
      <w:r>
        <w:t>A useful first scope to investigate is government-benefit / scholarship-linked accounts that have become inactive or difficult to use. This gives the research a specific starting point: the account may have been opened or used for a particular benefit, and the customer’s ongoing need or access may have changed. This is not evidence that the group is largest or easiest to reactivate.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CFE2F3"/>
          </w:tcPr>
          <w:p>
            <w:r>
              <w:rPr>
                <w:b/>
                <w:sz w:val="16"/>
              </w:rPr>
              <w:t>Candidate segment</w:t>
            </w:r>
          </w:p>
        </w:tc>
        <w:tc>
          <w:tcPr>
            <w:tcW w:type="dxa" w:w="2520"/>
            <w:shd w:fill="CFE2F3"/>
          </w:tcPr>
          <w:p>
            <w:r>
              <w:rPr>
                <w:b/>
                <w:sz w:val="16"/>
              </w:rPr>
              <w:t>Potential value</w:t>
            </w:r>
          </w:p>
        </w:tc>
        <w:tc>
          <w:tcPr>
            <w:tcW w:type="dxa" w:w="2520"/>
            <w:shd w:fill="CFE2F3"/>
          </w:tcPr>
          <w:p>
            <w:r>
              <w:rPr>
                <w:b/>
                <w:sz w:val="16"/>
              </w:rPr>
              <w:t>Unknowns / risks</w:t>
            </w:r>
          </w:p>
        </w:tc>
        <w:tc>
          <w:tcPr>
            <w:tcW w:type="dxa" w:w="2520"/>
            <w:shd w:fill="CFE2F3"/>
          </w:tcPr>
          <w:p>
            <w:r>
              <w:rPr>
                <w:b/>
                <w:sz w:val="16"/>
              </w:rPr>
              <w:t>Validation question</w:t>
            </w:r>
          </w:p>
        </w:tc>
      </w:tr>
      <w:tr>
        <w:tc>
          <w:tcPr>
            <w:tcW w:type="dxa" w:w="2520"/>
            <w:vAlign w:val="center"/>
          </w:tcPr>
          <w:p>
            <w:pPr>
              <w:spacing w:after="20"/>
            </w:pPr>
            <w:r>
              <w:rPr>
                <w:rFonts w:ascii="Aptos" w:hAnsi="Aptos"/>
                <w:sz w:val="15"/>
              </w:rPr>
              <w:t>Benefit / scholarship-linked</w:t>
            </w:r>
          </w:p>
        </w:tc>
        <w:tc>
          <w:tcPr>
            <w:tcW w:type="dxa" w:w="2520"/>
            <w:vAlign w:val="center"/>
          </w:tcPr>
          <w:p>
            <w:pPr>
              <w:spacing w:after="20"/>
            </w:pPr>
            <w:r>
              <w:rPr>
                <w:rFonts w:ascii="Aptos" w:hAnsi="Aptos"/>
                <w:sz w:val="15"/>
              </w:rPr>
              <w:t>Specific origin/use case; explore changed needs.</w:t>
            </w:r>
          </w:p>
        </w:tc>
        <w:tc>
          <w:tcPr>
            <w:tcW w:type="dxa" w:w="2520"/>
            <w:vAlign w:val="center"/>
          </w:tcPr>
          <w:p>
            <w:pPr>
              <w:spacing w:after="20"/>
            </w:pPr>
            <w:r>
              <w:rPr>
                <w:rFonts w:ascii="Aptos" w:hAnsi="Aptos"/>
                <w:sz w:val="15"/>
              </w:rPr>
              <w:t>Account may still be needed for future benefits; do not assume it is redundant.</w:t>
            </w:r>
          </w:p>
        </w:tc>
        <w:tc>
          <w:tcPr>
            <w:tcW w:type="dxa" w:w="2520"/>
            <w:vAlign w:val="center"/>
          </w:tcPr>
          <w:p>
            <w:pPr>
              <w:spacing w:after="20"/>
            </w:pPr>
            <w:r>
              <w:rPr>
                <w:rFonts w:ascii="Aptos" w:hAnsi="Aptos"/>
                <w:sz w:val="15"/>
              </w:rPr>
              <w:t>What changed, and does the customer still need this account?</w:t>
            </w:r>
          </w:p>
        </w:tc>
      </w:tr>
      <w:tr>
        <w:tc>
          <w:tcPr>
            <w:tcW w:type="dxa" w:w="2520"/>
            <w:vAlign w:val="center"/>
          </w:tcPr>
          <w:p>
            <w:pPr>
              <w:spacing w:after="20"/>
            </w:pPr>
            <w:r>
              <w:rPr>
                <w:rFonts w:ascii="Aptos" w:hAnsi="Aptos"/>
                <w:sz w:val="15"/>
              </w:rPr>
              <w:t>Rural access friction</w:t>
            </w:r>
          </w:p>
        </w:tc>
        <w:tc>
          <w:tcPr>
            <w:tcW w:type="dxa" w:w="2520"/>
            <w:vAlign w:val="center"/>
          </w:tcPr>
          <w:p>
            <w:pPr>
              <w:spacing w:after="20"/>
            </w:pPr>
            <w:r>
              <w:rPr>
                <w:rFonts w:ascii="Aptos" w:hAnsi="Aptos"/>
                <w:sz w:val="15"/>
              </w:rPr>
              <w:t>Explore distance, hours, connectivity or service-point issues.</w:t>
            </w:r>
          </w:p>
        </w:tc>
        <w:tc>
          <w:tcPr>
            <w:tcW w:type="dxa" w:w="2520"/>
            <w:vAlign w:val="center"/>
          </w:tcPr>
          <w:p>
            <w:pPr>
              <w:spacing w:after="20"/>
            </w:pPr>
            <w:r>
              <w:rPr>
                <w:rFonts w:ascii="Aptos" w:hAnsi="Aptos"/>
                <w:sz w:val="15"/>
              </w:rPr>
              <w:t>Location does not imply low digital skill or a particular barrier.</w:t>
            </w:r>
          </w:p>
        </w:tc>
        <w:tc>
          <w:tcPr>
            <w:tcW w:type="dxa" w:w="2520"/>
            <w:vAlign w:val="center"/>
          </w:tcPr>
          <w:p>
            <w:pPr>
              <w:spacing w:after="20"/>
            </w:pPr>
            <w:r>
              <w:rPr>
                <w:rFonts w:ascii="Aptos" w:hAnsi="Aptos"/>
                <w:sz w:val="15"/>
              </w:rPr>
              <w:t>Which step fails, and which authorised channel would help?</w:t>
            </w:r>
          </w:p>
        </w:tc>
      </w:tr>
      <w:tr>
        <w:tc>
          <w:tcPr>
            <w:tcW w:type="dxa" w:w="2520"/>
            <w:vAlign w:val="center"/>
          </w:tcPr>
          <w:p>
            <w:pPr>
              <w:spacing w:after="20"/>
            </w:pPr>
            <w:r>
              <w:rPr>
                <w:rFonts w:ascii="Aptos" w:hAnsi="Aptos"/>
                <w:sz w:val="15"/>
              </w:rPr>
              <w:t>Bad service experience</w:t>
            </w:r>
          </w:p>
        </w:tc>
        <w:tc>
          <w:tcPr>
            <w:tcW w:type="dxa" w:w="2520"/>
            <w:vAlign w:val="center"/>
          </w:tcPr>
          <w:p>
            <w:pPr>
              <w:spacing w:after="20"/>
            </w:pPr>
            <w:r>
              <w:rPr>
                <w:rFonts w:ascii="Aptos" w:hAnsi="Aptos"/>
                <w:sz w:val="15"/>
              </w:rPr>
              <w:t>Makes resolution central rather than generic promotion.</w:t>
            </w:r>
          </w:p>
        </w:tc>
        <w:tc>
          <w:tcPr>
            <w:tcW w:type="dxa" w:w="2520"/>
            <w:vAlign w:val="center"/>
          </w:tcPr>
          <w:p>
            <w:pPr>
              <w:spacing w:after="20"/>
            </w:pPr>
            <w:r>
              <w:rPr>
                <w:rFonts w:ascii="Aptos" w:hAnsi="Aptos"/>
                <w:sz w:val="15"/>
              </w:rPr>
              <w:t>Needs non-leading interviews; public data may not connect complaint and status.</w:t>
            </w:r>
          </w:p>
        </w:tc>
        <w:tc>
          <w:tcPr>
            <w:tcW w:type="dxa" w:w="2520"/>
            <w:vAlign w:val="center"/>
          </w:tcPr>
          <w:p>
            <w:pPr>
              <w:spacing w:after="20"/>
            </w:pPr>
            <w:r>
              <w:rPr>
                <w:rFonts w:ascii="Aptos" w:hAnsi="Aptos"/>
                <w:sz w:val="15"/>
              </w:rPr>
              <w:t>What happened, was it resolved, and what would restore confidence?</w:t>
            </w:r>
          </w:p>
        </w:tc>
      </w:tr>
      <w:tr>
        <w:tc>
          <w:tcPr>
            <w:tcW w:type="dxa" w:w="2520"/>
            <w:vAlign w:val="center"/>
          </w:tcPr>
          <w:p>
            <w:pPr>
              <w:spacing w:after="20"/>
            </w:pPr>
            <w:r>
              <w:rPr>
                <w:rFonts w:ascii="Aptos" w:hAnsi="Aptos"/>
                <w:sz w:val="15"/>
              </w:rPr>
              <w:t>KYC / profile mismatch</w:t>
            </w:r>
          </w:p>
        </w:tc>
        <w:tc>
          <w:tcPr>
            <w:tcW w:type="dxa" w:w="2520"/>
            <w:vAlign w:val="center"/>
          </w:tcPr>
          <w:p>
            <w:pPr>
              <w:spacing w:after="20"/>
            </w:pPr>
            <w:r>
              <w:rPr>
                <w:rFonts w:ascii="Aptos" w:hAnsi="Aptos"/>
                <w:sz w:val="15"/>
              </w:rPr>
              <w:t>RBI has documented KYC pendency and detail mismatches as observed friction.</w:t>
            </w:r>
          </w:p>
        </w:tc>
        <w:tc>
          <w:tcPr>
            <w:tcW w:type="dxa" w:w="2520"/>
            <w:vAlign w:val="center"/>
          </w:tcPr>
          <w:p>
            <w:pPr>
              <w:spacing w:after="20"/>
            </w:pPr>
            <w:r>
              <w:rPr>
                <w:rFonts w:ascii="Aptos" w:hAnsi="Aptos"/>
                <w:sz w:val="15"/>
              </w:rPr>
              <w:t>Requirements vary; prototype must not collect sensitive documents.</w:t>
            </w:r>
          </w:p>
        </w:tc>
        <w:tc>
          <w:tcPr>
            <w:tcW w:type="dxa" w:w="2520"/>
            <w:vAlign w:val="center"/>
          </w:tcPr>
          <w:p>
            <w:pPr>
              <w:spacing w:after="20"/>
            </w:pPr>
            <w:r>
              <w:rPr>
                <w:rFonts w:ascii="Aptos" w:hAnsi="Aptos"/>
                <w:sz w:val="15"/>
              </w:rPr>
              <w:t>Which step blocks completion and what is the official path?</w:t>
            </w:r>
          </w:p>
        </w:tc>
      </w:tr>
    </w:tbl>
    <w:p/>
    <w:p>
      <w:r>
        <w:rPr>
          <w:i/>
          <w:color w:val="5A5A5A"/>
          <w:sz w:val="16"/>
        </w:rPr>
        <w:t>Treat benefit / scholarship accounts as a starting hypothesis only if interviews and competitor research support it. Unknown is a valid outcome; do not push reactivation without customer-identified need.</w:t>
      </w:r>
    </w:p>
    <w:p>
      <w:pPr>
        <w:pStyle w:val="Heading1"/>
      </w:pPr>
      <w:r>
        <w:t>6. Proposed product workflow</w:t>
      </w:r>
    </w:p>
    <w:p>
      <w:pPr>
        <w:pStyle w:val="ListNumber"/>
        <w:spacing w:after="40"/>
      </w:pPr>
      <w:r>
        <w:t>An authorised institution identifies cases for review using its own systems and applicable rules. BankMitra does not scrape, buy or infer individual banking records.</w:t>
      </w:r>
    </w:p>
    <w:p>
      <w:pPr>
        <w:pStyle w:val="ListNumber"/>
        <w:spacing w:after="40"/>
      </w:pPr>
      <w:r>
        <w:t>Create a minimal pseudonymous case record and record source, permitted purpose, date and authorisation.</w:t>
      </w:r>
    </w:p>
    <w:p>
      <w:pPr>
        <w:pStyle w:val="ListNumber"/>
        <w:spacing w:after="40"/>
      </w:pPr>
      <w:r>
        <w:t>A bank-approved channel invites the customer to engage. Use verified bank contact details; never ask for PIN, OTP, password or full credentials.</w:t>
      </w:r>
    </w:p>
    <w:p>
      <w:pPr>
        <w:pStyle w:val="ListNumber"/>
        <w:spacing w:after="40"/>
      </w:pPr>
      <w:r>
        <w:t>Customer or authorised staff records the primary barrier in plain language, including 'other', 'prefer not to say' and 'unknown'. Avoid leading prompts.</w:t>
      </w:r>
    </w:p>
    <w:p>
      <w:pPr>
        <w:pStyle w:val="ListNumber"/>
        <w:spacing w:after="40"/>
      </w:pPr>
      <w:r>
        <w:t>A transparent rules engine maps a confirmed barrier to an approved next step: official KYC update, non-home branch, bank-approved V-CIP, authorised BC appointment, grievance route, information help or no action.</w:t>
      </w:r>
    </w:p>
    <w:p>
      <w:pPr>
        <w:pStyle w:val="ListNumber"/>
        <w:spacing w:after="40"/>
      </w:pPr>
      <w:r>
        <w:t>Customer chooses whether to proceed. Record referral status and whether the original barrier was reported resolved.</w:t>
      </w:r>
    </w:p>
    <w:p>
      <w:pPr>
        <w:pStyle w:val="ListNumber"/>
        <w:spacing w:after="40"/>
      </w:pPr>
      <w:r>
        <w:t>At a consented follow-up, measure voluntary meaningful use only where permitted. If bank data is unavailable, use clearly labelled self-reported outcomes.</w:t>
      </w:r>
    </w:p>
    <w:p>
      <w:pPr>
        <w:pStyle w:val="ListNumber"/>
        <w:spacing w:after="40"/>
      </w:pPr>
      <w:r>
        <w:t>Report aggregate outcomes and failure points. Do not expose identifiable customer lists to unauthorised users.</w:t>
      </w:r>
    </w:p>
    <w:p>
      <w:pPr>
        <w:pStyle w:val="Heading1"/>
      </w:pPr>
      <w:r>
        <w:t>7. Barrier taxonomy and intervention map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CFE2F3"/>
          </w:tcPr>
          <w:p>
            <w:r>
              <w:rPr>
                <w:b/>
                <w:sz w:val="16"/>
              </w:rPr>
              <w:t>Barrier</w:t>
            </w:r>
          </w:p>
        </w:tc>
        <w:tc>
          <w:tcPr>
            <w:tcW w:type="dxa" w:w="2520"/>
            <w:shd w:fill="CFE2F3"/>
          </w:tcPr>
          <w:p>
            <w:r>
              <w:rPr>
                <w:b/>
                <w:sz w:val="16"/>
              </w:rPr>
              <w:t>Possible signals (not proof)</w:t>
            </w:r>
          </w:p>
        </w:tc>
        <w:tc>
          <w:tcPr>
            <w:tcW w:type="dxa" w:w="2520"/>
            <w:shd w:fill="CFE2F3"/>
          </w:tcPr>
          <w:p>
            <w:r>
              <w:rPr>
                <w:b/>
                <w:sz w:val="16"/>
              </w:rPr>
              <w:t>Possible intervention</w:t>
            </w:r>
          </w:p>
        </w:tc>
        <w:tc>
          <w:tcPr>
            <w:tcW w:type="dxa" w:w="2520"/>
            <w:shd w:fill="CFE2F3"/>
          </w:tcPr>
          <w:p>
            <w:r>
              <w:rPr>
                <w:b/>
                <w:sz w:val="16"/>
              </w:rPr>
              <w:t>Must verify</w:t>
            </w:r>
          </w:p>
        </w:tc>
      </w:tr>
      <w:tr>
        <w:tc>
          <w:tcPr>
            <w:tcW w:type="dxa" w:w="2520"/>
            <w:vAlign w:val="center"/>
          </w:tcPr>
          <w:p>
            <w:pPr>
              <w:spacing w:after="20"/>
            </w:pPr>
            <w:r>
              <w:rPr>
                <w:rFonts w:ascii="Aptos" w:hAnsi="Aptos"/>
                <w:sz w:val="15"/>
              </w:rPr>
              <w:t>KYC / profile mismatch</w:t>
            </w:r>
          </w:p>
        </w:tc>
        <w:tc>
          <w:tcPr>
            <w:tcW w:type="dxa" w:w="2520"/>
            <w:vAlign w:val="center"/>
          </w:tcPr>
          <w:p>
            <w:pPr>
              <w:spacing w:after="20"/>
            </w:pPr>
            <w:r>
              <w:rPr>
                <w:rFonts w:ascii="Aptos" w:hAnsi="Aptos"/>
                <w:sz w:val="15"/>
              </w:rPr>
              <w:t>Customer reports failed KYC, detail mismatch or bank request.</w:t>
            </w:r>
          </w:p>
        </w:tc>
        <w:tc>
          <w:tcPr>
            <w:tcW w:type="dxa" w:w="2520"/>
            <w:vAlign w:val="center"/>
          </w:tcPr>
          <w:p>
            <w:pPr>
              <w:spacing w:after="20"/>
            </w:pPr>
            <w:r>
              <w:rPr>
                <w:rFonts w:ascii="Aptos" w:hAnsi="Aptos"/>
                <w:sz w:val="15"/>
              </w:rPr>
              <w:t>Official bank process; non-home branch, bank-approved V-CIP or authorised BC where available.</w:t>
            </w:r>
          </w:p>
        </w:tc>
        <w:tc>
          <w:tcPr>
            <w:tcW w:type="dxa" w:w="2520"/>
            <w:vAlign w:val="center"/>
          </w:tcPr>
          <w:p>
            <w:pPr>
              <w:spacing w:after="20"/>
            </w:pPr>
            <w:r>
              <w:rPr>
                <w:rFonts w:ascii="Aptos" w:hAnsi="Aptos"/>
                <w:sz w:val="15"/>
              </w:rPr>
              <w:t>Bank-specific requirements and safe handling.</w:t>
            </w:r>
          </w:p>
        </w:tc>
      </w:tr>
      <w:tr>
        <w:tc>
          <w:tcPr>
            <w:tcW w:type="dxa" w:w="2520"/>
            <w:vAlign w:val="center"/>
          </w:tcPr>
          <w:p>
            <w:pPr>
              <w:spacing w:after="20"/>
            </w:pPr>
            <w:r>
              <w:rPr>
                <w:rFonts w:ascii="Aptos" w:hAnsi="Aptos"/>
                <w:sz w:val="15"/>
              </w:rPr>
              <w:t>Physical access</w:t>
            </w:r>
          </w:p>
        </w:tc>
        <w:tc>
          <w:tcPr>
            <w:tcW w:type="dxa" w:w="2520"/>
            <w:vAlign w:val="center"/>
          </w:tcPr>
          <w:p>
            <w:pPr>
              <w:spacing w:after="20"/>
            </w:pPr>
            <w:r>
              <w:rPr>
                <w:rFonts w:ascii="Aptos" w:hAnsi="Aptos"/>
                <w:sz w:val="15"/>
              </w:rPr>
              <w:t>Customer reports travel, timing, mobility or service-point issue.</w:t>
            </w:r>
          </w:p>
        </w:tc>
        <w:tc>
          <w:tcPr>
            <w:tcW w:type="dxa" w:w="2520"/>
            <w:vAlign w:val="center"/>
          </w:tcPr>
          <w:p>
            <w:pPr>
              <w:spacing w:after="20"/>
            </w:pPr>
            <w:r>
              <w:rPr>
                <w:rFonts w:ascii="Aptos" w:hAnsi="Aptos"/>
                <w:sz w:val="15"/>
              </w:rPr>
              <w:t>Verified branch / authorised BC, appointment or callback.</w:t>
            </w:r>
          </w:p>
        </w:tc>
        <w:tc>
          <w:tcPr>
            <w:tcW w:type="dxa" w:w="2520"/>
            <w:vAlign w:val="center"/>
          </w:tcPr>
          <w:p>
            <w:pPr>
              <w:spacing w:after="20"/>
            </w:pPr>
            <w:r>
              <w:rPr>
                <w:rFonts w:ascii="Aptos" w:hAnsi="Aptos"/>
                <w:sz w:val="15"/>
              </w:rPr>
              <w:t>Current location, authorisation, hours and service.</w:t>
            </w:r>
          </w:p>
        </w:tc>
      </w:tr>
      <w:tr>
        <w:tc>
          <w:tcPr>
            <w:tcW w:type="dxa" w:w="2520"/>
            <w:vAlign w:val="center"/>
          </w:tcPr>
          <w:p>
            <w:pPr>
              <w:spacing w:after="20"/>
            </w:pPr>
            <w:r>
              <w:rPr>
                <w:rFonts w:ascii="Aptos" w:hAnsi="Aptos"/>
                <w:sz w:val="15"/>
              </w:rPr>
              <w:t>Trust / unresolved issue</w:t>
            </w:r>
          </w:p>
        </w:tc>
        <w:tc>
          <w:tcPr>
            <w:tcW w:type="dxa" w:w="2520"/>
            <w:vAlign w:val="center"/>
          </w:tcPr>
          <w:p>
            <w:pPr>
              <w:spacing w:after="20"/>
            </w:pPr>
            <w:r>
              <w:rPr>
                <w:rFonts w:ascii="Aptos" w:hAnsi="Aptos"/>
                <w:sz w:val="15"/>
              </w:rPr>
              <w:t>Customer reports failed service, unexpected charge or unresolved complaint.</w:t>
            </w:r>
          </w:p>
        </w:tc>
        <w:tc>
          <w:tcPr>
            <w:tcW w:type="dxa" w:w="2520"/>
            <w:vAlign w:val="center"/>
          </w:tcPr>
          <w:p>
            <w:pPr>
              <w:spacing w:after="20"/>
            </w:pPr>
            <w:r>
              <w:rPr>
                <w:rFonts w:ascii="Aptos" w:hAnsi="Aptos"/>
                <w:sz w:val="15"/>
              </w:rPr>
              <w:t>Official complaint / resolution process first.</w:t>
            </w:r>
          </w:p>
        </w:tc>
        <w:tc>
          <w:tcPr>
            <w:tcW w:type="dxa" w:w="2520"/>
            <w:vAlign w:val="center"/>
          </w:tcPr>
          <w:p>
            <w:pPr>
              <w:spacing w:after="20"/>
            </w:pPr>
            <w:r>
              <w:rPr>
                <w:rFonts w:ascii="Aptos" w:hAnsi="Aptos"/>
                <w:sz w:val="15"/>
              </w:rPr>
              <w:t>Complaint status and escalation rules; never promise refund.</w:t>
            </w:r>
          </w:p>
        </w:tc>
      </w:tr>
      <w:tr>
        <w:tc>
          <w:tcPr>
            <w:tcW w:type="dxa" w:w="2520"/>
            <w:vAlign w:val="center"/>
          </w:tcPr>
          <w:p>
            <w:pPr>
              <w:spacing w:after="20"/>
            </w:pPr>
            <w:r>
              <w:rPr>
                <w:rFonts w:ascii="Aptos" w:hAnsi="Aptos"/>
                <w:sz w:val="15"/>
              </w:rPr>
              <w:t>Digital / transaction friction</w:t>
            </w:r>
          </w:p>
        </w:tc>
        <w:tc>
          <w:tcPr>
            <w:tcW w:type="dxa" w:w="2520"/>
            <w:vAlign w:val="center"/>
          </w:tcPr>
          <w:p>
            <w:pPr>
              <w:spacing w:after="20"/>
            </w:pPr>
            <w:r>
              <w:rPr>
                <w:rFonts w:ascii="Aptos" w:hAnsi="Aptos"/>
                <w:sz w:val="15"/>
              </w:rPr>
              <w:t>Customer reports difficulty using card, UPI, ATM or mobile banking.</w:t>
            </w:r>
          </w:p>
        </w:tc>
        <w:tc>
          <w:tcPr>
            <w:tcW w:type="dxa" w:w="2520"/>
            <w:vAlign w:val="center"/>
          </w:tcPr>
          <w:p>
            <w:pPr>
              <w:spacing w:after="20"/>
            </w:pPr>
            <w:r>
              <w:rPr>
                <w:rFonts w:ascii="Aptos" w:hAnsi="Aptos"/>
                <w:sz w:val="15"/>
              </w:rPr>
              <w:t>Safe plain-language guidance and official support.</w:t>
            </w:r>
          </w:p>
        </w:tc>
        <w:tc>
          <w:tcPr>
            <w:tcW w:type="dxa" w:w="2520"/>
            <w:vAlign w:val="center"/>
          </w:tcPr>
          <w:p>
            <w:pPr>
              <w:spacing w:after="20"/>
            </w:pPr>
            <w:r>
              <w:rPr>
                <w:rFonts w:ascii="Aptos" w:hAnsi="Aptos"/>
                <w:sz w:val="15"/>
              </w:rPr>
              <w:t>Channel-specific instructions; no secrets.</w:t>
            </w:r>
          </w:p>
        </w:tc>
      </w:tr>
      <w:tr>
        <w:tc>
          <w:tcPr>
            <w:tcW w:type="dxa" w:w="2520"/>
            <w:vAlign w:val="center"/>
          </w:tcPr>
          <w:p>
            <w:pPr>
              <w:spacing w:after="20"/>
            </w:pPr>
            <w:r>
              <w:rPr>
                <w:rFonts w:ascii="Aptos" w:hAnsi="Aptos"/>
                <w:sz w:val="15"/>
              </w:rPr>
              <w:t>Low / changed utility</w:t>
            </w:r>
          </w:p>
        </w:tc>
        <w:tc>
          <w:tcPr>
            <w:tcW w:type="dxa" w:w="2520"/>
            <w:vAlign w:val="center"/>
          </w:tcPr>
          <w:p>
            <w:pPr>
              <w:spacing w:after="20"/>
            </w:pPr>
            <w:r>
              <w:rPr>
                <w:rFonts w:ascii="Aptos" w:hAnsi="Aptos"/>
                <w:sz w:val="15"/>
              </w:rPr>
              <w:t>Customer says account was for a one-time purpose or is no longer needed.</w:t>
            </w:r>
          </w:p>
        </w:tc>
        <w:tc>
          <w:tcPr>
            <w:tcW w:type="dxa" w:w="2520"/>
            <w:vAlign w:val="center"/>
          </w:tcPr>
          <w:p>
            <w:pPr>
              <w:spacing w:after="20"/>
            </w:pPr>
            <w:r>
              <w:rPr>
                <w:rFonts w:ascii="Aptos" w:hAnsi="Aptos"/>
                <w:sz w:val="15"/>
              </w:rPr>
              <w:t>Neutral information; no-action or official closure enquiry.</w:t>
            </w:r>
          </w:p>
        </w:tc>
        <w:tc>
          <w:tcPr>
            <w:tcW w:type="dxa" w:w="2520"/>
            <w:vAlign w:val="center"/>
          </w:tcPr>
          <w:p>
            <w:pPr>
              <w:spacing w:after="20"/>
            </w:pPr>
            <w:r>
              <w:rPr>
                <w:rFonts w:ascii="Aptos" w:hAnsi="Aptos"/>
                <w:sz w:val="15"/>
              </w:rPr>
              <w:t>Do not infer lack of need from zero transactions or low balance.</w:t>
            </w:r>
          </w:p>
        </w:tc>
      </w:tr>
      <w:tr>
        <w:tc>
          <w:tcPr>
            <w:tcW w:type="dxa" w:w="2520"/>
            <w:vAlign w:val="center"/>
          </w:tcPr>
          <w:p>
            <w:pPr>
              <w:spacing w:after="20"/>
            </w:pPr>
            <w:r>
              <w:rPr>
                <w:rFonts w:ascii="Aptos" w:hAnsi="Aptos"/>
                <w:sz w:val="15"/>
              </w:rPr>
              <w:t>Unknown / mixed / sensitive</w:t>
            </w:r>
          </w:p>
        </w:tc>
        <w:tc>
          <w:tcPr>
            <w:tcW w:type="dxa" w:w="2520"/>
            <w:vAlign w:val="center"/>
          </w:tcPr>
          <w:p>
            <w:pPr>
              <w:spacing w:after="20"/>
            </w:pPr>
            <w:r>
              <w:rPr>
                <w:rFonts w:ascii="Aptos" w:hAnsi="Aptos"/>
                <w:sz w:val="15"/>
              </w:rPr>
              <w:t>Insufficient or contradictory evidence; customer declines.</w:t>
            </w:r>
          </w:p>
        </w:tc>
        <w:tc>
          <w:tcPr>
            <w:tcW w:type="dxa" w:w="2520"/>
            <w:vAlign w:val="center"/>
          </w:tcPr>
          <w:p>
            <w:pPr>
              <w:spacing w:after="20"/>
            </w:pPr>
            <w:r>
              <w:rPr>
                <w:rFonts w:ascii="Aptos" w:hAnsi="Aptos"/>
                <w:sz w:val="15"/>
              </w:rPr>
              <w:t>Human review, optional clarification or no action.</w:t>
            </w:r>
          </w:p>
        </w:tc>
        <w:tc>
          <w:tcPr>
            <w:tcW w:type="dxa" w:w="2520"/>
            <w:vAlign w:val="center"/>
          </w:tcPr>
          <w:p>
            <w:pPr>
              <w:spacing w:after="20"/>
            </w:pPr>
            <w:r>
              <w:rPr>
                <w:rFonts w:ascii="Aptos" w:hAnsi="Aptos"/>
                <w:sz w:val="15"/>
              </w:rPr>
              <w:t>No high-confidence automated cause label or pressure campaign.</w:t>
            </w:r>
          </w:p>
        </w:tc>
      </w:tr>
    </w:tbl>
    <w:p/>
    <w:p>
      <w:pPr>
        <w:pStyle w:val="Heading1"/>
      </w:pPr>
      <w:r>
        <w:t>8. Transparent rules engine for MVP</w:t>
      </w:r>
    </w:p>
    <w:p>
      <w:r>
        <w:t>Use deterministic, inspectable rules. Do not claim machine learning, predictive accuracy or AI diagnosis unless a real model, dataset, target labels and evaluation are implemented.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CFE2F3"/>
          </w:tcPr>
          <w:p>
            <w:r>
              <w:rPr>
                <w:b/>
                <w:sz w:val="16"/>
              </w:rPr>
              <w:t>Rule</w:t>
            </w:r>
          </w:p>
        </w:tc>
        <w:tc>
          <w:tcPr>
            <w:tcW w:type="dxa" w:w="2520"/>
            <w:shd w:fill="CFE2F3"/>
          </w:tcPr>
          <w:p>
            <w:r>
              <w:rPr>
                <w:b/>
                <w:sz w:val="16"/>
              </w:rPr>
              <w:t>Condition</w:t>
            </w:r>
          </w:p>
        </w:tc>
        <w:tc>
          <w:tcPr>
            <w:tcW w:type="dxa" w:w="2520"/>
            <w:shd w:fill="CFE2F3"/>
          </w:tcPr>
          <w:p>
            <w:r>
              <w:rPr>
                <w:b/>
                <w:sz w:val="16"/>
              </w:rPr>
              <w:t>Output</w:t>
            </w:r>
          </w:p>
        </w:tc>
        <w:tc>
          <w:tcPr>
            <w:tcW w:type="dxa" w:w="2520"/>
            <w:shd w:fill="CFE2F3"/>
          </w:tcPr>
          <w:p>
            <w:r>
              <w:rPr>
                <w:b/>
                <w:sz w:val="16"/>
              </w:rPr>
              <w:t>Guardrail</w:t>
            </w:r>
          </w:p>
        </w:tc>
      </w:tr>
      <w:tr>
        <w:tc>
          <w:tcPr>
            <w:tcW w:type="dxa" w:w="2520"/>
            <w:vAlign w:val="center"/>
          </w:tcPr>
          <w:p>
            <w:pPr>
              <w:spacing w:after="20"/>
            </w:pPr>
            <w:r>
              <w:rPr>
                <w:rFonts w:ascii="Aptos" w:hAnsi="Aptos"/>
                <w:sz w:val="15"/>
              </w:rPr>
              <w:t>R1</w:t>
            </w:r>
          </w:p>
        </w:tc>
        <w:tc>
          <w:tcPr>
            <w:tcW w:type="dxa" w:w="2520"/>
            <w:vAlign w:val="center"/>
          </w:tcPr>
          <w:p>
            <w:pPr>
              <w:spacing w:after="20"/>
            </w:pPr>
            <w:r>
              <w:rPr>
                <w:rFonts w:ascii="Aptos" w:hAnsi="Aptos"/>
                <w:sz w:val="15"/>
              </w:rPr>
              <w:t>Customer has not engaged or declined.</w:t>
            </w:r>
          </w:p>
        </w:tc>
        <w:tc>
          <w:tcPr>
            <w:tcW w:type="dxa" w:w="2520"/>
            <w:vAlign w:val="center"/>
          </w:tcPr>
          <w:p>
            <w:pPr>
              <w:spacing w:after="20"/>
            </w:pPr>
            <w:r>
              <w:rPr>
                <w:rFonts w:ascii="Aptos" w:hAnsi="Aptos"/>
                <w:sz w:val="15"/>
              </w:rPr>
              <w:t>No further outreach; respect preference.</w:t>
            </w:r>
          </w:p>
        </w:tc>
        <w:tc>
          <w:tcPr>
            <w:tcW w:type="dxa" w:w="2520"/>
            <w:vAlign w:val="center"/>
          </w:tcPr>
          <w:p>
            <w:pPr>
              <w:spacing w:after="20"/>
            </w:pPr>
            <w:r>
              <w:rPr>
                <w:rFonts w:ascii="Aptos" w:hAnsi="Aptos"/>
                <w:sz w:val="15"/>
              </w:rPr>
              <w:t>No repeated nudges after opt-out.</w:t>
            </w:r>
          </w:p>
        </w:tc>
      </w:tr>
      <w:tr>
        <w:tc>
          <w:tcPr>
            <w:tcW w:type="dxa" w:w="2520"/>
            <w:vAlign w:val="center"/>
          </w:tcPr>
          <w:p>
            <w:pPr>
              <w:spacing w:after="20"/>
            </w:pPr>
            <w:r>
              <w:rPr>
                <w:rFonts w:ascii="Aptos" w:hAnsi="Aptos"/>
                <w:sz w:val="15"/>
              </w:rPr>
              <w:t>R2</w:t>
            </w:r>
          </w:p>
        </w:tc>
        <w:tc>
          <w:tcPr>
            <w:tcW w:type="dxa" w:w="2520"/>
            <w:vAlign w:val="center"/>
          </w:tcPr>
          <w:p>
            <w:pPr>
              <w:spacing w:after="20"/>
            </w:pPr>
            <w:r>
              <w:rPr>
                <w:rFonts w:ascii="Aptos" w:hAnsi="Aptos"/>
                <w:sz w:val="15"/>
              </w:rPr>
              <w:t>Customer-confirmed KYC / detail mismatch.</w:t>
            </w:r>
          </w:p>
        </w:tc>
        <w:tc>
          <w:tcPr>
            <w:tcW w:type="dxa" w:w="2520"/>
            <w:vAlign w:val="center"/>
          </w:tcPr>
          <w:p>
            <w:pPr>
              <w:spacing w:after="20"/>
            </w:pPr>
            <w:r>
              <w:rPr>
                <w:rFonts w:ascii="Aptos" w:hAnsi="Aptos"/>
                <w:sz w:val="15"/>
              </w:rPr>
              <w:t>Show bank-approved activation path; offer authorised support if available.</w:t>
            </w:r>
          </w:p>
        </w:tc>
        <w:tc>
          <w:tcPr>
            <w:tcW w:type="dxa" w:w="2520"/>
            <w:vAlign w:val="center"/>
          </w:tcPr>
          <w:p>
            <w:pPr>
              <w:spacing w:after="20"/>
            </w:pPr>
            <w:r>
              <w:rPr>
                <w:rFonts w:ascii="Aptos" w:hAnsi="Aptos"/>
                <w:sz w:val="15"/>
              </w:rPr>
              <w:t>No sensitive documents or identifiers in demo.</w:t>
            </w:r>
          </w:p>
        </w:tc>
      </w:tr>
      <w:tr>
        <w:tc>
          <w:tcPr>
            <w:tcW w:type="dxa" w:w="2520"/>
            <w:vAlign w:val="center"/>
          </w:tcPr>
          <w:p>
            <w:pPr>
              <w:spacing w:after="20"/>
            </w:pPr>
            <w:r>
              <w:rPr>
                <w:rFonts w:ascii="Aptos" w:hAnsi="Aptos"/>
                <w:sz w:val="15"/>
              </w:rPr>
              <w:t>R3</w:t>
            </w:r>
          </w:p>
        </w:tc>
        <w:tc>
          <w:tcPr>
            <w:tcW w:type="dxa" w:w="2520"/>
            <w:vAlign w:val="center"/>
          </w:tcPr>
          <w:p>
            <w:pPr>
              <w:spacing w:after="20"/>
            </w:pPr>
            <w:r>
              <w:rPr>
                <w:rFonts w:ascii="Aptos" w:hAnsi="Aptos"/>
                <w:sz w:val="15"/>
              </w:rPr>
              <w:t>Access barrier and verified authorised service point exists.</w:t>
            </w:r>
          </w:p>
        </w:tc>
        <w:tc>
          <w:tcPr>
            <w:tcW w:type="dxa" w:w="2520"/>
            <w:vAlign w:val="center"/>
          </w:tcPr>
          <w:p>
            <w:pPr>
              <w:spacing w:after="20"/>
            </w:pPr>
            <w:r>
              <w:rPr>
                <w:rFonts w:ascii="Aptos" w:hAnsi="Aptos"/>
                <w:sz w:val="15"/>
              </w:rPr>
              <w:t>Offer verified service option / appointment.</w:t>
            </w:r>
          </w:p>
        </w:tc>
        <w:tc>
          <w:tcPr>
            <w:tcW w:type="dxa" w:w="2520"/>
            <w:vAlign w:val="center"/>
          </w:tcPr>
          <w:p>
            <w:pPr>
              <w:spacing w:after="20"/>
            </w:pPr>
            <w:r>
              <w:rPr>
                <w:rFonts w:ascii="Aptos" w:hAnsi="Aptos"/>
                <w:sz w:val="15"/>
              </w:rPr>
              <w:t>Never show unverified agents as confirmed.</w:t>
            </w:r>
          </w:p>
        </w:tc>
      </w:tr>
      <w:tr>
        <w:tc>
          <w:tcPr>
            <w:tcW w:type="dxa" w:w="2520"/>
            <w:vAlign w:val="center"/>
          </w:tcPr>
          <w:p>
            <w:pPr>
              <w:spacing w:after="20"/>
            </w:pPr>
            <w:r>
              <w:rPr>
                <w:rFonts w:ascii="Aptos" w:hAnsi="Aptos"/>
                <w:sz w:val="15"/>
              </w:rPr>
              <w:t>R4</w:t>
            </w:r>
          </w:p>
        </w:tc>
        <w:tc>
          <w:tcPr>
            <w:tcW w:type="dxa" w:w="2520"/>
            <w:vAlign w:val="center"/>
          </w:tcPr>
          <w:p>
            <w:pPr>
              <w:spacing w:after="20"/>
            </w:pPr>
            <w:r>
              <w:rPr>
                <w:rFonts w:ascii="Aptos" w:hAnsi="Aptos"/>
                <w:sz w:val="15"/>
              </w:rPr>
              <w:t>Unresolved complaint / trust issue.</w:t>
            </w:r>
          </w:p>
        </w:tc>
        <w:tc>
          <w:tcPr>
            <w:tcW w:type="dxa" w:w="2520"/>
            <w:vAlign w:val="center"/>
          </w:tcPr>
          <w:p>
            <w:pPr>
              <w:spacing w:after="20"/>
            </w:pPr>
            <w:r>
              <w:rPr>
                <w:rFonts w:ascii="Aptos" w:hAnsi="Aptos"/>
                <w:sz w:val="15"/>
              </w:rPr>
              <w:t>Route to official complaint process and track acknowledgement.</w:t>
            </w:r>
          </w:p>
        </w:tc>
        <w:tc>
          <w:tcPr>
            <w:tcW w:type="dxa" w:w="2520"/>
            <w:vAlign w:val="center"/>
          </w:tcPr>
          <w:p>
            <w:pPr>
              <w:spacing w:after="20"/>
            </w:pPr>
            <w:r>
              <w:rPr>
                <w:rFonts w:ascii="Aptos" w:hAnsi="Aptos"/>
                <w:sz w:val="15"/>
              </w:rPr>
              <w:t>Referral is not resolution.</w:t>
            </w:r>
          </w:p>
        </w:tc>
      </w:tr>
      <w:tr>
        <w:tc>
          <w:tcPr>
            <w:tcW w:type="dxa" w:w="2520"/>
            <w:vAlign w:val="center"/>
          </w:tcPr>
          <w:p>
            <w:pPr>
              <w:spacing w:after="20"/>
            </w:pPr>
            <w:r>
              <w:rPr>
                <w:rFonts w:ascii="Aptos" w:hAnsi="Aptos"/>
                <w:sz w:val="15"/>
              </w:rPr>
              <w:t>R5</w:t>
            </w:r>
          </w:p>
        </w:tc>
        <w:tc>
          <w:tcPr>
            <w:tcW w:type="dxa" w:w="2520"/>
            <w:vAlign w:val="center"/>
          </w:tcPr>
          <w:p>
            <w:pPr>
              <w:spacing w:after="20"/>
            </w:pPr>
            <w:r>
              <w:rPr>
                <w:rFonts w:ascii="Aptos" w:hAnsi="Aptos"/>
                <w:sz w:val="15"/>
              </w:rPr>
              <w:t>Low / changed utility.</w:t>
            </w:r>
          </w:p>
        </w:tc>
        <w:tc>
          <w:tcPr>
            <w:tcW w:type="dxa" w:w="2520"/>
            <w:vAlign w:val="center"/>
          </w:tcPr>
          <w:p>
            <w:pPr>
              <w:spacing w:after="20"/>
            </w:pPr>
            <w:r>
              <w:rPr>
                <w:rFonts w:ascii="Aptos" w:hAnsi="Aptos"/>
                <w:sz w:val="15"/>
              </w:rPr>
              <w:t>Neutral information and no-action path.</w:t>
            </w:r>
          </w:p>
        </w:tc>
        <w:tc>
          <w:tcPr>
            <w:tcW w:type="dxa" w:w="2520"/>
            <w:vAlign w:val="center"/>
          </w:tcPr>
          <w:p>
            <w:pPr>
              <w:spacing w:after="20"/>
            </w:pPr>
            <w:r>
              <w:rPr>
                <w:rFonts w:ascii="Aptos" w:hAnsi="Aptos"/>
                <w:sz w:val="15"/>
              </w:rPr>
              <w:t>No artificial transactions or product upsell.</w:t>
            </w:r>
          </w:p>
        </w:tc>
      </w:tr>
      <w:tr>
        <w:tc>
          <w:tcPr>
            <w:tcW w:type="dxa" w:w="2520"/>
            <w:vAlign w:val="center"/>
          </w:tcPr>
          <w:p>
            <w:pPr>
              <w:spacing w:after="20"/>
            </w:pPr>
            <w:r>
              <w:rPr>
                <w:rFonts w:ascii="Aptos" w:hAnsi="Aptos"/>
                <w:sz w:val="15"/>
              </w:rPr>
              <w:t>R6</w:t>
            </w:r>
          </w:p>
        </w:tc>
        <w:tc>
          <w:tcPr>
            <w:tcW w:type="dxa" w:w="2520"/>
            <w:vAlign w:val="center"/>
          </w:tcPr>
          <w:p>
            <w:pPr>
              <w:spacing w:after="20"/>
            </w:pPr>
            <w:r>
              <w:rPr>
                <w:rFonts w:ascii="Aptos" w:hAnsi="Aptos"/>
                <w:sz w:val="15"/>
              </w:rPr>
              <w:t>Unknown, contradictory or sensitive reason.</w:t>
            </w:r>
          </w:p>
        </w:tc>
        <w:tc>
          <w:tcPr>
            <w:tcW w:type="dxa" w:w="2520"/>
            <w:vAlign w:val="center"/>
          </w:tcPr>
          <w:p>
            <w:pPr>
              <w:spacing w:after="20"/>
            </w:pPr>
            <w:r>
              <w:rPr>
                <w:rFonts w:ascii="Aptos" w:hAnsi="Aptos"/>
                <w:sz w:val="15"/>
              </w:rPr>
              <w:t>Human review / optional question / no action.</w:t>
            </w:r>
          </w:p>
        </w:tc>
        <w:tc>
          <w:tcPr>
            <w:tcW w:type="dxa" w:w="2520"/>
            <w:vAlign w:val="center"/>
          </w:tcPr>
          <w:p>
            <w:pPr>
              <w:spacing w:after="20"/>
            </w:pPr>
            <w:r>
              <w:rPr>
                <w:rFonts w:ascii="Aptos" w:hAnsi="Aptos"/>
                <w:sz w:val="15"/>
              </w:rPr>
              <w:t>Never infer motive from balance or inactivity alone.</w:t>
            </w:r>
          </w:p>
        </w:tc>
      </w:tr>
      <w:tr>
        <w:tc>
          <w:tcPr>
            <w:tcW w:type="dxa" w:w="2520"/>
            <w:vAlign w:val="center"/>
          </w:tcPr>
          <w:p>
            <w:pPr>
              <w:spacing w:after="20"/>
            </w:pPr>
            <w:r>
              <w:rPr>
                <w:rFonts w:ascii="Aptos" w:hAnsi="Aptos"/>
                <w:sz w:val="15"/>
              </w:rPr>
              <w:t>R7</w:t>
            </w:r>
          </w:p>
        </w:tc>
        <w:tc>
          <w:tcPr>
            <w:tcW w:type="dxa" w:w="2520"/>
            <w:vAlign w:val="center"/>
          </w:tcPr>
          <w:p>
            <w:pPr>
              <w:spacing w:after="20"/>
            </w:pPr>
            <w:r>
              <w:rPr>
                <w:rFonts w:ascii="Aptos" w:hAnsi="Aptos"/>
                <w:sz w:val="15"/>
              </w:rPr>
              <w:t>Customer reports resolution but no verified use data exists.</w:t>
            </w:r>
          </w:p>
        </w:tc>
        <w:tc>
          <w:tcPr>
            <w:tcW w:type="dxa" w:w="2520"/>
            <w:vAlign w:val="center"/>
          </w:tcPr>
          <w:p>
            <w:pPr>
              <w:spacing w:after="20"/>
            </w:pPr>
            <w:r>
              <w:rPr>
                <w:rFonts w:ascii="Aptos" w:hAnsi="Aptos"/>
                <w:sz w:val="15"/>
              </w:rPr>
              <w:t>Mark self-reported resolution; sustained use remains unverified.</w:t>
            </w:r>
          </w:p>
        </w:tc>
        <w:tc>
          <w:tcPr>
            <w:tcW w:type="dxa" w:w="2520"/>
            <w:vAlign w:val="center"/>
          </w:tcPr>
          <w:p>
            <w:pPr>
              <w:spacing w:after="20"/>
            </w:pPr>
            <w:r>
              <w:rPr>
                <w:rFonts w:ascii="Aptos" w:hAnsi="Aptos"/>
                <w:sz w:val="15"/>
              </w:rPr>
              <w:t>Keep outcome states separate.</w:t>
            </w:r>
          </w:p>
        </w:tc>
      </w:tr>
      <w:tr>
        <w:tc>
          <w:tcPr>
            <w:tcW w:type="dxa" w:w="2520"/>
            <w:vAlign w:val="center"/>
          </w:tcPr>
          <w:p>
            <w:pPr>
              <w:spacing w:after="20"/>
            </w:pPr>
            <w:r>
              <w:rPr>
                <w:rFonts w:ascii="Aptos" w:hAnsi="Aptos"/>
                <w:sz w:val="15"/>
              </w:rPr>
              <w:t>R8</w:t>
            </w:r>
          </w:p>
        </w:tc>
        <w:tc>
          <w:tcPr>
            <w:tcW w:type="dxa" w:w="2520"/>
            <w:vAlign w:val="center"/>
          </w:tcPr>
          <w:p>
            <w:pPr>
              <w:spacing w:after="20"/>
            </w:pPr>
            <w:r>
              <w:rPr>
                <w:rFonts w:ascii="Aptos" w:hAnsi="Aptos"/>
                <w:sz w:val="15"/>
              </w:rPr>
              <w:t>Account reactivated but customer does not want ongoing use.</w:t>
            </w:r>
          </w:p>
        </w:tc>
        <w:tc>
          <w:tcPr>
            <w:tcW w:type="dxa" w:w="2520"/>
            <w:vAlign w:val="center"/>
          </w:tcPr>
          <w:p>
            <w:pPr>
              <w:spacing w:after="20"/>
            </w:pPr>
            <w:r>
              <w:rPr>
                <w:rFonts w:ascii="Aptos" w:hAnsi="Aptos"/>
                <w:sz w:val="15"/>
              </w:rPr>
              <w:t>Record status separately; do not count as meaningful success.</w:t>
            </w:r>
          </w:p>
        </w:tc>
        <w:tc>
          <w:tcPr>
            <w:tcW w:type="dxa" w:w="2520"/>
            <w:vAlign w:val="center"/>
          </w:tcPr>
          <w:p>
            <w:pPr>
              <w:spacing w:after="20"/>
            </w:pPr>
            <w:r>
              <w:rPr>
                <w:rFonts w:ascii="Aptos" w:hAnsi="Aptos"/>
                <w:sz w:val="15"/>
              </w:rPr>
              <w:t>Customer choice outranks dashboard targets.</w:t>
            </w:r>
          </w:p>
        </w:tc>
      </w:tr>
    </w:tbl>
    <w:p/>
    <w:p>
      <w:pPr>
        <w:pStyle w:val="Heading1"/>
      </w:pPr>
      <w:r>
        <w:t>9. Synthetic MVP data model</w:t>
      </w:r>
    </w:p>
    <w:p>
      <w:r>
        <w:t>Use fictional data only. Never use real account numbers, Aadhaar, phone numbers, names or bank statements. Generate IDs such as CASE-0001 and CUSTOMER-0001. Label synthetic data prominently.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CFE2F3"/>
          </w:tcPr>
          <w:p>
            <w:r>
              <w:rPr>
                <w:b/>
                <w:sz w:val="16"/>
              </w:rPr>
              <w:t>Table / file</w:t>
            </w:r>
          </w:p>
        </w:tc>
        <w:tc>
          <w:tcPr>
            <w:tcW w:type="dxa" w:w="3360"/>
            <w:shd w:fill="CFE2F3"/>
          </w:tcPr>
          <w:p>
            <w:r>
              <w:rPr>
                <w:b/>
                <w:sz w:val="16"/>
              </w:rPr>
              <w:t>Key fields</w:t>
            </w:r>
          </w:p>
        </w:tc>
        <w:tc>
          <w:tcPr>
            <w:tcW w:type="dxa" w:w="3360"/>
            <w:shd w:fill="CFE2F3"/>
          </w:tcPr>
          <w:p>
            <w:r>
              <w:rPr>
                <w:b/>
                <w:sz w:val="16"/>
              </w:rPr>
              <w:t>Purpose</w:t>
            </w:r>
          </w:p>
        </w:tc>
      </w:tr>
      <w:tr>
        <w:tc>
          <w:tcPr>
            <w:tcW w:type="dxa" w:w="3360"/>
            <w:vAlign w:val="center"/>
          </w:tcPr>
          <w:p>
            <w:pPr>
              <w:spacing w:after="20"/>
            </w:pPr>
            <w:r>
              <w:rPr>
                <w:rFonts w:ascii="Aptos" w:hAnsi="Aptos"/>
                <w:sz w:val="15"/>
              </w:rPr>
              <w:t>cases.csv</w:t>
            </w:r>
          </w:p>
        </w:tc>
        <w:tc>
          <w:tcPr>
            <w:tcW w:type="dxa" w:w="3360"/>
            <w:vAlign w:val="center"/>
          </w:tcPr>
          <w:p>
            <w:pPr>
              <w:spacing w:after="20"/>
            </w:pPr>
            <w:r>
              <w:rPr>
                <w:rFonts w:ascii="Aptos" w:hAnsi="Aptos"/>
                <w:sz w:val="15"/>
              </w:rPr>
              <w:t>case_id, customer_token, status_source, review_date, inactivity_band, account_origin, consent_status, contact_permission, source_authorisation</w:t>
            </w:r>
          </w:p>
        </w:tc>
        <w:tc>
          <w:tcPr>
            <w:tcW w:type="dxa" w:w="3360"/>
            <w:vAlign w:val="center"/>
          </w:tcPr>
          <w:p>
            <w:pPr>
              <w:spacing w:after="20"/>
            </w:pPr>
            <w:r>
              <w:rPr>
                <w:rFonts w:ascii="Aptos" w:hAnsi="Aptos"/>
                <w:sz w:val="15"/>
              </w:rPr>
              <w:t>Case workflow; no credentials.</w:t>
            </w:r>
          </w:p>
        </w:tc>
      </w:tr>
      <w:tr>
        <w:tc>
          <w:tcPr>
            <w:tcW w:type="dxa" w:w="3360"/>
            <w:vAlign w:val="center"/>
          </w:tcPr>
          <w:p>
            <w:pPr>
              <w:spacing w:after="20"/>
            </w:pPr>
            <w:r>
              <w:rPr>
                <w:rFonts w:ascii="Aptos" w:hAnsi="Aptos"/>
                <w:sz w:val="15"/>
              </w:rPr>
              <w:t>barrier_assessments.csv</w:t>
            </w:r>
          </w:p>
        </w:tc>
        <w:tc>
          <w:tcPr>
            <w:tcW w:type="dxa" w:w="3360"/>
            <w:vAlign w:val="center"/>
          </w:tcPr>
          <w:p>
            <w:pPr>
              <w:spacing w:after="20"/>
            </w:pPr>
            <w:r>
              <w:rPr>
                <w:rFonts w:ascii="Aptos" w:hAnsi="Aptos"/>
                <w:sz w:val="15"/>
              </w:rPr>
              <w:t>assessment_id, case_id, barrier_primary, barrier_secondary, evidence_source, confidence_label, customer_confirmed, recorded_at</w:t>
            </w:r>
          </w:p>
        </w:tc>
        <w:tc>
          <w:tcPr>
            <w:tcW w:type="dxa" w:w="3360"/>
            <w:vAlign w:val="center"/>
          </w:tcPr>
          <w:p>
            <w:pPr>
              <w:spacing w:after="20"/>
            </w:pPr>
            <w:r>
              <w:rPr>
                <w:rFonts w:ascii="Aptos" w:hAnsi="Aptos"/>
                <w:sz w:val="15"/>
              </w:rPr>
              <w:t>Separate reported reasons from system signals.</w:t>
            </w:r>
          </w:p>
        </w:tc>
      </w:tr>
      <w:tr>
        <w:tc>
          <w:tcPr>
            <w:tcW w:type="dxa" w:w="3360"/>
            <w:vAlign w:val="center"/>
          </w:tcPr>
          <w:p>
            <w:pPr>
              <w:spacing w:after="20"/>
            </w:pPr>
            <w:r>
              <w:rPr>
                <w:rFonts w:ascii="Aptos" w:hAnsi="Aptos"/>
                <w:sz w:val="15"/>
              </w:rPr>
              <w:t>interventions.csv</w:t>
            </w:r>
          </w:p>
        </w:tc>
        <w:tc>
          <w:tcPr>
            <w:tcW w:type="dxa" w:w="3360"/>
            <w:vAlign w:val="center"/>
          </w:tcPr>
          <w:p>
            <w:pPr>
              <w:spacing w:after="20"/>
            </w:pPr>
            <w:r>
              <w:rPr>
                <w:rFonts w:ascii="Aptos" w:hAnsi="Aptos"/>
                <w:sz w:val="15"/>
              </w:rPr>
              <w:t>intervention_id, case_id, barrier, intervention_type, destination_verified, assigned_channel, offered_at, accepted, completion_status</w:t>
            </w:r>
          </w:p>
        </w:tc>
        <w:tc>
          <w:tcPr>
            <w:tcW w:type="dxa" w:w="3360"/>
            <w:vAlign w:val="center"/>
          </w:tcPr>
          <w:p>
            <w:pPr>
              <w:spacing w:after="20"/>
            </w:pPr>
            <w:r>
              <w:rPr>
                <w:rFonts w:ascii="Aptos" w:hAnsi="Aptos"/>
                <w:sz w:val="15"/>
              </w:rPr>
              <w:t>Track offer, choice and completion.</w:t>
            </w:r>
          </w:p>
        </w:tc>
      </w:tr>
      <w:tr>
        <w:tc>
          <w:tcPr>
            <w:tcW w:type="dxa" w:w="3360"/>
            <w:vAlign w:val="center"/>
          </w:tcPr>
          <w:p>
            <w:pPr>
              <w:spacing w:after="20"/>
            </w:pPr>
            <w:r>
              <w:rPr>
                <w:rFonts w:ascii="Aptos" w:hAnsi="Aptos"/>
                <w:sz w:val="15"/>
              </w:rPr>
              <w:t>outcomes.csv</w:t>
            </w:r>
          </w:p>
        </w:tc>
        <w:tc>
          <w:tcPr>
            <w:tcW w:type="dxa" w:w="3360"/>
            <w:vAlign w:val="center"/>
          </w:tcPr>
          <w:p>
            <w:pPr>
              <w:spacing w:after="20"/>
            </w:pPr>
            <w:r>
              <w:rPr>
                <w:rFonts w:ascii="Aptos" w:hAnsi="Aptos"/>
                <w:sz w:val="15"/>
              </w:rPr>
              <w:t>outcome_id, case_id, barrier_resolved_self_reported, barrier_resolved_verified, account_status_after, meaningful_use_status, outcome_source, follow_up_date, opt_out</w:t>
            </w:r>
          </w:p>
        </w:tc>
        <w:tc>
          <w:tcPr>
            <w:tcW w:type="dxa" w:w="3360"/>
            <w:vAlign w:val="center"/>
          </w:tcPr>
          <w:p>
            <w:pPr>
              <w:spacing w:after="20"/>
            </w:pPr>
            <w:r>
              <w:rPr>
                <w:rFonts w:ascii="Aptos" w:hAnsi="Aptos"/>
                <w:sz w:val="15"/>
              </w:rPr>
              <w:t>Separate activation, barrier resolution and use.</w:t>
            </w:r>
          </w:p>
        </w:tc>
      </w:tr>
      <w:tr>
        <w:tc>
          <w:tcPr>
            <w:tcW w:type="dxa" w:w="3360"/>
            <w:vAlign w:val="center"/>
          </w:tcPr>
          <w:p>
            <w:pPr>
              <w:spacing w:after="20"/>
            </w:pPr>
            <w:r>
              <w:rPr>
                <w:rFonts w:ascii="Aptos" w:hAnsi="Aptos"/>
                <w:sz w:val="15"/>
              </w:rPr>
              <w:t>service_directory.csv</w:t>
            </w:r>
          </w:p>
        </w:tc>
        <w:tc>
          <w:tcPr>
            <w:tcW w:type="dxa" w:w="3360"/>
            <w:vAlign w:val="center"/>
          </w:tcPr>
          <w:p>
            <w:pPr>
              <w:spacing w:after="20"/>
            </w:pPr>
            <w:r>
              <w:rPr>
                <w:rFonts w:ascii="Aptos" w:hAnsi="Aptos"/>
                <w:sz w:val="15"/>
              </w:rPr>
              <w:t>service_id, institution, service_type, location_label, authorised_status, verification_source, last_verified_at, contact_route</w:t>
            </w:r>
          </w:p>
        </w:tc>
        <w:tc>
          <w:tcPr>
            <w:tcW w:type="dxa" w:w="3360"/>
            <w:vAlign w:val="center"/>
          </w:tcPr>
          <w:p>
            <w:pPr>
              <w:spacing w:after="20"/>
            </w:pPr>
            <w:r>
              <w:rPr>
                <w:rFonts w:ascii="Aptos" w:hAnsi="Aptos"/>
                <w:sz w:val="15"/>
              </w:rPr>
              <w:t>Only verified routes shown; synthetic in demo.</w:t>
            </w:r>
          </w:p>
        </w:tc>
      </w:tr>
      <w:tr>
        <w:tc>
          <w:tcPr>
            <w:tcW w:type="dxa" w:w="3360"/>
            <w:vAlign w:val="center"/>
          </w:tcPr>
          <w:p>
            <w:pPr>
              <w:spacing w:after="20"/>
            </w:pPr>
            <w:r>
              <w:rPr>
                <w:rFonts w:ascii="Aptos" w:hAnsi="Aptos"/>
                <w:sz w:val="15"/>
              </w:rPr>
              <w:t>audit_events.csv</w:t>
            </w:r>
          </w:p>
        </w:tc>
        <w:tc>
          <w:tcPr>
            <w:tcW w:type="dxa" w:w="3360"/>
            <w:vAlign w:val="center"/>
          </w:tcPr>
          <w:p>
            <w:pPr>
              <w:spacing w:after="20"/>
            </w:pPr>
            <w:r>
              <w:rPr>
                <w:rFonts w:ascii="Aptos" w:hAnsi="Aptos"/>
                <w:sz w:val="15"/>
              </w:rPr>
              <w:t>event_id, case_id, actor_role, action, timestamp, fields_accessed, purpose_code</w:t>
            </w:r>
          </w:p>
        </w:tc>
        <w:tc>
          <w:tcPr>
            <w:tcW w:type="dxa" w:w="3360"/>
            <w:vAlign w:val="center"/>
          </w:tcPr>
          <w:p>
            <w:pPr>
              <w:spacing w:after="20"/>
            </w:pPr>
            <w:r>
              <w:rPr>
                <w:rFonts w:ascii="Aptos" w:hAnsi="Aptos"/>
                <w:sz w:val="15"/>
              </w:rPr>
              <w:t>Minimal access audit; no secrets.</w:t>
            </w:r>
          </w:p>
        </w:tc>
      </w:tr>
      <w:tr>
        <w:tc>
          <w:tcPr>
            <w:tcW w:type="dxa" w:w="3360"/>
            <w:vAlign w:val="center"/>
          </w:tcPr>
          <w:p>
            <w:pPr>
              <w:spacing w:after="20"/>
            </w:pPr>
            <w:r>
              <w:rPr>
                <w:rFonts w:ascii="Aptos" w:hAnsi="Aptos"/>
                <w:sz w:val="15"/>
              </w:rPr>
              <w:t>aggregate_experiments.csv</w:t>
            </w:r>
          </w:p>
        </w:tc>
        <w:tc>
          <w:tcPr>
            <w:tcW w:type="dxa" w:w="3360"/>
            <w:vAlign w:val="center"/>
          </w:tcPr>
          <w:p>
            <w:pPr>
              <w:spacing w:after="20"/>
            </w:pPr>
            <w:r>
              <w:rPr>
                <w:rFonts w:ascii="Aptos" w:hAnsi="Aptos"/>
                <w:sz w:val="15"/>
              </w:rPr>
              <w:t>experiment_id, segment, variant, eligible_n, contacted_n, engaged_n, resolved_n, voluntary_use_n, opt_out_n, observation_days</w:t>
            </w:r>
          </w:p>
        </w:tc>
        <w:tc>
          <w:tcPr>
            <w:tcW w:type="dxa" w:w="3360"/>
            <w:vAlign w:val="center"/>
          </w:tcPr>
          <w:p>
            <w:pPr>
              <w:spacing w:after="20"/>
            </w:pPr>
            <w:r>
              <w:rPr>
                <w:rFonts w:ascii="Aptos" w:hAnsi="Aptos"/>
                <w:sz w:val="15"/>
              </w:rPr>
              <w:t>Aggregate comparison; suppress small cells.</w:t>
            </w:r>
          </w:p>
        </w:tc>
      </w:tr>
    </w:tbl>
    <w:p/>
    <w:p>
      <w:pPr>
        <w:pStyle w:val="Heading2"/>
      </w:pPr>
      <w:r>
        <w:t>Suggested synthetic data design</w:t>
      </w:r>
    </w:p>
    <w:p>
      <w:r>
        <w:t>Generate 150–250 fictional cases with imperfect records. This is enough to demonstrate workflow and edge cases, not enough to prove real-world efficacy.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CFE2F3"/>
          </w:tcPr>
          <w:p>
            <w:r>
              <w:rPr>
                <w:b/>
                <w:sz w:val="16"/>
              </w:rPr>
              <w:t>Dimension</w:t>
            </w:r>
          </w:p>
        </w:tc>
        <w:tc>
          <w:tcPr>
            <w:tcW w:type="dxa" w:w="3360"/>
            <w:shd w:fill="CFE2F3"/>
          </w:tcPr>
          <w:p>
            <w:r>
              <w:rPr>
                <w:b/>
                <w:sz w:val="16"/>
              </w:rPr>
              <w:t>Suggested values</w:t>
            </w:r>
          </w:p>
        </w:tc>
        <w:tc>
          <w:tcPr>
            <w:tcW w:type="dxa" w:w="3360"/>
            <w:shd w:fill="CFE2F3"/>
          </w:tcPr>
          <w:p>
            <w:r>
              <w:rPr>
                <w:b/>
                <w:sz w:val="16"/>
              </w:rPr>
              <w:t>Purpose</w:t>
            </w:r>
          </w:p>
        </w:tc>
      </w:tr>
      <w:tr>
        <w:tc>
          <w:tcPr>
            <w:tcW w:type="dxa" w:w="3360"/>
            <w:vAlign w:val="center"/>
          </w:tcPr>
          <w:p>
            <w:pPr>
              <w:spacing w:after="20"/>
            </w:pPr>
            <w:r>
              <w:rPr>
                <w:rFonts w:ascii="Aptos" w:hAnsi="Aptos"/>
                <w:sz w:val="15"/>
              </w:rPr>
              <w:t>Primary barrier</w:t>
            </w:r>
          </w:p>
        </w:tc>
        <w:tc>
          <w:tcPr>
            <w:tcW w:type="dxa" w:w="3360"/>
            <w:vAlign w:val="center"/>
          </w:tcPr>
          <w:p>
            <w:pPr>
              <w:spacing w:after="20"/>
            </w:pPr>
            <w:r>
              <w:rPr>
                <w:rFonts w:ascii="Aptos" w:hAnsi="Aptos"/>
                <w:sz w:val="15"/>
              </w:rPr>
              <w:t>KYC mismatch; access; trust / complaint; digital friction; changed utility; unknown / mixed.</w:t>
            </w:r>
          </w:p>
        </w:tc>
        <w:tc>
          <w:tcPr>
            <w:tcW w:type="dxa" w:w="3360"/>
            <w:vAlign w:val="center"/>
          </w:tcPr>
          <w:p>
            <w:pPr>
              <w:spacing w:after="20"/>
            </w:pPr>
            <w:r>
              <w:rPr>
                <w:rFonts w:ascii="Aptos" w:hAnsi="Aptos"/>
                <w:sz w:val="15"/>
              </w:rPr>
              <w:t>Demonstrate multiple routes without claiming real prevalence.</w:t>
            </w:r>
          </w:p>
        </w:tc>
      </w:tr>
      <w:tr>
        <w:tc>
          <w:tcPr>
            <w:tcW w:type="dxa" w:w="3360"/>
            <w:vAlign w:val="center"/>
          </w:tcPr>
          <w:p>
            <w:pPr>
              <w:spacing w:after="20"/>
            </w:pPr>
            <w:r>
              <w:rPr>
                <w:rFonts w:ascii="Aptos" w:hAnsi="Aptos"/>
                <w:sz w:val="15"/>
              </w:rPr>
              <w:t>Evidence source</w:t>
            </w:r>
          </w:p>
        </w:tc>
        <w:tc>
          <w:tcPr>
            <w:tcW w:type="dxa" w:w="3360"/>
            <w:vAlign w:val="center"/>
          </w:tcPr>
          <w:p>
            <w:pPr>
              <w:spacing w:after="20"/>
            </w:pPr>
            <w:r>
              <w:rPr>
                <w:rFonts w:ascii="Aptos" w:hAnsi="Aptos"/>
                <w:sz w:val="15"/>
              </w:rPr>
              <w:t>Customer-confirmed; authorised staff; system signal only; unknown.</w:t>
            </w:r>
          </w:p>
        </w:tc>
        <w:tc>
          <w:tcPr>
            <w:tcW w:type="dxa" w:w="3360"/>
            <w:vAlign w:val="center"/>
          </w:tcPr>
          <w:p>
            <w:pPr>
              <w:spacing w:after="20"/>
            </w:pPr>
            <w:r>
              <w:rPr>
                <w:rFonts w:ascii="Aptos" w:hAnsi="Aptos"/>
                <w:sz w:val="15"/>
              </w:rPr>
              <w:t>Do not display inferred signal as confirmed motive.</w:t>
            </w:r>
          </w:p>
        </w:tc>
      </w:tr>
      <w:tr>
        <w:tc>
          <w:tcPr>
            <w:tcW w:type="dxa" w:w="3360"/>
            <w:vAlign w:val="center"/>
          </w:tcPr>
          <w:p>
            <w:pPr>
              <w:spacing w:after="20"/>
            </w:pPr>
            <w:r>
              <w:rPr>
                <w:rFonts w:ascii="Aptos" w:hAnsi="Aptos"/>
                <w:sz w:val="15"/>
              </w:rPr>
              <w:t>Customer choice</w:t>
            </w:r>
          </w:p>
        </w:tc>
        <w:tc>
          <w:tcPr>
            <w:tcW w:type="dxa" w:w="3360"/>
            <w:vAlign w:val="center"/>
          </w:tcPr>
          <w:p>
            <w:pPr>
              <w:spacing w:after="20"/>
            </w:pPr>
            <w:r>
              <w:rPr>
                <w:rFonts w:ascii="Aptos" w:hAnsi="Aptos"/>
                <w:sz w:val="15"/>
              </w:rPr>
              <w:t>Engage; decline; no response; callback; in-person route.</w:t>
            </w:r>
          </w:p>
        </w:tc>
        <w:tc>
          <w:tcPr>
            <w:tcW w:type="dxa" w:w="3360"/>
            <w:vAlign w:val="center"/>
          </w:tcPr>
          <w:p>
            <w:pPr>
              <w:spacing w:after="20"/>
            </w:pPr>
            <w:r>
              <w:rPr>
                <w:rFonts w:ascii="Aptos" w:hAnsi="Aptos"/>
                <w:sz w:val="15"/>
              </w:rPr>
              <w:t>Choice is an outcome, not a failure.</w:t>
            </w:r>
          </w:p>
        </w:tc>
      </w:tr>
      <w:tr>
        <w:tc>
          <w:tcPr>
            <w:tcW w:type="dxa" w:w="3360"/>
            <w:vAlign w:val="center"/>
          </w:tcPr>
          <w:p>
            <w:pPr>
              <w:spacing w:after="20"/>
            </w:pPr>
            <w:r>
              <w:rPr>
                <w:rFonts w:ascii="Aptos" w:hAnsi="Aptos"/>
                <w:sz w:val="15"/>
              </w:rPr>
              <w:t>Intervention</w:t>
            </w:r>
          </w:p>
        </w:tc>
        <w:tc>
          <w:tcPr>
            <w:tcW w:type="dxa" w:w="3360"/>
            <w:vAlign w:val="center"/>
          </w:tcPr>
          <w:p>
            <w:pPr>
              <w:spacing w:after="20"/>
            </w:pPr>
            <w:r>
              <w:rPr>
                <w:rFonts w:ascii="Aptos" w:hAnsi="Aptos"/>
                <w:sz w:val="15"/>
              </w:rPr>
              <w:t>Not offered; offered; accepted; completed; blocked; declined.</w:t>
            </w:r>
          </w:p>
        </w:tc>
        <w:tc>
          <w:tcPr>
            <w:tcW w:type="dxa" w:w="3360"/>
            <w:vAlign w:val="center"/>
          </w:tcPr>
          <w:p>
            <w:pPr>
              <w:spacing w:after="20"/>
            </w:pPr>
            <w:r>
              <w:rPr>
                <w:rFonts w:ascii="Aptos" w:hAnsi="Aptos"/>
                <w:sz w:val="15"/>
              </w:rPr>
              <w:t>Show full funnel.</w:t>
            </w:r>
          </w:p>
        </w:tc>
      </w:tr>
      <w:tr>
        <w:tc>
          <w:tcPr>
            <w:tcW w:type="dxa" w:w="3360"/>
            <w:vAlign w:val="center"/>
          </w:tcPr>
          <w:p>
            <w:pPr>
              <w:spacing w:after="20"/>
            </w:pPr>
            <w:r>
              <w:rPr>
                <w:rFonts w:ascii="Aptos" w:hAnsi="Aptos"/>
                <w:sz w:val="15"/>
              </w:rPr>
              <w:t>Barrier status</w:t>
            </w:r>
          </w:p>
        </w:tc>
        <w:tc>
          <w:tcPr>
            <w:tcW w:type="dxa" w:w="3360"/>
            <w:vAlign w:val="center"/>
          </w:tcPr>
          <w:p>
            <w:pPr>
              <w:spacing w:after="20"/>
            </w:pPr>
            <w:r>
              <w:rPr>
                <w:rFonts w:ascii="Aptos" w:hAnsi="Aptos"/>
                <w:sz w:val="15"/>
              </w:rPr>
              <w:t>Unassessed; unresolved; self-reported resolved; verified resolved; unknown.</w:t>
            </w:r>
          </w:p>
        </w:tc>
        <w:tc>
          <w:tcPr>
            <w:tcW w:type="dxa" w:w="3360"/>
            <w:vAlign w:val="center"/>
          </w:tcPr>
          <w:p>
            <w:pPr>
              <w:spacing w:after="20"/>
            </w:pPr>
            <w:r>
              <w:rPr>
                <w:rFonts w:ascii="Aptos" w:hAnsi="Aptos"/>
                <w:sz w:val="15"/>
              </w:rPr>
              <w:t>Avoid false success from referral alone.</w:t>
            </w:r>
          </w:p>
        </w:tc>
      </w:tr>
      <w:tr>
        <w:tc>
          <w:tcPr>
            <w:tcW w:type="dxa" w:w="3360"/>
            <w:vAlign w:val="center"/>
          </w:tcPr>
          <w:p>
            <w:pPr>
              <w:spacing w:after="20"/>
            </w:pPr>
            <w:r>
              <w:rPr>
                <w:rFonts w:ascii="Aptos" w:hAnsi="Aptos"/>
                <w:sz w:val="15"/>
              </w:rPr>
              <w:t>Account status</w:t>
            </w:r>
          </w:p>
        </w:tc>
        <w:tc>
          <w:tcPr>
            <w:tcW w:type="dxa" w:w="3360"/>
            <w:vAlign w:val="center"/>
          </w:tcPr>
          <w:p>
            <w:pPr>
              <w:spacing w:after="20"/>
            </w:pPr>
            <w:r>
              <w:rPr>
                <w:rFonts w:ascii="Aptos" w:hAnsi="Aptos"/>
                <w:sz w:val="15"/>
              </w:rPr>
              <w:t>Inoperative; activation requested; reactivated; unchanged; unavailable.</w:t>
            </w:r>
          </w:p>
        </w:tc>
        <w:tc>
          <w:tcPr>
            <w:tcW w:type="dxa" w:w="3360"/>
            <w:vAlign w:val="center"/>
          </w:tcPr>
          <w:p>
            <w:pPr>
              <w:spacing w:after="20"/>
            </w:pPr>
            <w:r>
              <w:rPr>
                <w:rFonts w:ascii="Aptos" w:hAnsi="Aptos"/>
                <w:sz w:val="15"/>
              </w:rPr>
              <w:t>Separate bank status from customer value.</w:t>
            </w:r>
          </w:p>
        </w:tc>
      </w:tr>
      <w:tr>
        <w:tc>
          <w:tcPr>
            <w:tcW w:type="dxa" w:w="3360"/>
            <w:vAlign w:val="center"/>
          </w:tcPr>
          <w:p>
            <w:pPr>
              <w:spacing w:after="20"/>
            </w:pPr>
            <w:r>
              <w:rPr>
                <w:rFonts w:ascii="Aptos" w:hAnsi="Aptos"/>
                <w:sz w:val="15"/>
              </w:rPr>
              <w:t>Meaningful use</w:t>
            </w:r>
          </w:p>
        </w:tc>
        <w:tc>
          <w:tcPr>
            <w:tcW w:type="dxa" w:w="3360"/>
            <w:vAlign w:val="center"/>
          </w:tcPr>
          <w:p>
            <w:pPr>
              <w:spacing w:after="20"/>
            </w:pPr>
            <w:r>
              <w:rPr>
                <w:rFonts w:ascii="Aptos" w:hAnsi="Aptos"/>
                <w:sz w:val="15"/>
              </w:rPr>
              <w:t>Not measured; self-reported; authorised aggregate confirmation; no use wanted.</w:t>
            </w:r>
          </w:p>
        </w:tc>
        <w:tc>
          <w:tcPr>
            <w:tcW w:type="dxa" w:w="3360"/>
            <w:vAlign w:val="center"/>
          </w:tcPr>
          <w:p>
            <w:pPr>
              <w:spacing w:after="20"/>
            </w:pPr>
            <w:r>
              <w:rPr>
                <w:rFonts w:ascii="Aptos" w:hAnsi="Aptos"/>
                <w:sz w:val="15"/>
              </w:rPr>
              <w:t>No transaction feed needed for demo.</w:t>
            </w:r>
          </w:p>
        </w:tc>
      </w:tr>
      <w:tr>
        <w:tc>
          <w:tcPr>
            <w:tcW w:type="dxa" w:w="3360"/>
            <w:vAlign w:val="center"/>
          </w:tcPr>
          <w:p>
            <w:pPr>
              <w:spacing w:after="20"/>
            </w:pPr>
            <w:r>
              <w:rPr>
                <w:rFonts w:ascii="Aptos" w:hAnsi="Aptos"/>
                <w:sz w:val="15"/>
              </w:rPr>
              <w:t>Data quality</w:t>
            </w:r>
          </w:p>
        </w:tc>
        <w:tc>
          <w:tcPr>
            <w:tcW w:type="dxa" w:w="3360"/>
            <w:vAlign w:val="center"/>
          </w:tcPr>
          <w:p>
            <w:pPr>
              <w:spacing w:after="20"/>
            </w:pPr>
            <w:r>
              <w:rPr>
                <w:rFonts w:ascii="Aptos" w:hAnsi="Aptos"/>
                <w:sz w:val="15"/>
              </w:rPr>
              <w:t>Missing permission; duplicate; stale directory; contradiction; opt-out.</w:t>
            </w:r>
          </w:p>
        </w:tc>
        <w:tc>
          <w:tcPr>
            <w:tcW w:type="dxa" w:w="3360"/>
            <w:vAlign w:val="center"/>
          </w:tcPr>
          <w:p>
            <w:pPr>
              <w:spacing w:after="20"/>
            </w:pPr>
            <w:r>
              <w:rPr>
                <w:rFonts w:ascii="Aptos" w:hAnsi="Aptos"/>
                <w:sz w:val="15"/>
              </w:rPr>
              <w:t>Demonstrate safe failure states.</w:t>
            </w:r>
          </w:p>
        </w:tc>
      </w:tr>
    </w:tbl>
    <w:p/>
    <w:p>
      <w:r>
        <w:rPr>
          <w:i/>
          <w:color w:val="5A5A5A"/>
          <w:sz w:val="16"/>
        </w:rPr>
        <w:t>Never hardcode impressive outcome percentages. If the generator uses a designed distribution, label charts synthetic and document the assumptions.</w:t>
      </w:r>
    </w:p>
    <w:p>
      <w:pPr>
        <w:pStyle w:val="Heading1"/>
      </w:pPr>
      <w:r>
        <w:t>10. Dashboard and UX requirements</w:t>
      </w:r>
    </w:p>
    <w:p>
      <w:pPr>
        <w:pStyle w:val="Heading2"/>
      </w:pPr>
      <w:r>
        <w:t>Bank / programme operations dashboard</w:t>
      </w:r>
    </w:p>
    <w:p>
      <w:pPr>
        <w:pStyle w:val="ListBullet"/>
        <w:spacing w:after="40"/>
      </w:pPr>
      <w:r>
        <w:t>Aggregate funnel: eligible → invited → engaged → barrier assessed → intervention accepted → barrier resolved → meaningful use verified.</w:t>
      </w:r>
    </w:p>
    <w:p>
      <w:pPr>
        <w:pStyle w:val="ListBullet"/>
        <w:spacing w:after="40"/>
      </w:pPr>
      <w:r>
        <w:t>Breakdowns by reported barrier and intervention, with sample sizes and observation windows.</w:t>
      </w:r>
    </w:p>
    <w:p>
      <w:pPr>
        <w:pStyle w:val="ListBullet"/>
        <w:spacing w:after="40"/>
      </w:pPr>
      <w:r>
        <w:t>Keep unknown, declined and no-response cases visible.</w:t>
      </w:r>
    </w:p>
    <w:p>
      <w:pPr>
        <w:pStyle w:val="ListBullet"/>
        <w:spacing w:after="40"/>
      </w:pPr>
      <w:r>
        <w:t>Human-review queue for contradictory reason, missing authorisation, unresolved complaint, unverified route and requested assistance.</w:t>
      </w:r>
    </w:p>
    <w:p>
      <w:pPr>
        <w:pStyle w:val="ListBullet"/>
        <w:spacing w:after="40"/>
      </w:pPr>
      <w:r>
        <w:t>Data-quality panel: stale directory, missing permission, duplicate records, unresolved outcomes and source timestamp.</w:t>
      </w:r>
    </w:p>
    <w:p>
      <w:pPr>
        <w:pStyle w:val="ListBullet"/>
        <w:spacing w:after="40"/>
      </w:pPr>
      <w:r>
        <w:t>Aggregate exports by default; no unnecessary customer-level downloads.</w:t>
      </w:r>
    </w:p>
    <w:p>
      <w:pPr>
        <w:pStyle w:val="Heading2"/>
      </w:pPr>
      <w:r>
        <w:t>Authorised worker / BC view</w:t>
      </w:r>
    </w:p>
    <w:p>
      <w:pPr>
        <w:pStyle w:val="ListBullet"/>
        <w:spacing w:after="40"/>
      </w:pPr>
      <w:r>
        <w:t>Only in a real deployment if the institution authorises the worker and defines role-based access.</w:t>
      </w:r>
    </w:p>
    <w:p>
      <w:pPr>
        <w:pStyle w:val="ListBullet"/>
        <w:spacing w:after="40"/>
      </w:pPr>
      <w:r>
        <w:t>Show plain-language case summary, customer-stated barrier, permitted checklist, official destination and completion state.</w:t>
      </w:r>
    </w:p>
    <w:p>
      <w:pPr>
        <w:pStyle w:val="ListBullet"/>
        <w:spacing w:after="40"/>
      </w:pPr>
      <w:r>
        <w:t>No secrets or full KYC documents in the prototype.</w:t>
      </w:r>
    </w:p>
    <w:p>
      <w:pPr>
        <w:pStyle w:val="ListBullet"/>
        <w:spacing w:after="40"/>
      </w:pPr>
      <w:r>
        <w:t>Use a clear 'not authorised / refer to bank' state for tasks outside the worker’s role.</w:t>
      </w:r>
    </w:p>
    <w:p>
      <w:pPr>
        <w:pStyle w:val="Heading2"/>
      </w:pPr>
      <w:r>
        <w:t>Customer-facing touchpoint</w:t>
      </w:r>
    </w:p>
    <w:p>
      <w:pPr>
        <w:pStyle w:val="ListBullet"/>
        <w:spacing w:after="40"/>
      </w:pPr>
      <w:r>
        <w:t>The customer should not need to discover or download a new app to get value.</w:t>
      </w:r>
    </w:p>
    <w:p>
      <w:pPr>
        <w:pStyle w:val="ListBullet"/>
        <w:spacing w:after="40"/>
      </w:pPr>
      <w:r>
        <w:t>Prototype may simulate bank-approved SMS / IVR / assisted contact, but label it simulation.</w:t>
      </w:r>
    </w:p>
    <w:p>
      <w:pPr>
        <w:pStyle w:val="ListBullet"/>
        <w:spacing w:after="40"/>
      </w:pPr>
      <w:r>
        <w:t>Test Hindi and relevant local languages with human review in a later pilot.</w:t>
      </w:r>
    </w:p>
    <w:p>
      <w:pPr>
        <w:pStyle w:val="ListBullet"/>
        <w:spacing w:after="40"/>
      </w:pPr>
      <w:r>
        <w:t>No threatening copy, false urgency, deceptive sender identity or pressure to transact.</w:t>
      </w:r>
    </w:p>
    <w:p>
      <w:pPr>
        <w:pStyle w:val="Heading1"/>
      </w:pPr>
      <w:r>
        <w:t>11. Evaluation plan and success metrics</w:t>
      </w:r>
    </w:p>
    <w:p>
      <w:r>
        <w:t>The main question is not 'How many accounts did we reactivate?' It is 'For customers who voluntarily want access restored, does a barrier-matched intervention improve resolution and useful access compared with the existing process?'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CFE2F3"/>
          </w:tcPr>
          <w:p>
            <w:r>
              <w:rPr>
                <w:b/>
                <w:sz w:val="16"/>
              </w:rPr>
              <w:t>Metric</w:t>
            </w:r>
          </w:p>
        </w:tc>
        <w:tc>
          <w:tcPr>
            <w:tcW w:type="dxa" w:w="3360"/>
            <w:shd w:fill="CFE2F3"/>
          </w:tcPr>
          <w:p>
            <w:r>
              <w:rPr>
                <w:b/>
                <w:sz w:val="16"/>
              </w:rPr>
              <w:t>Definition</w:t>
            </w:r>
          </w:p>
        </w:tc>
        <w:tc>
          <w:tcPr>
            <w:tcW w:type="dxa" w:w="3360"/>
            <w:shd w:fill="CFE2F3"/>
          </w:tcPr>
          <w:p>
            <w:r>
              <w:rPr>
                <w:b/>
                <w:sz w:val="16"/>
              </w:rPr>
              <w:t>Caveat</w:t>
            </w:r>
          </w:p>
        </w:tc>
      </w:tr>
      <w:tr>
        <w:tc>
          <w:tcPr>
            <w:tcW w:type="dxa" w:w="3360"/>
            <w:vAlign w:val="center"/>
          </w:tcPr>
          <w:p>
            <w:pPr>
              <w:spacing w:after="20"/>
            </w:pPr>
            <w:r>
              <w:rPr>
                <w:rFonts w:ascii="Aptos" w:hAnsi="Aptos"/>
                <w:sz w:val="15"/>
              </w:rPr>
              <w:t>Engagement rate</w:t>
            </w:r>
          </w:p>
        </w:tc>
        <w:tc>
          <w:tcPr>
            <w:tcW w:type="dxa" w:w="3360"/>
            <w:vAlign w:val="center"/>
          </w:tcPr>
          <w:p>
            <w:pPr>
              <w:spacing w:after="20"/>
            </w:pPr>
            <w:r>
              <w:rPr>
                <w:rFonts w:ascii="Aptos" w:hAnsi="Aptos"/>
                <w:sz w:val="15"/>
              </w:rPr>
              <w:t>Engaged / eligible customers contacted.</w:t>
            </w:r>
          </w:p>
        </w:tc>
        <w:tc>
          <w:tcPr>
            <w:tcW w:type="dxa" w:w="3360"/>
            <w:vAlign w:val="center"/>
          </w:tcPr>
          <w:p>
            <w:pPr>
              <w:spacing w:after="20"/>
            </w:pPr>
            <w:r>
              <w:rPr>
                <w:rFonts w:ascii="Aptos" w:hAnsi="Aptos"/>
                <w:sz w:val="15"/>
              </w:rPr>
              <w:t>Report contactability and denominator.</w:t>
            </w:r>
          </w:p>
        </w:tc>
      </w:tr>
      <w:tr>
        <w:tc>
          <w:tcPr>
            <w:tcW w:type="dxa" w:w="3360"/>
            <w:vAlign w:val="center"/>
          </w:tcPr>
          <w:p>
            <w:pPr>
              <w:spacing w:after="20"/>
            </w:pPr>
            <w:r>
              <w:rPr>
                <w:rFonts w:ascii="Aptos" w:hAnsi="Aptos"/>
                <w:sz w:val="15"/>
              </w:rPr>
              <w:t>Barrier identification coverage</w:t>
            </w:r>
          </w:p>
        </w:tc>
        <w:tc>
          <w:tcPr>
            <w:tcW w:type="dxa" w:w="3360"/>
            <w:vAlign w:val="center"/>
          </w:tcPr>
          <w:p>
            <w:pPr>
              <w:spacing w:after="20"/>
            </w:pPr>
            <w:r>
              <w:rPr>
                <w:rFonts w:ascii="Aptos" w:hAnsi="Aptos"/>
                <w:sz w:val="15"/>
              </w:rPr>
              <w:t>Customer-confirmed or authorised documented barrier / engaged cases.</w:t>
            </w:r>
          </w:p>
        </w:tc>
        <w:tc>
          <w:tcPr>
            <w:tcW w:type="dxa" w:w="3360"/>
            <w:vAlign w:val="center"/>
          </w:tcPr>
          <w:p>
            <w:pPr>
              <w:spacing w:after="20"/>
            </w:pPr>
            <w:r>
              <w:rPr>
                <w:rFonts w:ascii="Aptos" w:hAnsi="Aptos"/>
                <w:sz w:val="15"/>
              </w:rPr>
              <w:t>Unknown is valid; do not force classification.</w:t>
            </w:r>
          </w:p>
        </w:tc>
      </w:tr>
      <w:tr>
        <w:tc>
          <w:tcPr>
            <w:tcW w:type="dxa" w:w="3360"/>
            <w:vAlign w:val="center"/>
          </w:tcPr>
          <w:p>
            <w:pPr>
              <w:spacing w:after="20"/>
            </w:pPr>
            <w:r>
              <w:rPr>
                <w:rFonts w:ascii="Aptos" w:hAnsi="Aptos"/>
                <w:sz w:val="15"/>
              </w:rPr>
              <w:t>Intervention acceptance</w:t>
            </w:r>
          </w:p>
        </w:tc>
        <w:tc>
          <w:tcPr>
            <w:tcW w:type="dxa" w:w="3360"/>
            <w:vAlign w:val="center"/>
          </w:tcPr>
          <w:p>
            <w:pPr>
              <w:spacing w:after="20"/>
            </w:pPr>
            <w:r>
              <w:rPr>
                <w:rFonts w:ascii="Aptos" w:hAnsi="Aptos"/>
                <w:sz w:val="15"/>
              </w:rPr>
              <w:t>Accepted / offered interventions.</w:t>
            </w:r>
          </w:p>
        </w:tc>
        <w:tc>
          <w:tcPr>
            <w:tcW w:type="dxa" w:w="3360"/>
            <w:vAlign w:val="center"/>
          </w:tcPr>
          <w:p>
            <w:pPr>
              <w:spacing w:after="20"/>
            </w:pPr>
            <w:r>
              <w:rPr>
                <w:rFonts w:ascii="Aptos" w:hAnsi="Aptos"/>
                <w:sz w:val="15"/>
              </w:rPr>
              <w:t>Low acceptance may mean poor fit or no action preferred.</w:t>
            </w:r>
          </w:p>
        </w:tc>
      </w:tr>
      <w:tr>
        <w:tc>
          <w:tcPr>
            <w:tcW w:type="dxa" w:w="3360"/>
            <w:vAlign w:val="center"/>
          </w:tcPr>
          <w:p>
            <w:pPr>
              <w:spacing w:after="20"/>
            </w:pPr>
            <w:r>
              <w:rPr>
                <w:rFonts w:ascii="Aptos" w:hAnsi="Aptos"/>
                <w:sz w:val="15"/>
              </w:rPr>
              <w:t>Barrier-resolution rate</w:t>
            </w:r>
          </w:p>
        </w:tc>
        <w:tc>
          <w:tcPr>
            <w:tcW w:type="dxa" w:w="3360"/>
            <w:vAlign w:val="center"/>
          </w:tcPr>
          <w:p>
            <w:pPr>
              <w:spacing w:after="20"/>
            </w:pPr>
            <w:r>
              <w:rPr>
                <w:rFonts w:ascii="Aptos" w:hAnsi="Aptos"/>
                <w:sz w:val="15"/>
              </w:rPr>
              <w:t>Resolved / cases with intervention and completed follow-up.</w:t>
            </w:r>
          </w:p>
        </w:tc>
        <w:tc>
          <w:tcPr>
            <w:tcW w:type="dxa" w:w="3360"/>
            <w:vAlign w:val="center"/>
          </w:tcPr>
          <w:p>
            <w:pPr>
              <w:spacing w:after="20"/>
            </w:pPr>
            <w:r>
              <w:rPr>
                <w:rFonts w:ascii="Aptos" w:hAnsi="Aptos"/>
                <w:sz w:val="15"/>
              </w:rPr>
              <w:t>Separate self-reported and verified results.</w:t>
            </w:r>
          </w:p>
        </w:tc>
      </w:tr>
      <w:tr>
        <w:tc>
          <w:tcPr>
            <w:tcW w:type="dxa" w:w="3360"/>
            <w:vAlign w:val="center"/>
          </w:tcPr>
          <w:p>
            <w:pPr>
              <w:spacing w:after="20"/>
            </w:pPr>
            <w:r>
              <w:rPr>
                <w:rFonts w:ascii="Aptos" w:hAnsi="Aptos"/>
                <w:sz w:val="15"/>
              </w:rPr>
              <w:t>Meaningful-use rate</w:t>
            </w:r>
          </w:p>
        </w:tc>
        <w:tc>
          <w:tcPr>
            <w:tcW w:type="dxa" w:w="3360"/>
            <w:vAlign w:val="center"/>
          </w:tcPr>
          <w:p>
            <w:pPr>
              <w:spacing w:after="20"/>
            </w:pPr>
            <w:r>
              <w:rPr>
                <w:rFonts w:ascii="Aptos" w:hAnsi="Aptos"/>
                <w:sz w:val="15"/>
              </w:rPr>
              <w:t>Voluntary-use outcomes meeting pre-defined criterion / eligible followed-up cases.</w:t>
            </w:r>
          </w:p>
        </w:tc>
        <w:tc>
          <w:tcPr>
            <w:tcW w:type="dxa" w:w="3360"/>
            <w:vAlign w:val="center"/>
          </w:tcPr>
          <w:p>
            <w:pPr>
              <w:spacing w:after="20"/>
            </w:pPr>
            <w:r>
              <w:rPr>
                <w:rFonts w:ascii="Aptos" w:hAnsi="Aptos"/>
                <w:sz w:val="15"/>
              </w:rPr>
              <w:t>Define window before analysis; no artificial transactions.</w:t>
            </w:r>
          </w:p>
        </w:tc>
      </w:tr>
      <w:tr>
        <w:tc>
          <w:tcPr>
            <w:tcW w:type="dxa" w:w="3360"/>
            <w:vAlign w:val="center"/>
          </w:tcPr>
          <w:p>
            <w:pPr>
              <w:spacing w:after="20"/>
            </w:pPr>
            <w:r>
              <w:rPr>
                <w:rFonts w:ascii="Aptos" w:hAnsi="Aptos"/>
                <w:sz w:val="15"/>
              </w:rPr>
              <w:t>Time to resolution</w:t>
            </w:r>
          </w:p>
        </w:tc>
        <w:tc>
          <w:tcPr>
            <w:tcW w:type="dxa" w:w="3360"/>
            <w:vAlign w:val="center"/>
          </w:tcPr>
          <w:p>
            <w:pPr>
              <w:spacing w:after="20"/>
            </w:pPr>
            <w:r>
              <w:rPr>
                <w:rFonts w:ascii="Aptos" w:hAnsi="Aptos"/>
                <w:sz w:val="15"/>
              </w:rPr>
              <w:t>Time from barrier confirmation to documented resolution.</w:t>
            </w:r>
          </w:p>
        </w:tc>
        <w:tc>
          <w:tcPr>
            <w:tcW w:type="dxa" w:w="3360"/>
            <w:vAlign w:val="center"/>
          </w:tcPr>
          <w:p>
            <w:pPr>
              <w:spacing w:after="20"/>
            </w:pPr>
            <w:r>
              <w:rPr>
                <w:rFonts w:ascii="Aptos" w:hAnsi="Aptos"/>
                <w:sz w:val="15"/>
              </w:rPr>
              <w:t>Keep unresolved cases in analysis.</w:t>
            </w:r>
          </w:p>
        </w:tc>
      </w:tr>
      <w:tr>
        <w:tc>
          <w:tcPr>
            <w:tcW w:type="dxa" w:w="3360"/>
            <w:vAlign w:val="center"/>
          </w:tcPr>
          <w:p>
            <w:pPr>
              <w:spacing w:after="20"/>
            </w:pPr>
            <w:r>
              <w:rPr>
                <w:rFonts w:ascii="Aptos" w:hAnsi="Aptos"/>
                <w:sz w:val="15"/>
              </w:rPr>
              <w:t>Opt-out / complaint rate</w:t>
            </w:r>
          </w:p>
        </w:tc>
        <w:tc>
          <w:tcPr>
            <w:tcW w:type="dxa" w:w="3360"/>
            <w:vAlign w:val="center"/>
          </w:tcPr>
          <w:p>
            <w:pPr>
              <w:spacing w:after="20"/>
            </w:pPr>
            <w:r>
              <w:rPr>
                <w:rFonts w:ascii="Aptos" w:hAnsi="Aptos"/>
                <w:sz w:val="15"/>
              </w:rPr>
              <w:t>Opt-outs or complaints / contacted customers.</w:t>
            </w:r>
          </w:p>
        </w:tc>
        <w:tc>
          <w:tcPr>
            <w:tcW w:type="dxa" w:w="3360"/>
            <w:vAlign w:val="center"/>
          </w:tcPr>
          <w:p>
            <w:pPr>
              <w:spacing w:after="20"/>
            </w:pPr>
            <w:r>
              <w:rPr>
                <w:rFonts w:ascii="Aptos" w:hAnsi="Aptos"/>
                <w:sz w:val="15"/>
              </w:rPr>
              <w:t>A safety and trust metric.</w:t>
            </w:r>
          </w:p>
        </w:tc>
      </w:tr>
      <w:tr>
        <w:tc>
          <w:tcPr>
            <w:tcW w:type="dxa" w:w="3360"/>
            <w:vAlign w:val="center"/>
          </w:tcPr>
          <w:p>
            <w:pPr>
              <w:spacing w:after="20"/>
            </w:pPr>
            <w:r>
              <w:rPr>
                <w:rFonts w:ascii="Aptos" w:hAnsi="Aptos"/>
                <w:sz w:val="15"/>
              </w:rPr>
              <w:t>Wrong-route rate</w:t>
            </w:r>
          </w:p>
        </w:tc>
        <w:tc>
          <w:tcPr>
            <w:tcW w:type="dxa" w:w="3360"/>
            <w:vAlign w:val="center"/>
          </w:tcPr>
          <w:p>
            <w:pPr>
              <w:spacing w:after="20"/>
            </w:pPr>
            <w:r>
              <w:rPr>
                <w:rFonts w:ascii="Aptos" w:hAnsi="Aptos"/>
                <w:sz w:val="15"/>
              </w:rPr>
              <w:t>Unavailable, unauthorised or irrelevant referrals / referrals.</w:t>
            </w:r>
          </w:p>
        </w:tc>
        <w:tc>
          <w:tcPr>
            <w:tcW w:type="dxa" w:w="3360"/>
            <w:vAlign w:val="center"/>
          </w:tcPr>
          <w:p>
            <w:pPr>
              <w:spacing w:after="20"/>
            </w:pPr>
            <w:r>
              <w:rPr>
                <w:rFonts w:ascii="Aptos" w:hAnsi="Aptos"/>
                <w:sz w:val="15"/>
              </w:rPr>
              <w:t>Direct routing-quality measure.</w:t>
            </w:r>
          </w:p>
        </w:tc>
      </w:tr>
      <w:tr>
        <w:tc>
          <w:tcPr>
            <w:tcW w:type="dxa" w:w="3360"/>
            <w:vAlign w:val="center"/>
          </w:tcPr>
          <w:p>
            <w:pPr>
              <w:spacing w:after="20"/>
            </w:pPr>
            <w:r>
              <w:rPr>
                <w:rFonts w:ascii="Aptos" w:hAnsi="Aptos"/>
                <w:sz w:val="15"/>
              </w:rPr>
              <w:t>Equity / accessibility</w:t>
            </w:r>
          </w:p>
        </w:tc>
        <w:tc>
          <w:tcPr>
            <w:tcW w:type="dxa" w:w="3360"/>
            <w:vAlign w:val="center"/>
          </w:tcPr>
          <w:p>
            <w:pPr>
              <w:spacing w:after="20"/>
            </w:pPr>
            <w:r>
              <w:rPr>
                <w:rFonts w:ascii="Aptos" w:hAnsi="Aptos"/>
                <w:sz w:val="15"/>
              </w:rPr>
              <w:t>Outcomes by lawful, minimised, protected broad segments.</w:t>
            </w:r>
          </w:p>
        </w:tc>
        <w:tc>
          <w:tcPr>
            <w:tcW w:type="dxa" w:w="3360"/>
            <w:vAlign w:val="center"/>
          </w:tcPr>
          <w:p>
            <w:pPr>
              <w:spacing w:after="20"/>
            </w:pPr>
            <w:r>
              <w:rPr>
                <w:rFonts w:ascii="Aptos" w:hAnsi="Aptos"/>
                <w:sz w:val="15"/>
              </w:rPr>
              <w:t>Suppress small cells; avoid sensitive profiling.</w:t>
            </w:r>
          </w:p>
        </w:tc>
      </w:tr>
    </w:tbl>
    <w:p/>
    <w:p>
      <w:pPr>
        <w:pStyle w:val="Heading2"/>
      </w:pPr>
      <w:r>
        <w:t>Pilot sequence</w:t>
      </w:r>
    </w:p>
    <w:p>
      <w:pPr>
        <w:pStyle w:val="ListNumber"/>
        <w:spacing w:after="40"/>
      </w:pPr>
      <w:r>
        <w:t>Conduct 10–15 exploratory interviews with consent across customers, community workers and authorised bank / BC staff. Qualitative discovery is not representative research.</w:t>
      </w:r>
    </w:p>
    <w:p>
      <w:pPr>
        <w:pStyle w:val="ListNumber"/>
        <w:spacing w:after="40"/>
      </w:pPr>
      <w:r>
        <w:t>Map the official activation process and document each step, failed handoff and responsible party.</w:t>
      </w:r>
    </w:p>
    <w:p>
      <w:pPr>
        <w:pStyle w:val="ListNumber"/>
        <w:spacing w:after="40"/>
      </w:pPr>
      <w:r>
        <w:t>Run a small institution-approved pilot only after permissions, data protection, worker authorisation and directory verification.</w:t>
      </w:r>
    </w:p>
    <w:p>
      <w:pPr>
        <w:pStyle w:val="ListNumber"/>
        <w:spacing w:after="40"/>
      </w:pPr>
      <w:r>
        <w:t>Where ethical and appropriate, compare barrier-matched support with existing standard outreach; predefine eligibility, outcome window and missing-data treatment.</w:t>
      </w:r>
    </w:p>
    <w:p>
      <w:pPr>
        <w:pStyle w:val="ListNumber"/>
        <w:spacing w:after="40"/>
      </w:pPr>
      <w:r>
        <w:t>Report negative outcomes, opt-outs, unknown reasons and failures, not only successful cases.</w:t>
      </w:r>
    </w:p>
    <w:p>
      <w:pPr>
        <w:pStyle w:val="ListNumber"/>
        <w:spacing w:after="40"/>
      </w:pPr>
      <w:r>
        <w:t>If no partner is available, run a simulated usability test with fictional cases and say it tests workflow usability, not real reactivation impact.</w:t>
      </w:r>
    </w:p>
    <w:p>
      <w:pPr>
        <w:pStyle w:val="Heading1"/>
      </w:pPr>
      <w:r>
        <w:t>12. Privacy, security and consumer protection</w:t>
      </w:r>
    </w:p>
    <w:p>
      <w:pPr>
        <w:pStyle w:val="ListBullet"/>
        <w:spacing w:after="40"/>
      </w:pPr>
      <w:r>
        <w:t>Data minimisation: store only fields required for the workflow; prefer pseudonymous tokens.</w:t>
      </w:r>
    </w:p>
    <w:p>
      <w:pPr>
        <w:pStyle w:val="ListBullet"/>
        <w:spacing w:after="40"/>
      </w:pPr>
      <w:r>
        <w:t>Purpose limitation: document the authorised purpose and applicable legal basis / notices / consent.</w:t>
      </w:r>
    </w:p>
    <w:p>
      <w:pPr>
        <w:pStyle w:val="ListBullet"/>
        <w:spacing w:after="40"/>
      </w:pPr>
      <w:r>
        <w:t>Role-based access, least privilege, audit logs, retention schedule and correction / deletion process.</w:t>
      </w:r>
    </w:p>
    <w:p>
      <w:pPr>
        <w:pStyle w:val="ListBullet"/>
        <w:spacing w:after="40"/>
      </w:pPr>
      <w:r>
        <w:t>Never ask for or store OTP, UPI PIN, ATM PIN, passwords, full card details or internet-banking credentials.</w:t>
      </w:r>
    </w:p>
    <w:p>
      <w:pPr>
        <w:pStyle w:val="ListBullet"/>
        <w:spacing w:after="40"/>
      </w:pPr>
      <w:r>
        <w:t>No unapproved KYC collection; the MVP is not a KYC provider.</w:t>
      </w:r>
    </w:p>
    <w:p>
      <w:pPr>
        <w:pStyle w:val="ListBullet"/>
        <w:spacing w:after="40"/>
      </w:pPr>
      <w:r>
        <w:t>Verified communication; never impersonate a bank, RBI, government body or BC.</w:t>
      </w:r>
    </w:p>
    <w:p>
      <w:pPr>
        <w:pStyle w:val="ListBullet"/>
        <w:spacing w:after="40"/>
      </w:pPr>
      <w:r>
        <w:t>No coercion: no artificial transactions, insurance / credit upsell, forced balance maintenance or unnecessary product opening.</w:t>
      </w:r>
    </w:p>
    <w:p>
      <w:pPr>
        <w:pStyle w:val="ListBullet"/>
        <w:spacing w:after="40"/>
      </w:pPr>
      <w:r>
        <w:t>Support decline, pause, no action, complaint escalation and preferred channel.</w:t>
      </w:r>
    </w:p>
    <w:p>
      <w:pPr>
        <w:pStyle w:val="ListBullet"/>
        <w:spacing w:after="40"/>
      </w:pPr>
      <w:r>
        <w:t>Do not infer poverty, disability, literacy, fraud, intent or family circumstances from inactivity alone.</w:t>
      </w:r>
    </w:p>
    <w:p>
      <w:pPr>
        <w:pStyle w:val="ListBullet"/>
        <w:spacing w:after="40"/>
      </w:pPr>
      <w:r>
        <w:t>Individual banking data requires institutional authorisation and applicable legal / regulatory review.</w:t>
      </w:r>
    </w:p>
    <w:p>
      <w:r>
        <w:rPr>
          <w:i/>
          <w:color w:val="5A5A5A"/>
          <w:sz w:val="16"/>
        </w:rPr>
        <w:t>Refresh privacy and legal review against laws and RBI directions in force at actual deployment time.</w:t>
      </w:r>
    </w:p>
    <w:p>
      <w:pPr>
        <w:pStyle w:val="Heading1"/>
      </w:pPr>
      <w:r>
        <w:t>13. Risks, assumptions and mitigations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CFE2F3"/>
          </w:tcPr>
          <w:p>
            <w:r>
              <w:rPr>
                <w:b/>
                <w:sz w:val="16"/>
              </w:rPr>
              <w:t>Risk / assumption</w:t>
            </w:r>
          </w:p>
        </w:tc>
        <w:tc>
          <w:tcPr>
            <w:tcW w:type="dxa" w:w="3360"/>
            <w:shd w:fill="CFE2F3"/>
          </w:tcPr>
          <w:p>
            <w:r>
              <w:rPr>
                <w:b/>
                <w:sz w:val="16"/>
              </w:rPr>
              <w:t>Why it matters</w:t>
            </w:r>
          </w:p>
        </w:tc>
        <w:tc>
          <w:tcPr>
            <w:tcW w:type="dxa" w:w="3360"/>
            <w:shd w:fill="CFE2F3"/>
          </w:tcPr>
          <w:p>
            <w:r>
              <w:rPr>
                <w:b/>
                <w:sz w:val="16"/>
              </w:rPr>
              <w:t>Mitigation</w:t>
            </w:r>
          </w:p>
        </w:tc>
      </w:tr>
      <w:tr>
        <w:tc>
          <w:tcPr>
            <w:tcW w:type="dxa" w:w="3360"/>
            <w:vAlign w:val="center"/>
          </w:tcPr>
          <w:p>
            <w:pPr>
              <w:spacing w:after="20"/>
            </w:pPr>
            <w:r>
              <w:rPr>
                <w:rFonts w:ascii="Aptos" w:hAnsi="Aptos"/>
                <w:sz w:val="15"/>
              </w:rPr>
              <w:t>No bank partner yet</w:t>
            </w:r>
          </w:p>
        </w:tc>
        <w:tc>
          <w:tcPr>
            <w:tcW w:type="dxa" w:w="3360"/>
            <w:vAlign w:val="center"/>
          </w:tcPr>
          <w:p>
            <w:pPr>
              <w:spacing w:after="20"/>
            </w:pPr>
            <w:r>
              <w:rPr>
                <w:rFonts w:ascii="Aptos" w:hAnsi="Aptos"/>
                <w:sz w:val="15"/>
              </w:rPr>
              <w:t>Real case identification / verification unavailable.</w:t>
            </w:r>
          </w:p>
        </w:tc>
        <w:tc>
          <w:tcPr>
            <w:tcW w:type="dxa" w:w="3360"/>
            <w:vAlign w:val="center"/>
          </w:tcPr>
          <w:p>
            <w:pPr>
              <w:spacing w:after="20"/>
            </w:pPr>
            <w:r>
              <w:rPr>
                <w:rFonts w:ascii="Aptos" w:hAnsi="Aptos"/>
                <w:sz w:val="15"/>
              </w:rPr>
              <w:t>Synthetic prototype; describe integration as dependency, not capability.</w:t>
            </w:r>
          </w:p>
        </w:tc>
      </w:tr>
      <w:tr>
        <w:tc>
          <w:tcPr>
            <w:tcW w:type="dxa" w:w="3360"/>
            <w:vAlign w:val="center"/>
          </w:tcPr>
          <w:p>
            <w:pPr>
              <w:spacing w:after="20"/>
            </w:pPr>
            <w:r>
              <w:rPr>
                <w:rFonts w:ascii="Aptos" w:hAnsi="Aptos"/>
                <w:sz w:val="15"/>
              </w:rPr>
              <w:t>Reason inferred from transaction data</w:t>
            </w:r>
          </w:p>
        </w:tc>
        <w:tc>
          <w:tcPr>
            <w:tcW w:type="dxa" w:w="3360"/>
            <w:vAlign w:val="center"/>
          </w:tcPr>
          <w:p>
            <w:pPr>
              <w:spacing w:after="20"/>
            </w:pPr>
            <w:r>
              <w:rPr>
                <w:rFonts w:ascii="Aptos" w:hAnsi="Aptos"/>
                <w:sz w:val="15"/>
              </w:rPr>
              <w:t>False labels can trigger intrusive interventions.</w:t>
            </w:r>
          </w:p>
        </w:tc>
        <w:tc>
          <w:tcPr>
            <w:tcW w:type="dxa" w:w="3360"/>
            <w:vAlign w:val="center"/>
          </w:tcPr>
          <w:p>
            <w:pPr>
              <w:spacing w:after="20"/>
            </w:pPr>
            <w:r>
              <w:rPr>
                <w:rFonts w:ascii="Aptos" w:hAnsi="Aptos"/>
                <w:sz w:val="15"/>
              </w:rPr>
              <w:t>Require customer-confirmed / authorised reason; allow unknown.</w:t>
            </w:r>
          </w:p>
        </w:tc>
      </w:tr>
      <w:tr>
        <w:tc>
          <w:tcPr>
            <w:tcW w:type="dxa" w:w="3360"/>
            <w:vAlign w:val="center"/>
          </w:tcPr>
          <w:p>
            <w:pPr>
              <w:spacing w:after="20"/>
            </w:pPr>
            <w:r>
              <w:rPr>
                <w:rFonts w:ascii="Aptos" w:hAnsi="Aptos"/>
                <w:sz w:val="15"/>
              </w:rPr>
              <w:t>Existing workflows may overlap</w:t>
            </w:r>
          </w:p>
        </w:tc>
        <w:tc>
          <w:tcPr>
            <w:tcW w:type="dxa" w:w="3360"/>
            <w:vAlign w:val="center"/>
          </w:tcPr>
          <w:p>
            <w:pPr>
              <w:spacing w:after="20"/>
            </w:pPr>
            <w:r>
              <w:rPr>
                <w:rFonts w:ascii="Aptos" w:hAnsi="Aptos"/>
                <w:sz w:val="15"/>
              </w:rPr>
              <w:t>Novelty can be overstated.</w:t>
            </w:r>
          </w:p>
        </w:tc>
        <w:tc>
          <w:tcPr>
            <w:tcW w:type="dxa" w:w="3360"/>
            <w:vAlign w:val="center"/>
          </w:tcPr>
          <w:p>
            <w:pPr>
              <w:spacing w:after="20"/>
            </w:pPr>
            <w:r>
              <w:rPr>
                <w:rFonts w:ascii="Aptos" w:hAnsi="Aptos"/>
                <w:sz w:val="15"/>
              </w:rPr>
              <w:t>Audit bank processes, BC workflows, UDGAM and CRM products.</w:t>
            </w:r>
          </w:p>
        </w:tc>
      </w:tr>
      <w:tr>
        <w:tc>
          <w:tcPr>
            <w:tcW w:type="dxa" w:w="3360"/>
            <w:vAlign w:val="center"/>
          </w:tcPr>
          <w:p>
            <w:pPr>
              <w:spacing w:after="20"/>
            </w:pPr>
            <w:r>
              <w:rPr>
                <w:rFonts w:ascii="Aptos" w:hAnsi="Aptos"/>
                <w:sz w:val="15"/>
              </w:rPr>
              <w:t>Account status ≠ customer need</w:t>
            </w:r>
          </w:p>
        </w:tc>
        <w:tc>
          <w:tcPr>
            <w:tcW w:type="dxa" w:w="3360"/>
            <w:vAlign w:val="center"/>
          </w:tcPr>
          <w:p>
            <w:pPr>
              <w:spacing w:after="20"/>
            </w:pPr>
            <w:r>
              <w:rPr>
                <w:rFonts w:ascii="Aptos" w:hAnsi="Aptos"/>
                <w:sz w:val="15"/>
              </w:rPr>
              <w:t>Inactive account may still be needed or customer may choose not to use it.</w:t>
            </w:r>
          </w:p>
        </w:tc>
        <w:tc>
          <w:tcPr>
            <w:tcW w:type="dxa" w:w="3360"/>
            <w:vAlign w:val="center"/>
          </w:tcPr>
          <w:p>
            <w:pPr>
              <w:spacing w:after="20"/>
            </w:pPr>
            <w:r>
              <w:rPr>
                <w:rFonts w:ascii="Aptos" w:hAnsi="Aptos"/>
                <w:sz w:val="15"/>
              </w:rPr>
              <w:t>Keep status, preference, resolution and use separate.</w:t>
            </w:r>
          </w:p>
        </w:tc>
      </w:tr>
      <w:tr>
        <w:tc>
          <w:tcPr>
            <w:tcW w:type="dxa" w:w="3360"/>
            <w:vAlign w:val="center"/>
          </w:tcPr>
          <w:p>
            <w:pPr>
              <w:spacing w:after="20"/>
            </w:pPr>
            <w:r>
              <w:rPr>
                <w:rFonts w:ascii="Aptos" w:hAnsi="Aptos"/>
                <w:sz w:val="15"/>
              </w:rPr>
              <w:t>Phishing risk</w:t>
            </w:r>
          </w:p>
        </w:tc>
        <w:tc>
          <w:tcPr>
            <w:tcW w:type="dxa" w:w="3360"/>
            <w:vAlign w:val="center"/>
          </w:tcPr>
          <w:p>
            <w:pPr>
              <w:spacing w:after="20"/>
            </w:pPr>
            <w:r>
              <w:rPr>
                <w:rFonts w:ascii="Aptos" w:hAnsi="Aptos"/>
                <w:sz w:val="15"/>
              </w:rPr>
              <w:t>Dormant-account messages can be exploited.</w:t>
            </w:r>
          </w:p>
        </w:tc>
        <w:tc>
          <w:tcPr>
            <w:tcW w:type="dxa" w:w="3360"/>
            <w:vAlign w:val="center"/>
          </w:tcPr>
          <w:p>
            <w:pPr>
              <w:spacing w:after="20"/>
            </w:pPr>
            <w:r>
              <w:rPr>
                <w:rFonts w:ascii="Aptos" w:hAnsi="Aptos"/>
                <w:sz w:val="15"/>
              </w:rPr>
              <w:t>Verified channel, no secrets, official links and anti-fraud warnings.</w:t>
            </w:r>
          </w:p>
        </w:tc>
      </w:tr>
      <w:tr>
        <w:tc>
          <w:tcPr>
            <w:tcW w:type="dxa" w:w="3360"/>
            <w:vAlign w:val="center"/>
          </w:tcPr>
          <w:p>
            <w:pPr>
              <w:spacing w:after="20"/>
            </w:pPr>
            <w:r>
              <w:rPr>
                <w:rFonts w:ascii="Aptos" w:hAnsi="Aptos"/>
                <w:sz w:val="15"/>
              </w:rPr>
              <w:t>Stale service directory</w:t>
            </w:r>
          </w:p>
        </w:tc>
        <w:tc>
          <w:tcPr>
            <w:tcW w:type="dxa" w:w="3360"/>
            <w:vAlign w:val="center"/>
          </w:tcPr>
          <w:p>
            <w:pPr>
              <w:spacing w:after="20"/>
            </w:pPr>
            <w:r>
              <w:rPr>
                <w:rFonts w:ascii="Aptos" w:hAnsi="Aptos"/>
                <w:sz w:val="15"/>
              </w:rPr>
              <w:t>Wrong routes damage trust.</w:t>
            </w:r>
          </w:p>
        </w:tc>
        <w:tc>
          <w:tcPr>
            <w:tcW w:type="dxa" w:w="3360"/>
            <w:vAlign w:val="center"/>
          </w:tcPr>
          <w:p>
            <w:pPr>
              <w:spacing w:after="20"/>
            </w:pPr>
            <w:r>
              <w:rPr>
                <w:rFonts w:ascii="Aptos" w:hAnsi="Aptos"/>
                <w:sz w:val="15"/>
              </w:rPr>
              <w:t>Store source and last-verified timestamp; hide stale records.</w:t>
            </w:r>
          </w:p>
        </w:tc>
      </w:tr>
      <w:tr>
        <w:tc>
          <w:tcPr>
            <w:tcW w:type="dxa" w:w="3360"/>
            <w:vAlign w:val="center"/>
          </w:tcPr>
          <w:p>
            <w:pPr>
              <w:spacing w:after="20"/>
            </w:pPr>
            <w:r>
              <w:rPr>
                <w:rFonts w:ascii="Aptos" w:hAnsi="Aptos"/>
                <w:sz w:val="15"/>
              </w:rPr>
              <w:t>Synthetic metrics misread as impact</w:t>
            </w:r>
          </w:p>
        </w:tc>
        <w:tc>
          <w:tcPr>
            <w:tcW w:type="dxa" w:w="3360"/>
            <w:vAlign w:val="center"/>
          </w:tcPr>
          <w:p>
            <w:pPr>
              <w:spacing w:after="20"/>
            </w:pPr>
            <w:r>
              <w:rPr>
                <w:rFonts w:ascii="Aptos" w:hAnsi="Aptos"/>
                <w:sz w:val="15"/>
              </w:rPr>
              <w:t>Can mislead evaluators.</w:t>
            </w:r>
          </w:p>
        </w:tc>
        <w:tc>
          <w:tcPr>
            <w:tcW w:type="dxa" w:w="3360"/>
            <w:vAlign w:val="center"/>
          </w:tcPr>
          <w:p>
            <w:pPr>
              <w:spacing w:after="20"/>
            </w:pPr>
            <w:r>
              <w:rPr>
                <w:rFonts w:ascii="Aptos" w:hAnsi="Aptos"/>
                <w:sz w:val="15"/>
              </w:rPr>
              <w:t>Persistent synthetic labels and explicit limitations.</w:t>
            </w:r>
          </w:p>
        </w:tc>
      </w:tr>
      <w:tr>
        <w:tc>
          <w:tcPr>
            <w:tcW w:type="dxa" w:w="3360"/>
            <w:vAlign w:val="center"/>
          </w:tcPr>
          <w:p>
            <w:pPr>
              <w:spacing w:after="20"/>
            </w:pPr>
            <w:r>
              <w:rPr>
                <w:rFonts w:ascii="Aptos" w:hAnsi="Aptos"/>
                <w:sz w:val="15"/>
              </w:rPr>
              <w:t>Over-contacting</w:t>
            </w:r>
          </w:p>
        </w:tc>
        <w:tc>
          <w:tcPr>
            <w:tcW w:type="dxa" w:w="3360"/>
            <w:vAlign w:val="center"/>
          </w:tcPr>
          <w:p>
            <w:pPr>
              <w:spacing w:after="20"/>
            </w:pPr>
            <w:r>
              <w:rPr>
                <w:rFonts w:ascii="Aptos" w:hAnsi="Aptos"/>
                <w:sz w:val="15"/>
              </w:rPr>
              <w:t>Can damage trust.</w:t>
            </w:r>
          </w:p>
        </w:tc>
        <w:tc>
          <w:tcPr>
            <w:tcW w:type="dxa" w:w="3360"/>
            <w:vAlign w:val="center"/>
          </w:tcPr>
          <w:p>
            <w:pPr>
              <w:spacing w:after="20"/>
            </w:pPr>
            <w:r>
              <w:rPr>
                <w:rFonts w:ascii="Aptos" w:hAnsi="Aptos"/>
                <w:sz w:val="15"/>
              </w:rPr>
              <w:t>Contact caps, opt-out enforcement and no-contact state.</w:t>
            </w:r>
          </w:p>
        </w:tc>
      </w:tr>
    </w:tbl>
    <w:p/>
    <w:p>
      <w:pPr>
        <w:pStyle w:val="Heading1"/>
      </w:pPr>
      <w:r>
        <w:t>14. Novelty audit checklist</w:t>
      </w:r>
    </w:p>
    <w:p>
      <w:r>
        <w:t>Do not call BankMitra 'first-of-its-kind', 'India’s first' or 'AI-powered predictive reactivation' unless a rigorous search supports that exact claim.</w:t>
      </w:r>
    </w:p>
    <w:p>
      <w:pPr>
        <w:pStyle w:val="ListBullet"/>
        <w:spacing w:after="40"/>
      </w:pPr>
      <w:r>
        <w:t>Search bank annual reports / official sites for dormant-account analytics, activation drives, customer tracing, BC workflows and KYC facilities.</w:t>
      </w:r>
    </w:p>
    <w:p>
      <w:pPr>
        <w:pStyle w:val="ListBullet"/>
        <w:spacing w:after="40"/>
      </w:pPr>
      <w:r>
        <w:t>Compare RBI UDGAM, existing bank activation processes and public financial-inclusion programmes.</w:t>
      </w:r>
    </w:p>
    <w:p>
      <w:pPr>
        <w:pStyle w:val="ListBullet"/>
        <w:spacing w:after="40"/>
      </w:pPr>
      <w:r>
        <w:t>Search academic literature on dormant-account behaviour, access barriers, behavioural interventions and reactivation experiments.</w:t>
      </w:r>
    </w:p>
    <w:p>
      <w:pPr>
        <w:pStyle w:val="ListBullet"/>
        <w:spacing w:after="40"/>
      </w:pPr>
      <w:r>
        <w:t>Search commercial banking CRM / engagement products for routing, case management and outcome analytics.</w:t>
      </w:r>
    </w:p>
    <w:p>
      <w:pPr>
        <w:pStyle w:val="ListBullet"/>
        <w:spacing w:after="40"/>
      </w:pPr>
      <w:r>
        <w:t>Record provider, target user, overlapping features, evidence source, date checked and remaining gap.</w:t>
      </w:r>
    </w:p>
    <w:p>
      <w:pPr>
        <w:pStyle w:val="ListBullet"/>
        <w:spacing w:after="40"/>
      </w:pPr>
      <w:r>
        <w:t>Use a testable differentiation statement: 'BankMitra proposes to connect customer-confirmed barrier capture, approved intervention routing and sustained-use outcome measurement in one auditable workflow.'</w:t>
      </w:r>
    </w:p>
    <w:p>
      <w:pPr>
        <w:pStyle w:val="ListBullet"/>
        <w:spacing w:after="40"/>
      </w:pPr>
      <w:r>
        <w:t>Claim novelty only after reviewing the comparison table.</w:t>
      </w:r>
    </w:p>
    <w:p>
      <w:pPr>
        <w:pStyle w:val="Heading1"/>
      </w:pPr>
      <w:r>
        <w:t>15. Six-page challenge proposal structure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CFE2F3"/>
          </w:tcPr>
          <w:p>
            <w:r>
              <w:rPr>
                <w:b/>
                <w:sz w:val="16"/>
              </w:rPr>
              <w:t>Page</w:t>
            </w:r>
          </w:p>
        </w:tc>
        <w:tc>
          <w:tcPr>
            <w:tcW w:type="dxa" w:w="3360"/>
            <w:shd w:fill="CFE2F3"/>
          </w:tcPr>
          <w:p>
            <w:r>
              <w:rPr>
                <w:b/>
                <w:sz w:val="16"/>
              </w:rPr>
              <w:t>Recommended content</w:t>
            </w:r>
          </w:p>
        </w:tc>
        <w:tc>
          <w:tcPr>
            <w:tcW w:type="dxa" w:w="3360"/>
            <w:shd w:fill="CFE2F3"/>
          </w:tcPr>
          <w:p>
            <w:r>
              <w:rPr>
                <w:b/>
                <w:sz w:val="16"/>
              </w:rPr>
              <w:t>Evaluator takeaway</w:t>
            </w:r>
          </w:p>
        </w:tc>
      </w:tr>
      <w:tr>
        <w:tc>
          <w:tcPr>
            <w:tcW w:type="dxa" w:w="3360"/>
            <w:vAlign w:val="center"/>
          </w:tcPr>
          <w:p>
            <w:pPr>
              <w:spacing w:after="20"/>
            </w:pPr>
            <w:r>
              <w:rPr>
                <w:rFonts w:ascii="Aptos" w:hAnsi="Aptos"/>
                <w:sz w:val="15"/>
              </w:rPr>
              <w:t>1</w:t>
            </w:r>
          </w:p>
        </w:tc>
        <w:tc>
          <w:tcPr>
            <w:tcW w:type="dxa" w:w="3360"/>
            <w:vAlign w:val="center"/>
          </w:tcPr>
          <w:p>
            <w:pPr>
              <w:spacing w:after="20"/>
            </w:pPr>
            <w:r>
              <w:rPr>
                <w:rFonts w:ascii="Aptos" w:hAnsi="Aptos"/>
                <w:sz w:val="15"/>
              </w:rPr>
              <w:t>Problem, target segment and why account-opening success does not guarantee useful access.</w:t>
            </w:r>
          </w:p>
        </w:tc>
        <w:tc>
          <w:tcPr>
            <w:tcW w:type="dxa" w:w="3360"/>
            <w:vAlign w:val="center"/>
          </w:tcPr>
          <w:p>
            <w:pPr>
              <w:spacing w:after="20"/>
            </w:pPr>
            <w:r>
              <w:rPr>
                <w:rFonts w:ascii="Aptos" w:hAnsi="Aptos"/>
                <w:sz w:val="15"/>
              </w:rPr>
              <w:t>Specific customer problem, not just a slogan.</w:t>
            </w:r>
          </w:p>
        </w:tc>
      </w:tr>
      <w:tr>
        <w:tc>
          <w:tcPr>
            <w:tcW w:type="dxa" w:w="3360"/>
            <w:vAlign w:val="center"/>
          </w:tcPr>
          <w:p>
            <w:pPr>
              <w:spacing w:after="20"/>
            </w:pPr>
            <w:r>
              <w:rPr>
                <w:rFonts w:ascii="Aptos" w:hAnsi="Aptos"/>
                <w:sz w:val="15"/>
              </w:rPr>
              <w:t>2</w:t>
            </w:r>
          </w:p>
        </w:tc>
        <w:tc>
          <w:tcPr>
            <w:tcW w:type="dxa" w:w="3360"/>
            <w:vAlign w:val="center"/>
          </w:tcPr>
          <w:p>
            <w:pPr>
              <w:spacing w:after="20"/>
            </w:pPr>
            <w:r>
              <w:rPr>
                <w:rFonts w:ascii="Aptos" w:hAnsi="Aptos"/>
                <w:sz w:val="15"/>
              </w:rPr>
              <w:t>Evidence, ecosystem, RBI context, existing mechanisms and unknowns.</w:t>
            </w:r>
          </w:p>
        </w:tc>
        <w:tc>
          <w:tcPr>
            <w:tcW w:type="dxa" w:w="3360"/>
            <w:vAlign w:val="center"/>
          </w:tcPr>
          <w:p>
            <w:pPr>
              <w:spacing w:after="20"/>
            </w:pPr>
            <w:r>
              <w:rPr>
                <w:rFonts w:ascii="Aptos" w:hAnsi="Aptos"/>
                <w:sz w:val="15"/>
              </w:rPr>
              <w:t>Sourced claims and awareness of current systems.</w:t>
            </w:r>
          </w:p>
        </w:tc>
      </w:tr>
      <w:tr>
        <w:tc>
          <w:tcPr>
            <w:tcW w:type="dxa" w:w="3360"/>
            <w:vAlign w:val="center"/>
          </w:tcPr>
          <w:p>
            <w:pPr>
              <w:spacing w:after="20"/>
            </w:pPr>
            <w:r>
              <w:rPr>
                <w:rFonts w:ascii="Aptos" w:hAnsi="Aptos"/>
                <w:sz w:val="15"/>
              </w:rPr>
              <w:t>3</w:t>
            </w:r>
          </w:p>
        </w:tc>
        <w:tc>
          <w:tcPr>
            <w:tcW w:type="dxa" w:w="3360"/>
            <w:vAlign w:val="center"/>
          </w:tcPr>
          <w:p>
            <w:pPr>
              <w:spacing w:after="20"/>
            </w:pPr>
            <w:r>
              <w:rPr>
                <w:rFonts w:ascii="Aptos" w:hAnsi="Aptos"/>
                <w:sz w:val="15"/>
              </w:rPr>
              <w:t>Workflow and barrier-to-intervention map.</w:t>
            </w:r>
          </w:p>
        </w:tc>
        <w:tc>
          <w:tcPr>
            <w:tcW w:type="dxa" w:w="3360"/>
            <w:vAlign w:val="center"/>
          </w:tcPr>
          <w:p>
            <w:pPr>
              <w:spacing w:after="20"/>
            </w:pPr>
            <w:r>
              <w:rPr>
                <w:rFonts w:ascii="Aptos" w:hAnsi="Aptos"/>
                <w:sz w:val="15"/>
              </w:rPr>
              <w:t>Solution changes how the problem is handled.</w:t>
            </w:r>
          </w:p>
        </w:tc>
      </w:tr>
      <w:tr>
        <w:tc>
          <w:tcPr>
            <w:tcW w:type="dxa" w:w="3360"/>
            <w:vAlign w:val="center"/>
          </w:tcPr>
          <w:p>
            <w:pPr>
              <w:spacing w:after="20"/>
            </w:pPr>
            <w:r>
              <w:rPr>
                <w:rFonts w:ascii="Aptos" w:hAnsi="Aptos"/>
                <w:sz w:val="15"/>
              </w:rPr>
              <w:t>4</w:t>
            </w:r>
          </w:p>
        </w:tc>
        <w:tc>
          <w:tcPr>
            <w:tcW w:type="dxa" w:w="3360"/>
            <w:vAlign w:val="center"/>
          </w:tcPr>
          <w:p>
            <w:pPr>
              <w:spacing w:after="20"/>
            </w:pPr>
            <w:r>
              <w:rPr>
                <w:rFonts w:ascii="Aptos" w:hAnsi="Aptos"/>
                <w:sz w:val="15"/>
              </w:rPr>
              <w:t>Architecture, data model, rules, synthetic demo and dependencies.</w:t>
            </w:r>
          </w:p>
        </w:tc>
        <w:tc>
          <w:tcPr>
            <w:tcW w:type="dxa" w:w="3360"/>
            <w:vAlign w:val="center"/>
          </w:tcPr>
          <w:p>
            <w:pPr>
              <w:spacing w:after="20"/>
            </w:pPr>
            <w:r>
              <w:rPr>
                <w:rFonts w:ascii="Aptos" w:hAnsi="Aptos"/>
                <w:sz w:val="15"/>
              </w:rPr>
              <w:t>Buildable MVP with honest access boundaries.</w:t>
            </w:r>
          </w:p>
        </w:tc>
      </w:tr>
      <w:tr>
        <w:tc>
          <w:tcPr>
            <w:tcW w:type="dxa" w:w="3360"/>
            <w:vAlign w:val="center"/>
          </w:tcPr>
          <w:p>
            <w:pPr>
              <w:spacing w:after="20"/>
            </w:pPr>
            <w:r>
              <w:rPr>
                <w:rFonts w:ascii="Aptos" w:hAnsi="Aptos"/>
                <w:sz w:val="15"/>
              </w:rPr>
              <w:t>5</w:t>
            </w:r>
          </w:p>
        </w:tc>
        <w:tc>
          <w:tcPr>
            <w:tcW w:type="dxa" w:w="3360"/>
            <w:vAlign w:val="center"/>
          </w:tcPr>
          <w:p>
            <w:pPr>
              <w:spacing w:after="20"/>
            </w:pPr>
            <w:r>
              <w:rPr>
                <w:rFonts w:ascii="Aptos" w:hAnsi="Aptos"/>
                <w:sz w:val="15"/>
              </w:rPr>
              <w:t>Pilot, metrics, safeguards, feasibility and implementation plan.</w:t>
            </w:r>
          </w:p>
        </w:tc>
        <w:tc>
          <w:tcPr>
            <w:tcW w:type="dxa" w:w="3360"/>
            <w:vAlign w:val="center"/>
          </w:tcPr>
          <w:p>
            <w:pPr>
              <w:spacing w:after="20"/>
            </w:pPr>
            <w:r>
              <w:rPr>
                <w:rFonts w:ascii="Aptos" w:hAnsi="Aptos"/>
                <w:sz w:val="15"/>
              </w:rPr>
              <w:t>Measurable impact and customer agency.</w:t>
            </w:r>
          </w:p>
        </w:tc>
      </w:tr>
      <w:tr>
        <w:tc>
          <w:tcPr>
            <w:tcW w:type="dxa" w:w="3360"/>
            <w:vAlign w:val="center"/>
          </w:tcPr>
          <w:p>
            <w:pPr>
              <w:spacing w:after="20"/>
            </w:pPr>
            <w:r>
              <w:rPr>
                <w:rFonts w:ascii="Aptos" w:hAnsi="Aptos"/>
                <w:sz w:val="15"/>
              </w:rPr>
              <w:t>6</w:t>
            </w:r>
          </w:p>
        </w:tc>
        <w:tc>
          <w:tcPr>
            <w:tcW w:type="dxa" w:w="3360"/>
            <w:vAlign w:val="center"/>
          </w:tcPr>
          <w:p>
            <w:pPr>
              <w:spacing w:after="20"/>
            </w:pPr>
            <w:r>
              <w:rPr>
                <w:rFonts w:ascii="Aptos" w:hAnsi="Aptos"/>
                <w:sz w:val="15"/>
              </w:rPr>
              <w:t>Expected impact, scale path, risks, limitations and references.</w:t>
            </w:r>
          </w:p>
        </w:tc>
        <w:tc>
          <w:tcPr>
            <w:tcW w:type="dxa" w:w="3360"/>
            <w:vAlign w:val="center"/>
          </w:tcPr>
          <w:p>
            <w:pPr>
              <w:spacing w:after="20"/>
            </w:pPr>
            <w:r>
              <w:rPr>
                <w:rFonts w:ascii="Aptos" w:hAnsi="Aptos"/>
                <w:sz w:val="15"/>
              </w:rPr>
              <w:t>Ambitious but evidence-aware.</w:t>
            </w:r>
          </w:p>
        </w:tc>
      </w:tr>
    </w:tbl>
    <w:p/>
    <w:p>
      <w:r>
        <w:rPr>
          <w:i/>
          <w:color w:val="5A5A5A"/>
          <w:sz w:val="16"/>
        </w:rPr>
        <w:t>Verify the latest official challenge brief for page, font and submission requirements before export. This is the research reference, not the final six-page submission.</w:t>
      </w:r>
    </w:p>
    <w:p>
      <w:pPr>
        <w:pStyle w:val="Heading1"/>
      </w:pPr>
      <w:r>
        <w:t>16. Suggested MVP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CFE2F3"/>
          </w:tcPr>
          <w:p>
            <w:r>
              <w:rPr>
                <w:b/>
                <w:sz w:val="16"/>
              </w:rPr>
              <w:t>Layer</w:t>
            </w:r>
          </w:p>
        </w:tc>
        <w:tc>
          <w:tcPr>
            <w:tcW w:type="dxa" w:w="3360"/>
            <w:shd w:fill="CFE2F3"/>
          </w:tcPr>
          <w:p>
            <w:r>
              <w:rPr>
                <w:b/>
                <w:sz w:val="16"/>
              </w:rPr>
              <w:t>Implementation</w:t>
            </w:r>
          </w:p>
        </w:tc>
        <w:tc>
          <w:tcPr>
            <w:tcW w:type="dxa" w:w="3360"/>
            <w:shd w:fill="CFE2F3"/>
          </w:tcPr>
          <w:p>
            <w:r>
              <w:rPr>
                <w:b/>
                <w:sz w:val="16"/>
              </w:rPr>
              <w:t>Boundary</w:t>
            </w:r>
          </w:p>
        </w:tc>
      </w:tr>
      <w:tr>
        <w:tc>
          <w:tcPr>
            <w:tcW w:type="dxa" w:w="3360"/>
            <w:vAlign w:val="center"/>
          </w:tcPr>
          <w:p>
            <w:pPr>
              <w:spacing w:after="20"/>
            </w:pPr>
            <w:r>
              <w:rPr>
                <w:rFonts w:ascii="Aptos" w:hAnsi="Aptos"/>
                <w:sz w:val="15"/>
              </w:rPr>
              <w:t>Frontend</w:t>
            </w:r>
          </w:p>
        </w:tc>
        <w:tc>
          <w:tcPr>
            <w:tcW w:type="dxa" w:w="3360"/>
            <w:vAlign w:val="center"/>
          </w:tcPr>
          <w:p>
            <w:pPr>
              <w:spacing w:after="20"/>
            </w:pPr>
            <w:r>
              <w:rPr>
                <w:rFonts w:ascii="Aptos" w:hAnsi="Aptos"/>
                <w:sz w:val="15"/>
              </w:rPr>
              <w:t>React + Vite + TypeScript + Tailwind CSS.</w:t>
            </w:r>
          </w:p>
        </w:tc>
        <w:tc>
          <w:tcPr>
            <w:tcW w:type="dxa" w:w="3360"/>
            <w:vAlign w:val="center"/>
          </w:tcPr>
          <w:p>
            <w:pPr>
              <w:spacing w:after="20"/>
            </w:pPr>
            <w:r>
              <w:rPr>
                <w:rFonts w:ascii="Aptos" w:hAnsi="Aptos"/>
                <w:sz w:val="15"/>
              </w:rPr>
              <w:t>Realistic states; no fake real-time bank integration.</w:t>
            </w:r>
          </w:p>
        </w:tc>
      </w:tr>
      <w:tr>
        <w:tc>
          <w:tcPr>
            <w:tcW w:type="dxa" w:w="3360"/>
            <w:vAlign w:val="center"/>
          </w:tcPr>
          <w:p>
            <w:pPr>
              <w:spacing w:after="20"/>
            </w:pPr>
            <w:r>
              <w:rPr>
                <w:rFonts w:ascii="Aptos" w:hAnsi="Aptos"/>
                <w:sz w:val="15"/>
              </w:rPr>
              <w:t>API</w:t>
            </w:r>
          </w:p>
        </w:tc>
        <w:tc>
          <w:tcPr>
            <w:tcW w:type="dxa" w:w="3360"/>
            <w:vAlign w:val="center"/>
          </w:tcPr>
          <w:p>
            <w:pPr>
              <w:spacing w:after="20"/>
            </w:pPr>
            <w:r>
              <w:rPr>
                <w:rFonts w:ascii="Aptos" w:hAnsi="Aptos"/>
                <w:sz w:val="15"/>
              </w:rPr>
              <w:t>FastAPI + Pydantic.</w:t>
            </w:r>
          </w:p>
        </w:tc>
        <w:tc>
          <w:tcPr>
            <w:tcW w:type="dxa" w:w="3360"/>
            <w:vAlign w:val="center"/>
          </w:tcPr>
          <w:p>
            <w:pPr>
              <w:spacing w:after="20"/>
            </w:pPr>
            <w:r>
              <w:rPr>
                <w:rFonts w:ascii="Aptos" w:hAnsi="Aptos"/>
                <w:sz w:val="15"/>
              </w:rPr>
              <w:t>Synthetic data only; no public customer-data endpoint.</w:t>
            </w:r>
          </w:p>
        </w:tc>
      </w:tr>
      <w:tr>
        <w:tc>
          <w:tcPr>
            <w:tcW w:type="dxa" w:w="3360"/>
            <w:vAlign w:val="center"/>
          </w:tcPr>
          <w:p>
            <w:pPr>
              <w:spacing w:after="20"/>
            </w:pPr>
            <w:r>
              <w:rPr>
                <w:rFonts w:ascii="Aptos" w:hAnsi="Aptos"/>
                <w:sz w:val="15"/>
              </w:rPr>
              <w:t>Storage</w:t>
            </w:r>
          </w:p>
        </w:tc>
        <w:tc>
          <w:tcPr>
            <w:tcW w:type="dxa" w:w="3360"/>
            <w:vAlign w:val="center"/>
          </w:tcPr>
          <w:p>
            <w:pPr>
              <w:spacing w:after="20"/>
            </w:pPr>
            <w:r>
              <w:rPr>
                <w:rFonts w:ascii="Aptos" w:hAnsi="Aptos"/>
                <w:sz w:val="15"/>
              </w:rPr>
              <w:t>SQLite local demo; CSV synthetic imports.</w:t>
            </w:r>
          </w:p>
        </w:tc>
        <w:tc>
          <w:tcPr>
            <w:tcW w:type="dxa" w:w="3360"/>
            <w:vAlign w:val="center"/>
          </w:tcPr>
          <w:p>
            <w:pPr>
              <w:spacing w:after="20"/>
            </w:pPr>
            <w:r>
              <w:rPr>
                <w:rFonts w:ascii="Aptos" w:hAnsi="Aptos"/>
                <w:sz w:val="15"/>
              </w:rPr>
              <w:t>No production banking data in local files.</w:t>
            </w:r>
          </w:p>
        </w:tc>
      </w:tr>
      <w:tr>
        <w:tc>
          <w:tcPr>
            <w:tcW w:type="dxa" w:w="3360"/>
            <w:vAlign w:val="center"/>
          </w:tcPr>
          <w:p>
            <w:pPr>
              <w:spacing w:after="20"/>
            </w:pPr>
            <w:r>
              <w:rPr>
                <w:rFonts w:ascii="Aptos" w:hAnsi="Aptos"/>
                <w:sz w:val="15"/>
              </w:rPr>
              <w:t>Rules engine</w:t>
            </w:r>
          </w:p>
        </w:tc>
        <w:tc>
          <w:tcPr>
            <w:tcW w:type="dxa" w:w="3360"/>
            <w:vAlign w:val="center"/>
          </w:tcPr>
          <w:p>
            <w:pPr>
              <w:spacing w:after="20"/>
            </w:pPr>
            <w:r>
              <w:rPr>
                <w:rFonts w:ascii="Aptos" w:hAnsi="Aptos"/>
                <w:sz w:val="15"/>
              </w:rPr>
              <w:t>Deterministic Python functions with rule IDs and unit tests.</w:t>
            </w:r>
          </w:p>
        </w:tc>
        <w:tc>
          <w:tcPr>
            <w:tcW w:type="dxa" w:w="3360"/>
            <w:vAlign w:val="center"/>
          </w:tcPr>
          <w:p>
            <w:pPr>
              <w:spacing w:after="20"/>
            </w:pPr>
            <w:r>
              <w:rPr>
                <w:rFonts w:ascii="Aptos" w:hAnsi="Aptos"/>
                <w:sz w:val="15"/>
              </w:rPr>
              <w:t>Explain recommendation; do not present unconfirmed motive as fact.</w:t>
            </w:r>
          </w:p>
        </w:tc>
      </w:tr>
      <w:tr>
        <w:tc>
          <w:tcPr>
            <w:tcW w:type="dxa" w:w="3360"/>
            <w:vAlign w:val="center"/>
          </w:tcPr>
          <w:p>
            <w:pPr>
              <w:spacing w:after="20"/>
            </w:pPr>
            <w:r>
              <w:rPr>
                <w:rFonts w:ascii="Aptos" w:hAnsi="Aptos"/>
                <w:sz w:val="15"/>
              </w:rPr>
              <w:t>Service directory</w:t>
            </w:r>
          </w:p>
        </w:tc>
        <w:tc>
          <w:tcPr>
            <w:tcW w:type="dxa" w:w="3360"/>
            <w:vAlign w:val="center"/>
          </w:tcPr>
          <w:p>
            <w:pPr>
              <w:spacing w:after="20"/>
            </w:pPr>
            <w:r>
              <w:rPr>
                <w:rFonts w:ascii="Aptos" w:hAnsi="Aptos"/>
                <w:sz w:val="15"/>
              </w:rPr>
              <w:t>Synthetic directory with verification timestamps.</w:t>
            </w:r>
          </w:p>
        </w:tc>
        <w:tc>
          <w:tcPr>
            <w:tcW w:type="dxa" w:w="3360"/>
            <w:vAlign w:val="center"/>
          </w:tcPr>
          <w:p>
            <w:pPr>
              <w:spacing w:after="20"/>
            </w:pPr>
            <w:r>
              <w:rPr>
                <w:rFonts w:ascii="Aptos" w:hAnsi="Aptos"/>
                <w:sz w:val="15"/>
              </w:rPr>
              <w:t>Production requires authorised, maintained directory.</w:t>
            </w:r>
          </w:p>
        </w:tc>
      </w:tr>
      <w:tr>
        <w:tc>
          <w:tcPr>
            <w:tcW w:type="dxa" w:w="3360"/>
            <w:vAlign w:val="center"/>
          </w:tcPr>
          <w:p>
            <w:pPr>
              <w:spacing w:after="20"/>
            </w:pPr>
            <w:r>
              <w:rPr>
                <w:rFonts w:ascii="Aptos" w:hAnsi="Aptos"/>
                <w:sz w:val="15"/>
              </w:rPr>
              <w:t>Audit log</w:t>
            </w:r>
          </w:p>
        </w:tc>
        <w:tc>
          <w:tcPr>
            <w:tcW w:type="dxa" w:w="3360"/>
            <w:vAlign w:val="center"/>
          </w:tcPr>
          <w:p>
            <w:pPr>
              <w:spacing w:after="20"/>
            </w:pPr>
            <w:r>
              <w:rPr>
                <w:rFonts w:ascii="Aptos" w:hAnsi="Aptos"/>
                <w:sz w:val="15"/>
              </w:rPr>
              <w:t>Role, case token, action, timestamp and purpose.</w:t>
            </w:r>
          </w:p>
        </w:tc>
        <w:tc>
          <w:tcPr>
            <w:tcW w:type="dxa" w:w="3360"/>
            <w:vAlign w:val="center"/>
          </w:tcPr>
          <w:p>
            <w:pPr>
              <w:spacing w:after="20"/>
            </w:pPr>
            <w:r>
              <w:rPr>
                <w:rFonts w:ascii="Aptos" w:hAnsi="Aptos"/>
                <w:sz w:val="15"/>
              </w:rPr>
              <w:t>No secrets or unnecessary personal data.</w:t>
            </w:r>
          </w:p>
        </w:tc>
      </w:tr>
      <w:tr>
        <w:tc>
          <w:tcPr>
            <w:tcW w:type="dxa" w:w="3360"/>
            <w:vAlign w:val="center"/>
          </w:tcPr>
          <w:p>
            <w:pPr>
              <w:spacing w:after="20"/>
            </w:pPr>
            <w:r>
              <w:rPr>
                <w:rFonts w:ascii="Aptos" w:hAnsi="Aptos"/>
                <w:sz w:val="15"/>
              </w:rPr>
              <w:t>Testing</w:t>
            </w:r>
          </w:p>
        </w:tc>
        <w:tc>
          <w:tcPr>
            <w:tcW w:type="dxa" w:w="3360"/>
            <w:vAlign w:val="center"/>
          </w:tcPr>
          <w:p>
            <w:pPr>
              <w:spacing w:after="20"/>
            </w:pPr>
            <w:r>
              <w:rPr>
                <w:rFonts w:ascii="Aptos" w:hAnsi="Aptos"/>
                <w:sz w:val="15"/>
              </w:rPr>
              <w:t>Unit, API, import, edge-case tests and frontend production build.</w:t>
            </w:r>
          </w:p>
        </w:tc>
        <w:tc>
          <w:tcPr>
            <w:tcW w:type="dxa" w:w="3360"/>
            <w:vAlign w:val="center"/>
          </w:tcPr>
          <w:p>
            <w:pPr>
              <w:spacing w:after="20"/>
            </w:pPr>
            <w:r>
              <w:rPr>
                <w:rFonts w:ascii="Aptos" w:hAnsi="Aptos"/>
                <w:sz w:val="15"/>
              </w:rPr>
              <w:t>Report actual test output, not AI-generated claims.</w:t>
            </w:r>
          </w:p>
        </w:tc>
      </w:tr>
    </w:tbl>
    <w:p/>
    <w:p>
      <w:pPr>
        <w:pStyle w:val="Heading1"/>
      </w:pPr>
      <w:r>
        <w:t>17. Antigravity implementation brief</w:t>
      </w:r>
    </w:p>
    <w:p>
      <w:r>
        <w:t>Paste this brief into Antigravity after placing this document in the project workspace:</w:t>
      </w:r>
    </w:p>
    <w:p>
      <w:pPr>
        <w:ind w:left="259" w:right="259"/>
      </w:pPr>
      <w:r>
        <w:rPr>
          <w:sz w:val="17"/>
        </w:rPr>
        <w:t>Build a hackathon MVP called BankMitra: an Inactive Account Re-engagement Engine. Treat this reference document as the project specification and evidence boundary.</w:t>
        <w:br/>
        <w:br/>
        <w:t>Core principle: do not merely flag inactive accounts or send generic reminders. Distinguish account status, customer-stated barrier, chosen intervention, barrier resolution and meaningful voluntary use. Allow decline and no action. Never infer motive from low balance or inactivity alone.</w:t>
        <w:br/>
        <w:br/>
        <w:t>Implement:</w:t>
        <w:br/>
        <w:t>1. React + Vite + TypeScript + Tailwind frontend.</w:t>
        <w:br/>
        <w:t>2. FastAPI backend with Pydantic schemas and SQLite for local synthetic demo.</w:t>
        <w:br/>
        <w:t>3. 150–250 fictional cases with cases, barrier assessments, interventions, outcomes, service directory and audit events.</w:t>
        <w:br/>
        <w:t>4. Transparent rules engine with explicit rule IDs, explanations, unit tests and safe unknown / human review / no-action paths.</w:t>
        <w:br/>
        <w:t>5. Operations dashboard for funnel, barrier categories, intervention outcomes, unresolved cases, opt-outs, data-quality issues and sample sizes. Label every chart 'Synthetic demonstration data'.</w:t>
        <w:br/>
        <w:t>6. Case detail with evidence source, customer-stated barrier, consent/contact permission, recommended official route, rule explanation, customer choice, referral status and separate outcome fields.</w:t>
        <w:br/>
        <w:t>7. Service-directory verification timestamps; unverified or stale routes must not appear as confirmed.</w:t>
        <w:br/>
        <w:t>8. Import validation, duplicate handling, missing-field warnings, graceful API errors and audit events.</w:t>
        <w:br/>
        <w:t>9. Tests for opt-out, unknown reason, unverified route, contradictory evidence, declined intervention, self-reported vs verified resolution, and reactivated-but-not-wanted outcome.</w:t>
        <w:br/>
        <w:t>10. README with exact install/run/test commands, architecture, schema, limitations and screenshots.</w:t>
        <w:br/>
        <w:br/>
        <w:t>Non-negotiable:</w:t>
        <w:br/>
        <w:t>- No real customer data and no implied bank partnership.</w:t>
        <w:br/>
        <w:t>- Never collect OTP, PIN, password, full card details, Aadhaar, PAN or KYC documents.</w:t>
        <w:br/>
        <w:t>- Never impersonate a bank / RBI / government body.</w:t>
        <w:br/>
        <w:t>- Never suggest artificial transactions, pressure, product upselling or contact after opt-out.</w:t>
        <w:br/>
        <w:t>- Do not claim the RBI process, UDGAM, PMJDY or bank activation was invented by this project.</w:t>
        <w:br/>
        <w:t>- Do not claim AI/ML, predictive accuracy, national prevalence, real impact or novelty without evidence.</w:t>
        <w:br/>
        <w:t>- Compute dashboard metrics from the dataset, not hardcoded values.</w:t>
        <w:br/>
        <w:t>- Keep synthetic status visible in the UI.</w:t>
        <w:br/>
        <w:br/>
        <w:t>Build in phases: inspect workspace and propose file plan; implement schema and rules; test; build API; connect frontend; run all tests and production build; report actual command output. Do not say a test passed unless executed. If an integration is unavailable, document it as a limitation.</w:t>
      </w:r>
    </w:p>
    <w:p>
      <w:pPr>
        <w:pStyle w:val="Heading1"/>
      </w:pPr>
      <w:r>
        <w:t>18. Acceptance checklist</w:t>
      </w:r>
    </w:p>
    <w:p>
      <w:pPr>
        <w:pStyle w:val="ListBullet"/>
        <w:spacing w:after="40"/>
      </w:pPr>
      <w:r>
        <w:t>☐ Every metric is computed from the current synthetic dataset.</w:t>
      </w:r>
    </w:p>
    <w:p>
      <w:pPr>
        <w:pStyle w:val="ListBullet"/>
        <w:spacing w:after="40"/>
      </w:pPr>
      <w:r>
        <w:t>☐ All synthetic data and simulated communications are visibly labelled.</w:t>
      </w:r>
    </w:p>
    <w:p>
      <w:pPr>
        <w:pStyle w:val="ListBullet"/>
        <w:spacing w:after="40"/>
      </w:pPr>
      <w:r>
        <w:t>☐ No screen asks for credentials, OTP, PIN, Aadhaar, PAN or real account numbers.</w:t>
      </w:r>
    </w:p>
    <w:p>
      <w:pPr>
        <w:pStyle w:val="ListBullet"/>
        <w:spacing w:after="40"/>
      </w:pPr>
      <w:r>
        <w:t>☐ Unknown, declined and no-response cases are represented honestly.</w:t>
      </w:r>
    </w:p>
    <w:p>
      <w:pPr>
        <w:pStyle w:val="ListBullet"/>
        <w:spacing w:after="40"/>
      </w:pPr>
      <w:r>
        <w:t>☐ Each recommendation shows rule ID, evidence source and limitation.</w:t>
      </w:r>
    </w:p>
    <w:p>
      <w:pPr>
        <w:pStyle w:val="ListBullet"/>
        <w:spacing w:after="40"/>
      </w:pPr>
      <w:r>
        <w:t>☐ Unverified / stale service routes cannot be presented as confirmed.</w:t>
      </w:r>
    </w:p>
    <w:p>
      <w:pPr>
        <w:pStyle w:val="ListBullet"/>
        <w:spacing w:after="40"/>
      </w:pPr>
      <w:r>
        <w:t>☐ Account status, barrier resolution and meaningful use are separate outcomes.</w:t>
      </w:r>
    </w:p>
    <w:p>
      <w:pPr>
        <w:pStyle w:val="ListBullet"/>
        <w:spacing w:after="40"/>
      </w:pPr>
      <w:r>
        <w:t>☐ Opt-out stops future contact in the simulation.</w:t>
      </w:r>
    </w:p>
    <w:p>
      <w:pPr>
        <w:pStyle w:val="ListBullet"/>
        <w:spacing w:after="40"/>
      </w:pPr>
      <w:r>
        <w:t>☐ Unit tests, API tests and frontend production build were actually run.</w:t>
      </w:r>
    </w:p>
    <w:p>
      <w:pPr>
        <w:pStyle w:val="ListBullet"/>
        <w:spacing w:after="40"/>
      </w:pPr>
      <w:r>
        <w:t>☐ README contains reproducible commands and known limitations.</w:t>
      </w:r>
    </w:p>
    <w:p>
      <w:pPr>
        <w:pStyle w:val="ListBullet"/>
        <w:spacing w:after="40"/>
      </w:pPr>
      <w:r>
        <w:t>☐ Proposal claims match the evidence register and do not imply a partnership.</w:t>
      </w:r>
    </w:p>
    <w:p>
      <w:pPr>
        <w:pStyle w:val="Heading1"/>
      </w:pPr>
      <w:r>
        <w:t>19. Claims register: safe vs unsafe wording</w:t>
      </w:r>
    </w:p>
    <w:tbl>
      <w:tblPr>
        <w:tblStyle w:val="TableGrid"/>
        <w:tblW w:type="auto" w:w="0"/>
        <w:jc w:val="center"/>
        <w:tblLook w:firstColumn="1" w:firstRow="1" w:lastColumn="0" w:lastRow="0" w:noHBand="0" w:noVBand="1" w:val="04A0"/>
      </w:tblPr>
      <w:tblGrid>
        <w:gridCol w:w="5040"/>
        <w:gridCol w:w="5040"/>
      </w:tblGrid>
      <w:tr>
        <w:tc>
          <w:tcPr>
            <w:tcW w:type="dxa" w:w="5040"/>
            <w:shd w:fill="CFE2F3"/>
          </w:tcPr>
          <w:p>
            <w:r>
              <w:rPr>
                <w:b/>
                <w:sz w:val="16"/>
              </w:rPr>
              <w:t>Avoid</w:t>
            </w:r>
          </w:p>
        </w:tc>
        <w:tc>
          <w:tcPr>
            <w:tcW w:type="dxa" w:w="5040"/>
            <w:shd w:fill="CFE2F3"/>
          </w:tcPr>
          <w:p>
            <w:r>
              <w:rPr>
                <w:b/>
                <w:sz w:val="16"/>
              </w:rPr>
              <w:t>Use instead</w:t>
            </w:r>
          </w:p>
        </w:tc>
      </w:tr>
      <w:tr>
        <w:tc>
          <w:tcPr>
            <w:tcW w:type="dxa" w:w="5040"/>
            <w:vAlign w:val="center"/>
          </w:tcPr>
          <w:p>
            <w:pPr>
              <w:spacing w:after="20"/>
            </w:pPr>
            <w:r>
              <w:rPr>
                <w:rFonts w:ascii="Aptos" w:hAnsi="Aptos"/>
                <w:sz w:val="15"/>
              </w:rPr>
              <w:t>'India has X crore dormant accounts' without a current official source.</w:t>
            </w:r>
          </w:p>
        </w:tc>
        <w:tc>
          <w:tcPr>
            <w:tcW w:type="dxa" w:w="5040"/>
            <w:vAlign w:val="center"/>
          </w:tcPr>
          <w:p>
            <w:pPr>
              <w:spacing w:after="20"/>
            </w:pPr>
            <w:r>
              <w:rPr>
                <w:rFonts w:ascii="Aptos" w:hAnsi="Aptos"/>
                <w:sz w:val="15"/>
              </w:rPr>
              <w:t>'RBI has documented inoperative-account and activation-process concerns; reviewed public sources do not establish a current national cause-by-cause count.'</w:t>
            </w:r>
          </w:p>
        </w:tc>
      </w:tr>
      <w:tr>
        <w:tc>
          <w:tcPr>
            <w:tcW w:type="dxa" w:w="5040"/>
            <w:vAlign w:val="center"/>
          </w:tcPr>
          <w:p>
            <w:pPr>
              <w:spacing w:after="20"/>
            </w:pPr>
            <w:r>
              <w:rPr>
                <w:rFonts w:ascii="Aptos" w:hAnsi="Aptos"/>
                <w:sz w:val="15"/>
              </w:rPr>
              <w:t>'Our AI predicts why an account is inactive.'</w:t>
            </w:r>
          </w:p>
        </w:tc>
        <w:tc>
          <w:tcPr>
            <w:tcW w:type="dxa" w:w="5040"/>
            <w:vAlign w:val="center"/>
          </w:tcPr>
          <w:p>
            <w:pPr>
              <w:spacing w:after="20"/>
            </w:pPr>
            <w:r>
              <w:rPr>
                <w:rFonts w:ascii="Aptos" w:hAnsi="Aptos"/>
                <w:sz w:val="15"/>
              </w:rPr>
              <w:t>'The prototype records customer-confirmed barriers and uses transparent rules to route a suitable next step.'</w:t>
            </w:r>
          </w:p>
        </w:tc>
      </w:tr>
      <w:tr>
        <w:tc>
          <w:tcPr>
            <w:tcW w:type="dxa" w:w="5040"/>
            <w:vAlign w:val="center"/>
          </w:tcPr>
          <w:p>
            <w:pPr>
              <w:spacing w:after="20"/>
            </w:pPr>
            <w:r>
              <w:rPr>
                <w:rFonts w:ascii="Aptos" w:hAnsi="Aptos"/>
                <w:sz w:val="15"/>
              </w:rPr>
              <w:t>'We automatically reactivate dormant accounts.'</w:t>
            </w:r>
          </w:p>
        </w:tc>
        <w:tc>
          <w:tcPr>
            <w:tcW w:type="dxa" w:w="5040"/>
            <w:vAlign w:val="center"/>
          </w:tcPr>
          <w:p>
            <w:pPr>
              <w:spacing w:after="20"/>
            </w:pPr>
            <w:r>
              <w:rPr>
                <w:rFonts w:ascii="Aptos" w:hAnsi="Aptos"/>
                <w:sz w:val="15"/>
              </w:rPr>
              <w:t>'The concept supports an authorised institution’s customer-led activation workflow; actual activation remains with the bank under applicable rules.'</w:t>
            </w:r>
          </w:p>
        </w:tc>
      </w:tr>
      <w:tr>
        <w:tc>
          <w:tcPr>
            <w:tcW w:type="dxa" w:w="5040"/>
            <w:vAlign w:val="center"/>
          </w:tcPr>
          <w:p>
            <w:pPr>
              <w:spacing w:after="20"/>
            </w:pPr>
            <w:r>
              <w:rPr>
                <w:rFonts w:ascii="Aptos" w:hAnsi="Aptos"/>
                <w:sz w:val="15"/>
              </w:rPr>
              <w:t>'UDGAM tracks all dormant accounts.'</w:t>
            </w:r>
          </w:p>
        </w:tc>
        <w:tc>
          <w:tcPr>
            <w:tcW w:type="dxa" w:w="5040"/>
            <w:vAlign w:val="center"/>
          </w:tcPr>
          <w:p>
            <w:pPr>
              <w:spacing w:after="20"/>
            </w:pPr>
            <w:r>
              <w:rPr>
                <w:rFonts w:ascii="Aptos" w:hAnsi="Aptos"/>
                <w:sz w:val="15"/>
              </w:rPr>
              <w:t>'UDGAM helps users search unclaimed deposits across participating banks; it is not a public live database of every recently inoperative account.'</w:t>
            </w:r>
          </w:p>
        </w:tc>
      </w:tr>
      <w:tr>
        <w:tc>
          <w:tcPr>
            <w:tcW w:type="dxa" w:w="5040"/>
            <w:vAlign w:val="center"/>
          </w:tcPr>
          <w:p>
            <w:pPr>
              <w:spacing w:after="20"/>
            </w:pPr>
            <w:r>
              <w:rPr>
                <w:rFonts w:ascii="Aptos" w:hAnsi="Aptos"/>
                <w:sz w:val="15"/>
              </w:rPr>
              <w:t>'We guarantee recovery or reactivation.'</w:t>
            </w:r>
          </w:p>
        </w:tc>
        <w:tc>
          <w:tcPr>
            <w:tcW w:type="dxa" w:w="5040"/>
            <w:vAlign w:val="center"/>
          </w:tcPr>
          <w:p>
            <w:pPr>
              <w:spacing w:after="20"/>
            </w:pPr>
            <w:r>
              <w:rPr>
                <w:rFonts w:ascii="Aptos" w:hAnsi="Aptos"/>
                <w:sz w:val="15"/>
              </w:rPr>
              <w:t>'The system routes customers to official processes and measures outcomes; resolution depends on the bank and case.'</w:t>
            </w:r>
          </w:p>
        </w:tc>
      </w:tr>
      <w:tr>
        <w:tc>
          <w:tcPr>
            <w:tcW w:type="dxa" w:w="5040"/>
            <w:vAlign w:val="center"/>
          </w:tcPr>
          <w:p>
            <w:pPr>
              <w:spacing w:after="20"/>
            </w:pPr>
            <w:r>
              <w:rPr>
                <w:rFonts w:ascii="Aptos" w:hAnsi="Aptos"/>
                <w:sz w:val="15"/>
              </w:rPr>
              <w:t>'BankMitra is the first solution of its kind.'</w:t>
            </w:r>
          </w:p>
        </w:tc>
        <w:tc>
          <w:tcPr>
            <w:tcW w:type="dxa" w:w="5040"/>
            <w:vAlign w:val="center"/>
          </w:tcPr>
          <w:p>
            <w:pPr>
              <w:spacing w:after="20"/>
            </w:pPr>
            <w:r>
              <w:rPr>
                <w:rFonts w:ascii="Aptos" w:hAnsi="Aptos"/>
                <w:sz w:val="15"/>
              </w:rPr>
              <w:t>'BankMitra proposes an auditable barrier-to-intervention and outcome-measurement workflow; novelty remains subject to competitor and literature review.'</w:t>
            </w:r>
          </w:p>
        </w:tc>
      </w:tr>
    </w:tbl>
    <w:p/>
    <w:p>
      <w:pPr>
        <w:pStyle w:val="Heading1"/>
      </w:pPr>
      <w:r>
        <w:t>20. Final recommendation</w:t>
      </w:r>
    </w:p>
    <w:p>
      <w:r>
        <w:t>Proceed with BankMitra as a research-led prototype, not as a claim that the team has bank-system access or proven reactivation impact. The strongest submission demonstrates a credible barrier taxonomy, a safe and transparent intervention engine, an authorised-channel workflow and a measurement plan that values customer choice as much as account status.</w:t>
      </w:r>
    </w:p>
    <w:p>
      <w:r>
        <w:t>Before submission, complete two pieces of work this reference cannot substitute for: (1) a documented competitor / novelty audit, and (2) genuine, consented discovery interviews or an explicit statement that field validation remains future work.</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Hackathon concept reference • Verify current official rules before deployment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BANKMITRA • RESEARCH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A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A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