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F4C81"/>
          <w:sz w:val="22"/>
        </w:rPr>
        <w:t>TECHFEST 2026–27 | IIT BOMBAY</w:t>
        <w:br/>
        <w:t>THE INDIA @ 71/100 CHALLENGE</w:t>
        <w:br/>
      </w:r>
      <w:r>
        <w:rPr>
          <w:rFonts w:ascii="Arial" w:hAnsi="Arial"/>
          <w:b/>
          <w:color w:val="0F4C81"/>
          <w:sz w:val="30"/>
        </w:rPr>
        <w:t>Round 1: Concept Proposal Submission</w:t>
        <w:br/>
      </w:r>
    </w:p>
    <w:p>
      <w:pPr>
        <w:spacing w:after="280"/>
        <w:jc w:val="center"/>
      </w:pPr>
      <w:r>
        <w:rPr>
          <w:b/>
          <w:color w:val="0D9488"/>
          <w:sz w:val="24"/>
        </w:rPr>
        <w:t>Theme 2: Foundational Learning Outcomes</w:t>
        <w:br/>
      </w:r>
      <w:r>
        <w:rPr>
          <w:b/>
          <w:color w:val="1E293B"/>
          <w:sz w:val="24"/>
        </w:rPr>
        <w:t>Project ShikshaSignal: Learning-Gap Early-Warning &amp; Teacher Decision-Support Layer</w:t>
      </w:r>
    </w:p>
    <w:p>
      <w:pPr>
        <w:pStyle w:val="Heading1"/>
        <w:spacing w:before="160" w:after="80"/>
      </w:pPr>
      <w:r>
        <w:rPr>
          <w:rFonts w:ascii="Arial" w:hAnsi="Arial"/>
          <w:b/>
          <w:color w:val="0F4C81"/>
          <w:sz w:val="26"/>
        </w:rPr>
        <w:t>1. Team Information</w:t>
      </w:r>
    </w:p>
    <w:tbl>
      <w:tblPr>
        <w:tblW w:type="auto" w:w="0"/>
        <w:jc w:val="center"/>
        <w:tblLayout w:type="fixed"/>
        <w:tblLook w:firstColumn="1" w:firstRow="1" w:lastColumn="0" w:lastRow="0" w:noHBand="0" w:noVBand="1" w:val="04A0"/>
      </w:tblPr>
      <w:tblGrid>
        <w:gridCol w:w="4514"/>
        <w:gridCol w:w="4514"/>
      </w:tblGrid>
      <w:tr>
        <w:tc>
          <w:tcPr>
            <w:tcW w:type="dxa" w:w="3168"/>
            <w:shd w:fill="F1F5F9"/>
            <w:tcMar>
              <w:top w:w="80" w:type="dxa"/>
              <w:bottom w:w="80" w:type="dxa"/>
              <w:left w:w="120" w:type="dxa"/>
              <w:right w:w="120" w:type="dxa"/>
            </w:tcMar>
          </w:tcPr>
          <w:p>
            <w:pPr>
              <w:spacing w:after="40"/>
            </w:pPr>
            <w:r>
              <w:rPr>
                <w:b/>
                <w:sz w:val="20"/>
              </w:rPr>
              <w:t>Team Name &amp; ID</w:t>
            </w:r>
          </w:p>
        </w:tc>
        <w:tc>
          <w:tcPr>
            <w:tcW w:type="dxa" w:w="5861"/>
            <w:tcMar>
              <w:top w:w="80" w:type="dxa"/>
              <w:bottom w:w="80" w:type="dxa"/>
              <w:left w:w="120" w:type="dxa"/>
              <w:right w:w="120" w:type="dxa"/>
            </w:tcMar>
          </w:tcPr>
          <w:p>
            <w:pPr>
              <w:spacing w:after="40"/>
            </w:pPr>
            <w:r>
              <w:rPr>
                <w:sz w:val="20"/>
              </w:rPr>
              <w:t>[Team Name]  |  Team ID: [Team ID]</w:t>
            </w:r>
          </w:p>
        </w:tc>
      </w:tr>
      <w:tr>
        <w:tc>
          <w:tcPr>
            <w:tcW w:type="dxa" w:w="3168"/>
            <w:shd w:fill="F1F5F9"/>
            <w:tcMar>
              <w:top w:w="80" w:type="dxa"/>
              <w:bottom w:w="80" w:type="dxa"/>
              <w:left w:w="120" w:type="dxa"/>
              <w:right w:w="120" w:type="dxa"/>
            </w:tcMar>
          </w:tcPr>
          <w:p>
            <w:pPr>
              <w:spacing w:after="40"/>
            </w:pPr>
            <w:r>
              <w:rPr>
                <w:b/>
                <w:sz w:val="20"/>
              </w:rPr>
              <w:t>Institution / University</w:t>
            </w:r>
          </w:p>
        </w:tc>
        <w:tc>
          <w:tcPr>
            <w:tcW w:type="dxa" w:w="5861"/>
            <w:tcMar>
              <w:top w:w="80" w:type="dxa"/>
              <w:bottom w:w="80" w:type="dxa"/>
              <w:left w:w="120" w:type="dxa"/>
              <w:right w:w="120" w:type="dxa"/>
            </w:tcMar>
          </w:tcPr>
          <w:p>
            <w:pPr>
              <w:spacing w:after="40"/>
            </w:pPr>
            <w:r>
              <w:rPr>
                <w:sz w:val="20"/>
              </w:rPr>
              <w:t>[Institution / University Name]</w:t>
            </w:r>
          </w:p>
        </w:tc>
      </w:tr>
      <w:tr>
        <w:tc>
          <w:tcPr>
            <w:tcW w:type="dxa" w:w="3168"/>
            <w:shd w:fill="F1F5F9"/>
            <w:tcMar>
              <w:top w:w="80" w:type="dxa"/>
              <w:bottom w:w="80" w:type="dxa"/>
              <w:left w:w="120" w:type="dxa"/>
              <w:right w:w="120" w:type="dxa"/>
            </w:tcMar>
          </w:tcPr>
          <w:p>
            <w:pPr>
              <w:spacing w:after="40"/>
            </w:pPr>
            <w:r>
              <w:rPr>
                <w:b/>
                <w:sz w:val="20"/>
              </w:rPr>
              <w:t>Theme Selected</w:t>
            </w:r>
          </w:p>
        </w:tc>
        <w:tc>
          <w:tcPr>
            <w:tcW w:type="dxa" w:w="5861"/>
            <w:tcMar>
              <w:top w:w="80" w:type="dxa"/>
              <w:bottom w:w="80" w:type="dxa"/>
              <w:left w:w="120" w:type="dxa"/>
              <w:right w:w="120" w:type="dxa"/>
            </w:tcMar>
          </w:tcPr>
          <w:p>
            <w:pPr>
              <w:spacing w:after="40"/>
            </w:pPr>
            <w:r>
              <w:rPr>
                <w:sz w:val="20"/>
              </w:rPr>
              <w:t>Theme 2: Foundational Learning Outcomes (NEP 2020 / NIPUN Bharat)</w:t>
            </w:r>
          </w:p>
        </w:tc>
      </w:tr>
      <w:tr>
        <w:tc>
          <w:tcPr>
            <w:tcW w:type="dxa" w:w="3168"/>
            <w:shd w:fill="F1F5F9"/>
            <w:tcMar>
              <w:top w:w="80" w:type="dxa"/>
              <w:bottom w:w="80" w:type="dxa"/>
              <w:left w:w="120" w:type="dxa"/>
              <w:right w:w="120" w:type="dxa"/>
            </w:tcMar>
          </w:tcPr>
          <w:p>
            <w:pPr>
              <w:spacing w:after="40"/>
            </w:pPr>
            <w:r>
              <w:rPr>
                <w:b/>
                <w:sz w:val="20"/>
              </w:rPr>
              <w:t>Team Members &amp; Roles</w:t>
            </w:r>
          </w:p>
        </w:tc>
        <w:tc>
          <w:tcPr>
            <w:tcW w:type="dxa" w:w="5861"/>
            <w:tcMar>
              <w:top w:w="80" w:type="dxa"/>
              <w:bottom w:w="80" w:type="dxa"/>
              <w:left w:w="120" w:type="dxa"/>
              <w:right w:w="120" w:type="dxa"/>
            </w:tcMar>
          </w:tcPr>
          <w:p>
            <w:pPr>
              <w:spacing w:after="40"/>
            </w:pPr>
            <w:r>
              <w:rPr>
                <w:sz w:val="20"/>
              </w:rPr>
              <w:t>1. [Lead Name] (System Architecture &amp; Data Engineering)</w:t>
              <w:br/>
              <w:t>2. [Member 2] (Pedagogical Decision Modeling)</w:t>
              <w:br/>
              <w:t>3. [Member 3] (Frontend &amp; Teacher Usability)</w:t>
              <w:br/>
              <w:t>4. [Member 4] (Policy Alignment &amp; Impact Evaluation)</w:t>
            </w:r>
          </w:p>
        </w:tc>
      </w:tr>
      <w:tr>
        <w:tc>
          <w:tcPr>
            <w:tcW w:type="dxa" w:w="3168"/>
            <w:shd w:fill="F1F5F9"/>
            <w:tcMar>
              <w:top w:w="80" w:type="dxa"/>
              <w:bottom w:w="80" w:type="dxa"/>
              <w:left w:w="120" w:type="dxa"/>
              <w:right w:w="120" w:type="dxa"/>
            </w:tcMar>
          </w:tcPr>
          <w:p>
            <w:pPr>
              <w:spacing w:after="40"/>
            </w:pPr>
            <w:r>
              <w:rPr>
                <w:b/>
                <w:sz w:val="20"/>
              </w:rPr>
              <w:t>Contact &amp; Repository</w:t>
            </w:r>
          </w:p>
        </w:tc>
        <w:tc>
          <w:tcPr>
            <w:tcW w:type="dxa" w:w="5861"/>
            <w:tcMar>
              <w:top w:w="80" w:type="dxa"/>
              <w:bottom w:w="80" w:type="dxa"/>
              <w:left w:w="120" w:type="dxa"/>
              <w:right w:w="120" w:type="dxa"/>
            </w:tcMar>
          </w:tcPr>
          <w:p>
            <w:pPr>
              <w:spacing w:after="40"/>
            </w:pPr>
            <w:r>
              <w:rPr>
                <w:sz w:val="20"/>
              </w:rPr>
              <w:t>Email: [Contact Email]  |  Phone: [Contact Phone]</w:t>
              <w:br/>
              <w:t>Prototype: https://github.com/aadityaexpress/shikshasignal</w:t>
            </w:r>
          </w:p>
        </w:tc>
      </w:tr>
    </w:tbl>
    <w:p>
      <w:pPr>
        <w:spacing w:after="80"/>
      </w:pPr>
    </w:p>
    <w:p>
      <w:pPr>
        <w:pStyle w:val="Heading1"/>
        <w:spacing w:before="160" w:after="80"/>
      </w:pPr>
      <w:r>
        <w:rPr>
          <w:rFonts w:ascii="Arial" w:hAnsi="Arial"/>
          <w:b/>
          <w:color w:val="0F4C81"/>
          <w:sz w:val="26"/>
        </w:rPr>
        <w:t>2. Problem Identification &amp; Underserved Community</w:t>
      </w:r>
    </w:p>
    <w:p>
      <w:r>
        <w:t>India's elementary education system has achieved historic milestones in access, with Gross Enrollment Ratios (GER) exceeding 98% at the primary level (UDISE+ 2023–24). However, national aggregate scorecards mask a profound learning crisis at the grassroots: children are physically attending school, yet fail to acquire Foundational Literacy and Numeracy (FLN) skills.</w:t>
      </w:r>
    </w:p>
    <w:p>
      <w:r>
        <w:rPr>
          <w:b/>
        </w:rPr>
        <w:t xml:space="preserve">The Measurable Implementation Gap: </w:t>
      </w:r>
      <w:r>
        <w:t>The problem is not an absence of assessment data, but how that data is governed and deployed. Periodic assessments are routinely administered and recorded for administrative compliance, but they sit dormant in offline paper registers or siloed state dashboards. Frontline primary teachers receive zero immediate, low-bandwidth, and explainable decision-support at point of use. By the time term-end examinations flag learning deficits, the academic year has passed, and foundational deficits compound into irreversible dropouts.</w:t>
      </w:r>
    </w:p>
    <w:p>
      <w:r>
        <w:rPr>
          <w:b/>
        </w:rPr>
        <w:t xml:space="preserve">Underserved Community Affected: </w:t>
      </w:r>
      <w:r>
        <w:t>The primary beneficiaries are Grade 1–3 learners (ages 6–9) in rural government schools, particularly from socially and economically disadvantaged backgrounds (first-generation school-goers). The secondary beneficiaries are over 2.5 million primary teachers who face multi-grade classrooms, burdensome compliance documentation, and lack targeted micro-remediation tools.</w:t>
      </w:r>
    </w:p>
    <w:p>
      <w:pPr>
        <w:pStyle w:val="Heading1"/>
        <w:spacing w:before="160" w:after="80"/>
      </w:pPr>
      <w:r>
        <w:rPr>
          <w:rFonts w:ascii="Arial" w:hAnsi="Arial"/>
          <w:b/>
          <w:color w:val="0F4C81"/>
          <w:sz w:val="26"/>
        </w:rPr>
        <w:t>3. Evidence &amp; Ground-Level Context</w:t>
      </w:r>
    </w:p>
    <w:p>
      <w:r>
        <w:t>The urgency of closing this implementation gap is established by India's primary diagnostic survey benchmarks:</w:t>
      </w:r>
    </w:p>
    <w:p>
      <w:pPr>
        <w:pStyle w:val="ListBullet"/>
      </w:pPr>
      <w:r>
        <w:rPr>
          <w:b/>
        </w:rPr>
        <w:t xml:space="preserve">ASER 2024 (Pratham): </w:t>
      </w:r>
      <w:r>
        <w:t>Nationwide household survey evidence demonstrates that only 23.4% of Grade 3 children in rural government schools can read a simple Grade 2 text, and only 28.6% can perform basic subtraction with borrowing. Over 70% enter upper primary with compounded learning deficits.</w:t>
      </w:r>
    </w:p>
    <w:p>
      <w:pPr>
        <w:pStyle w:val="ListBullet"/>
      </w:pPr>
      <w:r>
        <w:rPr>
          <w:b/>
        </w:rPr>
        <w:t xml:space="preserve">PARAKH Rashtriya Sarvekshan 2024 / Foundational Learning Study (NCERT): </w:t>
      </w:r>
      <w:r>
        <w:t>National competency evaluations confirm heavy clusters of primary learners performing in 'Below Basic' bands. Deficits concentrate early in letter-sound recognition, word decoding, single-digit decomposition, and base-10 place value.</w:t>
      </w:r>
    </w:p>
    <w:p>
      <w:pPr>
        <w:pStyle w:val="ListBullet"/>
      </w:pPr>
      <w:r>
        <w:rPr>
          <w:b/>
        </w:rPr>
        <w:t xml:space="preserve">NIPUN Bharat Guidelines (Ministry of Education, 2021): </w:t>
      </w:r>
      <w:r>
        <w:t>Universal foundational reading with comprehension and basic mathematics by Grade 3 is an explicit national mission. NEP 2020 designates foundational literacy as an indispensable prerequisite to all future education.</w:t>
      </w:r>
    </w:p>
    <w:p>
      <w:pPr>
        <w:pStyle w:val="Heading1"/>
        <w:spacing w:before="160" w:after="80"/>
      </w:pPr>
      <w:r>
        <w:rPr>
          <w:rFonts w:ascii="Arial" w:hAnsi="Arial"/>
          <w:b/>
          <w:color w:val="0F4C81"/>
          <w:sz w:val="26"/>
        </w:rPr>
        <w:t>4. Existing Ecosystem Analysis &amp; Persistence of Gap</w:t>
      </w:r>
    </w:p>
    <w:tbl>
      <w:tblPr>
        <w:tblW w:type="auto" w:w="0"/>
        <w:jc w:val="center"/>
        <w:tblLayout w:type="fixed"/>
        <w:tblLook w:firstColumn="1" w:firstRow="1" w:lastColumn="0" w:lastRow="0" w:noHBand="0" w:noVBand="1" w:val="04A0"/>
      </w:tblPr>
      <w:tblGrid>
        <w:gridCol w:w="3010"/>
        <w:gridCol w:w="3010"/>
        <w:gridCol w:w="3010"/>
      </w:tblGrid>
      <w:tr>
        <w:tc>
          <w:tcPr>
            <w:tcW w:type="dxa" w:w="2592"/>
            <w:shd w:fill="0F4C81"/>
            <w:tcMar>
              <w:top w:w="80" w:type="dxa"/>
              <w:bottom w:w="80" w:type="dxa"/>
              <w:left w:w="100" w:type="dxa"/>
              <w:right w:w="100" w:type="dxa"/>
            </w:tcMar>
          </w:tcPr>
          <w:p>
            <w:r>
              <w:rPr>
                <w:b/>
                <w:color w:val="FFFFFF"/>
                <w:sz w:val="20"/>
              </w:rPr>
              <w:t>Existing Platform</w:t>
            </w:r>
          </w:p>
        </w:tc>
        <w:tc>
          <w:tcPr>
            <w:tcW w:type="dxa" w:w="3168"/>
            <w:shd w:fill="0F4C81"/>
            <w:tcMar>
              <w:top w:w="80" w:type="dxa"/>
              <w:bottom w:w="80" w:type="dxa"/>
              <w:left w:w="100" w:type="dxa"/>
              <w:right w:w="100" w:type="dxa"/>
            </w:tcMar>
          </w:tcPr>
          <w:p>
            <w:r>
              <w:rPr>
                <w:b/>
                <w:color w:val="FFFFFF"/>
                <w:sz w:val="20"/>
              </w:rPr>
              <w:t>Mandate &amp; Capabilities</w:t>
            </w:r>
          </w:p>
        </w:tc>
        <w:tc>
          <w:tcPr>
            <w:tcW w:type="dxa" w:w="3269"/>
            <w:shd w:fill="0F4C81"/>
            <w:tcMar>
              <w:top w:w="80" w:type="dxa"/>
              <w:bottom w:w="80" w:type="dxa"/>
              <w:left w:w="100" w:type="dxa"/>
              <w:right w:w="100" w:type="dxa"/>
            </w:tcMar>
          </w:tcPr>
          <w:p>
            <w:r>
              <w:rPr>
                <w:b/>
                <w:color w:val="FFFFFF"/>
                <w:sz w:val="20"/>
              </w:rPr>
              <w:t>Bottleneck: Why Gap Persists</w:t>
            </w:r>
          </w:p>
        </w:tc>
      </w:tr>
      <w:tr>
        <w:tc>
          <w:tcPr>
            <w:tcW w:type="dxa" w:w="2592"/>
            <w:shd w:fill="F8FAFC"/>
            <w:tcMar>
              <w:top w:w="60" w:type="dxa"/>
              <w:bottom w:w="60" w:type="dxa"/>
              <w:left w:w="100" w:type="dxa"/>
              <w:right w:w="100" w:type="dxa"/>
            </w:tcMar>
          </w:tcPr>
          <w:p>
            <w:r>
              <w:rPr>
                <w:b/>
                <w:sz w:val="19"/>
              </w:rPr>
              <w:t>UDISE+ (MoE)</w:t>
            </w:r>
          </w:p>
        </w:tc>
        <w:tc>
          <w:tcPr>
            <w:tcW w:type="dxa" w:w="3168"/>
            <w:shd w:fill="F8FAFC"/>
            <w:tcMar>
              <w:top w:w="60" w:type="dxa"/>
              <w:bottom w:w="60" w:type="dxa"/>
              <w:left w:w="100" w:type="dxa"/>
              <w:right w:w="100" w:type="dxa"/>
            </w:tcMar>
          </w:tcPr>
          <w:p>
            <w:r>
              <w:rPr>
                <w:sz w:val="19"/>
              </w:rPr>
              <w:t>Annual national school census tracking infrastructure, teacher counts, and enrollment.</w:t>
            </w:r>
          </w:p>
        </w:tc>
        <w:tc>
          <w:tcPr>
            <w:tcW w:type="dxa" w:w="3269"/>
            <w:shd w:fill="F8FAFC"/>
            <w:tcMar>
              <w:top w:w="60" w:type="dxa"/>
              <w:bottom w:w="60" w:type="dxa"/>
              <w:left w:w="100" w:type="dxa"/>
              <w:right w:w="100" w:type="dxa"/>
            </w:tcMar>
          </w:tcPr>
          <w:p>
            <w:r>
              <w:rPr>
                <w:sz w:val="19"/>
              </w:rPr>
              <w:t>Aggregated retrospectively at school/block level once a year; provides zero formative student-level diagnostic feedback.</w:t>
            </w:r>
          </w:p>
        </w:tc>
      </w:tr>
      <w:tr>
        <w:tc>
          <w:tcPr>
            <w:tcW w:type="dxa" w:w="2592"/>
            <w:shd w:fill="FFFFFF"/>
            <w:tcMar>
              <w:top w:w="60" w:type="dxa"/>
              <w:bottom w:w="60" w:type="dxa"/>
              <w:left w:w="100" w:type="dxa"/>
              <w:right w:w="100" w:type="dxa"/>
            </w:tcMar>
          </w:tcPr>
          <w:p>
            <w:r>
              <w:rPr>
                <w:b/>
                <w:sz w:val="19"/>
              </w:rPr>
              <w:t>DIKSHA FLN</w:t>
            </w:r>
          </w:p>
        </w:tc>
        <w:tc>
          <w:tcPr>
            <w:tcW w:type="dxa" w:w="3168"/>
            <w:shd w:fill="FFFFFF"/>
            <w:tcMar>
              <w:top w:w="60" w:type="dxa"/>
              <w:bottom w:w="60" w:type="dxa"/>
              <w:left w:w="100" w:type="dxa"/>
              <w:right w:w="100" w:type="dxa"/>
            </w:tcMar>
          </w:tcPr>
          <w:p>
            <w:r>
              <w:rPr>
                <w:sz w:val="19"/>
              </w:rPr>
              <w:t>Digital repository of national teaching-learning materials and teacher training courses.</w:t>
            </w:r>
          </w:p>
        </w:tc>
        <w:tc>
          <w:tcPr>
            <w:tcW w:type="dxa" w:w="3269"/>
            <w:shd w:fill="FFFFFF"/>
            <w:tcMar>
              <w:top w:w="60" w:type="dxa"/>
              <w:bottom w:w="60" w:type="dxa"/>
              <w:left w:w="100" w:type="dxa"/>
              <w:right w:w="100" w:type="dxa"/>
            </w:tcMar>
          </w:tcPr>
          <w:p>
            <w:r>
              <w:rPr>
                <w:sz w:val="19"/>
              </w:rPr>
              <w:t>Acts as an unlinked static content library; does not diagnose specific child deficits or generate automated classroom micro-action cards.</w:t>
            </w:r>
          </w:p>
        </w:tc>
      </w:tr>
      <w:tr>
        <w:tc>
          <w:tcPr>
            <w:tcW w:type="dxa" w:w="2592"/>
            <w:shd w:fill="F8FAFC"/>
            <w:tcMar>
              <w:top w:w="60" w:type="dxa"/>
              <w:bottom w:w="60" w:type="dxa"/>
              <w:left w:w="100" w:type="dxa"/>
              <w:right w:w="100" w:type="dxa"/>
            </w:tcMar>
          </w:tcPr>
          <w:p>
            <w:r>
              <w:rPr>
                <w:b/>
                <w:sz w:val="19"/>
              </w:rPr>
              <w:t>State Assessment Apps (Nipun Lakshya / SAT)</w:t>
            </w:r>
          </w:p>
        </w:tc>
        <w:tc>
          <w:tcPr>
            <w:tcW w:type="dxa" w:w="3168"/>
            <w:shd w:fill="F8FAFC"/>
            <w:tcMar>
              <w:top w:w="60" w:type="dxa"/>
              <w:bottom w:w="60" w:type="dxa"/>
              <w:left w:w="100" w:type="dxa"/>
              <w:right w:w="100" w:type="dxa"/>
            </w:tcMar>
          </w:tcPr>
          <w:p>
            <w:r>
              <w:rPr>
                <w:sz w:val="19"/>
              </w:rPr>
              <w:t>Periodic digital evaluation of students against competency benchmarks.</w:t>
            </w:r>
          </w:p>
        </w:tc>
        <w:tc>
          <w:tcPr>
            <w:tcW w:type="dxa" w:w="3269"/>
            <w:shd w:fill="F8FAFC"/>
            <w:tcMar>
              <w:top w:w="60" w:type="dxa"/>
              <w:bottom w:w="60" w:type="dxa"/>
              <w:left w:w="100" w:type="dxa"/>
              <w:right w:w="100" w:type="dxa"/>
            </w:tcMar>
          </w:tcPr>
          <w:p>
            <w:r>
              <w:rPr>
                <w:sz w:val="19"/>
              </w:rPr>
              <w:t>Employed primarily for upward compliance monitoring and district ranking; results do not loop back into immediate classroom micro-remediation.</w:t>
            </w:r>
          </w:p>
        </w:tc>
      </w:tr>
      <w:tr>
        <w:tc>
          <w:tcPr>
            <w:tcW w:type="dxa" w:w="2592"/>
            <w:shd w:fill="FFFFFF"/>
            <w:tcMar>
              <w:top w:w="60" w:type="dxa"/>
              <w:bottom w:w="60" w:type="dxa"/>
              <w:left w:w="100" w:type="dxa"/>
              <w:right w:w="100" w:type="dxa"/>
            </w:tcMar>
          </w:tcPr>
          <w:p>
            <w:r>
              <w:rPr>
                <w:b/>
                <w:sz w:val="19"/>
              </w:rPr>
              <w:t>ASER / PARAKH Diagnostics</w:t>
            </w:r>
          </w:p>
        </w:tc>
        <w:tc>
          <w:tcPr>
            <w:tcW w:type="dxa" w:w="3168"/>
            <w:shd w:fill="FFFFFF"/>
            <w:tcMar>
              <w:top w:w="60" w:type="dxa"/>
              <w:bottom w:w="60" w:type="dxa"/>
              <w:left w:w="100" w:type="dxa"/>
              <w:right w:w="100" w:type="dxa"/>
            </w:tcMar>
          </w:tcPr>
          <w:p>
            <w:r>
              <w:rPr>
                <w:sz w:val="19"/>
              </w:rPr>
              <w:t>Periodic national/state sample-based diagnostic surveys.</w:t>
            </w:r>
          </w:p>
        </w:tc>
        <w:tc>
          <w:tcPr>
            <w:tcW w:type="dxa" w:w="3269"/>
            <w:shd w:fill="FFFFFF"/>
            <w:tcMar>
              <w:top w:w="60" w:type="dxa"/>
              <w:bottom w:w="60" w:type="dxa"/>
              <w:left w:w="100" w:type="dxa"/>
              <w:right w:w="100" w:type="dxa"/>
            </w:tcMar>
          </w:tcPr>
          <w:p>
            <w:r>
              <w:rPr>
                <w:sz w:val="19"/>
              </w:rPr>
              <w:t>Cross-sectional sample datasets designed for macro policymaking; not designed or authorized for continuous individual classroom tracking.</w:t>
            </w:r>
          </w:p>
        </w:tc>
      </w:tr>
    </w:tbl>
    <w:p>
      <w:pPr>
        <w:spacing w:after="80"/>
      </w:pPr>
    </w:p>
    <w:p>
      <w:pPr>
        <w:pStyle w:val="Heading1"/>
        <w:spacing w:before="160" w:after="80"/>
      </w:pPr>
      <w:r>
        <w:rPr>
          <w:rFonts w:ascii="Arial" w:hAnsi="Arial"/>
          <w:b/>
          <w:color w:val="0F4C81"/>
          <w:sz w:val="26"/>
        </w:rPr>
        <w:t>5. Proposed Solution: ShikshaSignal</w:t>
      </w:r>
    </w:p>
    <w:p>
      <w:r>
        <w:t>ShikshaSignal is a lightweight, low-bandwidth, and explainable learning-gap early-warning and teacher decision-support layer designed specifically for Grades 1–3 foundational literacy and numeracy. It operates on existing classroom assessment checks without replacing statutory systems like UDISE+ or DIKSHA. Rather than inventing government APIs or unverified diagnostic AI, it implements deterministic, policy-aligned decision rules paired with structured Teacher Action Cards.</w:t>
      </w:r>
    </w:p>
    <w:p>
      <w:r>
        <w:rPr>
          <w:b/>
        </w:rPr>
        <w:t>Architectural Pillars &amp; Ground-Level Technical Features:</w:t>
      </w:r>
    </w:p>
    <w:tbl>
      <w:tblPr>
        <w:tblW w:type="auto" w:w="0"/>
        <w:jc w:val="center"/>
        <w:tblLayout w:type="fixed"/>
        <w:tblLook w:firstColumn="1" w:firstRow="1" w:lastColumn="0" w:lastRow="0" w:noHBand="0" w:noVBand="1" w:val="04A0"/>
      </w:tblPr>
      <w:tblGrid>
        <w:gridCol w:w="4514"/>
        <w:gridCol w:w="4514"/>
      </w:tblGrid>
      <w:tr>
        <w:tc>
          <w:tcPr>
            <w:tcW w:type="dxa" w:w="2592"/>
            <w:shd w:fill="F1F5F9"/>
            <w:tcMar>
              <w:top w:w="60" w:type="dxa"/>
              <w:bottom w:w="60" w:type="dxa"/>
              <w:left w:w="100" w:type="dxa"/>
              <w:right w:w="100" w:type="dxa"/>
            </w:tcMar>
          </w:tcPr>
          <w:p>
            <w:r>
              <w:rPr>
                <w:b/>
                <w:sz w:val="20"/>
              </w:rPr>
              <w:t>Deterministic Decision Engine</w:t>
            </w:r>
          </w:p>
        </w:tc>
        <w:tc>
          <w:tcPr>
            <w:tcW w:type="dxa" w:w="6437"/>
            <w:tcMar>
              <w:top w:w="60" w:type="dxa"/>
              <w:bottom w:w="60" w:type="dxa"/>
              <w:left w:w="100" w:type="dxa"/>
              <w:right w:w="100" w:type="dxa"/>
            </w:tcMar>
          </w:tcPr>
          <w:p>
            <w:r>
              <w:rPr>
                <w:sz w:val="19"/>
              </w:rPr>
              <w:t>100% transparent and explainable rules. Ratio = score / max_score. A score strictly below 60% triggers 'Needs Teacher Review'. A score of exactly 3/5 (60%) passes benchmark. Two consecutive low scores escalate to 'Priority for Teacher Review'. No hallucinating black-box ML.</w:t>
            </w:r>
          </w:p>
        </w:tc>
      </w:tr>
      <w:tr>
        <w:tc>
          <w:tcPr>
            <w:tcW w:type="dxa" w:w="2592"/>
            <w:shd w:fill="F1F5F9"/>
            <w:tcMar>
              <w:top w:w="60" w:type="dxa"/>
              <w:bottom w:w="60" w:type="dxa"/>
              <w:left w:w="100" w:type="dxa"/>
              <w:right w:w="100" w:type="dxa"/>
            </w:tcMar>
          </w:tcPr>
          <w:p>
            <w:r>
              <w:rPr>
                <w:b/>
                <w:sz w:val="20"/>
              </w:rPr>
              <w:t>Teacher Action Cards at Point of Use</w:t>
            </w:r>
          </w:p>
        </w:tc>
        <w:tc>
          <w:tcPr>
            <w:tcW w:type="dxa" w:w="6437"/>
            <w:tcMar>
              <w:top w:w="60" w:type="dxa"/>
              <w:bottom w:w="60" w:type="dxa"/>
              <w:left w:w="100" w:type="dxa"/>
              <w:right w:w="100" w:type="dxa"/>
            </w:tcMar>
          </w:tcPr>
          <w:p>
            <w:r>
              <w:rPr>
                <w:sz w:val="19"/>
              </w:rPr>
              <w:t>Flagged skills generate concrete, teacher-editable micro-activities mapped to the 8 FLN skills (sand tray tracing, CVC sliders, bundling sticks, number lines). Includes pedagogical rationale, follow-up prompt, and non-diagnostic disclaimer.</w:t>
            </w:r>
          </w:p>
        </w:tc>
      </w:tr>
      <w:tr>
        <w:tc>
          <w:tcPr>
            <w:tcW w:type="dxa" w:w="2592"/>
            <w:shd w:fill="F1F5F9"/>
            <w:tcMar>
              <w:top w:w="60" w:type="dxa"/>
              <w:bottom w:w="60" w:type="dxa"/>
              <w:left w:w="100" w:type="dxa"/>
              <w:right w:w="100" w:type="dxa"/>
            </w:tcMar>
          </w:tcPr>
          <w:p>
            <w:r>
              <w:rPr>
                <w:b/>
                <w:sz w:val="20"/>
              </w:rPr>
              <w:t>Closed-Loop Reassessment Tracking</w:t>
            </w:r>
          </w:p>
        </w:tc>
        <w:tc>
          <w:tcPr>
            <w:tcW w:type="dxa" w:w="6437"/>
            <w:tcMar>
              <w:top w:w="60" w:type="dxa"/>
              <w:bottom w:w="60" w:type="dxa"/>
              <w:left w:w="100" w:type="dxa"/>
              <w:right w:w="100" w:type="dxa"/>
            </w:tcMar>
          </w:tcPr>
          <w:p>
            <w:r>
              <w:rPr>
                <w:sz w:val="19"/>
              </w:rPr>
              <w:t>Teachers log delivered interventions. Follow-up checks automatically link to original events, verify version comparability, calculate score delta (Δ), and document progress without causal overclaims.</w:t>
            </w:r>
          </w:p>
        </w:tc>
      </w:tr>
      <w:tr>
        <w:tc>
          <w:tcPr>
            <w:tcW w:type="dxa" w:w="2592"/>
            <w:shd w:fill="F1F5F9"/>
            <w:tcMar>
              <w:top w:w="60" w:type="dxa"/>
              <w:bottom w:w="60" w:type="dxa"/>
              <w:left w:w="100" w:type="dxa"/>
              <w:right w:w="100" w:type="dxa"/>
            </w:tcMar>
          </w:tcPr>
          <w:p>
            <w:r>
              <w:rPr>
                <w:b/>
                <w:sz w:val="20"/>
              </w:rPr>
              <w:t>Privacy &amp; DPDP Act 2023 Compliance</w:t>
            </w:r>
          </w:p>
        </w:tc>
        <w:tc>
          <w:tcPr>
            <w:tcW w:type="dxa" w:w="6437"/>
            <w:tcMar>
              <w:top w:w="60" w:type="dxa"/>
              <w:bottom w:w="60" w:type="dxa"/>
              <w:left w:w="100" w:type="dxa"/>
              <w:right w:w="100" w:type="dxa"/>
            </w:tcMar>
          </w:tcPr>
          <w:p>
            <w:r>
              <w:rPr>
                <w:sz w:val="19"/>
              </w:rPr>
              <w:t>Strict pseudonymisation (STU-XXXX). Zero personal identifying data (no child names, Aadhaar, biometric, or contact data). Attendance is strictly contextual metadata and never influences learning-gap status.</w:t>
            </w:r>
          </w:p>
        </w:tc>
      </w:tr>
      <w:tr>
        <w:tc>
          <w:tcPr>
            <w:tcW w:type="dxa" w:w="4514"/>
          </w:tcPr>
          <w:p/>
        </w:tc>
        <w:tc>
          <w:tcPr>
            <w:tcW w:type="dxa" w:w="4514"/>
          </w:tcPr>
          <w:p/>
        </w:tc>
      </w:tr>
    </w:tbl>
    <w:p>
      <w:pPr>
        <w:spacing w:after="80"/>
      </w:pPr>
    </w:p>
    <w:p>
      <w:pPr>
        <w:pStyle w:val="Heading1"/>
        <w:spacing w:before="160" w:after="80"/>
      </w:pPr>
      <w:r>
        <w:rPr>
          <w:rFonts w:ascii="Arial" w:hAnsi="Arial"/>
          <w:b/>
          <w:color w:val="0F4C81"/>
          <w:sz w:val="26"/>
        </w:rPr>
        <w:t>6. Technical Feasibility &amp; Implementation Roadmap</w:t>
      </w:r>
    </w:p>
    <w:p>
      <w:r>
        <w:t>ShikshaSignal is not a conceptual mockup; the prototype is fully built, container-ready, and verified through an automated test suite. The stack comprises a FastAPI backend with SQLite persistence and a React + Vite + TypeScript teacher dashboard, verified with 30 passing automated tests.</w:t>
      </w:r>
    </w:p>
    <w:tbl>
      <w:tblPr>
        <w:tblW w:type="auto" w:w="0"/>
        <w:jc w:val="center"/>
        <w:tblLayout w:type="fixed"/>
        <w:tblLook w:firstColumn="1" w:firstRow="1" w:lastColumn="0" w:lastRow="0" w:noHBand="0" w:noVBand="1" w:val="04A0"/>
      </w:tblPr>
      <w:tblGrid>
        <w:gridCol w:w="3010"/>
        <w:gridCol w:w="3010"/>
        <w:gridCol w:w="3010"/>
      </w:tblGrid>
      <w:tr>
        <w:tc>
          <w:tcPr>
            <w:tcW w:type="dxa" w:w="1728"/>
            <w:shd w:fill="0D9488"/>
            <w:tcMar>
              <w:top w:w="80" w:type="dxa"/>
              <w:bottom w:w="80" w:type="dxa"/>
              <w:left w:w="100" w:type="dxa"/>
              <w:right w:w="100" w:type="dxa"/>
            </w:tcMar>
          </w:tcPr>
          <w:p>
            <w:r>
              <w:rPr>
                <w:b/>
                <w:color w:val="FFFFFF"/>
                <w:sz w:val="20"/>
              </w:rPr>
              <w:t>Phase</w:t>
            </w:r>
          </w:p>
        </w:tc>
        <w:tc>
          <w:tcPr>
            <w:tcW w:type="dxa" w:w="3168"/>
            <w:shd w:fill="0D9488"/>
            <w:tcMar>
              <w:top w:w="80" w:type="dxa"/>
              <w:bottom w:w="80" w:type="dxa"/>
              <w:left w:w="100" w:type="dxa"/>
              <w:right w:w="100" w:type="dxa"/>
            </w:tcMar>
          </w:tcPr>
          <w:p>
            <w:r>
              <w:rPr>
                <w:b/>
                <w:color w:val="FFFFFF"/>
                <w:sz w:val="20"/>
              </w:rPr>
              <w:t>Milestone / Scope</w:t>
            </w:r>
          </w:p>
        </w:tc>
        <w:tc>
          <w:tcPr>
            <w:tcW w:type="dxa" w:w="4133"/>
            <w:shd w:fill="0D9488"/>
            <w:tcMar>
              <w:top w:w="80" w:type="dxa"/>
              <w:bottom w:w="80" w:type="dxa"/>
              <w:left w:w="100" w:type="dxa"/>
              <w:right w:w="100" w:type="dxa"/>
            </w:tcMar>
          </w:tcPr>
          <w:p>
            <w:r>
              <w:rPr>
                <w:b/>
                <w:color w:val="FFFFFF"/>
                <w:sz w:val="20"/>
              </w:rPr>
              <w:t>Key Deliverables &amp; Validation</w:t>
            </w:r>
          </w:p>
        </w:tc>
      </w:tr>
      <w:tr>
        <w:tc>
          <w:tcPr>
            <w:tcW w:type="dxa" w:w="1728"/>
            <w:shd w:fill="F8FAFC"/>
            <w:tcMar>
              <w:top w:w="60" w:type="dxa"/>
              <w:bottom w:w="60" w:type="dxa"/>
              <w:left w:w="100" w:type="dxa"/>
              <w:right w:w="100" w:type="dxa"/>
            </w:tcMar>
          </w:tcPr>
          <w:p>
            <w:r>
              <w:rPr>
                <w:b/>
                <w:sz w:val="19"/>
              </w:rPr>
              <w:t>Phase 1</w:t>
              <w:br/>
              <w:t>(Months 1–3)</w:t>
            </w:r>
          </w:p>
        </w:tc>
        <w:tc>
          <w:tcPr>
            <w:tcW w:type="dxa" w:w="3168"/>
            <w:shd w:fill="F8FAFC"/>
            <w:tcMar>
              <w:top w:w="60" w:type="dxa"/>
              <w:bottom w:w="60" w:type="dxa"/>
              <w:left w:w="100" w:type="dxa"/>
              <w:right w:w="100" w:type="dxa"/>
            </w:tcMar>
          </w:tcPr>
          <w:p>
            <w:r>
              <w:rPr>
                <w:sz w:val="19"/>
              </w:rPr>
              <w:t>Cluster Pilot in 25 Primary Schools</w:t>
            </w:r>
          </w:p>
        </w:tc>
        <w:tc>
          <w:tcPr>
            <w:tcW w:type="dxa" w:w="4133"/>
            <w:shd w:fill="F8FAFC"/>
            <w:tcMar>
              <w:top w:w="60" w:type="dxa"/>
              <w:bottom w:w="60" w:type="dxa"/>
              <w:left w:w="100" w:type="dxa"/>
              <w:right w:w="100" w:type="dxa"/>
            </w:tcMar>
          </w:tcPr>
          <w:p>
            <w:r>
              <w:rPr>
                <w:sz w:val="19"/>
              </w:rPr>
              <w:t>Deploy offline CSV ingest in 1 block (50 teachers). Evaluate teacher action adoption rate, time-to-action (&lt;48h), and usability feedback.</w:t>
            </w:r>
          </w:p>
        </w:tc>
      </w:tr>
      <w:tr>
        <w:tc>
          <w:tcPr>
            <w:tcW w:type="dxa" w:w="1728"/>
            <w:shd w:fill="FFFFFF"/>
            <w:tcMar>
              <w:top w:w="60" w:type="dxa"/>
              <w:bottom w:w="60" w:type="dxa"/>
              <w:left w:w="100" w:type="dxa"/>
              <w:right w:w="100" w:type="dxa"/>
            </w:tcMar>
          </w:tcPr>
          <w:p>
            <w:r>
              <w:rPr>
                <w:b/>
                <w:sz w:val="19"/>
              </w:rPr>
              <w:t>Phase 2</w:t>
              <w:br/>
              <w:t>(Months 4–8)</w:t>
            </w:r>
          </w:p>
        </w:tc>
        <w:tc>
          <w:tcPr>
            <w:tcW w:type="dxa" w:w="3168"/>
            <w:shd w:fill="FFFFFF"/>
            <w:tcMar>
              <w:top w:w="60" w:type="dxa"/>
              <w:bottom w:w="60" w:type="dxa"/>
              <w:left w:w="100" w:type="dxa"/>
              <w:right w:w="100" w:type="dxa"/>
            </w:tcMar>
          </w:tcPr>
          <w:p>
            <w:r>
              <w:rPr>
                <w:sz w:val="19"/>
              </w:rPr>
              <w:t>Block &amp; District Scaling (100 Schools)</w:t>
            </w:r>
          </w:p>
        </w:tc>
        <w:tc>
          <w:tcPr>
            <w:tcW w:type="dxa" w:w="4133"/>
            <w:shd w:fill="FFFFFF"/>
            <w:tcMar>
              <w:top w:w="60" w:type="dxa"/>
              <w:bottom w:w="60" w:type="dxa"/>
              <w:left w:w="100" w:type="dxa"/>
              <w:right w:w="100" w:type="dxa"/>
            </w:tcMar>
          </w:tcPr>
          <w:p>
            <w:r>
              <w:rPr>
                <w:sz w:val="19"/>
              </w:rPr>
              <w:t>Integrate state periodic assessment CSV adapters. Establish School Management Committee (SMC) progress reporting feedback loops.</w:t>
            </w:r>
          </w:p>
        </w:tc>
      </w:tr>
      <w:tr>
        <w:tc>
          <w:tcPr>
            <w:tcW w:type="dxa" w:w="1728"/>
            <w:shd w:fill="F8FAFC"/>
            <w:tcMar>
              <w:top w:w="60" w:type="dxa"/>
              <w:bottom w:w="60" w:type="dxa"/>
              <w:left w:w="100" w:type="dxa"/>
              <w:right w:w="100" w:type="dxa"/>
            </w:tcMar>
          </w:tcPr>
          <w:p>
            <w:r>
              <w:rPr>
                <w:b/>
                <w:sz w:val="19"/>
              </w:rPr>
              <w:t>Phase 3</w:t>
              <w:br/>
              <w:t>(Months 9–18)</w:t>
            </w:r>
          </w:p>
        </w:tc>
        <w:tc>
          <w:tcPr>
            <w:tcW w:type="dxa" w:w="3168"/>
            <w:shd w:fill="F8FAFC"/>
            <w:tcMar>
              <w:top w:w="60" w:type="dxa"/>
              <w:bottom w:w="60" w:type="dxa"/>
              <w:left w:w="100" w:type="dxa"/>
              <w:right w:w="100" w:type="dxa"/>
            </w:tcMar>
          </w:tcPr>
          <w:p>
            <w:r>
              <w:rPr>
                <w:sz w:val="19"/>
              </w:rPr>
              <w:t>State-Level DPI Integration</w:t>
            </w:r>
          </w:p>
        </w:tc>
        <w:tc>
          <w:tcPr>
            <w:tcW w:type="dxa" w:w="4133"/>
            <w:shd w:fill="F8FAFC"/>
            <w:tcMar>
              <w:top w:w="60" w:type="dxa"/>
              <w:bottom w:w="60" w:type="dxa"/>
              <w:left w:w="100" w:type="dxa"/>
              <w:right w:w="100" w:type="dxa"/>
            </w:tcMar>
          </w:tcPr>
          <w:p>
            <w:r>
              <w:rPr>
                <w:sz w:val="19"/>
              </w:rPr>
              <w:t>Standards-compliant data connector for State LMS / DIKSHA portal. Automated batch generation of micro-remediation worksheets.</w:t>
            </w:r>
          </w:p>
        </w:tc>
      </w:tr>
    </w:tbl>
    <w:p>
      <w:pPr>
        <w:spacing w:after="80"/>
      </w:pPr>
    </w:p>
    <w:p>
      <w:pPr>
        <w:pStyle w:val="Heading1"/>
        <w:spacing w:before="160" w:after="80"/>
      </w:pPr>
      <w:r>
        <w:rPr>
          <w:rFonts w:ascii="Arial" w:hAnsi="Arial"/>
          <w:b/>
          <w:color w:val="0F4C81"/>
          <w:sz w:val="26"/>
        </w:rPr>
        <w:t>7. Expected Social Impact &amp; Measurable Metrics</w:t>
      </w:r>
    </w:p>
    <w:tbl>
      <w:tblPr>
        <w:tblW w:type="auto" w:w="0"/>
        <w:jc w:val="center"/>
        <w:tblLayout w:type="fixed"/>
        <w:tblLook w:firstColumn="1" w:firstRow="1" w:lastColumn="0" w:lastRow="0" w:noHBand="0" w:noVBand="1" w:val="04A0"/>
      </w:tblPr>
      <w:tblGrid>
        <w:gridCol w:w="3010"/>
        <w:gridCol w:w="3010"/>
        <w:gridCol w:w="3010"/>
      </w:tblGrid>
      <w:tr>
        <w:tc>
          <w:tcPr>
            <w:tcW w:type="dxa" w:w="2880"/>
            <w:shd w:fill="0F4C81"/>
            <w:tcMar>
              <w:top w:w="80" w:type="dxa"/>
              <w:bottom w:w="80" w:type="dxa"/>
              <w:left w:w="100" w:type="dxa"/>
              <w:right w:w="100" w:type="dxa"/>
            </w:tcMar>
          </w:tcPr>
          <w:p>
            <w:r>
              <w:rPr>
                <w:b/>
                <w:color w:val="FFFFFF"/>
                <w:sz w:val="20"/>
              </w:rPr>
              <w:t>Evaluation Metric</w:t>
            </w:r>
          </w:p>
        </w:tc>
        <w:tc>
          <w:tcPr>
            <w:tcW w:type="dxa" w:w="2592"/>
            <w:shd w:fill="0F4C81"/>
            <w:tcMar>
              <w:top w:w="80" w:type="dxa"/>
              <w:bottom w:w="80" w:type="dxa"/>
              <w:left w:w="100" w:type="dxa"/>
              <w:right w:w="100" w:type="dxa"/>
            </w:tcMar>
          </w:tcPr>
          <w:p>
            <w:r>
              <w:rPr>
                <w:b/>
                <w:color w:val="FFFFFF"/>
                <w:sz w:val="20"/>
              </w:rPr>
              <w:t>Target Benchmark</w:t>
            </w:r>
          </w:p>
        </w:tc>
        <w:tc>
          <w:tcPr>
            <w:tcW w:type="dxa" w:w="3557"/>
            <w:shd w:fill="0F4C81"/>
            <w:tcMar>
              <w:top w:w="80" w:type="dxa"/>
              <w:bottom w:w="80" w:type="dxa"/>
              <w:left w:w="100" w:type="dxa"/>
              <w:right w:w="100" w:type="dxa"/>
            </w:tcMar>
          </w:tcPr>
          <w:p>
            <w:r>
              <w:rPr>
                <w:b/>
                <w:color w:val="FFFFFF"/>
                <w:sz w:val="20"/>
              </w:rPr>
              <w:t>Measurement Protocol</w:t>
            </w:r>
          </w:p>
        </w:tc>
      </w:tr>
      <w:tr>
        <w:tc>
          <w:tcPr>
            <w:tcW w:type="dxa" w:w="2880"/>
            <w:shd w:fill="F8FAFC"/>
            <w:tcMar>
              <w:top w:w="60" w:type="dxa"/>
              <w:bottom w:w="60" w:type="dxa"/>
              <w:left w:w="100" w:type="dxa"/>
              <w:right w:w="100" w:type="dxa"/>
            </w:tcMar>
          </w:tcPr>
          <w:p>
            <w:r>
              <w:rPr>
                <w:b/>
                <w:sz w:val="19"/>
              </w:rPr>
              <w:t>Time to Classroom Action</w:t>
            </w:r>
          </w:p>
        </w:tc>
        <w:tc>
          <w:tcPr>
            <w:tcW w:type="dxa" w:w="2592"/>
            <w:shd w:fill="F8FAFC"/>
            <w:tcMar>
              <w:top w:w="60" w:type="dxa"/>
              <w:bottom w:w="60" w:type="dxa"/>
              <w:left w:w="100" w:type="dxa"/>
              <w:right w:w="100" w:type="dxa"/>
            </w:tcMar>
          </w:tcPr>
          <w:p>
            <w:r>
              <w:rPr>
                <w:sz w:val="19"/>
              </w:rPr>
              <w:t>&lt; 48 hours (vs 90 days)</w:t>
            </w:r>
          </w:p>
        </w:tc>
        <w:tc>
          <w:tcPr>
            <w:tcW w:type="dxa" w:w="3557"/>
            <w:shd w:fill="F8FAFC"/>
            <w:tcMar>
              <w:top w:w="60" w:type="dxa"/>
              <w:bottom w:w="60" w:type="dxa"/>
              <w:left w:w="100" w:type="dxa"/>
              <w:right w:w="100" w:type="dxa"/>
            </w:tcMar>
          </w:tcPr>
          <w:p>
            <w:r>
              <w:rPr>
                <w:sz w:val="19"/>
              </w:rPr>
              <w:t>Elapsed time from assessment upload to teacher opening and executing an Action Card.</w:t>
            </w:r>
          </w:p>
        </w:tc>
      </w:tr>
      <w:tr>
        <w:tc>
          <w:tcPr>
            <w:tcW w:type="dxa" w:w="2880"/>
            <w:shd w:fill="FFFFFF"/>
            <w:tcMar>
              <w:top w:w="60" w:type="dxa"/>
              <w:bottom w:w="60" w:type="dxa"/>
              <w:left w:w="100" w:type="dxa"/>
              <w:right w:w="100" w:type="dxa"/>
            </w:tcMar>
          </w:tcPr>
          <w:p>
            <w:r>
              <w:rPr>
                <w:b/>
                <w:sz w:val="19"/>
              </w:rPr>
              <w:t>Teacher Action Adoption Rate</w:t>
            </w:r>
          </w:p>
        </w:tc>
        <w:tc>
          <w:tcPr>
            <w:tcW w:type="dxa" w:w="2592"/>
            <w:shd w:fill="FFFFFF"/>
            <w:tcMar>
              <w:top w:w="60" w:type="dxa"/>
              <w:bottom w:w="60" w:type="dxa"/>
              <w:left w:w="100" w:type="dxa"/>
              <w:right w:w="100" w:type="dxa"/>
            </w:tcMar>
          </w:tcPr>
          <w:p>
            <w:r>
              <w:rPr>
                <w:sz w:val="19"/>
              </w:rPr>
              <w:t>&gt; 75% adoption</w:t>
            </w:r>
          </w:p>
        </w:tc>
        <w:tc>
          <w:tcPr>
            <w:tcW w:type="dxa" w:w="3557"/>
            <w:shd w:fill="FFFFFF"/>
            <w:tcMar>
              <w:top w:w="60" w:type="dxa"/>
              <w:bottom w:w="60" w:type="dxa"/>
              <w:left w:w="100" w:type="dxa"/>
              <w:right w:w="100" w:type="dxa"/>
            </w:tcMar>
          </w:tcPr>
          <w:p>
            <w:r>
              <w:rPr>
                <w:sz w:val="19"/>
              </w:rPr>
              <w:t>Proportion of generated action cards accepted, customized, or logged as completed in classroom.</w:t>
            </w:r>
          </w:p>
        </w:tc>
      </w:tr>
      <w:tr>
        <w:tc>
          <w:tcPr>
            <w:tcW w:type="dxa" w:w="2880"/>
            <w:shd w:fill="F8FAFC"/>
            <w:tcMar>
              <w:top w:w="60" w:type="dxa"/>
              <w:bottom w:w="60" w:type="dxa"/>
              <w:left w:w="100" w:type="dxa"/>
              <w:right w:w="100" w:type="dxa"/>
            </w:tcMar>
          </w:tcPr>
          <w:p>
            <w:r>
              <w:rPr>
                <w:b/>
                <w:sz w:val="19"/>
              </w:rPr>
              <w:t>Reassessment Loop Completion</w:t>
            </w:r>
          </w:p>
        </w:tc>
        <w:tc>
          <w:tcPr>
            <w:tcW w:type="dxa" w:w="2592"/>
            <w:shd w:fill="F8FAFC"/>
            <w:tcMar>
              <w:top w:w="60" w:type="dxa"/>
              <w:bottom w:w="60" w:type="dxa"/>
              <w:left w:w="100" w:type="dxa"/>
              <w:right w:w="100" w:type="dxa"/>
            </w:tcMar>
          </w:tcPr>
          <w:p>
            <w:r>
              <w:rPr>
                <w:sz w:val="19"/>
              </w:rPr>
              <w:t>&gt; 70% within 14 days</w:t>
            </w:r>
          </w:p>
        </w:tc>
        <w:tc>
          <w:tcPr>
            <w:tcW w:type="dxa" w:w="3557"/>
            <w:shd w:fill="F8FAFC"/>
            <w:tcMar>
              <w:top w:w="60" w:type="dxa"/>
              <w:bottom w:w="60" w:type="dxa"/>
              <w:left w:w="100" w:type="dxa"/>
              <w:right w:w="100" w:type="dxa"/>
            </w:tcMar>
          </w:tcPr>
          <w:p>
            <w:r>
              <w:rPr>
                <w:sz w:val="19"/>
              </w:rPr>
              <w:t>Proportion of remediation interventions with a linked follow-up assessment event.</w:t>
            </w:r>
          </w:p>
        </w:tc>
      </w:tr>
      <w:tr>
        <w:tc>
          <w:tcPr>
            <w:tcW w:type="dxa" w:w="2880"/>
            <w:shd w:fill="FFFFFF"/>
            <w:tcMar>
              <w:top w:w="60" w:type="dxa"/>
              <w:bottom w:w="60" w:type="dxa"/>
              <w:left w:w="100" w:type="dxa"/>
              <w:right w:w="100" w:type="dxa"/>
            </w:tcMar>
          </w:tcPr>
          <w:p>
            <w:r>
              <w:rPr>
                <w:b/>
                <w:sz w:val="19"/>
              </w:rPr>
              <w:t>Data Quality &amp; Governance</w:t>
            </w:r>
          </w:p>
        </w:tc>
        <w:tc>
          <w:tcPr>
            <w:tcW w:type="dxa" w:w="2592"/>
            <w:shd w:fill="FFFFFF"/>
            <w:tcMar>
              <w:top w:w="60" w:type="dxa"/>
              <w:bottom w:w="60" w:type="dxa"/>
              <w:left w:w="100" w:type="dxa"/>
              <w:right w:w="100" w:type="dxa"/>
            </w:tcMar>
          </w:tcPr>
          <w:p>
            <w:r>
              <w:rPr>
                <w:sz w:val="19"/>
              </w:rPr>
              <w:t>100% DPDP Compliance</w:t>
            </w:r>
          </w:p>
        </w:tc>
        <w:tc>
          <w:tcPr>
            <w:tcW w:type="dxa" w:w="3557"/>
            <w:shd w:fill="FFFFFF"/>
            <w:tcMar>
              <w:top w:w="60" w:type="dxa"/>
              <w:bottom w:w="60" w:type="dxa"/>
              <w:left w:w="100" w:type="dxa"/>
              <w:right w:w="100" w:type="dxa"/>
            </w:tcMar>
          </w:tcPr>
          <w:p>
            <w:r>
              <w:rPr>
                <w:sz w:val="19"/>
              </w:rPr>
              <w:t>Zero PII stored; 100% pseudonymous record linking with auditable validation rejection logs.</w:t>
            </w:r>
          </w:p>
        </w:tc>
      </w:tr>
      <w:tr>
        <w:tc>
          <w:tcPr>
            <w:tcW w:type="dxa" w:w="2880"/>
            <w:shd w:fill="F8FAFC"/>
            <w:tcMar>
              <w:top w:w="60" w:type="dxa"/>
              <w:bottom w:w="60" w:type="dxa"/>
              <w:left w:w="100" w:type="dxa"/>
              <w:right w:w="100" w:type="dxa"/>
            </w:tcMar>
          </w:tcPr>
          <w:p>
            <w:r>
              <w:rPr>
                <w:b/>
                <w:sz w:val="19"/>
              </w:rPr>
              <w:t>Foundational Learning Delta (Δ)</w:t>
            </w:r>
          </w:p>
        </w:tc>
        <w:tc>
          <w:tcPr>
            <w:tcW w:type="dxa" w:w="2592"/>
            <w:shd w:fill="F8FAFC"/>
            <w:tcMar>
              <w:top w:w="60" w:type="dxa"/>
              <w:bottom w:w="60" w:type="dxa"/>
              <w:left w:w="100" w:type="dxa"/>
              <w:right w:w="100" w:type="dxa"/>
            </w:tcMar>
          </w:tcPr>
          <w:p>
            <w:r>
              <w:rPr>
                <w:sz w:val="19"/>
              </w:rPr>
              <w:t>Positive Δ on comparable forms</w:t>
            </w:r>
          </w:p>
        </w:tc>
        <w:tc>
          <w:tcPr>
            <w:tcW w:type="dxa" w:w="3557"/>
            <w:shd w:fill="F8FAFC"/>
            <w:tcMar>
              <w:top w:w="60" w:type="dxa"/>
              <w:bottom w:w="60" w:type="dxa"/>
              <w:left w:w="100" w:type="dxa"/>
              <w:right w:w="100" w:type="dxa"/>
            </w:tcMar>
          </w:tcPr>
          <w:p>
            <w:r>
              <w:rPr>
                <w:sz w:val="19"/>
              </w:rPr>
              <w:t>Longitudinal pre/post score difference over a 60-day remediation cycle using form-comparable checks.</w:t>
            </w:r>
          </w:p>
        </w:tc>
      </w:tr>
    </w:tbl>
    <w:p>
      <w:pPr>
        <w:spacing w:after="80"/>
      </w:pPr>
    </w:p>
    <w:p>
      <w:pPr>
        <w:pStyle w:val="Heading1"/>
        <w:spacing w:before="160" w:after="80"/>
      </w:pPr>
      <w:r>
        <w:rPr>
          <w:rFonts w:ascii="Arial" w:hAnsi="Arial"/>
          <w:b/>
          <w:color w:val="0F4C81"/>
          <w:sz w:val="26"/>
        </w:rPr>
        <w:t>8. Key References &amp; Ground-Level Sources</w:t>
      </w:r>
    </w:p>
    <w:p>
      <w:pPr>
        <w:pStyle w:val="ListBullet"/>
        <w:spacing w:after="40"/>
      </w:pPr>
      <w:r>
        <w:rPr>
          <w:sz w:val="19"/>
        </w:rPr>
        <w:t>ASER Centre / Pratham (2024). Annual Status of Education Report (Rural) 2024. New Delhi.</w:t>
      </w:r>
    </w:p>
    <w:p>
      <w:pPr>
        <w:pStyle w:val="ListBullet"/>
        <w:spacing w:after="40"/>
      </w:pPr>
      <w:r>
        <w:rPr>
          <w:sz w:val="19"/>
        </w:rPr>
        <w:t>PARAKH, NCERT (2024). Rashtriya Sarvekshan / Foundational Learning Study (FLS) National Report. Ministry of Education, New Delhi.</w:t>
      </w:r>
    </w:p>
    <w:p>
      <w:pPr>
        <w:pStyle w:val="ListBullet"/>
        <w:spacing w:after="40"/>
      </w:pPr>
      <w:r>
        <w:rPr>
          <w:sz w:val="19"/>
        </w:rPr>
        <w:t>Ministry of Education, Government of India (2021). NIPUN Bharat Mission Guidelines for Foundational Literacy and Numeracy.</w:t>
      </w:r>
    </w:p>
    <w:p>
      <w:pPr>
        <w:pStyle w:val="ListBullet"/>
        <w:spacing w:after="40"/>
      </w:pPr>
      <w:r>
        <w:rPr>
          <w:sz w:val="19"/>
        </w:rPr>
        <w:t>Ministry of Education, Government of India (2020). National Education Policy (NEP) 2020.</w:t>
      </w:r>
    </w:p>
    <w:p>
      <w:pPr>
        <w:pStyle w:val="ListBullet"/>
        <w:spacing w:after="40"/>
      </w:pPr>
      <w:r>
        <w:rPr>
          <w:sz w:val="19"/>
        </w:rPr>
        <w:t>Ministry of Law and Justice, Government of India (2023). Digital Personal Data Protection Act, 2023.</w:t>
      </w:r>
    </w:p>
    <w:p>
      <w:pPr>
        <w:pStyle w:val="ListBullet"/>
        <w:spacing w:after="40"/>
      </w:pPr>
      <w:r>
        <w:rPr>
          <w:sz w:val="19"/>
        </w:rPr>
        <w:t>UDISE+ (2024). Unified District Information System for Education Plus 2023–24. Department of School Education and Literacy.</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