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/en/expertise/mnri</w:t>
      </w:r>
    </w:p>
    <w:p>
      <w:pPr>
        <w:spacing w:after="100"/>
      </w:pPr>
      <w:r>
        <w:rPr>
          <w:b/>
          <w:bCs/>
        </w:rPr>
        <w:t xml:space="preserve">URL: </w:t>
      </w:r>
      <w:r>
        <w:t xml:space="preserve">http://127.0.0.1:4327/en/expertise/mnri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MNRI® — Pediatric OT Mumbai | Thrive With Sharuja</w:t>
      </w:r>
    </w:p>
    <w:p>
      <w:pPr>
        <w:spacing w:after="100"/>
      </w:pPr>
      <w:r>
        <w:rPr>
          <w:b/>
          <w:bCs/>
        </w:rPr>
        <w:t xml:space="preserve">Description: </w:t>
      </w:r>
      <w:r>
        <w:t xml:space="preserve">MNRI® reflex integration for children in Kandivali. Foundational nervous system support for movement, regulation, and learning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https://drsharujasarap.vercel.app/en/expertise/mnri</w:t>
      </w:r>
    </w:p>
    <w:p>
      <w:pPr>
        <w:spacing w:after="100"/>
      </w:pPr>
      <w:r>
        <w:rPr>
          <w:b/>
          <w:bCs/>
        </w:rPr>
        <w:t xml:space="preserve">Open Graph Title: </w:t>
      </w:r>
      <w:r>
        <w:t xml:space="preserve">MNRI® — Pediatric OT Mumbai | Thrive With Sharuja</w:t>
      </w:r>
    </w:p>
    <w:p>
      <w:pPr>
        <w:spacing w:after="100"/>
      </w:pPr>
      <w:r>
        <w:rPr>
          <w:b/>
          <w:bCs/>
        </w:rPr>
        <w:t xml:space="preserve">Open Graph Description: </w:t>
      </w:r>
      <w:r>
        <w:t xml:space="preserve">MNRI® reflex integration for children in Kandivali. Foundational nervous system support for movement, regulation, and learning with Dr. Sharuja Sarap.</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MNRI®</w:t>
      </w:r>
    </w:p>
    <w:p>
      <w:pPr>
        <w:pStyle w:val="Heading1"/>
        <w:spacing w:after="140"/>
      </w:pPr>
      <w:r>
        <w:t xml:space="preserve">MNRI®</w:t>
      </w:r>
    </w:p>
    <w:p>
      <w:pPr>
        <w:spacing w:after="140"/>
      </w:pPr>
      <w:r>
        <w:t xml:space="preserve">When the nervous system needs a stronger foundation first.</w:t>
      </w:r>
    </w:p>
    <w:p>
      <w:pPr>
        <w:spacing w:after="100"/>
      </w:pPr>
      <w:r>
        <w:rPr>
          <w:b/>
          <w:bCs/>
        </w:rPr>
        <w:t xml:space="preserve">Image: </w:t>
      </w:r>
      <w:r>
        <w:t xml:space="preserve">Alt: Child using sensory gym equipment with therapist support for movement foundations | Section: MNRI® | Source: /images/therapy-rooms/sensory-gym.jpg</w:t>
      </w:r>
    </w:p>
    <w:p>
      <w:pPr>
        <w:spacing w:after="180"/>
        <w:jc w:val="center"/>
      </w:pPr>
      <w:r>
        <w:drawing>
          <wp:inline distT="0" distB="0" distL="0" distR="0">
            <wp:extent cx="4953000" cy="6600825"/>
            <wp:effectExtent t="0" r="0" b="0" l="0"/>
            <wp:docPr id="1" name="Child using sensory gym equipment with therapist support for movement foundations" descr="Child using sensory gym equipment with therapist support for movement foundations" title="Child using sensory gym equipment with therapist support for movement fou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2"/>
        <w:spacing w:after="140"/>
      </w:pPr>
      <w:r>
        <w:t xml:space="preserve">What Is It?</w:t>
      </w:r>
    </w:p>
    <w:p>
      <w:pPr>
        <w:spacing w:after="140"/>
      </w:pPr>
      <w:r>
        <w:t xml:space="preserve">Masgutova Neurosensorimotor Reflex Integration (MNRI®) addresses early reflex patterns that sometimes remain active longer than expected — affecting posture, coordination, emotional regulation, and learning readiness. If skills feel 'almost there' but never quite click, the foundation may need attention first. MNRI uses specialised, respectful protocols within warm, playful sessions — never forceful, always paced to your child.</w:t>
      </w:r>
    </w:p>
    <w:p>
      <w:pPr>
        <w:pStyle w:val="Heading2"/>
        <w:spacing w:after="140"/>
      </w:pPr>
      <w:r>
        <w:t xml:space="preserve">What Parents May Notice</w:t>
      </w:r>
    </w:p>
    <w:p>
      <w:pPr>
        <w:spacing w:after="140"/>
      </w:pPr>
      <w:r>
        <w:t xml:space="preserve">•Coordination that improves briefly then slips back</w:t>
      </w:r>
    </w:p>
    <w:p>
      <w:pPr>
        <w:spacing w:after="140"/>
      </w:pPr>
      <w:r>
        <w:t xml:space="preserve">•Big emotional reactions disproportionate to the situation</w:t>
      </w:r>
    </w:p>
    <w:p>
      <w:pPr>
        <w:spacing w:after="140"/>
      </w:pPr>
      <w:r>
        <w:t xml:space="preserve">•Difficulty with bike riding, swimming, or complex motor tasks</w:t>
      </w:r>
    </w:p>
    <w:p>
      <w:pPr>
        <w:spacing w:after="140"/>
      </w:pPr>
      <w:r>
        <w:t xml:space="preserve">•Learning challenges that haven't shifted with tutoring alone</w:t>
      </w:r>
    </w:p>
    <w:p>
      <w:pPr>
        <w:pStyle w:val="Heading2"/>
        <w:spacing w:after="140"/>
      </w:pPr>
      <w:r>
        <w:t xml:space="preserve">How This Helps</w:t>
      </w:r>
    </w:p>
    <w:p>
      <w:pPr>
        <w:spacing w:after="140"/>
      </w:pPr>
      <w:r>
        <w:t xml:space="preserve">✓Integrates retained reflexes that block higher-level skills</w:t>
      </w:r>
    </w:p>
    <w:p>
      <w:pPr>
        <w:spacing w:after="140"/>
      </w:pPr>
      <w:r>
        <w:t xml:space="preserve">✓Strengthens nervous system regulation and resilience</w:t>
      </w:r>
    </w:p>
    <w:p>
      <w:pPr>
        <w:spacing w:after="140"/>
      </w:pPr>
      <w:r>
        <w:t xml:space="preserve">✓Supports motor planning for complex physical tasks</w:t>
      </w:r>
    </w:p>
    <w:p>
      <w:pPr>
        <w:spacing w:after="140"/>
      </w:pPr>
      <w:r>
        <w:t xml:space="preserve">✓Builds readiness for reading, writing, and classroom demands</w:t>
      </w:r>
    </w:p>
    <w:p>
      <w:pPr>
        <w:pStyle w:val="Heading2"/>
        <w:spacing w:after="140"/>
      </w:pPr>
      <w:r>
        <w:t xml:space="preserve">Areas Commonly Supported</w:t>
      </w:r>
    </w:p>
    <w:p>
      <w:pPr>
        <w:pStyle w:val="Heading2"/>
        <w:spacing w:after="140"/>
      </w:pPr>
      <w:r>
        <w:t xml:space="preserve">Learn More</w:t>
      </w:r>
    </w:p>
    <w:p>
      <w:pPr>
        <w:pStyle w:val="Heading3"/>
        <w:spacing w:after="140"/>
      </w:pPr>
      <w:r>
        <w:t xml:space="preserve">What are primitive reflexes?</w:t>
      </w:r>
    </w:p>
    <w:p>
      <w:pPr>
        <w:pStyle w:val="Heading3"/>
        <w:spacing w:after="140"/>
      </w:pPr>
      <w:r>
        <w:t xml:space="preserve">MNRI vs. RMTI</w:t>
      </w:r>
    </w:p>
    <w:p>
      <w:pPr>
        <w:pStyle w:val="Heading3"/>
        <w:spacing w:after="140"/>
      </w:pPr>
      <w:r>
        <w:t xml:space="preserve">Gradual, cumulative progress</w:t>
      </w:r>
    </w:p>
    <w:p>
      <w:pPr>
        <w:pStyle w:val="Heading2"/>
        <w:spacing w:after="140"/>
      </w:pPr>
      <w:r>
        <w:t xml:space="preserve">Questions Parents Ask</w:t>
      </w:r>
    </w:p>
    <w:p>
      <w:pPr>
        <w:pStyle w:val="Heading3"/>
        <w:spacing w:after="140"/>
      </w:pPr>
      <w:r>
        <w:t xml:space="preserve">What is MNRI®?</w:t>
      </w:r>
    </w:p>
    <w:p>
      <w:pPr>
        <w:pStyle w:val="Heading3"/>
        <w:spacing w:after="140"/>
      </w:pPr>
      <w:r>
        <w:t xml:space="preserve">How can MNRI® help my child?</w:t>
      </w:r>
    </w:p>
    <w:p>
      <w:pPr>
        <w:pStyle w:val="Heading3"/>
        <w:spacing w:after="140"/>
      </w:pPr>
      <w:r>
        <w:t xml:space="preserve">When should we consider MNRI® for our child?</w:t>
      </w:r>
    </w:p>
    <w:p>
      <w:pPr>
        <w:pStyle w:val="Heading3"/>
        <w:spacing w:after="140"/>
      </w:pPr>
      <w:r>
        <w:t xml:space="preserve">When should I seek Occupational Therapy for my child?</w:t>
      </w:r>
    </w:p>
    <w:p>
      <w:pPr>
        <w:pStyle w:val="Heading3"/>
        <w:spacing w:after="140"/>
      </w:pPr>
      <w:r>
        <w:t xml:space="preserve">What happens next if we book a consultation in Kandivali?</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MNRI vs. RMTI</w:t>
      </w:r>
    </w:p>
    <w:p>
      <w:pPr>
        <w:pStyle w:val="ListParagraph"/>
        <w:numPr>
          <w:ilvl w:val="0"/>
          <w:numId w:val="1"/>
        </w:numPr>
        <w:spacing w:after="80"/>
      </w:pPr>
      <w:r>
        <w:t xml:space="preserve">Gradual, cumulative progress</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MNRI®?</w:t>
      </w:r>
    </w:p>
    <w:p>
      <w:pPr>
        <w:pStyle w:val="ListParagraph"/>
        <w:numPr>
          <w:ilvl w:val="0"/>
          <w:numId w:val="1"/>
        </w:numPr>
        <w:spacing w:after="80"/>
      </w:pPr>
      <w:r>
        <w:t xml:space="preserve">How can MNRI® help my child?</w:t>
      </w:r>
    </w:p>
    <w:p>
      <w:pPr>
        <w:pStyle w:val="ListParagraph"/>
        <w:numPr>
          <w:ilvl w:val="0"/>
          <w:numId w:val="1"/>
        </w:numPr>
        <w:spacing w:after="80"/>
      </w:pPr>
      <w:r>
        <w:t xml:space="preserve">When should we consider MNRI®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MNRI vs. RMTI</w:t>
      </w:r>
    </w:p>
    <w:p>
      <w:pPr>
        <w:pStyle w:val="ListParagraph"/>
        <w:numPr>
          <w:ilvl w:val="0"/>
          <w:numId w:val="1"/>
        </w:numPr>
        <w:spacing w:after="80"/>
      </w:pPr>
      <w:r>
        <w:t xml:space="preserve">Gradual, cumulative progress</w:t>
      </w:r>
    </w:p>
    <w:p>
      <w:pPr>
        <w:pStyle w:val="ListParagraph"/>
        <w:numPr>
          <w:ilvl w:val="0"/>
          <w:numId w:val="1"/>
        </w:numPr>
        <w:spacing w:after="80"/>
      </w:pPr>
      <w:r>
        <w:t xml:space="preserve">What is MNRI®?</w:t>
      </w:r>
    </w:p>
    <w:p>
      <w:pPr>
        <w:pStyle w:val="ListParagraph"/>
        <w:numPr>
          <w:ilvl w:val="0"/>
          <w:numId w:val="1"/>
        </w:numPr>
        <w:spacing w:after="80"/>
      </w:pPr>
      <w:r>
        <w:t xml:space="preserve">How can MNRI® help my child?</w:t>
      </w:r>
    </w:p>
    <w:p>
      <w:pPr>
        <w:pStyle w:val="ListParagraph"/>
        <w:numPr>
          <w:ilvl w:val="0"/>
          <w:numId w:val="1"/>
        </w:numPr>
        <w:spacing w:after="80"/>
      </w:pPr>
      <w:r>
        <w:t xml:space="preserve">When should we consider MNRI®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MNRI®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00f5a02ea4ec58cc733f685e8553e66f598e2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 Pediatric OT Mumbai | Thrive With Sharuja</dc:title>
  <dc:creator>Thrive With Sharuja page export</dc:creator>
  <dc:description>MNRI® reflex integration for children in Kandivali. Foundational nervous system support for movement, regulation, and learning with Dr. Sharuja Sarap.</dc:description>
  <cp:lastModifiedBy>Un-named</cp:lastModifiedBy>
  <cp:revision>1</cp:revision>
  <dcterms:created xsi:type="dcterms:W3CDTF">2026-06-23T09:33:15.746Z</dcterms:created>
  <dcterms:modified xsi:type="dcterms:W3CDTF">2026-06-23T09:33:15.746Z</dcterms:modified>
</cp:coreProperties>
</file>

<file path=docProps/custom.xml><?xml version="1.0" encoding="utf-8"?>
<Properties xmlns="http://schemas.openxmlformats.org/officeDocument/2006/custom-properties" xmlns:vt="http://schemas.openxmlformats.org/officeDocument/2006/docPropsVTypes"/>
</file>