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4FD8" w:val="clear"/>
        <w:spacing w:after="0" w:before="2880"/>
      </w:pPr>
      <w:r>
        <w:rPr>
          <w:sz w:val="2"/>
          <w:szCs w:val="2"/>
        </w:rPr>
        <w:t xml:space="preserve"/>
      </w:r>
    </w:p>
    <w:p>
      <w:pPr>
        <w:shd w:fill="0B4FD8" w:val="clear"/>
        <w:spacing w:after="80" w:before="0"/>
        <w:jc w:val="center"/>
      </w:pPr>
      <w:r>
        <w:rPr>
          <w:rFonts w:ascii="Arial" w:cs="Arial" w:eastAsia="Arial" w:hAnsi="Arial"/>
          <w:b/>
          <w:bCs/>
          <w:color w:val="FFFFFF"/>
          <w:sz w:val="80"/>
          <w:szCs w:val="80"/>
        </w:rPr>
        <w:t xml:space="preserve">QBANK</w:t>
      </w:r>
    </w:p>
    <w:p>
      <w:pPr>
        <w:shd w:fill="0B4FD8" w:val="clear"/>
        <w:spacing w:after="240" w:before="0"/>
        <w:jc w:val="center"/>
      </w:pPr>
      <w:r>
        <w:rPr>
          <w:rFonts w:ascii="Arial" w:cs="Arial" w:eastAsia="Arial" w:hAnsi="Arial"/>
          <w:color w:val="BFD3FF"/>
          <w:sz w:val="28"/>
          <w:szCs w:val="28"/>
        </w:rPr>
        <w:t xml:space="preserve">AI-Native Banking Software Platform</w:t>
      </w:r>
    </w:p>
    <w:p>
      <w:pPr>
        <w:shd w:fill="0B4FD8" w:val="clear"/>
        <w:spacing w:after="120" w:before="0"/>
        <w:jc w:val="center"/>
      </w:pPr>
      <w:r>
        <w:rPr>
          <w:rFonts w:ascii="Arial" w:cs="Arial" w:eastAsia="Arial" w:hAnsi="Arial"/>
          <w:b/>
          <w:bCs/>
          <w:color w:val="FFFFFF"/>
          <w:sz w:val="36"/>
          <w:szCs w:val="36"/>
        </w:rPr>
        <w:t xml:space="preserve">Business Requirements Document</w:t>
      </w:r>
    </w:p>
    <w:p>
      <w:pPr>
        <w:shd w:fill="0B4FD8" w:val="clear"/>
        <w:spacing w:after="480" w:before="0"/>
        <w:jc w:val="center"/>
      </w:pPr>
      <w:r>
        <w:rPr>
          <w:rFonts w:ascii="Arial" w:cs="Arial" w:eastAsia="Arial" w:hAnsi="Arial"/>
          <w:color w:val="90AFFF"/>
          <w:sz w:val="22"/>
          <w:szCs w:val="22"/>
        </w:rPr>
        <w:t xml:space="preserve">Version 1.3  ·  June 2026  ·  CONFIDENTIAL</w:t>
      </w:r>
    </w:p>
    <w:p>
      <w:pPr>
        <w:shd w:fill="0B4FD8" w:val="clear"/>
        <w:spacing w:after="0" w:before="0"/>
      </w:pPr>
      <w:r>
        <w:rPr>
          <w:sz w:val="2"/>
          <w:szCs w:val="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FFFFFF" w:sz="1"/>
              <w:left w:val="single" w:color="FFFFFF" w:sz="1"/>
              <w:bottom w:val="single" w:color="FFFFFF" w:sz="1"/>
              <w:right w:val="single" w:color="FFFFFF" w:sz="1"/>
            </w:tcBorders>
            <w:shd w:fill="0B4FD8" w:val="clear"/>
            <w:tcMar>
              <w:top w:type="dxa" w:w="80"/>
              <w:left w:type="dxa" w:w="160"/>
              <w:bottom w:type="dxa" w:w="80"/>
              <w:right w:type="dxa" w:w="160"/>
            </w:tcMar>
          </w:tcPr>
          <w:p>
            <w:r>
              <w:rPr>
                <w:rFonts w:ascii="Arial" w:cs="Arial" w:eastAsia="Arial" w:hAnsi="Arial"/>
                <w:caps/>
                <w:color w:val="90AFFF"/>
                <w:sz w:val="18"/>
                <w:szCs w:val="18"/>
              </w:rPr>
              <w:t xml:space="preserve">Prepared by</w:t>
            </w:r>
          </w:p>
        </w:tc>
        <w:tc>
          <w:tcPr>
            <w:tcW w:type="dxa" w:w="3000"/>
            <w:tcBorders>
              <w:top w:val="single" w:color="FFFFFF" w:sz="1"/>
              <w:left w:val="single" w:color="FFFFFF" w:sz="1"/>
              <w:bottom w:val="single" w:color="FFFFFF" w:sz="1"/>
              <w:right w:val="single" w:color="FFFFFF" w:sz="1"/>
            </w:tcBorders>
            <w:shd w:fill="0B4FD8" w:val="clear"/>
            <w:tcMar>
              <w:top w:type="dxa" w:w="80"/>
              <w:left w:type="dxa" w:w="160"/>
              <w:bottom w:type="dxa" w:w="80"/>
              <w:right w:type="dxa" w:w="160"/>
            </w:tcMar>
          </w:tcPr>
          <w:p>
            <w:r>
              <w:rPr>
                <w:rFonts w:ascii="Arial" w:cs="Arial" w:eastAsia="Arial" w:hAnsi="Arial"/>
                <w:caps/>
                <w:color w:val="90AFFF"/>
                <w:sz w:val="18"/>
                <w:szCs w:val="18"/>
              </w:rPr>
              <w:t xml:space="preserve">Status</w:t>
            </w:r>
          </w:p>
        </w:tc>
      </w:tr>
      <w:tr>
        <w:tc>
          <w:tcPr>
            <w:tcW w:type="dxa" w:w="3000"/>
            <w:tcBorders>
              <w:top w:val="single" w:color="FFFFFF" w:sz="1"/>
              <w:left w:val="single" w:color="FFFFFF" w:sz="1"/>
              <w:bottom w:val="single" w:color="FFFFFF" w:sz="1"/>
              <w:right w:val="single" w:color="FFFFFF" w:sz="1"/>
            </w:tcBorders>
            <w:shd w:fill="0B4FD8" w:val="clear"/>
            <w:tcMar>
              <w:top w:type="dxa" w:w="0"/>
              <w:left w:type="dxa" w:w="160"/>
              <w:bottom w:type="dxa" w:w="80"/>
              <w:right w:type="dxa" w:w="160"/>
            </w:tcMar>
          </w:tcPr>
          <w:p>
            <w:r>
              <w:rPr>
                <w:rFonts w:ascii="Arial" w:cs="Arial" w:eastAsia="Arial" w:hAnsi="Arial"/>
                <w:b/>
                <w:bCs/>
                <w:color w:val="FFFFFF"/>
                <w:sz w:val="20"/>
                <w:szCs w:val="20"/>
              </w:rPr>
              <w:t xml:space="preserve">Product Management — QualGen AI</w:t>
            </w:r>
          </w:p>
        </w:tc>
        <w:tc>
          <w:tcPr>
            <w:tcW w:type="dxa" w:w="3000"/>
            <w:tcBorders>
              <w:top w:val="single" w:color="FFFFFF" w:sz="1"/>
              <w:left w:val="single" w:color="FFFFFF" w:sz="1"/>
              <w:bottom w:val="single" w:color="FFFFFF" w:sz="1"/>
              <w:right w:val="single" w:color="FFFFFF" w:sz="1"/>
            </w:tcBorders>
            <w:shd w:fill="0B4FD8" w:val="clear"/>
            <w:tcMar>
              <w:top w:type="dxa" w:w="0"/>
              <w:left w:type="dxa" w:w="160"/>
              <w:bottom w:type="dxa" w:w="80"/>
              <w:right w:type="dxa" w:w="160"/>
            </w:tcMar>
          </w:tcPr>
          <w:p>
            <w:r>
              <w:rPr>
                <w:rFonts w:ascii="Arial" w:cs="Arial" w:eastAsia="Arial" w:hAnsi="Arial"/>
                <w:b/>
                <w:bCs/>
                <w:color w:val="FFFFFF"/>
                <w:sz w:val="20"/>
                <w:szCs w:val="20"/>
              </w:rPr>
              <w:t xml:space="preserve">Draft — For Tech Review</w:t>
            </w:r>
          </w:p>
        </w:tc>
      </w:tr>
    </w:tbl>
    <w:p>
      <w:pPr>
        <w:shd w:fill="0B4FD8" w:val="clear"/>
      </w:pPr>
      <w:r>
        <w:br w:type="page"/>
      </w:r>
    </w:p>
    <w:p>
      <w:pPr>
        <w:sectPr>
          <w:pgSz w:w="11906" w:h="16838" w:orient="portrait"/>
          <w:pgMar w:top="0" w:right="0" w:bottom="0" w:left="0" w:header="708" w:footer="708" w:gutter="0"/>
          <w:pgNumType/>
          <w:docGrid w:linePitch="360"/>
        </w:sectPr>
      </w:pPr>
    </w:p>
    <w:p>
      <w:pPr>
        <w:pStyle w:val="Heading1"/>
        <w:pBdr>
          <w:bottom w:val="single" w:color="0B4FD8" w:sz="12" w:space="4"/>
        </w:pBdr>
        <w:spacing w:after="200" w:before="400"/>
      </w:pPr>
      <w:r>
        <w:rPr>
          <w:rFonts w:ascii="Arial" w:cs="Arial" w:eastAsia="Arial" w:hAnsi="Arial"/>
          <w:b/>
          <w:bCs/>
          <w:color w:val="111827"/>
          <w:sz w:val="36"/>
          <w:szCs w:val="36"/>
        </w:rPr>
        <w:t xml:space="preserve">1. Executive Summary</w:t>
      </w:r>
    </w:p>
    <w:p>
      <w:pPr>
        <w:spacing w:after="60" w:before="60"/>
      </w:pPr>
      <w:r>
        <w:rPr>
          <w:rFonts w:ascii="Arial" w:cs="Arial" w:eastAsia="Arial" w:hAnsi="Arial"/>
          <w:color w:val="111827"/>
          <w:sz w:val="22"/>
          <w:szCs w:val="22"/>
        </w:rPr>
        <w:t xml:space="preserve">QBank is an AI-native banking software platform built for small and medium-scale banks. QBank is not a bank — it is technology. Licensed banks and financial institutions ("Client Banks") deploy QBank's platform to power their own branded digital banking services, offering their customers Individual and Business accounts with multi-currency capability, intelligent payments, real-time currency exchange, and a deeply embedded AI layer.</w:t>
      </w:r>
    </w:p>
    <w:p>
      <w:pPr>
        <w:spacing w:after="60" w:before="60"/>
      </w:pPr>
      <w:r>
        <w:t xml:space="preserve"/>
      </w:r>
    </w:p>
    <w:p>
      <w:pPr>
        <w:spacing w:after="60" w:before="60"/>
      </w:pPr>
      <w:r>
        <w:rPr>
          <w:rFonts w:ascii="Arial" w:cs="Arial" w:eastAsia="Arial" w:hAnsi="Arial"/>
          <w:color w:val="111827"/>
          <w:sz w:val="22"/>
          <w:szCs w:val="22"/>
        </w:rPr>
        <w:t xml:space="preserve">The relationship is B2B2C: QBank (software vendor) → Client Bank (licensee, regulated entity, account issuer) → End Customer (the bank's account holder). The Client Bank holds the banking licence, issues account numbers and IBANs, owns the customer relationship, and operates the back-office compliance and KYC approval workflows. QBank provides the complete technology stack that makes this possible.</w:t>
      </w:r>
    </w:p>
    <w:p>
      <w:pPr>
        <w:spacing w:after="60" w:before="60"/>
      </w:pPr>
      <w:r>
        <w:t xml:space="preserve"/>
      </w:r>
    </w:p>
    <w:p>
      <w:pPr>
        <w:spacing w:after="60" w:before="60"/>
      </w:pPr>
      <w:r>
        <w:rPr>
          <w:rFonts w:ascii="Arial" w:cs="Arial" w:eastAsia="Arial" w:hAnsi="Arial"/>
          <w:color w:val="111827"/>
          <w:sz w:val="22"/>
          <w:szCs w:val="22"/>
        </w:rPr>
        <w:t xml:space="preserve">This document specifies the functional, business, and AI requirements for the QBank Customer Portal — the primary customer-facing web application that Client Banks deploy for their end customers. It is authored for the engineering and design teams responsible for building and delivering the platform.</w:t>
      </w:r>
    </w:p>
    <w:p>
      <w:pPr>
        <w:spacing w:after="60" w:before="60"/>
      </w:pPr>
      <w:r>
        <w:t xml:space="preserve"/>
      </w:r>
    </w:p>
    <w:p>
      <w:pPr>
        <w:spacing w:after="80" w:before="160"/>
      </w:pPr>
      <w:r>
        <w:rPr>
          <w:rFonts w:ascii="Arial" w:cs="Arial" w:eastAsia="Arial" w:hAnsi="Arial"/>
          <w:b/>
          <w:bCs/>
          <w:color w:val="111827"/>
          <w:sz w:val="22"/>
          <w:szCs w:val="22"/>
        </w:rPr>
        <w:t xml:space="preserve">Key Product Pillars</w:t>
      </w:r>
    </w:p>
    <w:p>
      <w:pPr>
        <w:pStyle w:val="ListParagraph"/>
        <w:numPr>
          <w:ilvl w:val="0"/>
          <w:numId w:val="2"/>
        </w:numPr>
        <w:spacing w:after="50" w:before="50"/>
      </w:pPr>
      <w:r>
        <w:rPr>
          <w:rFonts w:ascii="Arial" w:cs="Arial" w:eastAsia="Arial" w:hAnsi="Arial"/>
          <w:color w:val="111827"/>
          <w:sz w:val="22"/>
          <w:szCs w:val="22"/>
        </w:rPr>
        <w:t xml:space="preserve">AI-First Experience — AI is not a feature, it is the foundation. From onboarding (document parsing) to payments (smart reference extraction) to insights (budget coaching), every screen has an AI touch point.</w:t>
      </w:r>
    </w:p>
    <w:p>
      <w:pPr>
        <w:pStyle w:val="ListParagraph"/>
        <w:numPr>
          <w:ilvl w:val="0"/>
          <w:numId w:val="2"/>
        </w:numPr>
        <w:spacing w:after="50" w:before="50"/>
      </w:pPr>
      <w:r>
        <w:rPr>
          <w:rFonts w:ascii="Arial" w:cs="Arial" w:eastAsia="Arial" w:hAnsi="Arial"/>
          <w:color w:val="111827"/>
          <w:sz w:val="22"/>
          <w:szCs w:val="22"/>
        </w:rPr>
        <w:t xml:space="preserve">Multi-Currency by Default — Every end customer's primary account currency is determined by their country of residence at onboarding: UK residents receive a Sterling (GBP) account, US residents receive a USD account, and Eurozone residents receive a EUR account. The remaining two currency accounts can be requested via the portal and are activated by the Client Bank's back-office team.</w:t>
      </w:r>
    </w:p>
    <w:p>
      <w:pPr>
        <w:pStyle w:val="ListParagraph"/>
        <w:numPr>
          <w:ilvl w:val="0"/>
          <w:numId w:val="2"/>
        </w:numPr>
        <w:spacing w:after="50" w:before="50"/>
      </w:pPr>
      <w:r>
        <w:rPr>
          <w:rFonts w:ascii="Arial" w:cs="Arial" w:eastAsia="Arial" w:hAnsi="Arial"/>
          <w:color w:val="111827"/>
          <w:sz w:val="22"/>
          <w:szCs w:val="22"/>
        </w:rPr>
        <w:t xml:space="preserve">Global Payment Rails — FPS, CHAPS, SEPA, SWIFT, ACH, and RTP are all supported. The system auto-selects the correct rail based on recipient currency and country.</w:t>
      </w:r>
    </w:p>
    <w:p>
      <w:pPr>
        <w:pStyle w:val="ListParagraph"/>
        <w:numPr>
          <w:ilvl w:val="0"/>
          <w:numId w:val="2"/>
        </w:numPr>
        <w:spacing w:after="50" w:before="50"/>
      </w:pPr>
      <w:r>
        <w:rPr>
          <w:rFonts w:ascii="Arial" w:cs="Arial" w:eastAsia="Arial" w:hAnsi="Arial"/>
          <w:color w:val="111827"/>
          <w:sz w:val="22"/>
          <w:szCs w:val="22"/>
        </w:rPr>
        <w:t xml:space="preserve">Zero FX Spread — All currency exchange is at mid-market rates with no hidden fees, a core competitive differentiator available to every Client Bank deploying QBank.</w:t>
      </w:r>
    </w:p>
    <w:p>
      <w:pPr>
        <w:pStyle w:val="ListParagraph"/>
        <w:numPr>
          <w:ilvl w:val="0"/>
          <w:numId w:val="2"/>
        </w:numPr>
        <w:spacing w:after="50" w:before="50"/>
      </w:pPr>
      <w:r>
        <w:rPr>
          <w:rFonts w:ascii="Arial" w:cs="Arial" w:eastAsia="Arial" w:hAnsi="Arial"/>
          <w:color w:val="111827"/>
          <w:sz w:val="22"/>
          <w:szCs w:val="22"/>
        </w:rPr>
        <w:t xml:space="preserve">Compliance-Embedded — KYC/AML checks are woven into onboarding, not bolted on after. PEP screening and sanctions checks run at signup. The Client Bank's compliance team reviews and approves all applications via the back-office admin portal.</w:t>
      </w:r>
    </w:p>
    <w:p>
      <w:pPr>
        <w:pStyle w:val="ListParagraph"/>
        <w:numPr>
          <w:ilvl w:val="0"/>
          <w:numId w:val="2"/>
        </w:numPr>
        <w:spacing w:after="50" w:before="50"/>
      </w:pPr>
      <w:r>
        <w:rPr>
          <w:rFonts w:ascii="Arial" w:cs="Arial" w:eastAsia="Arial" w:hAnsi="Arial"/>
          <w:color w:val="111827"/>
          <w:sz w:val="22"/>
          <w:szCs w:val="22"/>
        </w:rPr>
        <w:t xml:space="preserve">White-Label Ready — The portal is designed to be deployed under the Client Bank's own brand, domain, and colour palette. QBank's branding appears only in internal and vendor contexts.</w:t>
      </w:r>
    </w:p>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2. Product Scope &amp; Out-of-Scope</w:t>
      </w:r>
    </w:p>
    <w:p>
      <w:pPr>
        <w:pStyle w:val="Heading2"/>
        <w:spacing w:after="140" w:before="300"/>
      </w:pPr>
      <w:r>
        <w:rPr>
          <w:rFonts w:ascii="Arial" w:cs="Arial" w:eastAsia="Arial" w:hAnsi="Arial"/>
          <w:b/>
          <w:bCs/>
          <w:color w:val="0B4FD8"/>
          <w:sz w:val="28"/>
          <w:szCs w:val="28"/>
        </w:rPr>
        <w:t xml:space="preserve">2.1 Platform Model</w:t>
      </w:r>
    </w:p>
    <w:p>
      <w:pPr>
        <w:spacing w:after="60" w:before="60"/>
      </w:pPr>
      <w:r>
        <w:rPr>
          <w:rFonts w:ascii="Arial" w:cs="Arial" w:eastAsia="Arial" w:hAnsi="Arial"/>
          <w:color w:val="111827"/>
          <w:sz w:val="22"/>
          <w:szCs w:val="22"/>
        </w:rPr>
        <w:t xml:space="preserve">QBank operates as a B2B SaaS banking software vendor. The platform is licensed to Client Banks — small and medium-scale regulated banks and financial institutions — who deploy it to serve their own end customers. QBank does not itself issue accounts, hold customer funds, or act as a regulated banking entity. All regulated activities (account issuance, payment execution, KYC approval, AML compliance, funds safeguarding) are the responsibility of the Client Bank operating under their own licence.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QBank (Software Vendor)</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Provides the technology platform: customer portal, onboarding engine, AI layer, payment UI, FX interface, KYC workflow tooling, and back-office admin portal. Responsible for software quality, security, and feature development.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Client Bank (Licensee)</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regulated bank or financial institution that licences QBank's platform. Deploys the portal under their own brand. Holds the banking licence. Issues account numbers, IBANs, and sort codes. Owns the customer relationship. Operates the back-office KYC and compliance workflows.</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End Customer (Bank's Customer)</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individual or business that opens an account with the Client Bank via the QBank-powered portal. Interacts with the portal as if it were the Client Bank's own product.</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2.2 In Scope</w:t>
      </w:r>
    </w:p>
    <w:p>
      <w:pPr>
        <w:pStyle w:val="ListParagraph"/>
        <w:numPr>
          <w:ilvl w:val="0"/>
          <w:numId w:val="2"/>
        </w:numPr>
        <w:spacing w:after="50" w:before="50"/>
      </w:pPr>
      <w:r>
        <w:rPr>
          <w:rFonts w:ascii="Arial" w:cs="Arial" w:eastAsia="Arial" w:hAnsi="Arial"/>
          <w:color w:val="111827"/>
          <w:sz w:val="22"/>
          <w:szCs w:val="22"/>
        </w:rPr>
        <w:t xml:space="preserve">White-label customer-facing web portal (responsive, desktop-first), deployable by any Client Bank</w:t>
      </w:r>
    </w:p>
    <w:p>
      <w:pPr>
        <w:pStyle w:val="ListParagraph"/>
        <w:numPr>
          <w:ilvl w:val="0"/>
          <w:numId w:val="2"/>
        </w:numPr>
        <w:spacing w:after="50" w:before="50"/>
      </w:pPr>
      <w:r>
        <w:rPr>
          <w:rFonts w:ascii="Arial" w:cs="Arial" w:eastAsia="Arial" w:hAnsi="Arial"/>
          <w:color w:val="111827"/>
          <w:sz w:val="22"/>
          <w:szCs w:val="22"/>
        </w:rPr>
        <w:t xml:space="preserve">7-step onboarding with OTP verification and AI document parsing — Individual and Business account types</w:t>
      </w:r>
    </w:p>
    <w:p>
      <w:pPr>
        <w:pStyle w:val="ListParagraph"/>
        <w:numPr>
          <w:ilvl w:val="0"/>
          <w:numId w:val="2"/>
        </w:numPr>
        <w:spacing w:after="50" w:before="50"/>
      </w:pPr>
      <w:r>
        <w:rPr>
          <w:rFonts w:ascii="Arial" w:cs="Arial" w:eastAsia="Arial" w:hAnsi="Arial"/>
          <w:color w:val="111827"/>
          <w:sz w:val="22"/>
          <w:szCs w:val="22"/>
        </w:rPr>
        <w:t xml:space="preserve">Multi-currency account management (GBP, EUR, USD) — primary account determined by country of residence</w:t>
      </w:r>
    </w:p>
    <w:p>
      <w:pPr>
        <w:pStyle w:val="ListParagraph"/>
        <w:numPr>
          <w:ilvl w:val="0"/>
          <w:numId w:val="2"/>
        </w:numPr>
        <w:spacing w:after="50" w:before="50"/>
      </w:pPr>
      <w:r>
        <w:rPr>
          <w:rFonts w:ascii="Arial" w:cs="Arial" w:eastAsia="Arial" w:hAnsi="Arial"/>
          <w:color w:val="111827"/>
          <w:sz w:val="22"/>
          <w:szCs w:val="22"/>
        </w:rPr>
        <w:t xml:space="preserve">Payments: Pay Someone, Internal Transfer (via Exchange), Request Money, Beneficiary Management</w:t>
      </w:r>
    </w:p>
    <w:p>
      <w:pPr>
        <w:pStyle w:val="ListParagraph"/>
        <w:numPr>
          <w:ilvl w:val="0"/>
          <w:numId w:val="2"/>
        </w:numPr>
        <w:spacing w:after="50" w:before="50"/>
      </w:pPr>
      <w:r>
        <w:rPr>
          <w:rFonts w:ascii="Arial" w:cs="Arial" w:eastAsia="Arial" w:hAnsi="Arial"/>
          <w:color w:val="111827"/>
          <w:sz w:val="22"/>
          <w:szCs w:val="22"/>
        </w:rPr>
        <w:t xml:space="preserve">Real-time currency exchange with two-way live calculator</w:t>
      </w:r>
    </w:p>
    <w:p>
      <w:pPr>
        <w:pStyle w:val="ListParagraph"/>
        <w:numPr>
          <w:ilvl w:val="0"/>
          <w:numId w:val="2"/>
        </w:numPr>
        <w:spacing w:after="50" w:before="50"/>
      </w:pPr>
      <w:r>
        <w:rPr>
          <w:rFonts w:ascii="Arial" w:cs="Arial" w:eastAsia="Arial" w:hAnsi="Arial"/>
          <w:color w:val="111827"/>
          <w:sz w:val="22"/>
          <w:szCs w:val="22"/>
        </w:rPr>
        <w:t xml:space="preserve">Monthly statements per currency account</w:t>
      </w:r>
    </w:p>
    <w:p>
      <w:pPr>
        <w:pStyle w:val="ListParagraph"/>
        <w:numPr>
          <w:ilvl w:val="0"/>
          <w:numId w:val="2"/>
        </w:numPr>
        <w:spacing w:after="50" w:before="50"/>
      </w:pPr>
      <w:r>
        <w:rPr>
          <w:rFonts w:ascii="Arial" w:cs="Arial" w:eastAsia="Arial" w:hAnsi="Arial"/>
          <w:color w:val="111827"/>
          <w:sz w:val="22"/>
          <w:szCs w:val="22"/>
        </w:rPr>
        <w:t xml:space="preserve">AI Insights engine (spending analysis, budget nudges, FX alerts, savings coaching)</w:t>
      </w:r>
    </w:p>
    <w:p>
      <w:pPr>
        <w:pStyle w:val="ListParagraph"/>
        <w:numPr>
          <w:ilvl w:val="0"/>
          <w:numId w:val="2"/>
        </w:numPr>
        <w:spacing w:after="50" w:before="50"/>
      </w:pPr>
      <w:r>
        <w:rPr>
          <w:rFonts w:ascii="Arial" w:cs="Arial" w:eastAsia="Arial" w:hAnsi="Arial"/>
          <w:color w:val="111827"/>
          <w:sz w:val="22"/>
          <w:szCs w:val="22"/>
        </w:rPr>
        <w:t xml:space="preserve">Virtual card management</w:t>
      </w:r>
    </w:p>
    <w:p>
      <w:pPr>
        <w:pStyle w:val="ListParagraph"/>
        <w:numPr>
          <w:ilvl w:val="0"/>
          <w:numId w:val="2"/>
        </w:numPr>
        <w:spacing w:after="50" w:before="50"/>
      </w:pPr>
      <w:r>
        <w:rPr>
          <w:rFonts w:ascii="Arial" w:cs="Arial" w:eastAsia="Arial" w:hAnsi="Arial"/>
          <w:color w:val="111827"/>
          <w:sz w:val="22"/>
          <w:szCs w:val="22"/>
        </w:rPr>
        <w:t xml:space="preserve">Profile, security, and notification preferences</w:t>
      </w:r>
    </w:p>
    <w:p>
      <w:pPr>
        <w:pStyle w:val="ListParagraph"/>
        <w:numPr>
          <w:ilvl w:val="0"/>
          <w:numId w:val="2"/>
        </w:numPr>
        <w:spacing w:after="50" w:before="50"/>
      </w:pPr>
      <w:r>
        <w:rPr>
          <w:rFonts w:ascii="Arial" w:cs="Arial" w:eastAsia="Arial" w:hAnsi="Arial"/>
          <w:color w:val="111827"/>
          <w:sz w:val="22"/>
          <w:szCs w:val="22"/>
        </w:rPr>
        <w:t xml:space="preserve">Team &amp; Access management for Business account holders (Owner, Admin, Finance, Viewer roles)</w:t>
      </w:r>
    </w:p>
    <w:p>
      <w:pPr>
        <w:pStyle w:val="ListParagraph"/>
        <w:numPr>
          <w:ilvl w:val="0"/>
          <w:numId w:val="2"/>
        </w:numPr>
        <w:spacing w:after="50" w:before="50"/>
      </w:pPr>
      <w:r>
        <w:rPr>
          <w:rFonts w:ascii="Arial" w:cs="Arial" w:eastAsia="Arial" w:hAnsi="Arial"/>
          <w:color w:val="111827"/>
          <w:sz w:val="22"/>
          <w:szCs w:val="22"/>
        </w:rPr>
        <w:t xml:space="preserve">KYC Application Status Gate — pending screen with real-time status updates from the Client Bank's compliance team</w:t>
      </w:r>
    </w:p>
    <w:p>
      <w:pPr>
        <w:pStyle w:val="ListParagraph"/>
        <w:numPr>
          <w:ilvl w:val="0"/>
          <w:numId w:val="2"/>
        </w:numPr>
        <w:spacing w:after="50" w:before="50"/>
      </w:pPr>
      <w:r>
        <w:rPr>
          <w:rFonts w:ascii="Arial" w:cs="Arial" w:eastAsia="Arial" w:hAnsi="Arial"/>
          <w:color w:val="111827"/>
          <w:sz w:val="22"/>
          <w:szCs w:val="22"/>
        </w:rPr>
        <w:t xml:space="preserve">Integration with the Client Bank's core banking infrastructure via internal BaaS layer</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2.3 Out of Scope (This Release)</w:t>
      </w:r>
    </w:p>
    <w:p>
      <w:pPr>
        <w:pStyle w:val="ListParagraph"/>
        <w:numPr>
          <w:ilvl w:val="0"/>
          <w:numId w:val="2"/>
        </w:numPr>
        <w:spacing w:after="50" w:before="50"/>
      </w:pPr>
      <w:r>
        <w:rPr>
          <w:rFonts w:ascii="Arial" w:cs="Arial" w:eastAsia="Arial" w:hAnsi="Arial"/>
          <w:color w:val="111827"/>
          <w:sz w:val="22"/>
          <w:szCs w:val="22"/>
        </w:rPr>
        <w:t xml:space="preserve">Admin / Back-office portal (separate QBank product delivered to the Client Bank's operations team)</w:t>
      </w:r>
    </w:p>
    <w:p>
      <w:pPr>
        <w:pStyle w:val="ListParagraph"/>
        <w:numPr>
          <w:ilvl w:val="0"/>
          <w:numId w:val="2"/>
        </w:numPr>
        <w:spacing w:after="50" w:before="50"/>
      </w:pPr>
      <w:r>
        <w:rPr>
          <w:rFonts w:ascii="Arial" w:cs="Arial" w:eastAsia="Arial" w:hAnsi="Arial"/>
          <w:color w:val="111827"/>
          <w:sz w:val="22"/>
          <w:szCs w:val="22"/>
        </w:rPr>
        <w:t xml:space="preserve">Mobile native apps (iOS / Android)</w:t>
      </w:r>
    </w:p>
    <w:p>
      <w:pPr>
        <w:pStyle w:val="ListParagraph"/>
        <w:numPr>
          <w:ilvl w:val="0"/>
          <w:numId w:val="2"/>
        </w:numPr>
        <w:spacing w:after="50" w:before="50"/>
      </w:pPr>
      <w:r>
        <w:rPr>
          <w:rFonts w:ascii="Arial" w:cs="Arial" w:eastAsia="Arial" w:hAnsi="Arial"/>
          <w:color w:val="111827"/>
          <w:sz w:val="22"/>
          <w:szCs w:val="22"/>
        </w:rPr>
        <w:t xml:space="preserve">Savings or investment products</w:t>
      </w:r>
    </w:p>
    <w:p>
      <w:pPr>
        <w:pStyle w:val="ListParagraph"/>
        <w:numPr>
          <w:ilvl w:val="0"/>
          <w:numId w:val="2"/>
        </w:numPr>
        <w:spacing w:after="50" w:before="50"/>
      </w:pPr>
      <w:r>
        <w:rPr>
          <w:rFonts w:ascii="Arial" w:cs="Arial" w:eastAsia="Arial" w:hAnsi="Arial"/>
          <w:color w:val="111827"/>
          <w:sz w:val="22"/>
          <w:szCs w:val="22"/>
        </w:rPr>
        <w:t xml:space="preserve">Crypto functionality</w:t>
      </w:r>
    </w:p>
    <w:p>
      <w:pPr>
        <w:pStyle w:val="ListParagraph"/>
        <w:numPr>
          <w:ilvl w:val="0"/>
          <w:numId w:val="2"/>
        </w:numPr>
        <w:spacing w:after="50" w:before="50"/>
      </w:pPr>
      <w:r>
        <w:rPr>
          <w:rFonts w:ascii="Arial" w:cs="Arial" w:eastAsia="Arial" w:hAnsi="Arial"/>
          <w:color w:val="111827"/>
          <w:sz w:val="22"/>
          <w:szCs w:val="22"/>
        </w:rPr>
        <w:t xml:space="preserve">Lending or credit features</w:t>
      </w:r>
    </w:p>
    <w:p>
      <w:pPr>
        <w:pStyle w:val="ListParagraph"/>
        <w:numPr>
          <w:ilvl w:val="0"/>
          <w:numId w:val="2"/>
        </w:numPr>
        <w:spacing w:after="50" w:before="50"/>
      </w:pPr>
      <w:r>
        <w:rPr>
          <w:rFonts w:ascii="Arial" w:cs="Arial" w:eastAsia="Arial" w:hAnsi="Arial"/>
          <w:color w:val="111827"/>
          <w:sz w:val="22"/>
          <w:szCs w:val="22"/>
        </w:rPr>
        <w:t xml:space="preserve">Customer support chat (separate integration)</w:t>
      </w:r>
    </w:p>
    <w:p>
      <w:pPr>
        <w:pStyle w:val="ListParagraph"/>
        <w:numPr>
          <w:ilvl w:val="0"/>
          <w:numId w:val="2"/>
        </w:numPr>
        <w:spacing w:after="50" w:before="50"/>
      </w:pPr>
      <w:r>
        <w:rPr>
          <w:rFonts w:ascii="Arial" w:cs="Arial" w:eastAsia="Arial" w:hAnsi="Arial"/>
          <w:color w:val="111827"/>
          <w:sz w:val="22"/>
          <w:szCs w:val="22"/>
        </w:rPr>
        <w:t xml:space="preserve">QBank's own regulatory or banking licence obligations (these rest with the Client Bank)</w:t>
      </w:r>
    </w:p>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3. User Types &amp; Account Architecture</w:t>
      </w:r>
    </w:p>
    <w:p>
      <w:pPr>
        <w:pStyle w:val="Heading2"/>
        <w:spacing w:after="140" w:before="300"/>
      </w:pPr>
      <w:r>
        <w:rPr>
          <w:rFonts w:ascii="Arial" w:cs="Arial" w:eastAsia="Arial" w:hAnsi="Arial"/>
          <w:b/>
          <w:bCs/>
          <w:color w:val="0B4FD8"/>
          <w:sz w:val="28"/>
          <w:szCs w:val="28"/>
        </w:rPr>
        <w:t xml:space="preserve">3.1 Platform Stakeholder Model</w:t>
      </w:r>
    </w:p>
    <w:p>
      <w:pPr>
        <w:spacing w:after="60" w:before="60"/>
      </w:pPr>
      <w:r>
        <w:rPr>
          <w:rFonts w:ascii="Arial" w:cs="Arial" w:eastAsia="Arial" w:hAnsi="Arial"/>
          <w:color w:val="111827"/>
          <w:sz w:val="22"/>
          <w:szCs w:val="22"/>
        </w:rPr>
        <w:t xml:space="preserve">QBank's platform serves three distinct stakeholder tiers. Understanding this model is essential for correctly interpreting all requirements in this document. When requirements refer to "the admin" or "the back-office team", this always means the Client Bank's own staff — not QBank personnel.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Actor</w:t>
            </w:r>
          </w:p>
        </w:tc>
        <w:tc>
          <w:tcPr>
            <w:tcW w:type="dxa" w:w="5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 in the Platform</w:t>
            </w:r>
          </w:p>
        </w:tc>
      </w:tr>
      <w:tr>
        <w:tc>
          <w:tcPr>
            <w:tcW w:type="dxa" w:w="1800"/>
            <w:tcBorders>
              <w:top w:val="single" w:color="DDDDDD" w:sz="4"/>
              <w:left w:val="single" w:color="DDDDDD" w:sz="4"/>
              <w:bottom w:val="single" w:color="DDDDDD" w:sz="4"/>
              <w:right w:val="single" w:color="DDDDDD" w:sz="4"/>
            </w:tcBorders>
            <w:shd w:fill="EEF2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1 — Vendor</w:t>
            </w:r>
          </w:p>
        </w:tc>
        <w:tc>
          <w:tcPr>
            <w:tcW w:type="dxa" w:w="2200"/>
            <w:tcBorders>
              <w:top w:val="single" w:color="DDDDDD" w:sz="4"/>
              <w:left w:val="single" w:color="DDDDDD" w:sz="4"/>
              <w:bottom w:val="single" w:color="DDDDDD" w:sz="4"/>
              <w:right w:val="single" w:color="DDDDDD" w:sz="4"/>
            </w:tcBorders>
            <w:shd w:fill="EEF2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QBank (QualGen AI)</w:t>
            </w:r>
          </w:p>
        </w:tc>
        <w:tc>
          <w:tcPr>
            <w:tcW w:type="dxa" w:w="5026"/>
            <w:tcBorders>
              <w:top w:val="single" w:color="DDDDDD" w:sz="4"/>
              <w:left w:val="single" w:color="DDDDDD" w:sz="4"/>
              <w:bottom w:val="single" w:color="DDDDDD" w:sz="4"/>
              <w:right w:val="single" w:color="DDDDDD" w:sz="4"/>
            </w:tcBorders>
            <w:shd w:fill="EEF2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Develops, maintains, and licences the software platform. Does not interact with end customers. Does not hold banking licence. Responsible for platform uptime, security, and feature delivery.</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2 — Client Bank</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Licensed Bank / FI</w:t>
            </w:r>
          </w:p>
        </w:tc>
        <w:tc>
          <w:tcPr>
            <w:tcW w:type="dxa" w:w="5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Deploys QBank's portal under their own brand. Issues accounts (account numbers, IBANs, sort codes). Holds the banking licence. Manages KYC approval, AML compliance, and back-office operations via the QBank Admin Portal. Owns the end customer relationship.</w:t>
            </w:r>
          </w:p>
        </w:tc>
      </w:tr>
      <w:tr>
        <w:tc>
          <w:tcPr>
            <w:tcW w:type="dxa" w:w="18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3 — End Customer</w:t>
            </w:r>
          </w:p>
        </w:tc>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Individual / Business</w:t>
            </w:r>
          </w:p>
        </w:tc>
        <w:tc>
          <w:tcPr>
            <w:tcW w:type="dxa" w:w="5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Opens an Individual or Business account with the Client Bank via the QBank-powered portal. Accesses banking features (payments, exchange, accounts, statements, AI insights) through the customer-facing portal. Does not interact with QBank directly.</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3.2 End Customer Types</w:t>
      </w:r>
    </w:p>
    <w:p>
      <w:pPr>
        <w:spacing w:after="60" w:before="60"/>
      </w:pPr>
      <w:r>
        <w:rPr>
          <w:rFonts w:ascii="Arial" w:cs="Arial" w:eastAsia="Arial" w:hAnsi="Arial"/>
          <w:color w:val="111827"/>
          <w:sz w:val="22"/>
          <w:szCs w:val="22"/>
        </w:rPr>
        <w:t xml:space="preserve">The portal supports two account types offered by the Client Bank to their end customers, selectable at onboarding Step 1:</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Type</w:t>
            </w:r>
          </w:p>
        </w:tc>
        <w:tc>
          <w:tcPr>
            <w:tcW w:type="dxa" w:w="3513"/>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Individual</w:t>
            </w:r>
          </w:p>
        </w:tc>
        <w:tc>
          <w:tcPr>
            <w:tcW w:type="dxa" w:w="3513"/>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Business</w:t>
            </w:r>
          </w:p>
        </w:tc>
      </w:tr>
      <w:tr>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 Docs</w:t>
            </w:r>
          </w:p>
        </w:tc>
        <w:tc>
          <w:tcPr>
            <w:tcW w:type="dxa" w:w="3513"/>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Passport / Driving Licence</w:t>
            </w:r>
          </w:p>
        </w:tc>
        <w:tc>
          <w:tcPr>
            <w:tcW w:type="dxa" w:w="3513"/>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Company Registration + Director ID</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Compliance</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PEP check, income source, sanctions</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UBO declaration, business nature</w:t>
            </w:r>
          </w:p>
        </w:tc>
      </w:tr>
      <w:tr>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Primary Account</w:t>
            </w:r>
          </w:p>
        </w:tc>
        <w:tc>
          <w:tcPr>
            <w:tcW w:type="dxa" w:w="3513"/>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Native currency based on country of residence (GBP / USD / EUR)</w:t>
            </w:r>
          </w:p>
        </w:tc>
        <w:tc>
          <w:tcPr>
            <w:tcW w:type="dxa" w:w="3513"/>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Native currency based on country of residence (GBP / USD / EUR)</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Additional Accounts</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Request EUR and/or USD</w:t>
            </w:r>
          </w:p>
        </w:tc>
        <w:tc>
          <w:tcPr>
            <w:tcW w:type="dxa" w:w="3513"/>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Request EUR and/or USD</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3.3 Country of Residence &amp; Account Architecture</w:t>
      </w:r>
    </w:p>
    <w:p>
      <w:pPr>
        <w:spacing w:after="60" w:before="60"/>
      </w:pPr>
      <w:r>
        <w:rPr>
          <w:rFonts w:ascii="Arial" w:cs="Arial" w:eastAsia="Arial" w:hAnsi="Arial"/>
          <w:color w:val="111827"/>
          <w:sz w:val="22"/>
          <w:szCs w:val="22"/>
        </w:rPr>
        <w:t xml:space="preserve">The country of residence selected at onboarding determines the native currency, primary account type, and payment rails available to the customer.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26"/>
        <w:gridCol w:w="1800"/>
      </w:tblGrid>
      <w:tr>
        <w:trPr>
          <w:tblHeader/>
        </w:trPr>
        <w:tc>
          <w:tcPr>
            <w:tcW w:type="dxa" w:w="16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Region</w:t>
            </w:r>
          </w:p>
        </w:tc>
        <w:tc>
          <w:tcPr>
            <w:tcW w:type="dxa" w:w="16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Native Currency</w:t>
            </w:r>
          </w:p>
        </w:tc>
        <w:tc>
          <w:tcPr>
            <w:tcW w:type="dxa" w:w="18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Primary Account</w:t>
            </w:r>
          </w:p>
        </w:tc>
        <w:tc>
          <w:tcPr>
            <w:tcW w:type="dxa" w:w="22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Account Identifiers</w:t>
            </w:r>
          </w:p>
        </w:tc>
        <w:tc>
          <w:tcPr>
            <w:tcW w:type="dxa" w:w="18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Default Payment Rail</w:t>
            </w:r>
          </w:p>
        </w:tc>
      </w:tr>
      <w:tr>
        <w:tc>
          <w:tcPr>
            <w:tcW w:type="dxa" w:w="16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United Kingdom</w:t>
            </w:r>
          </w:p>
        </w:tc>
        <w:tc>
          <w:tcPr>
            <w:tcW w:type="dxa" w:w="16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Sterling (GBP)</w:t>
            </w:r>
          </w:p>
        </w:tc>
        <w:tc>
          <w:tcPr>
            <w:tcW w:type="dxa" w:w="18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Sterling Account</w:t>
            </w:r>
          </w:p>
        </w:tc>
        <w:tc>
          <w:tcPr>
            <w:tcW w:type="dxa" w:w="22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Sort Code + Account Number</w:t>
            </w:r>
          </w:p>
        </w:tc>
        <w:tc>
          <w:tcPr>
            <w:tcW w:type="dxa" w:w="18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Faster Payments (FPS)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United States</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US Dollar (USD)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USD Account</w:t>
            </w:r>
          </w:p>
        </w:tc>
        <w:tc>
          <w:tcPr>
            <w:tcW w:type="dxa" w:w="2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ABA Routing + Account Number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ACH / RTP</w:t>
            </w:r>
          </w:p>
        </w:tc>
      </w:tr>
      <w:tr>
        <w:tc>
          <w:tcPr>
            <w:tcW w:type="dxa" w:w="16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Europe (22 countries)</w:t>
            </w:r>
          </w:p>
        </w:tc>
        <w:tc>
          <w:tcPr>
            <w:tcW w:type="dxa" w:w="16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Euro (EUR)</w:t>
            </w:r>
          </w:p>
        </w:tc>
        <w:tc>
          <w:tcPr>
            <w:tcW w:type="dxa" w:w="18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EUR Account</w:t>
            </w:r>
          </w:p>
        </w:tc>
        <w:tc>
          <w:tcPr>
            <w:tcW w:type="dxa" w:w="22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IBAN + BIC/SWIFT</w:t>
            </w:r>
          </w:p>
        </w:tc>
        <w:tc>
          <w:tcPr>
            <w:tcW w:type="dxa" w:w="18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SEPA Credit Transfer</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3.4 Additional Account Request Flow</w:t>
      </w:r>
    </w:p>
    <w:p>
      <w:pPr>
        <w:spacing w:after="60" w:before="60"/>
      </w:pPr>
      <w:r>
        <w:rPr>
          <w:rFonts w:ascii="Arial" w:cs="Arial" w:eastAsia="Arial" w:hAnsi="Arial"/>
          <w:color w:val="111827"/>
          <w:sz w:val="22"/>
          <w:szCs w:val="22"/>
        </w:rPr>
        <w:t xml:space="preserve">On registration, only the native currency account is activated. The end customer can request the other two accounts from their home dashboard. These requests are routed to the Client Bank's back-office admin portal for activation by the bank's operations team.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UK customer requests EUR account</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Back-office activates; customer receives IBAN + BIC/SWIFT. Account appears as active on dashboard.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UK customer requests USD account</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Back-office activates; customer receives ABA routing + account number.</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Dashboard state — Pending</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Account card shows "Request Sent — Pending Activation" badge.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Dashboard state — Active</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Account card shows full balance, identifiers, and action buttons.</w:t>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4. Module: Onboarding</w:t>
      </w:r>
    </w:p>
    <w:p>
      <w:pPr>
        <w:spacing w:after="60" w:before="60"/>
      </w:pPr>
      <w:r>
        <w:rPr>
          <w:rFonts w:ascii="Arial" w:cs="Arial" w:eastAsia="Arial" w:hAnsi="Arial"/>
          <w:color w:val="111827"/>
          <w:sz w:val="22"/>
          <w:szCs w:val="22"/>
        </w:rPr>
        <w:t xml:space="preserve">Onboarding is a 7-step guided flow accessible from the "Open Account" button on the auth screen. A persistent stepper shows progress. The footer has Back / Continue buttons; Continue is locked until all required fields in the current step are valid.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Step 1</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Account Type &amp; Region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Step 2</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Sign Up (personal details + password)</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Step 3</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OTP Verification (email + SMS)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Step 4</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Document Upload (KYC)</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Step 5</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Details Review (auto-filled from documents)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Step 6</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Compliance Declaration (PEP / Income / Sanctions)</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Step 7</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Review &amp; Submit</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4.1 Step 1 — Account Type &amp; Region</w:t>
      </w:r>
    </w:p>
    <w:p>
      <w:pPr>
        <w:spacing w:after="60" w:before="60"/>
      </w:pPr>
      <w:r>
        <w:rPr>
          <w:rFonts w:ascii="Arial" w:cs="Arial" w:eastAsia="Arial" w:hAnsi="Arial"/>
          <w:color w:val="111827"/>
          <w:sz w:val="22"/>
          <w:szCs w:val="22"/>
        </w:rPr>
        <w:t xml:space="preserve">The customer selects Individual or Business via toggle cards, then selects their country of residence via three region cards (UK, USA, Europe). Selecting Europe reveals a dropdown of 22 supported European countries (DE, FR, ES, IT, NL, BE, CH, AT, PT, IE, SE, NO, DK, FI, PL, CZ, GR, HU, RO, SK, LU, MT).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Customer must select Individual or Business account type before proceeding</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Default: Individual</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Three region cards displayed: United Kingdom (GBP), United States (USD), Europe (EUR)</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Cards are mutually exclusive; UK selected by default</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Selecting Europe shows a country dropdown. Continue is blocked until a European country is chosen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Dialling code auto-updates per selected country</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Native currency auto-sets based on region (GBP / USD / EUR). No manual override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Shown in region info bar below cards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Info bar below region cards shows: flag, country name, currency, dialling code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Updates dynamically on region change</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4.2 Step 2 — Sign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Required fields: Email address, Mobile number, Password, Confirm password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All must be non-empty</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OB-007</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Email must pass format validation (regex)</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inline error if invalid</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Mobile number entry uses a two-part field: prefix (auto-set from Step 1 region) + local number. Prefix is non-editable but visible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E.g. UK = +44 | 7911 123456</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OB-009</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Password strength meter with 4 levels: Weak / Fair / Good / Strong. Minimum 8 characters required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Visual bar + label below field</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Passwords must match. Show real-time "Passwords match / do not match" feedback</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Block Continue if mismatch</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OB-011</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Terms &amp; Conditions checkbox is mandatory. If unchecked, show inline error and block Continue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Link opens T&amp;Cs in new tab</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4.3 Step 3 — OTP Verification</w:t>
      </w:r>
    </w:p>
    <w:p>
      <w:pPr>
        <w:spacing w:after="60" w:before="60"/>
      </w:pPr>
      <w:r>
        <w:rPr>
          <w:rFonts w:ascii="Arial" w:cs="Arial" w:eastAsia="Arial" w:hAnsi="Arial"/>
          <w:color w:val="111827"/>
          <w:sz w:val="22"/>
          <w:szCs w:val="22"/>
        </w:rPr>
        <w:t xml:space="preserve">Two OTP channels are verified sequentially or in parallel: Email OTP and SMS OTP. Each uses a 6-digit code entry with individual digit boxes that auto-advance on input. For the demo, any 6-digit code is accepted. In production, real OTPs are dispatched via the notification service.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Email OTP card displays the email entered in Step 2. Customer enters 6 digits; boxes auto-advance on each keystroke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OB-013</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SMS OTP card displays the mobile number (prefix + number) from Step 2</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OB-014</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entering all 6 digits, the card auto-validates. Success: card turns green with "Verified" badge. Failure: boxes turn red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Demo: any 6 digits pass</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OB-015</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Both email and SMS OTP must be verified before Continue is enabled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Each channel has a Resend button with a 30-second countdown before it becomes active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Timer resets on resend</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OB-017</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entering Step 3 from Step 2 (or on re-entry), both OTP cards reset to blank and timers restart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Prevents stale verified state</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4.4 Step 4 — Document Upload (KYC)</w:t>
      </w:r>
    </w:p>
    <w:p>
      <w:pPr>
        <w:spacing w:after="60" w:before="60"/>
      </w:pPr>
      <w:r>
        <w:rPr>
          <w:rFonts w:ascii="Arial" w:cs="Arial" w:eastAsia="Arial" w:hAnsi="Arial"/>
          <w:color w:val="111827"/>
          <w:sz w:val="22"/>
          <w:szCs w:val="22"/>
        </w:rPr>
        <w:t xml:space="preserve">The customer uploads identity documents plus a live selfie photo. For individual accounts: one primary identity document (passport, driving licence, or national ID) is mandatory; a proof-of-address document and selfie are both required. For business accounts, a company registration document is also required. The selfie is used for biometric face-match against the identity document and to support downstream risk analysis.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Document types: Passport, Driving Licence, National ID (selectable via tab within the upload zone)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UI tab selector per slot</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OB-019</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Upload Zone 1 (Identity Document) is mandatory. Upload Zone 2 (Proof of Address) is optional. Upload Zone 3 (Company Registration) is conditional on Business account type.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Zone 3 visible only for Business type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Upload Zone 4 (Selfie) is mandatory for all account types — Individual and Business. Accepts JPG or PNG only (no PDF). On mobile, the file picker uses capture="user" to open the front-facing camera directly.</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Face must be clearly visible, well-lit, looking directly at camera</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OB-020b</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An info note above the selfie zone explains: "Our AI will match your face to the photo on your identity document to confirm your identity and assist risk analysis."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Purple-accented zone to visually distinguish from document uploads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Continue is blocked until both Upload Zone 1 (identity document) AND Upload Zone 4 (selfie) have uploaded files. Zones 2 and 3 are not blocking.</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Toast error message shown for each missing mandatory zone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OB-021b</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Accepted file types for document zones: PDF, JPG, PNG. Max size: 10MB per file. Selfie zone is image-only (no PDF).</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file name after upload; uploaded zone turns green with solid border</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4.5 Step 5 — AI Details Review</w:t>
      </w:r>
    </w:p>
    <w:p>
      <w:pPr>
        <w:spacing w:after="60" w:before="60"/>
      </w:pPr>
      <w:r>
        <w:rPr>
          <w:rFonts w:ascii="Arial" w:cs="Arial" w:eastAsia="Arial" w:hAnsi="Arial"/>
          <w:color w:val="111827"/>
          <w:sz w:val="22"/>
          <w:szCs w:val="22"/>
        </w:rPr>
        <w:t xml:space="preserve">This is the AI verification and document parsing step. When the customer proceeds from Step 4, the system simulates a 4-stage AI pipeline: it reads the identity document, matches the selfie against the document photo, extracts address details from the proof-of-address document, and pre-fills all personal fields. The customer reviews and can edit any field.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entering Step 5, display a full-page AI parsing overlay titled "Verifying your identity" with 4 animated progress stages: (1) Reading identity document → (2) Matching selfie to document photo → (3) Extracting address details → (4) Pre-filling your form. Total duration ~3.5–4 seconds.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Each stage highlights in blue when active, turns green when complete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OB-022b</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After all 4 stages complete, the overlay dismisses and the pre-filled review form is shown. A banner at the top shows two items: (a) "Fields marked AI Filled were extracted from your documents" and (b) a green "Selfie matched — identity verified" badge.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Confirms face-match passed before the customer proceeds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After parsing completes, show the pre-filled form. Fields populated: First name, Last name, Date of birth, Address line 1, Address line 2, City, Post code, Country, Document number, Document expiry date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All fields remain editable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"AI Filled" badge on each auto-populated field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Green badge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For Business accounts, additionally show: Company name, Registration number, Incorporation date, Business type, Registered address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Separate section below personal fields</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Continue requires: first name, last name, DOB, address line 1, city, post code to be non-empty</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inline error per missing field</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4.6 Step 6 — Compliance Declaration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PEP Question: "Are you, or have you ever been, a Politically Exposed Person?" — Yes / No toggle cards. Mandatory.</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Answering Yes triggers an info note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Income Source question: "What is your primary source of income?" — dropdown (Employment, Self-employment, Business income, Investments, Inheritance / Gift, Other). Mandatory.</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OB-029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Sanctions Question: "Are you subject to any international sanctions?" — Yes / No. Mandatory.</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Answering Yes blocks submission</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OB-030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All three declarations must be answered to enable Continue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4.7 Step 7 — Review &amp; Submit</w:t>
      </w:r>
    </w:p>
    <w:p>
      <w:pPr>
        <w:spacing w:after="60" w:before="60"/>
      </w:pPr>
      <w:r>
        <w:rPr>
          <w:rFonts w:ascii="Arial" w:cs="Arial" w:eastAsia="Arial" w:hAnsi="Arial"/>
          <w:color w:val="111827"/>
          <w:sz w:val="22"/>
          <w:szCs w:val="22"/>
        </w:rPr>
        <w:t xml:space="preserve">The final step shows a comprehensive summary of all data collected. The footer is hidden; a Submit Application button is shown inline. On submission, a Customer ID is generated and the success screen is shown.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OB-031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read-only summary: account type, country of residence, native currency, full name, email, mobile, DOB, address, document details, compliance answers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OB-032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"Submit Application", generate a Customer ID in format QBNK-XXXXXX (6 uppercase alphanumeric)</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Generated client-side for demo; in production from API</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OB-033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success screen with: Application Reference (format APP-XXXX), confirmation message, and a note that the compliance team will notify by email and SMS within 1–3 business days.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 "Back to Sign In" button — user is automatically redirected</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OB-034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countdown bar ("Taking you to your application status… 3 2 1") auto-redirects after 3 seconds to the KYC Application Status Screen (see Section 4.8). The dashboard is NOT accessible at this point — access is gated until KYC is verified.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Critical UX gate — dashboard must not be reachable by a customer whose KYC is not yet approved</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4.8 KYC Application Status Gate</w:t>
      </w:r>
    </w:p>
    <w:p>
      <w:pPr>
        <w:spacing w:after="60" w:before="60"/>
      </w:pPr>
      <w:r>
        <w:rPr>
          <w:rFonts w:ascii="Arial" w:cs="Arial" w:eastAsia="Arial" w:hAnsi="Arial"/>
          <w:color w:val="111827"/>
          <w:sz w:val="22"/>
          <w:szCs w:val="22"/>
        </w:rPr>
        <w:t xml:space="preserve">Once the application is submitted, the customer is routed to the KYC Application Status Screen — a dedicated holding area that blocks all access to the banking dashboard until identity verification is complete. This is an architectural security gate, not merely a UI message. The screen persists across sign-outs: if a user signs out and signs back in with the same email before their KYC is approved, they return to the Status Screen, not the dashboard.</w:t>
      </w:r>
    </w:p>
    <w:p>
      <w:pPr>
        <w:spacing w:after="60" w:before="60"/>
      </w:pPr>
      <w:r>
        <w:t xml:space="preserve"/>
      </w:r>
    </w:p>
    <w:p>
      <w:pPr>
        <w:spacing w:after="60" w:before="60"/>
        <w:ind w:left="360"/>
      </w:pPr>
      <w:r>
        <w:rPr>
          <w:rFonts w:ascii="Arial" w:cs="Arial" w:eastAsia="Arial" w:hAnsi="Arial"/>
          <w:i/>
          <w:iCs/>
          <w:color w:val="1D4ED8"/>
          <w:sz w:val="20"/>
          <w:szCs w:val="20"/>
        </w:rPr>
        <w:t xml:space="preserve">ℹ  This screen serves three compliance functions simultaneously: (1) it prevents an unverified identity from initiating transactions, (2) it keeps the customer informed so they do not need to contact support, and (3) it provides a self-service remediation path if compliance requests additional documents.</w:t>
      </w:r>
    </w:p>
    <w:p>
      <w:pPr>
        <w:spacing w:after="60" w:before="60"/>
      </w:pPr>
      <w:r>
        <w:t xml:space="preserve"/>
      </w:r>
    </w:p>
    <w:p>
      <w:pPr>
        <w:pStyle w:val="Heading3"/>
        <w:spacing w:after="100" w:before="200"/>
      </w:pPr>
      <w:r>
        <w:rPr>
          <w:rFonts w:ascii="Arial" w:cs="Arial" w:eastAsia="Arial" w:hAnsi="Arial"/>
          <w:b/>
          <w:bCs/>
          <w:color w:val="111827"/>
          <w:sz w:val="24"/>
          <w:szCs w:val="24"/>
        </w:rPr>
        <w:t xml:space="preserve">4.8.1 Status States</w:t>
      </w:r>
    </w:p>
    <w:p>
      <w:pPr>
        <w:spacing w:after="60" w:before="60"/>
      </w:pPr>
      <w:r>
        <w:rPr>
          <w:rFonts w:ascii="Arial" w:cs="Arial" w:eastAsia="Arial" w:hAnsi="Arial"/>
          <w:color w:val="111827"/>
          <w:sz w:val="22"/>
          <w:szCs w:val="22"/>
        </w:rPr>
        <w:t xml:space="preserve">The Status Screen has four distinct states. The state is controlled by the admin back-office portal and propagates to the customer's session.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rPr>
          <w:tblHeader/>
        </w:trPr>
        <w:tc>
          <w:tcPr>
            <w:tcW w:type="dxa" w:w="16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State</w:t>
            </w:r>
          </w:p>
        </w:tc>
        <w:tc>
          <w:tcPr>
            <w:tcW w:type="dxa" w:w="14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Trigger</w:t>
            </w:r>
          </w:p>
        </w:tc>
        <w:tc>
          <w:tcPr>
            <w:tcW w:type="dxa" w:w="6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Customer Experience</w:t>
            </w:r>
          </w:p>
        </w:tc>
      </w:tr>
      <w:tr>
        <w:tc>
          <w:tcPr>
            <w:tcW w:type="dxa" w:w="1600"/>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bCs/>
                <w:color w:val="111827"/>
                <w:sz w:val="20"/>
                <w:szCs w:val="20"/>
              </w:rPr>
              <w:t xml:space="preserve">Under Review</w:t>
            </w:r>
          </w:p>
        </w:tc>
        <w:tc>
          <w:tcPr>
            <w:tcW w:type="dxa" w:w="1400"/>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Immediately after submission</w:t>
            </w:r>
          </w:p>
        </w:tc>
        <w:tc>
          <w:tcPr>
            <w:tcW w:type="dxa" w:w="6026"/>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Amber status card. Timeline shows: Submitted (done) → Under Review (active) → Decision → Activated. Message: "Our compliance team is verifying your documents and selfie." ETA: 1–3 business days.</w:t>
            </w:r>
          </w:p>
        </w:tc>
      </w:tr>
      <w:tr>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Action Required</w:t>
            </w:r>
          </w:p>
        </w:tc>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Admin requests correction</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Orange status card. Compliance team's exact message is displayed in a quoted note box (e.g. "Your passport image was too blurry — please resubmit"). A "Fix &amp; Resubmit" button opens the Resubmission Modal. After resubmitting, state reverts to Under Review.</w:t>
            </w:r>
          </w:p>
        </w:tc>
      </w:tr>
      <w:tr>
        <w:tc>
          <w:tcPr>
            <w:tcW w:type="dxa" w:w="1600"/>
            <w:tcBorders>
              <w:top w:val="single" w:color="DDDDDD" w:sz="4"/>
              <w:left w:val="single" w:color="DDDDDD" w:sz="4"/>
              <w:bottom w:val="single" w:color="DDDDDD" w:sz="4"/>
              <w:right w:val="single" w:color="DDDDDD" w:sz="4"/>
            </w:tcBorders>
            <w:shd w:fill="D1FAE5" w:val="clear"/>
            <w:tcMar>
              <w:top w:type="dxa" w:w="80"/>
              <w:left w:type="dxa" w:w="160"/>
              <w:bottom w:type="dxa" w:w="80"/>
              <w:right w:type="dxa" w:w="160"/>
            </w:tcMar>
          </w:tcPr>
          <w:p>
            <w:pPr>
              <w:jc w:val="left"/>
            </w:pPr>
            <w:r>
              <w:rPr>
                <w:rFonts w:ascii="Arial" w:cs="Arial" w:eastAsia="Arial" w:hAnsi="Arial"/>
                <w:b/>
                <w:bCs/>
                <w:color w:val="111827"/>
                <w:sz w:val="20"/>
                <w:szCs w:val="20"/>
              </w:rPr>
              <w:t xml:space="preserve">Decision Made</w:t>
            </w:r>
          </w:p>
        </w:tc>
        <w:tc>
          <w:tcPr>
            <w:tcW w:type="dxa" w:w="1400"/>
            <w:tcBorders>
              <w:top w:val="single" w:color="DDDDDD" w:sz="4"/>
              <w:left w:val="single" w:color="DDDDDD" w:sz="4"/>
              <w:bottom w:val="single" w:color="DDDDDD" w:sz="4"/>
              <w:right w:val="single" w:color="DDDDDD" w:sz="4"/>
            </w:tcBorders>
            <w:shd w:fill="D1FAE5"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Admin approves KYC</w:t>
            </w:r>
          </w:p>
        </w:tc>
        <w:tc>
          <w:tcPr>
            <w:tcW w:type="dxa" w:w="6026"/>
            <w:tcBorders>
              <w:top w:val="single" w:color="DDDDDD" w:sz="4"/>
              <w:left w:val="single" w:color="DDDDDD" w:sz="4"/>
              <w:bottom w:val="single" w:color="DDDDDD" w:sz="4"/>
              <w:right w:val="single" w:color="DDDDDD" w:sz="4"/>
            </w:tcBorders>
            <w:shd w:fill="D1FAE5"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Blue success card. Timeline shows all 4 steps complete. Message: "Your application has been approved. Your account is being activated." A prominent "Enter QBank Dashboard" button grants first-time dashboard access.</w:t>
            </w:r>
          </w:p>
        </w:tc>
      </w:tr>
      <w:tr>
        <w:tc>
          <w:tcPr>
            <w:tcW w:type="dxa" w:w="1600"/>
            <w:tcBorders>
              <w:top w:val="single" w:color="DDDDDD" w:sz="4"/>
              <w:left w:val="single" w:color="DDDDDD" w:sz="4"/>
              <w:bottom w:val="single" w:color="DDDDDD" w:sz="4"/>
              <w:right w:val="single" w:color="DDDDDD" w:sz="4"/>
            </w:tcBorders>
            <w:shd w:fill="FEE2E2"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Application Closed</w:t>
            </w:r>
          </w:p>
        </w:tc>
        <w:tc>
          <w:tcPr>
            <w:tcW w:type="dxa" w:w="1400"/>
            <w:tcBorders>
              <w:top w:val="single" w:color="DDDDDD" w:sz="4"/>
              <w:left w:val="single" w:color="DDDDDD" w:sz="4"/>
              <w:bottom w:val="single" w:color="DDDDDD" w:sz="4"/>
              <w:right w:val="single" w:color="DDDDDD" w:sz="4"/>
            </w:tcBorders>
            <w:shd w:fill="FEE2E2"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Admin hard-rejects</w:t>
            </w:r>
          </w:p>
        </w:tc>
        <w:tc>
          <w:tcPr>
            <w:tcW w:type="dxa" w:w="6026"/>
            <w:tcBorders>
              <w:top w:val="single" w:color="DDDDDD" w:sz="4"/>
              <w:left w:val="single" w:color="DDDDDD" w:sz="4"/>
              <w:bottom w:val="single" w:color="DDDDDD" w:sz="4"/>
              <w:right w:val="single" w:color="DDDDDD" w:sz="4"/>
            </w:tcBorders>
            <w:shd w:fill="FEE2E2"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Red status card. Final decision — no resubmission possible. Case reference shown. Support contact link. Dashboard access is permanently blocked for this application.</w:t>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4.8.2 Status Screen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After successful onboarding submission, the customer is automatically routed to the KYC Status Screen. No dashboard access is granted at this point regardless of onboarding completion.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Core access gate — cannot be bypassed</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If the customer signs out and signs back in with the same email while KYC is still pending, they are routed to the KYC Status Screen, not the dashboard.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Session state must persist the KYC gate across sign-out/sign-in</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Status Screen shows a 4-step progress timeline: (1) Submitted, (2) Under Review, (3) Decision, (4) Activated. The filled/active/pending state of each step changes per the current KYC state.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Status Screen shows a read-only summary of what the customer submitted: full name, DOB, nationality, document type, document number, address, account type, submission timestamp, application reference.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Read Only badge visible — customer cannot edit from this screen</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"Contact Support" link is shown on all states. Clicking opens a support contact (email address, or future support chat).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Sign Out button is always visible at the top of the Status Screen.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Must not be hidden or hard to find</w:t>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4.8.3 Action Required — Resubmission Flow</w:t>
      </w:r>
    </w:p>
    <w:p>
      <w:pPr>
        <w:spacing w:after="60" w:before="60"/>
      </w:pPr>
      <w:r>
        <w:rPr>
          <w:rFonts w:ascii="Arial" w:cs="Arial" w:eastAsia="Arial" w:hAnsi="Arial"/>
          <w:color w:val="111827"/>
          <w:sz w:val="22"/>
          <w:szCs w:val="22"/>
        </w:rPr>
        <w:t xml:space="preserve">When compliance requests additional documents (soft reject / action required state), the customer can resubmit without restarting the full onboarding. The Resubmission Modal provides a focused, contained UI for this.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 the "Action Required" state, the compliance team's message is shown verbatim in a quoted note box. The message is set by the admin back-office portal.</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Exact wording matters — customer needs to know precisely what is needed</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"Fix &amp; Resubmit" CTA button opens the Resubmission Modal inline. The modal echoes the compliance note so the customer can see what was asked while uploading.</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KYC-009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Resubmission Modal fields: (1) Upload Document (JPG, PNG, PDF, max 10MB — mandatory), (2) Note to Compliance Team (text area — optional).</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KYC-010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submission, the Resubmission Modal closes and the Status Screen reverts to the "Under Review" state. The resubmission timestamp updates.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Customer is not sent back to onboarding — no data re-entry required</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KYC-011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If a resubmission has no uploaded file and no note, submission is blocked with an error toast.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4.8.4 Dashboard Access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KYC-012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full banking dashboard (accounts, payments, exchange, AI insights, etc.) is not accessible until the KYC state transitions to "Decision Made" or "Activated".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Server-side enforcement required — client-only gate is not sufficient</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KYC-013</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When the admin approves KYC, the customer's next sign-in (or real-time push if WebSocket/polling is implemented) shows the "Decision Made" state with an "Enter QBank Dashboard" button.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KYC-014</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Clicking "Enter QBank Dashboard" from the Decision Made state grants first-time access and navigates to the home dashboard. The KYC gate is permanently lifted for this account.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KYC-015</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customer whose application is in "Application Closed" state must never gain dashboard access, even if they re-attempt login. This must be enforced at the API authentication layer.</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Hard reject is final — no dashboard access ever</w:t>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5. Module: Home Dashboard</w:t>
      </w:r>
    </w:p>
    <w:p>
      <w:pPr>
        <w:spacing w:after="60" w:before="60"/>
      </w:pPr>
      <w:r>
        <w:rPr>
          <w:rFonts w:ascii="Arial" w:cs="Arial" w:eastAsia="Arial" w:hAnsi="Arial"/>
          <w:color w:val="111827"/>
          <w:sz w:val="22"/>
          <w:szCs w:val="22"/>
        </w:rPr>
        <w:t xml:space="preserve">The home dashboard is the customer's financial control centre. It is the first screen seen after sign-in and is designed to give an instant, intelligent snapshot of financial health.</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5.1 Account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Display three account cards in a 3-column grid: native-currency account (active by default), plus the two additional currency accounts (active, pending, or requestable). The native currency account is determined by country of residence (GBP for UK, USD for USA, EUR for Eurozone)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Native-currency account card always shows: balance and local identifiers (Sort Code + Account Number for GBP, ABA Routing + Account Number for USD, IBAN + BIC for EUR). Status: Active. This card is never in a "pending" or "request" state — it is always activated at onboarding</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Primary account currency is based on country of residence, not always Sterling</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Euro and Dollar cards show balance and account identifiers if active. If not yet requested, show a "Request Euro Account" / "Request Dollar Account" CTA button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Requested-but-pending cards show "Pending Activation" amber badge and estimated timeline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Route request to admin portal via API</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Activated secondary accounts show IBAN + BIC (EUR) or ABA + account number (USD)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5.2 Quick Actions</w:t>
      </w:r>
    </w:p>
    <w:p>
      <w:pPr>
        <w:spacing w:after="60" w:before="60"/>
      </w:pPr>
      <w:r>
        <w:rPr>
          <w:rFonts w:ascii="Arial" w:cs="Arial" w:eastAsia="Arial" w:hAnsi="Arial"/>
          <w:color w:val="111827"/>
          <w:sz w:val="22"/>
          <w:szCs w:val="22"/>
        </w:rPr>
        <w:t xml:space="preserve">Four quick-action buttons below the account cards: Pay, Profile, Exchange, Statements. These navigate to the respective pages.</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5.3 AI Spending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Spending breakdown card shows top 4 categories: Dining, Transport, Shopping, Entertainment (or top 4 by spend value)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Categories derived by AI transaction categorisation engine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HM-007</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Each category shows: emoji icon, category name, horizontal progress bar, spend amount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Bar width = % of total monthly spend</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If any category exceeds its budget, show an "over" warning badge in amber on that row</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HM-009</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total spend vs. monthly budget at the bottom of the card. Link to full breakdown in AI Insights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5.4 AI Budget Nudge Strip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HM-010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an AI nudge strip above the spending categories when a budget alert is triggered. Example: "You've spent 34% more on Dining this month vs. last month"</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Orange strip with warning icon</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HM-011</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Nudge strip has a dismiss (×) button. Dismissed state persists for the session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HM-012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Nudge messages are dynamically generated by the AI Insights engine based on transaction patterns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See Section 11 for AI Insights detail</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5.5 Recent Transactions</w:t>
      </w:r>
    </w:p>
    <w:p>
      <w:pPr>
        <w:spacing w:after="60" w:before="60"/>
      </w:pPr>
      <w:r>
        <w:rPr>
          <w:rFonts w:ascii="Arial" w:cs="Arial" w:eastAsia="Arial" w:hAnsi="Arial"/>
          <w:color w:val="111827"/>
          <w:sz w:val="22"/>
          <w:szCs w:val="22"/>
        </w:rPr>
        <w:t xml:space="preserve">A table of the 5 most recent transactions across all accounts. Shows: date, description, category tag, amount, status. Clicking "View All" navigates to the Activity page.</w:t>
      </w:r>
    </w:p>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6. Module: Activity</w:t>
      </w:r>
    </w:p>
    <w:p>
      <w:pPr>
        <w:spacing w:after="60" w:before="60"/>
      </w:pPr>
      <w:r>
        <w:rPr>
          <w:rFonts w:ascii="Arial" w:cs="Arial" w:eastAsia="Arial" w:hAnsi="Arial"/>
          <w:color w:val="111827"/>
          <w:sz w:val="22"/>
          <w:szCs w:val="22"/>
        </w:rPr>
        <w:t xml:space="preserve">The Activity page shows a comprehensive, searchable, filterable list of all transactions across all currency accounts.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all transactions in reverse chronological order with: Date, Description, Category (AI tag), Payment Rail chip, Amount, Status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Search bar filters by description or category text in real time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Client-side filter on loaded transactions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Filter chips: All / Credit / Debit — toggle to filter transaction direction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Each transaction row shows an AI-derived category tag. Categories: Dining, Shopping, Transport, Entertainment, Utilities, Healthcare, Transfers, Other</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Auto-categorised by AI engine on transaction ingestion</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Payment rail chips: FASTER PAYMENTS (blue), SEPA (purple), RTP (green), SWIFT (grey), CHAPS (amber), ACH (teal)</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Visual indicator of settlement rail</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AC-006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Debit transactions show red negative amounts. Credit transactions show green positive amounts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7. Module: Payments</w:t>
      </w:r>
    </w:p>
    <w:p>
      <w:pPr>
        <w:spacing w:after="60" w:before="60"/>
      </w:pPr>
      <w:r>
        <w:rPr>
          <w:rFonts w:ascii="Arial" w:cs="Arial" w:eastAsia="Arial" w:hAnsi="Arial"/>
          <w:color w:val="111827"/>
          <w:sz w:val="22"/>
          <w:szCs w:val="22"/>
        </w:rPr>
        <w:t xml:space="preserve">Payments is the most feature-rich module. It has four distinct sub-functions accessible from the Payments Hub: Pay Someone, Request Money, Exchange (internal transfer), and Manage Payees.</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7.1 Payments Hub</w:t>
      </w:r>
    </w:p>
    <w:p>
      <w:pPr>
        <w:spacing w:after="60" w:before="60"/>
      </w:pPr>
      <w:r>
        <w:rPr>
          <w:rFonts w:ascii="Arial" w:cs="Arial" w:eastAsia="Arial" w:hAnsi="Arial"/>
          <w:color w:val="111827"/>
          <w:sz w:val="22"/>
          <w:szCs w:val="22"/>
        </w:rPr>
        <w:t xml:space="preserve">The Payments Hub shows four action cards: Pay Someone, Request Money, Exchange, Manage Payees. Each navigates to its respective sub-module. The hub also shows standing orders (if any are configured).</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7.2 Pay Someone</w:t>
      </w:r>
    </w:p>
    <w:p>
      <w:pPr>
        <w:spacing w:after="60" w:before="60"/>
      </w:pPr>
      <w:r>
        <w:rPr>
          <w:rFonts w:ascii="Arial" w:cs="Arial" w:eastAsia="Arial" w:hAnsi="Arial"/>
          <w:color w:val="111827"/>
          <w:sz w:val="22"/>
          <w:szCs w:val="22"/>
        </w:rPr>
        <w:t xml:space="preserve">Pay Someone allows the customer to make an outbound payment to a saved or new beneficiary. A key design principle: the customer can pay in any currency from any of their accounts — even without holding a target-currency account. QBank handles the FX conversion transparently.</w:t>
      </w:r>
    </w:p>
    <w:p>
      <w:pPr>
        <w:spacing w:after="60" w:before="60"/>
      </w:pPr>
      <w:r>
        <w:t xml:space="preserve"/>
      </w:r>
    </w:p>
    <w:p>
      <w:pPr>
        <w:pStyle w:val="Heading3"/>
        <w:spacing w:after="100" w:before="200"/>
      </w:pPr>
      <w:r>
        <w:rPr>
          <w:rFonts w:ascii="Arial" w:cs="Arial" w:eastAsia="Arial" w:hAnsi="Arial"/>
          <w:b/>
          <w:bCs/>
          <w:color w:val="111827"/>
          <w:sz w:val="24"/>
          <w:szCs w:val="24"/>
        </w:rPr>
        <w:t xml:space="preserve">7.2.1 Pay From Account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At the top of the payment detail screen, display three "Pay From" cards: Sterling (£), Euro (€), Dollar ($) with respective flag, currency label, and available balance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Cards are always visible regardless of which accounts are active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Auto-select the "Pay From" account that matches the recipient's currency. Customer can override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When a different "Pay From" account is selected, the Amount to Send symbol updates to reflect the selected currency (£ / € / $)</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Critical fix: symbol must update immediately</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Available balance shown below the amount input reflects the selected "Pay From" account balance and currency label</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7.2.2 Cross-Currency Payment &amp; Live FX Widget</w:t>
      </w:r>
    </w:p>
    <w:p>
      <w:pPr>
        <w:spacing w:after="60" w:before="60"/>
      </w:pPr>
      <w:r>
        <w:rPr>
          <w:rFonts w:ascii="Arial" w:cs="Arial" w:eastAsia="Arial" w:hAnsi="Arial"/>
          <w:color w:val="111827"/>
          <w:sz w:val="22"/>
          <w:szCs w:val="22"/>
        </w:rPr>
        <w:t xml:space="preserve">When the "Pay From" currency differs from the recipient's currency, a live FX conversion widget appears between the payment method and the summary sections.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If Pay From currency ≠ recipient currency, show the Live Currency Conversion widget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Widget header: currency pair rate (e.g. "1 EUR = 0.8532 GBP")</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Live rate from FX engine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Widget body: two editable input fields side by side — "You Send" (left) and "They Receive" (right)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"You Send" and "They Receive" are bi-directionally linked: editing either field recalculates and updates the other in real time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Same as Exchange module two-way calc</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PM-009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main "Amount to Send" field synchronises with the "You Send" input. They are the same value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Default "You Send" is 100 when the FX widget first appears (if amount field is empty)</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Prevents empty/dash state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Widget footer: "Rate locked for 30 seconds · Zero hidden fees · Instant settlement"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065F46"/>
                <w:sz w:val="18"/>
                <w:szCs w:val="18"/>
              </w:rPr>
              <w:t xml:space="preserve">Low</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Informational copy</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Customer can pay from GBP to a EUR or USD recipient without holding a EUR/USD account. QBank executes the FX conversion and routes the payment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This is a core product differentiator</w:t>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7.2.3 Reference — AI Document Scan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Reference field has a "Scan Document" button. Clicking opens a file picker (PDF, JPG, PNG)</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file selection, show a scanning animation with 3 stages: "Scanning document..." → "Reading document fields..." → "Extracting reference &amp; amount..."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~2.5 second animation with progress bar</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After scanning, auto-fill the Reference field with the extracted text (e.g. "Monthly Rent — June 2026"). Show file name and detected amount as metadata below the field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If a document amount is detected and the Amount field is empty, auto-fill the Amount field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green "AI Extracted" badge on the populated reference field. Provide × button to clear and re-scan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Document mock types: Rent Bill, Loan EMI Statement, Utility Bill, Invoice, School Fees, Restaurant Receipt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6 types with realistic references and amounts</w:t>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7.2.4 Payment Rails</w:t>
      </w:r>
    </w:p>
    <w:p>
      <w:pPr>
        <w:spacing w:after="60" w:before="60"/>
      </w:pPr>
      <w:r>
        <w:rPr>
          <w:rFonts w:ascii="Arial" w:cs="Arial" w:eastAsia="Arial" w:hAnsi="Arial"/>
          <w:color w:val="111827"/>
          <w:sz w:val="22"/>
          <w:szCs w:val="22"/>
        </w:rPr>
        <w:t xml:space="preserve">The payment rail is auto-selected based on the recipient currency and presented as selectable radio cards. Each card shows: rail name, description, settlement speed, fee.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626"/>
        <w:gridCol w:w="2000"/>
      </w:tblGrid>
      <w:tr>
        <w:trPr>
          <w:tblHeader/>
        </w:trPr>
        <w:tc>
          <w:tcPr>
            <w:tcW w:type="dxa" w:w="14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Rail</w:t>
            </w:r>
          </w:p>
        </w:tc>
        <w:tc>
          <w:tcPr>
            <w:tcW w:type="dxa" w:w="20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Currency</w:t>
            </w:r>
          </w:p>
        </w:tc>
        <w:tc>
          <w:tcPr>
            <w:tcW w:type="dxa" w:w="20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Use Case</w:t>
            </w:r>
          </w:p>
        </w:tc>
        <w:tc>
          <w:tcPr>
            <w:tcW w:type="dxa" w:w="16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Settlement</w:t>
            </w:r>
          </w:p>
        </w:tc>
        <w:tc>
          <w:tcPr>
            <w:tcW w:type="dxa" w:w="20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Fee</w:t>
            </w:r>
          </w:p>
        </w:tc>
      </w:tr>
      <w:tr>
        <w:tc>
          <w:tcPr>
            <w:tcW w:type="dxa" w:w="1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Faster Payments (FPS)</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GBP (UK domestic)</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Standard UK payments</w:t>
            </w:r>
          </w:p>
        </w:tc>
        <w:tc>
          <w:tcPr>
            <w:tcW w:type="dxa" w:w="16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&lt; 30 seconds, 24/7</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Free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CHAPS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GBP (high-value)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Same-day high-value UK</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Same day by 17:00</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£25.00</w:t>
            </w:r>
          </w:p>
        </w:tc>
      </w:tr>
      <w:tr>
        <w:tc>
          <w:tcPr>
            <w:tcW w:type="dxa" w:w="1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SEPA Credit Transfer</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EUR (Eurozone)</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Standard European payments</w:t>
            </w:r>
          </w:p>
        </w:tc>
        <w:tc>
          <w:tcPr>
            <w:tcW w:type="dxa" w:w="16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1 business day</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Free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SWIFT / Wire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USD / International</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International wire transfers</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1–3 business days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$15.00</w:t>
            </w:r>
          </w:p>
        </w:tc>
      </w:tr>
      <w:tr>
        <w:tc>
          <w:tcPr>
            <w:tcW w:type="dxa" w:w="1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ACH</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USD (US domestic)</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Standard US payments</w:t>
            </w:r>
          </w:p>
        </w:tc>
        <w:tc>
          <w:tcPr>
            <w:tcW w:type="dxa" w:w="16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1 business day</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Free</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RTP (Real-Time Payments)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USD (US domestic)</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Instant US payments</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Instant, 24/7</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Free</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7.3 Internal Transfers (via Exchange)</w:t>
      </w:r>
    </w:p>
    <w:p>
      <w:pPr>
        <w:spacing w:after="60" w:before="60"/>
      </w:pPr>
      <w:r>
        <w:rPr>
          <w:rFonts w:ascii="Arial" w:cs="Arial" w:eastAsia="Arial" w:hAnsi="Arial"/>
          <w:color w:val="111827"/>
          <w:sz w:val="22"/>
          <w:szCs w:val="22"/>
        </w:rPr>
        <w:t xml:space="preserve">For transfers between the customer's own QBank accounts (e.g. GBP → EUR), the customer uses the Exchange module. There is no need to add a beneficiary. The Exchange module fetches live indicative FX rates from the market and executes the conversion instantly.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PM-019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Internal account-to-account transfers are routed through the Exchange screen, not Pay Someone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 beneficiary required for own accounts</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Exchange rates are fetched live. The mid-market rate is used with zero spread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See Section 9 (Exchange) for full spec</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confirming an exchange, debit the "from" account and credit the "to" account instantly</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7.4 Request Money</w:t>
      </w:r>
    </w:p>
    <w:p>
      <w:pPr>
        <w:spacing w:after="60" w:before="60"/>
      </w:pPr>
      <w:r>
        <w:rPr>
          <w:rFonts w:ascii="Arial" w:cs="Arial" w:eastAsia="Arial" w:hAnsi="Arial"/>
          <w:color w:val="111827"/>
          <w:sz w:val="22"/>
          <w:szCs w:val="22"/>
        </w:rPr>
        <w:t xml:space="preserve">Request Money generates a payment link that can be shared with a payer. The payer does not need to be a QBank customer.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Required fields: Amount, Currency (Sterling / EUR / USD tab selector)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PM-023</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Optional fields: "Requesting from" (payer name), "Purpose / Reference"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PM-024</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Purpose / Reference field has same AI document scan capability as Pay Someone (Section 7.2.3)</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Same UX pattern: Scan Document button, AI parse, auto-fill</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PM-025</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Link expiry selector: 24 hours / 72 hours / 7 days / 30 days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Default: 72 hours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Generated payment link shows: QBank request preview card with amount, currency, requester name, reference. Copy link and Share buttons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PM-027</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Scan document in Request Money: if an invoice amount is detected, auto-fill the Amount field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Same doc-scan logic as Pay Someone</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7.5 Beneficiary Management (Add Payee)</w:t>
      </w:r>
    </w:p>
    <w:p>
      <w:pPr>
        <w:spacing w:after="60" w:before="60"/>
      </w:pPr>
      <w:r>
        <w:rPr>
          <w:rFonts w:ascii="Arial" w:cs="Arial" w:eastAsia="Arial" w:hAnsi="Arial"/>
          <w:color w:val="111827"/>
          <w:sz w:val="22"/>
          <w:szCs w:val="22"/>
        </w:rPr>
        <w:t xml:space="preserve">Customers can save beneficiaries for repeat payments. Account details vary by currency.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Sterling beneficiary: requires Sort Code (XX-XX-XX format) + Account Number (8 digits)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PM-029</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EUR beneficiary: requires IBAN + BIC/SWIFT code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PM-030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USD beneficiary: requires ABA Routing Number (9 digits) + Account Number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PM-031</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Beneficiary name, bank name are required for all currency types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PM-032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 currency tab selection, show the correct form fields dynamically. Sterling shows sort code + account number; EUR shows IBAN + BIC; USD shows ABA + account number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PM-033</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Saved beneficiaries appear in the Pay Someone payee list with initials avatar and currency pill</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8. Module: Exchange</w:t>
      </w:r>
    </w:p>
    <w:p>
      <w:pPr>
        <w:spacing w:after="60" w:before="60"/>
      </w:pPr>
      <w:r>
        <w:rPr>
          <w:rFonts w:ascii="Arial" w:cs="Arial" w:eastAsia="Arial" w:hAnsi="Arial"/>
          <w:color w:val="111827"/>
          <w:sz w:val="22"/>
          <w:szCs w:val="22"/>
        </w:rPr>
        <w:t xml:space="preserve">The Exchange module is a real-time currency conversion tool. It allows customers to convert between their QBank accounts at live mid-market rates with zero fees. It also serves as the mechanism for internal account-to-account transfers.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Two-sided exchange widget: "You Pay" (top) and "You Receive" (bottom), each with a currency selector pill and amount input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Both amount fields are editable and bi-directionally linked: typing in "You Pay" calculates "You Receive" and vice versa</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CEO requirement: both fields must be editable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Currency selectors (GBP/EUR/USD) open a picker panel. Selecting the same currency for both sides is disallowed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Swap button reverses the from/to currencies and recalculates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Below the exchange widget: rate box showing mid-market rate (e.g. "1 GBP = 1.1720 EUR"), spread (0.04%), settlement (Instant), fee (Free)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Rate lock: 30-second countdown animation. On expiry, rate refreshes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Visual progress bar</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Live ticker: scrolling horizontal strip showing GBP/USD, GBP/EUR, EUR/USD, USD/JPY, AUD/USD, USD/CHF with current rates and 24h change %</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Rate sheet table (right panel): shows Bid / Ask / Mid for all 6 major pairs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EX-009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Recent Exchanges section: last 3 exchange transactions with pair, date, sent amount, received amount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EX-010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Exchange confirmation modal shows: "Convert £X → €Y?" before executing</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EX-011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Rates are fetched live from the QBank FX data provider. Demo mode uses static indicative rates with minor simulated drift to replicate live behaviour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Live market rate feed replaces demo static rates in production</w:t>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9. Module: Statements</w:t>
      </w:r>
    </w:p>
    <w:p>
      <w:pPr>
        <w:spacing w:after="60" w:before="60"/>
      </w:pPr>
      <w:r>
        <w:rPr>
          <w:rFonts w:ascii="Arial" w:cs="Arial" w:eastAsia="Arial" w:hAnsi="Arial"/>
          <w:color w:val="111827"/>
          <w:sz w:val="22"/>
          <w:szCs w:val="22"/>
        </w:rPr>
        <w:t xml:space="preserve">The Statements module provides official monthly account statements for each currency account. Statements are generated automatically at month end.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Account tab selector shows one tab per active account: Sterling / Euro / Dollar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Tab shows currency label and account identifier</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Each statement row shows: month/year, file size (KB), transaction count, opening balance, closing balance, "Current" or "Closed" badge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Download button on each statement row generates a PDF</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PDF contains: header with QBank branding, account details, opening/closing balance, transaction list, FX summary if applicable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Statistics bar shows: number of statements, total transactions, generated monthly label</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Current month statement is always shown at the top with "Current" badge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10. Module: AI Insights</w:t>
      </w:r>
    </w:p>
    <w:p>
      <w:pPr>
        <w:spacing w:after="60" w:before="60"/>
      </w:pPr>
      <w:r>
        <w:rPr>
          <w:rFonts w:ascii="Arial" w:cs="Arial" w:eastAsia="Arial" w:hAnsi="Arial"/>
          <w:color w:val="111827"/>
          <w:sz w:val="22"/>
          <w:szCs w:val="22"/>
        </w:rPr>
        <w:t xml:space="preserve">AI Insights is the most strategically important module in QBank. It is what transforms QBank from a transactional tool into a genuine financial coaching platform. The AI engine continuously analyses transaction data, spending patterns, FX behaviour, and balance trends to generate personalised, actionable insights.</w:t>
      </w:r>
    </w:p>
    <w:p>
      <w:pPr>
        <w:spacing w:after="60" w:before="60"/>
      </w:pPr>
      <w:r>
        <w:t xml:space="preserve"/>
      </w:r>
    </w:p>
    <w:p>
      <w:pPr>
        <w:spacing w:after="60" w:before="60"/>
        <w:ind w:left="360"/>
      </w:pPr>
      <w:r>
        <w:rPr>
          <w:rFonts w:ascii="Arial" w:cs="Arial" w:eastAsia="Arial" w:hAnsi="Arial"/>
          <w:i/>
          <w:iCs/>
          <w:color w:val="1D4ED8"/>
          <w:sz w:val="20"/>
          <w:szCs w:val="20"/>
        </w:rPr>
        <w:t xml:space="preserve">ℹ  This module must be treated as a first-class product investment, not a bolt-on. Every insight must feel personalised, timely, and actionable — not generic.</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10.1 Spending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Auto-categorise every inbound transaction into one of 8 categories: Dining, Shopping, Transport, Entertainment, Utilities, Healthcare, Transfers, Other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categorisation runs on transaction ingestion via NLP on merchant name / description</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monthly spending breakdown as horizontal bar chart per category with: category icon, name, bar (% of total), amount, MoM delta (↑/↓ vs last month)</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Highlight over-budget categories with amber warning. Highlight on-track categories with green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Based on per-category budget limits set by customer</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a rolling 6-month trend chart per category on drill-down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Sparkline or simple line chart</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Merchant-level breakdown within each category: "Tesco: £180, Deliveroo: £95, Pret: £65"</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10.2 Budget Nudges &amp; Proactive Alerts</w:t>
      </w:r>
    </w:p>
    <w:p>
      <w:pPr>
        <w:spacing w:after="60" w:before="60"/>
      </w:pPr>
      <w:r>
        <w:rPr>
          <w:rFonts w:ascii="Arial" w:cs="Arial" w:eastAsia="Arial" w:hAnsi="Arial"/>
          <w:color w:val="111827"/>
          <w:sz w:val="22"/>
          <w:szCs w:val="22"/>
        </w:rPr>
        <w:t xml:space="preserve">The AI surfaces time-sensitive nudges on the home screen and within AI Insights. These are the most visible manifestation of the AI capability and must feel conversational and helpful, not alarming.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Trigger a "spending alert" nudge when: a category spend exceeds its budget by &gt;10%, or MoM spend in a category increases by &gt;25%</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AI-007</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Nudge message format: "[Category] spend is [X]% above last month. You're on track to exceed your [£Y] budget by [£Z]."</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Use actual figures from transaction data</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Trigger a "savings opportunity" nudge when Sterling balance exceeds 3x average monthly spend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"Your Sterling balance covers 4+ months of expenses. Consider moving £X to a higher-yield product."</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AI-009</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Nudges appear on home dashboard (dismissible) and as a curated list in AI Insights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All nudges are timestamped. Maximum 3 active nudges at once to avoid alert fatigue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10.3 FX Intelligence &amp; Currency Insights</w:t>
      </w:r>
    </w:p>
    <w:p>
      <w:pPr>
        <w:spacing w:after="60" w:before="60"/>
      </w:pPr>
      <w:r>
        <w:rPr>
          <w:rFonts w:ascii="Arial" w:cs="Arial" w:eastAsia="Arial" w:hAnsi="Arial"/>
          <w:color w:val="111827"/>
          <w:sz w:val="22"/>
          <w:szCs w:val="22"/>
        </w:rPr>
        <w:t xml:space="preserve">Many QBank customers are internationally mobile — they transact in multiple currencies. The AI Insights engine tracks FX patterns and surfaces opportunities.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FX Opportunity alert: trigger when GBP/EUR or GBP/USD rate is at a 30-day high. Message: "GBP/EUR is at its best rate in 30 days. This is a good time to convert Sterling to Euro."</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Cross-currency spending summary: "You spent €420 across 14 transactions in Euro this month. Total FX cost: £0 (all at mid-market rate)."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FX savings vs. competitor spread</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average effective FX rate for the month vs. mid-market. QBank's rate should always equal mid-market (zero spread).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Competitive positioning insight</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Recurring FX pattern detection: "You convert GBP to EUR every month around the 5th. Do you want to set up a recurring exchange?"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065F46"/>
                <w:sz w:val="18"/>
                <w:szCs w:val="18"/>
              </w:rPr>
              <w:t xml:space="preserve">Low</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Future feature — flag for v2</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10.4 Cash Flow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Monthly cash flow summary: total inflows vs. outflows per account. Show surplus or deficit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Predict end-of-month balance based on: current balance, average daily spend rate, known upcoming recurring payments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"Based on your spending, your Sterling balance will be approximately £X at month end."</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Identify recurring charges (same merchant, similar amount, monthly frequency). Display as "Recurring Payments" section with merchant, frequency, amount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"Netflix £17.99/month, Amazon Prime £8.99/month, Gym £45/month"</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Alert customer if a recurring payment is likely to exceed available balance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Push to notification + home nudge</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10.5 Personalised Financial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AI-019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recommendation cards in the AI Insights page. Each card: title, description, CTA button. Examples below</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Dismissible; max 4 active at once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Recommendation: Savings Opportunity — "Your Sterling balance covers X months of expenses. Consider moving £Y to a higher-yield product." CTA: "Explore Products"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Recommendation: Exchange Timing — "GBP/EUR is at a 30-day high. Convert Sterling to Euro now to lock in the rate." CTA: "Exchange Now"</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Deep-links to Exchange screen with GBP→EUR pre-selected</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Recommendation: Spending Goal — "You're 68% through your £2,000 monthly budget with 12 days remaining. Tip: reduce dining spend by £40 to stay on track." CTA: "Set Budget"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Recommendation: Account Activation — "Activate a USD account to avoid FX conversion fees on US transactions." CTA: "Request Dollar Account"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Deep-links to account request flow</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10.6 AI Insights Dashboard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AI-024</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Insights page header shows: "Good morning, [Name]" with date, AI status badge ("AI Active — analysing your finances")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AI-025</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Summary strip at top: Net cash flow this month (inflows - outflows), biggest spending category, budget utilisation %</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3 stat chips in a row</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Section 1: Active Nudges / Alerts (up to 3 cards, each with dismiss button)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Orange/amber tone for alerts</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AI-027</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Section 2: Spending Breakdown (full category chart with MoM deltas)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Section 3: Recurring Payments (list view)</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AI-029</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Section 4: FX Intelligence (rate opportunity cards, cross-currency spend summary)</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AI-030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Section 5: Personalised Recommendations (up to 4 cards, dismissible)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11. Module: Cards</w:t>
      </w:r>
    </w:p>
    <w:p>
      <w:pPr>
        <w:spacing w:after="60" w:before="60"/>
      </w:pPr>
      <w:r>
        <w:rPr>
          <w:rFonts w:ascii="Arial" w:cs="Arial" w:eastAsia="Arial" w:hAnsi="Arial"/>
          <w:color w:val="111827"/>
          <w:sz w:val="22"/>
          <w:szCs w:val="22"/>
        </w:rPr>
        <w:t xml:space="preserve">The Cards module allows the customer to view and manage their linked payment cards.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CD-001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Display virtual card with masked number (last 4 digits shown), cardholder name, expiry, network (Visa/Mastercard)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CD-002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Freeze / Unfreeze card toggle. Frozen cards show amber "Frozen" status badge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Sends freeze instruction to card processor API</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CD-003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card spend limits: daily, monthly. Customer can adjust within allowed range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Requires back-office approval for limit increases</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CD-004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 last 5 card transactions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CD-005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Order physical card CTA (routes to admin fulfilment flow)</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12. Module: Profile &amp; Security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PR-001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Profile page shows: Customer ID, full name, email, mobile, date of birth, address, account type, country of residence, native currency. All read-only (edit via support)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PR-002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Change Password: current password, new password (with strength meter), confirm. Password rules as per onboarding</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PR-003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Two-Factor Authentication toggle. When enabled, OTP is required at each sign-in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PR-004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Linked Documents: view uploaded KYC documents. Option to re-upload if expired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PR-005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Notification Preferences: toggle on/off for: payment received, payment sent, FX rate alerts, AI insights, security alerts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PR-006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Sign Out terminates session and returns to auth screen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13. Module: Multi-User Access &amp; Role-Based Permissions</w:t>
      </w:r>
    </w:p>
    <w:p>
      <w:pPr>
        <w:spacing w:after="60" w:before="60"/>
      </w:pPr>
      <w:r>
        <w:rPr>
          <w:rFonts w:ascii="Arial" w:cs="Arial" w:eastAsia="Arial" w:hAnsi="Arial"/>
          <w:color w:val="111827"/>
          <w:sz w:val="22"/>
          <w:szCs w:val="22"/>
        </w:rPr>
        <w:t xml:space="preserve">QBank accounts support multi-user access. A single bank account can be accessed by multiple authenticated users, each with a defined role that controls exactly what they can see and do. This requirement was identified as architecturally critical — the data model must be designed for multi-user from day one. Retrofitting after the fact is not feasible.</w:t>
      </w:r>
    </w:p>
    <w:p>
      <w:pPr>
        <w:spacing w:after="60" w:before="60"/>
      </w:pPr>
      <w:r>
        <w:t xml:space="preserve"/>
      </w:r>
    </w:p>
    <w:p>
      <w:pPr>
        <w:spacing w:after="60" w:before="60"/>
        <w:ind w:left="360"/>
      </w:pPr>
      <w:r>
        <w:rPr>
          <w:rFonts w:ascii="Arial" w:cs="Arial" w:eastAsia="Arial" w:hAnsi="Arial"/>
          <w:i/>
          <w:iCs/>
          <w:color w:val="1D4ED8"/>
          <w:sz w:val="20"/>
          <w:szCs w:val="20"/>
        </w:rPr>
        <w:t xml:space="preserve">ℹ  CEO Directive (16 Jun 2026 meeting): "Any customer bank account, whether individual or business, should have the ability to add additional logins. The system must not tie an account to one phone number and one email ID." — This requirement applies to both Individual and Business accounts.</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13.1 Why This Matters — The Architectural Imperative</w:t>
      </w:r>
    </w:p>
    <w:p>
      <w:pPr>
        <w:spacing w:after="60" w:before="60"/>
      </w:pPr>
      <w:r>
        <w:rPr>
          <w:rFonts w:ascii="Arial" w:cs="Arial" w:eastAsia="Arial" w:hAnsi="Arial"/>
          <w:color w:val="111827"/>
          <w:sz w:val="22"/>
          <w:szCs w:val="22"/>
        </w:rPr>
        <w:t xml:space="preserve">If the system is built assuming one account = one user = one email + one phone, adding multi-user access later requires restructuring the authentication layer, the session management layer, and every API permission check. This creates significant technical debt and delays. The correct approach is to design the Account ↔ User relationship as a many-to-many from the start.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Current (incorrect) model</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Account tied to one email + one mobile. Auth checks use account credentials directly.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Required (correct) model</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Account has many Users. Each User has their own credentials (email + mobile + password + OTP). A Role defines what the User can do on that Account.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Data model</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Account → AccountUser (join table) → User + Role. One User can potentially exist across multiple accounts (e.g. a shared accountant).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Session context</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Every API call carries both the User token AND the Account ID. The backend checks Role permissions before allowing the operation.</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13.2 User Roles</w:t>
      </w:r>
    </w:p>
    <w:p>
      <w:pPr>
        <w:spacing w:after="60" w:before="60"/>
      </w:pPr>
      <w:r>
        <w:rPr>
          <w:rFonts w:ascii="Arial" w:cs="Arial" w:eastAsia="Arial" w:hAnsi="Arial"/>
          <w:color w:val="111827"/>
          <w:sz w:val="22"/>
          <w:szCs w:val="22"/>
        </w:rPr>
        <w:t xml:space="preserve">Four roles are defined. The Owner role is automatically assigned to the primary account holder at onboarding and cannot be transferred or duplicated. Additional users are invited by the Owner from within the portal.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Role</w:t>
            </w:r>
          </w:p>
        </w:tc>
        <w:tc>
          <w:tcPr>
            <w:tcW w:type="dxa" w:w="20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Assigned By</w:t>
            </w:r>
          </w:p>
        </w:tc>
        <w:tc>
          <w:tcPr>
            <w:tcW w:type="dxa" w:w="56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Description</w:t>
            </w:r>
          </w:p>
        </w:tc>
      </w:tr>
      <w:tr>
        <w:tc>
          <w:tcPr>
            <w:tcW w:type="dxa" w:w="1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Owner</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System (at onboarding)</w:t>
            </w:r>
          </w:p>
        </w:tc>
        <w:tc>
          <w:tcPr>
            <w:tcW w:type="dxa" w:w="56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primary account holder. Created at onboarding. Has unrestricted access to all functions including closing the account, managing team members, and all financial operations. Cannot be removed or reassigned.</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Admin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Owner only</w:t>
            </w:r>
          </w:p>
        </w:tc>
        <w:tc>
          <w:tcPr>
            <w:tcW w:type="dxa" w:w="5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Full access to all financial operations and settings. Can manage cards, update profile, and invite/remove team members. Cannot close or suspend the account. Suitable for a second director or operations manager.</w:t>
            </w:r>
          </w:p>
        </w:tc>
      </w:tr>
      <w:tr>
        <w:tc>
          <w:tcPr>
            <w:tcW w:type="dxa" w:w="1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Finance</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Owner or Admin</w:t>
            </w:r>
          </w:p>
        </w:tc>
        <w:tc>
          <w:tcPr>
            <w:tcW w:type="dxa" w:w="56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Can view all balances and transactions, initiate payments and transfers, exchange currency, and download statements. Cannot manage cards, change settings, or manage team access. Suitable for an Accounts Department or Finance Manager.</w:t>
            </w:r>
          </w:p>
        </w:tc>
      </w:tr>
      <w:tr>
        <w:tc>
          <w:tcPr>
            <w:tcW w:type="dxa" w:w="1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Viewer</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Owner or Admin</w:t>
            </w:r>
          </w:p>
        </w:tc>
        <w:tc>
          <w:tcPr>
            <w:tcW w:type="dxa" w:w="5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Read-only access. Can view account balances and transaction history only. Cannot initiate any financial operations, download statements, or access settings. Suitable for a Sales team member who needs to verify incoming payments.</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13.3 Role Permission Matrix</w:t>
      </w:r>
    </w:p>
    <w:p>
      <w:pPr>
        <w:spacing w:after="60" w:before="60"/>
      </w:pPr>
      <w:r>
        <w:rPr>
          <w:rFonts w:ascii="Arial" w:cs="Arial" w:eastAsia="Arial" w:hAnsi="Arial"/>
          <w:color w:val="111827"/>
          <w:sz w:val="22"/>
          <w:szCs w:val="22"/>
        </w:rPr>
        <w:t xml:space="preserve">The following matrix defines exactly what each role can and cannot do across every functional area of the portal.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tblHeader/>
        </w:trPr>
        <w:tc>
          <w:tcPr>
            <w:tcW w:type="dxa" w:w="28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Permission / Feature</w:t>
            </w:r>
          </w:p>
        </w:tc>
        <w:tc>
          <w:tcPr>
            <w:tcW w:type="dxa" w:w="155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Owner</w:t>
            </w:r>
          </w:p>
        </w:tc>
        <w:tc>
          <w:tcPr>
            <w:tcW w:type="dxa" w:w="155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Admin</w:t>
            </w:r>
          </w:p>
        </w:tc>
        <w:tc>
          <w:tcPr>
            <w:tcW w:type="dxa" w:w="155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Finance</w:t>
            </w:r>
          </w:p>
        </w:tc>
        <w:tc>
          <w:tcPr>
            <w:tcW w:type="dxa" w:w="155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Viewer</w:t>
            </w:r>
          </w:p>
        </w:tc>
      </w:tr>
      <w:tr>
        <w:tc>
          <w:tcPr>
            <w:tcW w:type="dxa" w:w="2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View balances &amp; transactions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r>
      <w:tr>
        <w:tc>
          <w:tcPr>
            <w:tcW w:type="dxa" w:w="2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Download account statements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r>
      <w:tr>
        <w:tc>
          <w:tcPr>
            <w:tcW w:type="dxa" w:w="2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Initiate payments &amp; transfers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Exchange currency (own accounts)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Add &amp; manage beneficiaries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Request additional accounts (EUR/USD)</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Manage card controls &amp; spending limits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Update profile &amp; account settings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Invite team members (Admin, Finance, Viewer)</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Remove or modify team member roles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r>
        <w:tc>
          <w:tcPr>
            <w:tcW w:type="dxa" w:w="2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Close or suspend the account</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Yes</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c>
          <w:tcPr>
            <w:tcW w:type="dxa" w:w="155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13.4 Invite &amp; Onboarding Flow for Additional Users</w:t>
      </w:r>
    </w:p>
    <w:p>
      <w:pPr>
        <w:spacing w:after="60" w:before="60"/>
      </w:pPr>
      <w:r>
        <w:rPr>
          <w:rFonts w:ascii="Arial" w:cs="Arial" w:eastAsia="Arial" w:hAnsi="Arial"/>
          <w:color w:val="111827"/>
          <w:sz w:val="22"/>
          <w:szCs w:val="22"/>
        </w:rPr>
        <w:t xml:space="preserve">When an Owner invites a new team member, the following flow is triggered:</w:t>
      </w:r>
    </w:p>
    <w:p>
      <w:pPr>
        <w:spacing w:after="60" w:before="60"/>
      </w:pPr>
      <w:r>
        <w:t xml:space="preserve"/>
      </w:r>
    </w:p>
    <w:p>
      <w:pPr>
        <w:pStyle w:val="ListParagraph"/>
        <w:numPr>
          <w:ilvl w:val="0"/>
          <w:numId w:val="3"/>
        </w:numPr>
        <w:spacing w:after="50" w:before="50"/>
      </w:pPr>
      <w:r>
        <w:rPr>
          <w:rFonts w:ascii="Arial" w:cs="Arial" w:eastAsia="Arial" w:hAnsi="Arial"/>
          <w:color w:val="111827"/>
          <w:sz w:val="22"/>
          <w:szCs w:val="22"/>
        </w:rPr>
        <w:t xml:space="preserve">Owner navigates to Profile → Team &amp; Access. Enters the new user's full name, email address, and selects a role.</w:t>
      </w:r>
    </w:p>
    <w:p>
      <w:pPr>
        <w:pStyle w:val="ListParagraph"/>
        <w:numPr>
          <w:ilvl w:val="0"/>
          <w:numId w:val="3"/>
        </w:numPr>
        <w:spacing w:after="50" w:before="50"/>
      </w:pPr>
      <w:r>
        <w:rPr>
          <w:rFonts w:ascii="Arial" w:cs="Arial" w:eastAsia="Arial" w:hAnsi="Arial"/>
          <w:color w:val="111827"/>
          <w:sz w:val="22"/>
          <w:szCs w:val="22"/>
        </w:rPr>
        <w:t xml:space="preserve">System sends an invitation email to the new user with a secure one-time onboarding link (expires in 48 hours).</w:t>
      </w:r>
    </w:p>
    <w:p>
      <w:pPr>
        <w:pStyle w:val="ListParagraph"/>
        <w:numPr>
          <w:ilvl w:val="0"/>
          <w:numId w:val="3"/>
        </w:numPr>
        <w:spacing w:after="50" w:before="50"/>
      </w:pPr>
      <w:r>
        <w:rPr>
          <w:rFonts w:ascii="Arial" w:cs="Arial" w:eastAsia="Arial" w:hAnsi="Arial"/>
          <w:color w:val="111827"/>
          <w:sz w:val="22"/>
          <w:szCs w:val="22"/>
        </w:rPr>
        <w:t xml:space="preserve">New user clicks the link, sets their own password and mobile number (for OTP), and completes a lightweight identity confirmation.</w:t>
      </w:r>
    </w:p>
    <w:p>
      <w:pPr>
        <w:pStyle w:val="ListParagraph"/>
        <w:numPr>
          <w:ilvl w:val="0"/>
          <w:numId w:val="3"/>
        </w:numPr>
        <w:spacing w:after="50" w:before="50"/>
      </w:pPr>
      <w:r>
        <w:rPr>
          <w:rFonts w:ascii="Arial" w:cs="Arial" w:eastAsia="Arial" w:hAnsi="Arial"/>
          <w:color w:val="111827"/>
          <w:sz w:val="22"/>
          <w:szCs w:val="22"/>
        </w:rPr>
        <w:t xml:space="preserve">Once confirmed, the new user's credentials are stored independently. Their account is linked to the primary account with the assigned role.</w:t>
      </w:r>
    </w:p>
    <w:p>
      <w:pPr>
        <w:pStyle w:val="ListParagraph"/>
        <w:numPr>
          <w:ilvl w:val="0"/>
          <w:numId w:val="3"/>
        </w:numPr>
        <w:spacing w:after="50" w:before="50"/>
      </w:pPr>
      <w:r>
        <w:rPr>
          <w:rFonts w:ascii="Arial" w:cs="Arial" w:eastAsia="Arial" w:hAnsi="Arial"/>
          <w:color w:val="111827"/>
          <w:sz w:val="22"/>
          <w:szCs w:val="22"/>
        </w:rPr>
        <w:t xml:space="preserve">Owner receives a notification: "[Name] has joined the account as [Role]."</w:t>
      </w:r>
    </w:p>
    <w:p>
      <w:pPr>
        <w:pStyle w:val="ListParagraph"/>
        <w:numPr>
          <w:ilvl w:val="0"/>
          <w:numId w:val="3"/>
        </w:numPr>
        <w:spacing w:after="50" w:before="50"/>
      </w:pPr>
      <w:r>
        <w:rPr>
          <w:rFonts w:ascii="Arial" w:cs="Arial" w:eastAsia="Arial" w:hAnsi="Arial"/>
          <w:color w:val="111827"/>
          <w:sz w:val="22"/>
          <w:szCs w:val="22"/>
        </w:rPr>
        <w:t xml:space="preserve">New user can now sign in independently using their own email + password + OTP. They see only the screens and actions permitted by their role.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Every account (Individual and Business) must support multiple user logins from day one. The data model must not tie authentication credentials to the account entity directly.</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Architectural requirement — must be in initial system design</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Each additional user must have their own email address, mobile number, and password. OTP is sent to their own mobile on each login.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 sharing of credentials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Owner role is assigned once at account creation and cannot be transferred, duplicated, or removed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Only the Owner can invite, remove, or modify the role of team members. The Owner role itself cannot be transferred, duplicated, or modified by any other role.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Admin role does not have team management rights — Owner retains sole control over access management</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Invitation links expire after 48 hours. Expired invitations can be resent by the Owner.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Every API endpoint must enforce role-based permission checks server-side. Client-side role enforcement alone is insufficient.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Critical security requirement</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When a team member is added or removed, the Owner receives a notification (in-app + email).</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Session tokens must carry both User ID and Account ID. The backend resolves the Role from the AccountUser relationship on every request.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Prevents privilege escalation attacks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RBAC-009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Viewer role users see a read-only version of the portal. All payment, exchange, and settings CTAs are hidden or disabled for Viewer sessions.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Not just greyed out — must not be accessible via API either</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Team &amp; Access screen in the portal shows: current members table (name, email, role, status, last active), Invite button, and Role Permission Matrix</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See Section 13.3 for matrix</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13.5 Individual vs. Business Account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Individual account — RBAC use case</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Primary use: account owner grants Viewer access to a spouse, family member, or accountant to monitor the account without transacting.</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Business account — RBAC use case</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Primary use: Director (Owner) grants Finance role to the Accounts team for payment processing. Grants Viewer role to the Sales team to verify incoming customer payments. Grants Admin to a second director.</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Maximum users per account</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To be defined by back-office policy. Recommended initial limit: 10 users per account (configurable).</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Future: Approval workflows</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Not in scope for v1.0. Future enhancement: Finance-role payments above a defined threshold require Owner approval before execution.</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13.6 Team &amp; Access UI — Portal Requirements (v1.4)</w:t>
      </w:r>
    </w:p>
    <w:p>
      <w:pPr>
        <w:spacing w:after="60" w:before="60"/>
      </w:pPr>
      <w:r>
        <w:rPr>
          <w:rFonts w:ascii="Arial" w:cs="Arial" w:eastAsia="Arial" w:hAnsi="Arial"/>
          <w:color w:val="111827"/>
          <w:sz w:val="22"/>
          <w:szCs w:val="22"/>
        </w:rPr>
        <w:t xml:space="preserve">The Team &amp; Access screen provides the Owner with a fully interactive interface for managing team members. The following requirements reflect the portal UI implemented in v1.4 of the QBank Customer Portal.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Team &amp; Access screen shows a members table with columns: Name, Email, Role (colour-coded badge), Status (Active / Pending Invite / Pending Approval), Last Active. The Owner's own row shows a "View Details" button and is marked as non-modifiable.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RBAC-011</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Each team member row is expandable. Clicking a row reveals an inline detail panel showing: full email, role description, date added, last login, and action buttons (Edit Role, Remove). Only one row can be expanded at a time; expanding a new row collapses any previously open panel.</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Owner row is viewable but not editable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Clicking "Edit Role" opens a modal for the selected member. The modal shows the current role and a role selector. Role change behaviour is hierarchy-aware: (a) Downgrade (e.g. Admin → Finance, Admin → Viewer, Finance → Viewer) — change is instant, no confirmation required. (b) Upgrade to Finance role (e.g. Viewer → Finance) — change is queued as "Pending Approval". The member's status updates to "Pending Approval" in the table; they do not receive elevated access until the Owner confirms. (c) Upgrade to Admin role — requires the Owner to complete a 6-digit OTP verification within the modal before the change is applied. The member's status updates to "Pending Approval" until the OTP step is completed.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This hierarchy logic is enforced in the portal UI and must also be enforced server-side</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RBAC-013</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Clicking "Remove" on a team member's row shows an inline confirmation prompt. On confirm, the row fades out and is removed from the table. The server must invalidate all active sessions for that user on that account immediately upon removal.</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13.7 Unified Identity &amp; Account Switcher Architecture</w:t>
      </w:r>
    </w:p>
    <w:p>
      <w:pPr>
        <w:spacing w:after="60" w:before="60"/>
      </w:pPr>
      <w:r>
        <w:rPr>
          <w:rFonts w:ascii="Arial" w:cs="Arial" w:eastAsia="Arial" w:hAnsi="Arial"/>
          <w:color w:val="111827"/>
          <w:sz w:val="22"/>
          <w:szCs w:val="22"/>
        </w:rPr>
        <w:t xml:space="preserve">This section describes the identity and login architecture designed to support multi-account access for the same user — i.e., a single email address that has membership in more than one QBank account with potentially different roles in each.</w:t>
      </w:r>
    </w:p>
    <w:p>
      <w:pPr>
        <w:spacing w:after="60" w:before="60"/>
      </w:pPr>
      <w:r>
        <w:t xml:space="preserve"/>
      </w:r>
    </w:p>
    <w:p>
      <w:pPr>
        <w:spacing w:after="60" w:before="60"/>
        <w:ind w:left="360"/>
      </w:pPr>
      <w:r>
        <w:rPr>
          <w:rFonts w:ascii="Arial" w:cs="Arial" w:eastAsia="Arial" w:hAnsi="Arial"/>
          <w:i/>
          <w:iCs/>
          <w:color w:val="1D4ED8"/>
          <w:sz w:val="20"/>
          <w:szCs w:val="20"/>
        </w:rPr>
        <w:t xml:space="preserve">ℹ  This architecture directly addresses the scenario where the same person is both the Owner of their own personal account AND a team member (e.g. Admin or Finance) on a business account belonging to a different customer. Both situations use the same login credentials.</w:t>
      </w:r>
    </w:p>
    <w:p>
      <w:pPr>
        <w:spacing w:after="60" w:before="60"/>
      </w:pPr>
      <w:r>
        <w:t xml:space="preserve"/>
      </w:r>
    </w:p>
    <w:p>
      <w:pPr>
        <w:pStyle w:val="Heading3"/>
        <w:spacing w:after="100" w:before="200"/>
      </w:pPr>
      <w:r>
        <w:rPr>
          <w:rFonts w:ascii="Arial" w:cs="Arial" w:eastAsia="Arial" w:hAnsi="Arial"/>
          <w:b/>
          <w:bCs/>
          <w:color w:val="111827"/>
          <w:sz w:val="24"/>
          <w:szCs w:val="24"/>
        </w:rPr>
        <w:t xml:space="preserve">13.7.1 Identity Model</w:t>
      </w:r>
    </w:p>
    <w:p>
      <w:pPr>
        <w:spacing w:after="60" w:before="60"/>
      </w:pPr>
      <w:r>
        <w:rPr>
          <w:rFonts w:ascii="Arial" w:cs="Arial" w:eastAsia="Arial" w:hAnsi="Arial"/>
          <w:color w:val="111827"/>
          <w:sz w:val="22"/>
          <w:szCs w:val="22"/>
        </w:rPr>
        <w:t xml:space="preserve">The Identity is the authentication layer, completely separate from the Account. One Identity (email + password + OTP mobile) can be a member of many Accounts, each with a different Role.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Identity</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One per email address. Stores: email, hashed password, OTP mobile. Created once — the first time the user sets up any QBank credentials.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AccountMembership</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join record between an Identity and an Account. Stores: Role, Status (Active / Pending Invite / Pending Approval), Date Added.</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Account</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banking entity. Has balances, transactions, team members, and one Owner. Independent of any specific email address.</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Session Context</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After login, every session carries both the Identity Token (who you are) and the Account ID (which account you are operating on). The Role is resolved at request time from the AccountMembership record.</w:t>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13.7.2 Login &amp; Account Switcher Flow</w:t>
      </w:r>
    </w:p>
    <w:p>
      <w:pPr>
        <w:spacing w:after="60" w:before="60"/>
      </w:pPr>
      <w:r>
        <w:rPr>
          <w:rFonts w:ascii="Arial" w:cs="Arial" w:eastAsia="Arial" w:hAnsi="Arial"/>
          <w:color w:val="111827"/>
          <w:sz w:val="22"/>
          <w:szCs w:val="22"/>
        </w:rPr>
        <w:t xml:space="preserve">The portal login flow is a two-stage process for users who have multiple account memberships.</w:t>
      </w:r>
    </w:p>
    <w:p>
      <w:pPr>
        <w:spacing w:after="60" w:before="60"/>
      </w:pPr>
      <w:r>
        <w:t xml:space="preserve"/>
      </w:r>
    </w:p>
    <w:p>
      <w:pPr>
        <w:pStyle w:val="ListParagraph"/>
        <w:numPr>
          <w:ilvl w:val="0"/>
          <w:numId w:val="3"/>
        </w:numPr>
        <w:spacing w:after="50" w:before="50"/>
      </w:pPr>
      <w:r>
        <w:rPr>
          <w:rFonts w:ascii="Arial" w:cs="Arial" w:eastAsia="Arial" w:hAnsi="Arial"/>
          <w:color w:val="111827"/>
          <w:sz w:val="22"/>
          <w:szCs w:val="22"/>
        </w:rPr>
        <w:t xml:space="preserve">User enters their email address and password on the sign-in screen.</w:t>
      </w:r>
    </w:p>
    <w:p>
      <w:pPr>
        <w:pStyle w:val="ListParagraph"/>
        <w:numPr>
          <w:ilvl w:val="0"/>
          <w:numId w:val="3"/>
        </w:numPr>
        <w:spacing w:after="50" w:before="50"/>
      </w:pPr>
      <w:r>
        <w:rPr>
          <w:rFonts w:ascii="Arial" w:cs="Arial" w:eastAsia="Arial" w:hAnsi="Arial"/>
          <w:color w:val="111827"/>
          <w:sz w:val="22"/>
          <w:szCs w:val="22"/>
        </w:rPr>
        <w:t xml:space="preserve">The system validates the credentials against the Identity record (not the Account record).</w:t>
      </w:r>
    </w:p>
    <w:p>
      <w:pPr>
        <w:pStyle w:val="ListParagraph"/>
        <w:numPr>
          <w:ilvl w:val="0"/>
          <w:numId w:val="3"/>
        </w:numPr>
        <w:spacing w:after="50" w:before="50"/>
      </w:pPr>
      <w:r>
        <w:rPr>
          <w:rFonts w:ascii="Arial" w:cs="Arial" w:eastAsia="Arial" w:hAnsi="Arial"/>
          <w:color w:val="111827"/>
          <w:sz w:val="22"/>
          <w:szCs w:val="22"/>
        </w:rPr>
        <w:t xml:space="preserve">If the Identity has exactly one AccountMembership, the user is signed directly into the dashboard for that account.</w:t>
      </w:r>
    </w:p>
    <w:p>
      <w:pPr>
        <w:pStyle w:val="ListParagraph"/>
        <w:numPr>
          <w:ilvl w:val="0"/>
          <w:numId w:val="3"/>
        </w:numPr>
        <w:spacing w:after="50" w:before="50"/>
      </w:pPr>
      <w:r>
        <w:rPr>
          <w:rFonts w:ascii="Arial" w:cs="Arial" w:eastAsia="Arial" w:hAnsi="Arial"/>
          <w:color w:val="111827"/>
          <w:sz w:val="22"/>
          <w:szCs w:val="22"/>
        </w:rPr>
        <w:t xml:space="preserve">If the Identity has two or more AccountMemberships, the "Account Switcher" screen is shown. This screen lists all accounts the user is a member of, showing: account name, account type (Personal / Business), the user's role in that account, and an account avatar with initials.</w:t>
      </w:r>
    </w:p>
    <w:p>
      <w:pPr>
        <w:pStyle w:val="ListParagraph"/>
        <w:numPr>
          <w:ilvl w:val="0"/>
          <w:numId w:val="3"/>
        </w:numPr>
        <w:spacing w:after="50" w:before="50"/>
      </w:pPr>
      <w:r>
        <w:rPr>
          <w:rFonts w:ascii="Arial" w:cs="Arial" w:eastAsia="Arial" w:hAnsi="Arial"/>
          <w:color w:val="111827"/>
          <w:sz w:val="22"/>
          <w:szCs w:val="22"/>
        </w:rPr>
        <w:t xml:space="preserve">The user selects an account from the switcher. The session is scoped to that account and the appropriate role. The dashboard loads.</w:t>
      </w:r>
    </w:p>
    <w:p>
      <w:pPr>
        <w:pStyle w:val="ListParagraph"/>
        <w:numPr>
          <w:ilvl w:val="0"/>
          <w:numId w:val="3"/>
        </w:numPr>
        <w:spacing w:after="50" w:before="50"/>
      </w:pPr>
      <w:r>
        <w:rPr>
          <w:rFonts w:ascii="Arial" w:cs="Arial" w:eastAsia="Arial" w:hAnsi="Arial"/>
          <w:color w:val="111827"/>
          <w:sz w:val="22"/>
          <w:szCs w:val="22"/>
        </w:rPr>
        <w:t xml:space="preserve">Once inside the dashboard, users with multiple account memberships can switch accounts without logging out using the in-app Account Switcher (see Section 13.7.3).</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RBAC-014</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Login authentication is performed against the Identity entity (email + password + OTP). Accounts are not tied to login credentials.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Core architectural requirement — no single-user account model</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RBAC-015</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If an authenticated Identity has exactly one AccountMembership, proceed directly to the dashboard. If two or more memberships exist, show the Account Switcher screen before loading the dashboard.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RBAC-016</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Account Switcher screen shows all AccountMembership records for the current Identity. Each entry displays: account name, account type, the user's role (with colour-coded badge), and the account avatar.</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Design reference: Slack workspace picker, Revolut Business, Wise multi-currency</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RBAC-017</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selected account determines: (a) the nav items visible, (b) the actions available, (c) the data displayed. All three are scoped to the selected account + role combination.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Role-based nav scoping: Finance hides Security; Viewer hides Payments, Cards, Exchange, Security, Notifications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 user who is the Owner of their personal account and a team member (Admin / Finance / Viewer) on another account must be able to access both accounts from the same login session.</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same email address must not be blocked from opening a new account on the basis that it already exists in the system</w:t>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13.7.3 In-App Account Switching (Without Logout)</w:t>
      </w:r>
    </w:p>
    <w:p>
      <w:pPr>
        <w:spacing w:after="60" w:before="60"/>
      </w:pPr>
      <w:r>
        <w:rPr>
          <w:rFonts w:ascii="Arial" w:cs="Arial" w:eastAsia="Arial" w:hAnsi="Arial"/>
          <w:color w:val="111827"/>
          <w:sz w:val="22"/>
          <w:szCs w:val="22"/>
        </w:rPr>
        <w:t xml:space="preserve">Once a user is inside the dashboard, they can switch to another account they are a member of without signing out. This is exposed via the sidebar bottom profile card.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Sidebar bottom — single account</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Shows: user avatar (initials), full name, role badge + account type. No chevron visible. Sign Out button always visible below.</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Sidebar bottom — multiple accounts</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Same layout but with an upward chevron icon on the profile card. Tapping the card opens an inline popover above it.</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Account Switcher popover</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Lists all other AccountMemberships the user has (excluding the currently active one). Each item shows: account avatar, account name, role. Tapping an item switches the dashboard to that account and role without requiring re-authentication.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Sign Out</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Always visible below the profile card, regardless of account count. Clears the session and returns to the sign-in screen.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RBAC-019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sidebar bottom profile card must always show the currently active account context: user initials avatar, display name, role, and short account type label.</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RBAC-020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If the Identity has two or more AccountMemberships, an upward chevron is shown on the profile card. Tapping the profile card opens the in-app Account Switcher popover. Users with a single membership do not see the chevron.</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RBAC-021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Switching accounts via the in-app popover does not require re-authentication. The session Identity Token is reused; only the Account ID and Role in session context are updated.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No password re-entry for account switch — same security model as Slack workspace switch</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RBAC-022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Sign Out button is always visible below the profile card, regardless of number of accounts. It must not be hidden inside the Account Switcher popover.</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Previous implementation had Sign Out inside the popover — this was incorrect</w:t>
            </w:r>
          </w:p>
        </w:tc>
      </w:tr>
    </w:tbl>
    <w:p>
      <w:pPr>
        <w:spacing w:after="60" w:before="60"/>
      </w:pPr>
      <w:r>
        <w:t xml:space="preserve"/>
      </w:r>
    </w:p>
    <w:p>
      <w:pPr>
        <w:pStyle w:val="Heading3"/>
        <w:spacing w:after="100" w:before="200"/>
      </w:pPr>
      <w:r>
        <w:rPr>
          <w:rFonts w:ascii="Arial" w:cs="Arial" w:eastAsia="Arial" w:hAnsi="Arial"/>
          <w:b/>
          <w:bCs/>
          <w:color w:val="111827"/>
          <w:sz w:val="24"/>
          <w:szCs w:val="24"/>
        </w:rPr>
        <w:t xml:space="preserve">13.7.4 Pending Invite Lifecycle</w:t>
      </w:r>
    </w:p>
    <w:p>
      <w:pPr>
        <w:spacing w:after="60" w:before="60"/>
      </w:pPr>
      <w:r>
        <w:rPr>
          <w:rFonts w:ascii="Arial" w:cs="Arial" w:eastAsia="Arial" w:hAnsi="Arial"/>
          <w:color w:val="111827"/>
          <w:sz w:val="22"/>
          <w:szCs w:val="22"/>
        </w:rPr>
        <w:t xml:space="preserve">When an Owner invites a new user, the invitation goes through a defined lifecycle before the user can access the account.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rPr>
          <w:tblHeader/>
        </w:trPr>
        <w:tc>
          <w:tcPr>
            <w:tcW w:type="dxa" w:w="18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Status</w:t>
            </w:r>
          </w:p>
        </w:tc>
        <w:tc>
          <w:tcPr>
            <w:tcW w:type="dxa" w:w="24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Who Sees It</w:t>
            </w:r>
          </w:p>
        </w:tc>
        <w:tc>
          <w:tcPr>
            <w:tcW w:type="dxa" w:w="48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What It Means</w:t>
            </w:r>
          </w:p>
        </w:tc>
      </w:tr>
      <w:tr>
        <w:tc>
          <w:tcPr>
            <w:tcW w:type="dxa" w:w="1800"/>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Pending Invite</w:t>
            </w:r>
          </w:p>
        </w:tc>
        <w:tc>
          <w:tcPr>
            <w:tcW w:type="dxa" w:w="2400"/>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Owner (in Team &amp; Access table)</w:t>
            </w:r>
          </w:p>
        </w:tc>
        <w:tc>
          <w:tcPr>
            <w:tcW w:type="dxa" w:w="4826"/>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Invitation email sent; the new user has not yet clicked the link and set up their credentials. After 48 hours, the link expires and the Owner can resend.</w:t>
            </w:r>
          </w:p>
        </w:tc>
      </w:tr>
      <w:tr>
        <w:tc>
          <w:tcPr>
            <w:tcW w:type="dxa" w:w="1800"/>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Pending Approval</w:t>
            </w:r>
          </w:p>
        </w:tc>
        <w:tc>
          <w:tcPr>
            <w:tcW w:type="dxa" w:w="2400"/>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Owner (in Team &amp; Access table)</w:t>
            </w:r>
          </w:p>
        </w:tc>
        <w:tc>
          <w:tcPr>
            <w:tcW w:type="dxa" w:w="4826"/>
            <w:tcBorders>
              <w:top w:val="single" w:color="DDDDDD" w:sz="4"/>
              <w:left w:val="single" w:color="DDDDDD" w:sz="4"/>
              <w:bottom w:val="single" w:color="DDDDDD" w:sz="4"/>
              <w:right w:val="single" w:color="DDDDDD" w:sz="4"/>
            </w:tcBorders>
            <w:shd w:fill="FEF3C7"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new user has completed credential setup (accepted invite, set password + OTP mobile), but the Owner has not yet confirmed the role upgrade (relevant for Admin upgrades requiring OTP). The user cannot access the account in this state.</w:t>
            </w:r>
          </w:p>
        </w:tc>
      </w:tr>
      <w:tr>
        <w:tc>
          <w:tcPr>
            <w:tcW w:type="dxa" w:w="1800"/>
            <w:tcBorders>
              <w:top w:val="single" w:color="DDDDDD" w:sz="4"/>
              <w:left w:val="single" w:color="DDDDDD" w:sz="4"/>
              <w:bottom w:val="single" w:color="DDDDDD" w:sz="4"/>
              <w:right w:val="single" w:color="DDDDDD" w:sz="4"/>
            </w:tcBorders>
            <w:shd w:fill="D1FAE5"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Active</w:t>
            </w:r>
          </w:p>
        </w:tc>
        <w:tc>
          <w:tcPr>
            <w:tcW w:type="dxa" w:w="2400"/>
            <w:tcBorders>
              <w:top w:val="single" w:color="DDDDDD" w:sz="4"/>
              <w:left w:val="single" w:color="DDDDDD" w:sz="4"/>
              <w:bottom w:val="single" w:color="DDDDDD" w:sz="4"/>
              <w:right w:val="single" w:color="DDDDDD" w:sz="4"/>
            </w:tcBorders>
            <w:shd w:fill="D1FAE5"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Owner + the team member themselves</w:t>
            </w:r>
          </w:p>
        </w:tc>
        <w:tc>
          <w:tcPr>
            <w:tcW w:type="dxa" w:w="4826"/>
            <w:tcBorders>
              <w:top w:val="single" w:color="DDDDDD" w:sz="4"/>
              <w:left w:val="single" w:color="DDDDDD" w:sz="4"/>
              <w:bottom w:val="single" w:color="DDDDDD" w:sz="4"/>
              <w:right w:val="single" w:color="DDDDDD" w:sz="4"/>
            </w:tcBorders>
            <w:shd w:fill="D1FAE5"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user's AccountMembership is confirmed and active. They can log in using their own credentials and access the account scoped to their role.</w:t>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14. Cross-Cutting AI Feature Matrix</w:t>
      </w:r>
    </w:p>
    <w:p>
      <w:pPr>
        <w:spacing w:after="60" w:before="60"/>
      </w:pPr>
      <w:r>
        <w:rPr>
          <w:rFonts w:ascii="Arial" w:cs="Arial" w:eastAsia="Arial" w:hAnsi="Arial"/>
          <w:color w:val="111827"/>
          <w:sz w:val="22"/>
          <w:szCs w:val="22"/>
        </w:rPr>
        <w:t xml:space="preserve">The following table summarises every AI touchpoint in the QBank portal. AI is not confined to the Insights tab — it runs through the entire product.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426"/>
      </w:tblGrid>
      <w:tr>
        <w:trPr>
          <w:tblHeader/>
        </w:trPr>
        <w:tc>
          <w:tcPr>
            <w:tcW w:type="dxa" w:w="2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Screen</w:t>
            </w:r>
          </w:p>
        </w:tc>
        <w:tc>
          <w:tcPr>
            <w:tcW w:type="dxa" w:w="24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AI Feature</w:t>
            </w:r>
          </w:p>
        </w:tc>
        <w:tc>
          <w:tcPr>
            <w:tcW w:type="dxa" w:w="20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AI Capability</w:t>
            </w:r>
          </w:p>
        </w:tc>
        <w:tc>
          <w:tcPr>
            <w:tcW w:type="dxa" w:w="24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User Benefit</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Onboarding — Step 5</w:t>
            </w:r>
          </w:p>
        </w:tc>
        <w:tc>
          <w:tcPr>
            <w:tcW w:type="dxa" w:w="2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KYC Document Parsing</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OCR + NLP extraction</w:t>
            </w:r>
          </w:p>
        </w:tc>
        <w:tc>
          <w:tcPr>
            <w:tcW w:type="dxa" w:w="24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Zero manual data entry; faster sign-up</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Pay Someone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Reference Document Scan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OCR + structured data extraction</w:t>
            </w:r>
          </w:p>
        </w:tc>
        <w:tc>
          <w:tcPr>
            <w:tcW w:type="dxa" w:w="2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Auto-fill reference + amount from bill/invoice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Request Money</w:t>
            </w:r>
          </w:p>
        </w:tc>
        <w:tc>
          <w:tcPr>
            <w:tcW w:type="dxa" w:w="2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Reference Document Scan</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Same as Pay Someone</w:t>
            </w:r>
          </w:p>
        </w:tc>
        <w:tc>
          <w:tcPr>
            <w:tcW w:type="dxa" w:w="24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Auto-fill request details from invoice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Activity</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Transaction Categorisation</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NLP on merchant name/description</w:t>
            </w:r>
          </w:p>
        </w:tc>
        <w:tc>
          <w:tcPr>
            <w:tcW w:type="dxa" w:w="2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Instant category tags; powers AI Insights</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Home Dashboard</w:t>
            </w:r>
          </w:p>
        </w:tc>
        <w:tc>
          <w:tcPr>
            <w:tcW w:type="dxa" w:w="2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Budget Nudge Strip</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Anomaly detection on spend patterns</w:t>
            </w:r>
          </w:p>
        </w:tc>
        <w:tc>
          <w:tcPr>
            <w:tcW w:type="dxa" w:w="24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Proactive budget coaching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Insights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Spending Analysis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Category aggregation + MoM comparison</w:t>
            </w:r>
          </w:p>
        </w:tc>
        <w:tc>
          <w:tcPr>
            <w:tcW w:type="dxa" w:w="2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Visual breakdown of financial behaviour</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Insights</w:t>
            </w:r>
          </w:p>
        </w:tc>
        <w:tc>
          <w:tcPr>
            <w:tcW w:type="dxa" w:w="2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Cash Flow Prediction</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Time-series extrapolation on spend rate</w:t>
            </w:r>
          </w:p>
        </w:tc>
        <w:tc>
          <w:tcPr>
            <w:tcW w:type="dxa" w:w="24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Predict end-of-month balance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Insights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FX Opportunity Alerts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Rate monitoring vs. 30-day rolling window</w:t>
            </w:r>
          </w:p>
        </w:tc>
        <w:tc>
          <w:tcPr>
            <w:tcW w:type="dxa" w:w="2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Alert when to exchange at best rate</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Insights</w:t>
            </w:r>
          </w:p>
        </w:tc>
        <w:tc>
          <w:tcPr>
            <w:tcW w:type="dxa" w:w="24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Recurring Payment Detection</w:t>
            </w:r>
          </w:p>
        </w:tc>
        <w:tc>
          <w:tcPr>
            <w:tcW w:type="dxa" w:w="2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Pattern recognition on merchant + amount + frequency</w:t>
            </w:r>
          </w:p>
        </w:tc>
        <w:tc>
          <w:tcPr>
            <w:tcW w:type="dxa" w:w="24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Surface subscriptions; warn on insufficient balance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Insights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Personalised Recommendations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Rule engine + contextual triggers</w:t>
            </w:r>
          </w:p>
        </w:tc>
        <w:tc>
          <w:tcPr>
            <w:tcW w:type="dxa" w:w="2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Tailored savings, exchange, and account suggestions</w:t>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15. API &amp; Integration Notes</w:t>
      </w:r>
    </w:p>
    <w:p>
      <w:pPr>
        <w:spacing w:after="60" w:before="60"/>
      </w:pPr>
      <w:r>
        <w:rPr>
          <w:rFonts w:ascii="Arial" w:cs="Arial" w:eastAsia="Arial" w:hAnsi="Arial"/>
          <w:color w:val="111827"/>
          <w:sz w:val="22"/>
          <w:szCs w:val="22"/>
        </w:rPr>
        <w:t xml:space="preserve">QBank interfaces with its core banking infrastructure via an internal BaaS (Banking-as-a-Service) layer. All account data, transaction records, FX rates, and payment execution route through this layer. The specific API vendor and endpoint schema are defined at the infrastructure level and are not exposed in the customer portal requirements. The portal consumes a versioned internal API contract managed by the QBank platform team.</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15.1 Key Integration Domains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Authentication</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Bearer token (JWT). Token encodes both User ID and Account ID. Obtained at sign-in; refreshed every 60 minutes. Role resolved server-side from AccountUser join table on every request.</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FX Rates</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Live mid-market rates for GBP/EUR, GBP/USD, EUR/USD and major crosses. 30-second rate lock on exchange confirmation. Zero spread applied.</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Account Management</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Create and activate currency accounts. Returns account identifiers appropriate to the currency (Sort Code + Account Number for GBP, ABA + Account Number for USD, IBAN + BIC for EUR).</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Payment Execution</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Outbound payment execution with rail selection (FPS, CHAPS, SEPA, ACH, RTP, SWIFT). Required fields: from_account, to_beneficiary, amount, currency, rail, reference.</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Transaction History</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Paginated transaction records per account. Supports date range, category, and direction filters. AI categorisation applied at ingestion.</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 Document Upload</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Multipart document submission for identity verification. Returns document reference ID used in onboarding application payload.</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FX Conversion</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Internal account-to-account currency conversion at locked mid-market rate. Returns executed rate and conversion ID.</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Card Management</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Fetch card details (masked PAN, expiry, network). Update freeze state and spending limits.</w:t>
            </w:r>
          </w:p>
        </w:tc>
      </w:tr>
      <w:tr>
        <w:tc>
          <w:tcPr>
            <w:tcW w:type="dxa" w:w="30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Statement Generation</w:t>
            </w:r>
          </w:p>
        </w:tc>
        <w:tc>
          <w:tcPr>
            <w:tcW w:type="dxa" w:w="6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Monthly statement retrieval per account, returned as PDF stream or base64. Includes transaction list, opening/closing balance, FX summary.</w:t>
            </w:r>
          </w:p>
        </w:tc>
      </w:tr>
      <w:tr>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Notification Service</w:t>
            </w:r>
          </w:p>
        </w:tc>
        <w:tc>
          <w:tcPr>
            <w:tcW w:type="dxa" w:w="6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In-app and email notifications for: payment confirmation, team member invite/join/removal, OTP dispatch, security events.</w:t>
            </w:r>
          </w:p>
        </w:tc>
      </w:tr>
    </w:tbl>
    <w:p>
      <w:pPr>
        <w:spacing w:after="60" w:before="60"/>
      </w:pPr>
      <w:r>
        <w:t xml:space="preserve"/>
      </w:r>
    </w:p>
    <w:p>
      <w:pPr>
        <w:spacing w:after="60" w:before="60"/>
        <w:ind w:left="360"/>
      </w:pPr>
      <w:r>
        <w:rPr>
          <w:rFonts w:ascii="Arial" w:cs="Arial" w:eastAsia="Arial" w:hAnsi="Arial"/>
          <w:i/>
          <w:iCs/>
          <w:color w:val="1D4ED8"/>
          <w:sz w:val="20"/>
          <w:szCs w:val="20"/>
        </w:rPr>
        <w:t xml:space="preserve">ℹ  Specific API base URLs, endpoint paths, and authentication credentials are managed via environment configuration and are not part of this BRD. The portal must never hard-code API endpoints — all base URLs must be environment-variable driven.</w:t>
      </w:r>
    </w:p>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16. Non-Functional Requirements</w:t>
      </w:r>
    </w:p>
    <w:p>
      <w:pPr>
        <w:spacing w:after="60" w:before="60"/>
      </w:pPr>
      <w:r>
        <w:t xml:space="preserve"/>
      </w:r>
    </w:p>
    <w:p>
      <w:pPr>
        <w:pStyle w:val="Heading2"/>
        <w:spacing w:after="140" w:before="300"/>
      </w:pPr>
      <w:r>
        <w:rPr>
          <w:rFonts w:ascii="Arial" w:cs="Arial" w:eastAsia="Arial" w:hAnsi="Arial"/>
          <w:b/>
          <w:bCs/>
          <w:color w:val="0B4FD8"/>
          <w:sz w:val="28"/>
          <w:szCs w:val="28"/>
        </w:rPr>
        <w:t xml:space="preserve">15.1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Page initial load time &lt; 2 seconds on standard broadband</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FX rate refresh latency &lt; 500ms from API response to UI update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AI document parse simulation: total duration 2.5–3.5 seconds with staged progress feedback</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UX-driven, not a hard technical limit</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Transaction list must render up to 500 rows without UI freeze. Pagination at 50 rows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15.2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All API calls use HTTPS (TLS 1.2+). No plain HTTP requests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Passwords are never stored or logged in plain text. Hashed using bcrypt (min 12 rounds) on the backend</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Session tokens expire after 60 minutes of inactivity. Customer is prompted to re-authenticate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NFR-008</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OTP codes expire after 10 minutes (production). Never reusable.</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NFR-009</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All PII data is encrypted at rest (AES-256) and in transit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NFR-010</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CSP headers prevent XSS. CSRF tokens on all state-changing requests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15.3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NFR-011</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FCA-regulated. All KYC/AML processes must meet FCA SYSC and ML Regulations 2017 requirements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NFR-012</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GDPR compliant. Customer data deletion request must be fulfilled within 30 days</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NFR-013</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PSD2 compliant for EU customers. Strong Customer Authentication (SCA) for payments &gt; £30 equivalent</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NFR-014</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Sanctions screening runs at onboarding and on every payment above £1,000</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Integrate OFAC/HMT sanctions list API</w:t>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15.4 Multi-User Access &amp; RBAC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NFR-018</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Role permissions must be enforced server-side on every API request. Client-side enforcement is supplementary only.</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Prevents privilege escalation via direct API calls</w:t>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NFR-019</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Session tokens must encode both User ID and Account ID. Role resolved dynamically from AccountUser join table on every request.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Core architectural requirement from CEO — must not tie account to single user credentials</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NFR-020</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Invitation links must be single-use, cryptographically signed, and expire after 48 hours.</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NFR-021</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Viewer-role sessions receive a read-only API token. Write/mutation endpoints return 403 Forbidden for Viewer tokens — this is enforced at API gateway level, not just UI.</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NFR-022</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When an Owner revokes a team member, all active sessions for that user on that account must be invalidated immediately.</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bl>
    <w:p>
      <w:pPr>
        <w:spacing w:after="60" w:before="60"/>
      </w:pPr>
      <w:r>
        <w:t xml:space="preserve"/>
      </w:r>
    </w:p>
    <w:p>
      <w:pPr>
        <w:pStyle w:val="Heading2"/>
        <w:spacing w:after="140" w:before="300"/>
      </w:pPr>
      <w:r>
        <w:rPr>
          <w:rFonts w:ascii="Arial" w:cs="Arial" w:eastAsia="Arial" w:hAnsi="Arial"/>
          <w:b/>
          <w:bCs/>
          <w:color w:val="0B4FD8"/>
          <w:sz w:val="28"/>
          <w:szCs w:val="28"/>
        </w:rPr>
        <w:t xml:space="preserve">15.5 Accessibility &amp; Compatibility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00"/>
        <w:gridCol w:w="3026"/>
      </w:tblGrid>
      <w:tr>
        <w:trPr>
          <w:tblHeader/>
        </w:trPr>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 ID</w:t>
            </w:r>
          </w:p>
        </w:tc>
        <w:tc>
          <w:tcPr>
            <w:tcW w:type="dxa" w:w="4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Requirement</w:t>
            </w:r>
          </w:p>
        </w:tc>
        <w:tc>
          <w:tcPr>
            <w:tcW w:type="dxa" w:w="9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Priority</w:t>
            </w:r>
          </w:p>
        </w:tc>
        <w:tc>
          <w:tcPr>
            <w:tcW w:type="dxa" w:w="30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Notes / Business Rule</w:t>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NFR-015</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WCAG 2.1 AA compliant. All interactive elements keyboard-accessible. Colour contrast ratio ≥ 4.5:1</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2400E"/>
                <w:sz w:val="18"/>
                <w:szCs w:val="18"/>
              </w:rPr>
              <w:t xml:space="preserve">Medium</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NFR-016</w:t>
            </w:r>
          </w:p>
        </w:tc>
        <w:tc>
          <w:tcPr>
            <w:tcW w:type="dxa" w:w="4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Tested on Chrome (latest), Firefox (latest), Safari (latest), Edge (latest)</w:t>
            </w:r>
          </w:p>
        </w:tc>
        <w:tc>
          <w:tcPr>
            <w:tcW w:type="dxa" w:w="9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
            </w:r>
          </w:p>
        </w:tc>
      </w:tr>
      <w:tr>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NFR-017</w:t>
            </w:r>
          </w:p>
        </w:tc>
        <w:tc>
          <w:tcPr>
            <w:tcW w:type="dxa" w:w="4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Responsive layout: fully functional at 1280px+ desktop width. Usable (not broken) at tablet width (768px)</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center"/>
            </w:pPr>
            <w:r>
              <w:rPr>
                <w:rFonts w:ascii="Arial" w:cs="Arial" w:eastAsia="Arial" w:hAnsi="Arial"/>
                <w:b/>
                <w:bCs/>
                <w:color w:val="991B1B"/>
                <w:sz w:val="18"/>
                <w:szCs w:val="18"/>
              </w:rPr>
              <w:t xml:space="preserve">High</w:t>
            </w:r>
          </w:p>
        </w:tc>
        <w:tc>
          <w:tcPr>
            <w:tcW w:type="dxa" w:w="3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Mobile native apps are out of scope</w:t>
            </w:r>
          </w:p>
        </w:tc>
      </w:tr>
    </w:tbl>
    <w:p>
      <w:pPr>
        <w:spacing w:after="60" w:before="60"/>
      </w:pPr>
      <w:r>
        <w:t xml:space="preserve"/>
      </w:r>
    </w:p>
    <w:p>
      <w:r>
        <w:br w:type="page"/>
      </w:r>
    </w:p>
    <w:p>
      <w:pPr>
        <w:pStyle w:val="Heading1"/>
        <w:pBdr>
          <w:bottom w:val="single" w:color="0B4FD8" w:sz="12" w:space="4"/>
        </w:pBdr>
        <w:spacing w:after="200" w:before="400"/>
      </w:pPr>
      <w:r>
        <w:rPr>
          <w:rFonts w:ascii="Arial" w:cs="Arial" w:eastAsia="Arial" w:hAnsi="Arial"/>
          <w:b/>
          <w:bCs/>
          <w:color w:val="111827"/>
          <w:sz w:val="36"/>
          <w:szCs w:val="36"/>
        </w:rPr>
        <w:t xml:space="preserve">17.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Term</w:t>
            </w:r>
          </w:p>
        </w:tc>
        <w:tc>
          <w:tcPr>
            <w:tcW w:type="dxa" w:w="6826"/>
            <w:tcBorders>
              <w:top w:val="single" w:color="CCCCCC" w:sz="4"/>
              <w:left w:val="single" w:color="CCCCCC" w:sz="4"/>
              <w:bottom w:val="single" w:color="CCCCCC" w:sz="4"/>
              <w:right w:val="single" w:color="CCCCCC" w:sz="4"/>
            </w:tcBorders>
            <w:shd w:fill="0B4FD8" w:val="clear"/>
            <w:tcMar>
              <w:top w:type="dxa" w:w="100"/>
              <w:left w:type="dxa" w:w="160"/>
              <w:bottom w:type="dxa" w:w="100"/>
              <w:right w:type="dxa" w:w="160"/>
            </w:tcMar>
          </w:tcPr>
          <w:p>
            <w:pPr>
              <w:jc w:val="left"/>
            </w:pPr>
            <w:r>
              <w:rPr>
                <w:rFonts w:ascii="Arial" w:cs="Arial" w:eastAsia="Arial" w:hAnsi="Arial"/>
                <w:b/>
                <w:bCs/>
                <w:color w:val="FFFFFF"/>
                <w:sz w:val="20"/>
                <w:szCs w:val="20"/>
              </w:rPr>
              <w:t xml:space="preserve">Definition</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Sterling</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QBank's name for GBP. The British Pound Sterling. All UI labels use "Sterling" not "GBP" for account names.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Native Currency</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primary currency of the customer based on their country of residence. Auto-set at onboarding.</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FPS</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Faster Payments Service — UK domestic payment rail. Settles in under 30 seconds, 24/7.</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SEPA</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Single Euro Payments Area — European payment scheme for EUR transactions.</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ACH</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Automated Clearing House — US domestic payment network. Standard settlement: 1 business day.</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RTP</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Real-Time Payments — US instant payment network. Settles instantly, 24/7.</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IBAN</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International Bank Account Number — standard EU bank account identifier.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BIC / SWIFT</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Bank Identifier Code — uniquely identifies a bank globally. Used for international wires.</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ABA</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American Bankers Association Routing Number — US bank routing identifier (9 digits).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PEP</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Politically Exposed Person — individual with prominent public function. Higher AML risk.</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KYC</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Know Your Customer — regulatory process to verify customer identity before account activation.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Mid-market Rate</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The midpoint between the bid and ask FX rate. QBank uses this with zero spread for all exchanges.</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BaaS</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Banking-as-a-Service — QBank uses a BaaS platform to power core banking infrastructure (account management, payment execution, FX rates, compliance).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bCs/>
                <w:color w:val="111827"/>
                <w:sz w:val="20"/>
                <w:szCs w:val="20"/>
              </w:rPr>
              <w:t xml:space="preserve">OTP</w:t>
            </w:r>
          </w:p>
        </w:tc>
        <w:tc>
          <w:tcPr>
            <w:tcW w:type="dxa" w:w="68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One-Time Password — 6-digit code sent via SMS or email for identity verification.</w:t>
            </w:r>
          </w:p>
        </w:tc>
      </w:tr>
      <w:tr>
        <w:tc>
          <w:tcPr>
            <w:tcW w:type="dxa" w:w="2200"/>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bCs/>
                <w:color w:val="111827"/>
                <w:sz w:val="20"/>
                <w:szCs w:val="20"/>
              </w:rPr>
              <w:t xml:space="preserve">Customer ID</w:t>
            </w:r>
          </w:p>
        </w:tc>
        <w:tc>
          <w:tcPr>
            <w:tcW w:type="dxa" w:w="6826"/>
            <w:tcBorders>
              <w:top w:val="single" w:color="DDDDDD" w:sz="4"/>
              <w:left w:val="single" w:color="DDDDDD" w:sz="4"/>
              <w:bottom w:val="single" w:color="DDDDDD" w:sz="4"/>
              <w:right w:val="single" w:color="DDDDDD" w:sz="4"/>
            </w:tcBorders>
            <w:shd w:fill="F9FAFB" w:val="clear"/>
            <w:tcMar>
              <w:top w:type="dxa" w:w="80"/>
              <w:left w:type="dxa" w:w="160"/>
              <w:bottom w:type="dxa" w:w="80"/>
              <w:right w:type="dxa" w:w="160"/>
            </w:tcMar>
          </w:tcPr>
          <w:p>
            <w:pPr>
              <w:jc w:val="left"/>
            </w:pPr>
            <w:r>
              <w:rPr>
                <w:rFonts w:ascii="Arial" w:cs="Arial" w:eastAsia="Arial" w:hAnsi="Arial"/>
                <w:b w:val="false"/>
                <w:bCs w:val="false"/>
                <w:color w:val="111827"/>
                <w:sz w:val="20"/>
                <w:szCs w:val="20"/>
              </w:rPr>
              <w:t xml:space="preserve">Unique identifier assigned at onboarding completion. Format: QBNK-XXXXXX.</w:t>
            </w:r>
          </w:p>
        </w:tc>
      </w:tr>
    </w:tbl>
    <w:p>
      <w:pPr>
        <w:spacing w:after="60" w:before="60"/>
      </w:pPr>
      <w:r>
        <w:t xml:space="preserve"/>
      </w:r>
    </w:p>
    <w:p>
      <w:r>
        <w:br w:type="page"/>
      </w:r>
    </w:p>
    <w:p>
      <w:pPr>
        <w:spacing w:after="80" w:before="0"/>
        <w:jc w:val="center"/>
      </w:pPr>
      <w:r>
        <w:rPr>
          <w:rFonts w:ascii="Arial" w:cs="Arial" w:eastAsia="Arial" w:hAnsi="Arial"/>
          <w:color w:val="6B7280"/>
          <w:sz w:val="20"/>
          <w:szCs w:val="20"/>
        </w:rPr>
        <w:t xml:space="preserve">— End of Document —</w:t>
      </w:r>
    </w:p>
    <w:p>
      <w:pPr>
        <w:spacing w:after="240" w:before="0"/>
        <w:jc w:val="center"/>
      </w:pPr>
      <w:r>
        <w:rPr>
          <w:rFonts w:ascii="Arial" w:cs="Arial" w:eastAsia="Arial" w:hAnsi="Arial"/>
          <w:color w:val="6B7280"/>
          <w:sz w:val="18"/>
          <w:szCs w:val="18"/>
        </w:rPr>
        <w:t xml:space="preserve">QBank Customer Portal · Business Requirements Document v1.4 · June 2026 · CONFIDENTIAL</w:t>
      </w:r>
    </w:p>
    <w:p>
      <w:pPr>
        <w:spacing w:after="80" w:before="0"/>
        <w:jc w:val="center"/>
      </w:pPr>
      <w:r>
        <w:rPr>
          <w:rFonts w:ascii="Arial" w:cs="Arial" w:eastAsia="Arial" w:hAnsi="Arial"/>
          <w:i/>
          <w:iCs/>
          <w:color w:val="6B7280"/>
          <w:sz w:val="18"/>
          <w:szCs w:val="18"/>
        </w:rPr>
        <w:t xml:space="preserve">This document is prepared by the QBank Product Management team and is intended for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jc w:val="right"/>
    </w:pPr>
    <w:r>
      <w:rPr>
        <w:rFonts w:ascii="Arial" w:cs="Arial" w:eastAsia="Arial" w:hAnsi="Arial"/>
        <w:color w:val="6B7280"/>
        <w:sz w:val="16"/>
        <w:szCs w:val="16"/>
      </w:rPr>
      <w:t xml:space="preserve">© 2026 QBank · QualGen AI  </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200"/>
    </w:pPr>
    <w:r>
      <w:rPr>
        <w:rFonts w:ascii="Arial" w:cs="Arial" w:eastAsia="Arial" w:hAnsi="Arial"/>
        <w:b/>
        <w:bCs/>
        <w:color w:val="0B4FD8"/>
        <w:sz w:val="20"/>
        <w:szCs w:val="20"/>
      </w:rPr>
      <w:t xml:space="preserve">QBank</w:t>
    </w:r>
    <w:r>
      <w:rPr>
        <w:rFonts w:ascii="Arial" w:cs="Arial" w:eastAsia="Arial" w:hAnsi="Arial"/>
        <w:color w:val="6B7280"/>
        <w:sz w:val="18"/>
        <w:szCs w:val="18"/>
      </w:rPr>
      <w:t xml:space="preserve">  ·  Business Requirements Document  ·  v1.4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827"/>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B4FD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2026-06-19T09:23:34.211Z</dcterms:created>
  <dcterms:modified xsi:type="dcterms:W3CDTF">2026-06-19T09:23:34.211Z</dcterms:modified>
</cp:coreProperties>
</file>

<file path=docProps/custom.xml><?xml version="1.0" encoding="utf-8"?>
<Properties xmlns="http://schemas.openxmlformats.org/officeDocument/2006/custom-properties" xmlns:vt="http://schemas.openxmlformats.org/officeDocument/2006/docPropsVTypes"/>
</file>