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1C8C" w14:textId="77777777" w:rsidR="002F6699" w:rsidRPr="008371AD" w:rsidRDefault="002F6699" w:rsidP="00F10C5B">
      <w:pPr>
        <w:rPr>
          <w:rFonts w:ascii="Times New Roman" w:hAnsi="Times New Roman" w:cs="Times New Roman"/>
          <w:b/>
          <w:bCs/>
        </w:rPr>
      </w:pPr>
    </w:p>
    <w:p w14:paraId="7D7580EE" w14:textId="285DA0C2" w:rsidR="00E52381" w:rsidRPr="008371AD" w:rsidRDefault="00140497" w:rsidP="00E52381">
      <w:pPr>
        <w:jc w:val="center"/>
        <w:rPr>
          <w:rFonts w:ascii="Times New Roman" w:hAnsi="Times New Roman" w:cs="Times New Roman"/>
        </w:rPr>
      </w:pPr>
      <w:r w:rsidRPr="008371AD">
        <w:rPr>
          <w:rFonts w:ascii="Times New Roman" w:hAnsi="Times New Roman" w:cs="Times New Roman"/>
          <w:b/>
          <w:bCs/>
        </w:rPr>
        <w:t xml:space="preserve">Did </w:t>
      </w:r>
      <w:r w:rsidR="000D3378" w:rsidRPr="008371AD">
        <w:rPr>
          <w:rFonts w:ascii="Times New Roman" w:hAnsi="Times New Roman" w:cs="Times New Roman"/>
          <w:b/>
          <w:bCs/>
        </w:rPr>
        <w:t>South Africa’s carbon pricing policy reduce emissions?</w:t>
      </w:r>
    </w:p>
    <w:p w14:paraId="1FE032E8" w14:textId="77777777" w:rsidR="00E52381" w:rsidRPr="008371AD" w:rsidRDefault="00E52381" w:rsidP="00E52381">
      <w:pPr>
        <w:jc w:val="both"/>
        <w:rPr>
          <w:rFonts w:ascii="Times New Roman" w:hAnsi="Times New Roman" w:cs="Times New Roman"/>
        </w:rPr>
      </w:pPr>
    </w:p>
    <w:p w14:paraId="3166BEDE" w14:textId="77777777" w:rsidR="002F6699" w:rsidRPr="008371AD" w:rsidRDefault="002F6699" w:rsidP="00E52381">
      <w:pPr>
        <w:jc w:val="both"/>
        <w:rPr>
          <w:rFonts w:ascii="Times New Roman" w:hAnsi="Times New Roman" w:cs="Times New Roman"/>
        </w:rPr>
      </w:pPr>
    </w:p>
    <w:p w14:paraId="3768768D" w14:textId="77777777" w:rsidR="002F6699" w:rsidRPr="008371AD" w:rsidRDefault="002F6699" w:rsidP="00E52381">
      <w:pPr>
        <w:jc w:val="both"/>
        <w:rPr>
          <w:rFonts w:ascii="Times New Roman" w:hAnsi="Times New Roman" w:cs="Times New Roman"/>
        </w:rPr>
      </w:pPr>
    </w:p>
    <w:p w14:paraId="2AC39862" w14:textId="77777777" w:rsidR="002F6699" w:rsidRPr="008371AD" w:rsidRDefault="002F6699" w:rsidP="00E52381">
      <w:pPr>
        <w:jc w:val="both"/>
        <w:rPr>
          <w:rFonts w:ascii="Times New Roman" w:hAnsi="Times New Roman" w:cs="Times New Roman"/>
        </w:rPr>
      </w:pPr>
    </w:p>
    <w:p w14:paraId="6C812641" w14:textId="77777777" w:rsidR="002F6699" w:rsidRPr="008371AD" w:rsidRDefault="002F6699" w:rsidP="00E52381">
      <w:pPr>
        <w:jc w:val="both"/>
        <w:rPr>
          <w:rFonts w:ascii="Times New Roman" w:hAnsi="Times New Roman" w:cs="Times New Roman"/>
        </w:rPr>
      </w:pPr>
    </w:p>
    <w:p w14:paraId="37649D80" w14:textId="77777777" w:rsidR="002F6699" w:rsidRPr="008371AD" w:rsidRDefault="002F6699" w:rsidP="00E52381">
      <w:pPr>
        <w:jc w:val="both"/>
        <w:rPr>
          <w:rFonts w:ascii="Times New Roman" w:hAnsi="Times New Roman" w:cs="Times New Roman"/>
        </w:rPr>
      </w:pPr>
    </w:p>
    <w:p w14:paraId="1F1A30B0" w14:textId="77777777" w:rsidR="002F6699" w:rsidRPr="008371AD" w:rsidRDefault="002F6699" w:rsidP="00E52381">
      <w:pPr>
        <w:jc w:val="both"/>
        <w:rPr>
          <w:rFonts w:ascii="Times New Roman" w:hAnsi="Times New Roman" w:cs="Times New Roman"/>
        </w:rPr>
      </w:pPr>
    </w:p>
    <w:p w14:paraId="55F52D1E" w14:textId="77777777" w:rsidR="002F6699" w:rsidRPr="008371AD" w:rsidRDefault="002F6699" w:rsidP="00E52381">
      <w:pPr>
        <w:jc w:val="both"/>
        <w:rPr>
          <w:rFonts w:ascii="Times New Roman" w:hAnsi="Times New Roman" w:cs="Times New Roman"/>
        </w:rPr>
      </w:pPr>
    </w:p>
    <w:p w14:paraId="19B1E9A2" w14:textId="77777777" w:rsidR="002F6699" w:rsidRPr="008371AD" w:rsidRDefault="002F6699" w:rsidP="00E52381">
      <w:pPr>
        <w:jc w:val="both"/>
        <w:rPr>
          <w:rFonts w:ascii="Times New Roman" w:hAnsi="Times New Roman" w:cs="Times New Roman"/>
        </w:rPr>
      </w:pPr>
    </w:p>
    <w:p w14:paraId="442F8941" w14:textId="77777777" w:rsidR="002F6699" w:rsidRPr="008371AD" w:rsidRDefault="002F6699" w:rsidP="00E52381">
      <w:pPr>
        <w:jc w:val="both"/>
        <w:rPr>
          <w:rFonts w:ascii="Times New Roman" w:hAnsi="Times New Roman" w:cs="Times New Roman"/>
        </w:rPr>
      </w:pPr>
    </w:p>
    <w:p w14:paraId="2634744E" w14:textId="77777777" w:rsidR="002F6699" w:rsidRPr="008371AD" w:rsidRDefault="002F6699" w:rsidP="00E52381">
      <w:pPr>
        <w:jc w:val="both"/>
        <w:rPr>
          <w:rFonts w:ascii="Times New Roman" w:hAnsi="Times New Roman" w:cs="Times New Roman"/>
        </w:rPr>
      </w:pPr>
    </w:p>
    <w:p w14:paraId="59056BC8" w14:textId="77777777" w:rsidR="002F6699" w:rsidRPr="008371AD" w:rsidRDefault="002F6699" w:rsidP="00E52381">
      <w:pPr>
        <w:jc w:val="both"/>
        <w:rPr>
          <w:rFonts w:ascii="Times New Roman" w:hAnsi="Times New Roman" w:cs="Times New Roman"/>
        </w:rPr>
      </w:pPr>
    </w:p>
    <w:p w14:paraId="11254F46" w14:textId="77777777" w:rsidR="002F6699" w:rsidRPr="008371AD" w:rsidRDefault="002F6699" w:rsidP="00E52381">
      <w:pPr>
        <w:jc w:val="both"/>
        <w:rPr>
          <w:rFonts w:ascii="Times New Roman" w:hAnsi="Times New Roman" w:cs="Times New Roman"/>
        </w:rPr>
      </w:pPr>
    </w:p>
    <w:p w14:paraId="770DBF47" w14:textId="7D40594C" w:rsidR="00E52381" w:rsidRPr="008371AD" w:rsidRDefault="00E52381" w:rsidP="009672B3">
      <w:pPr>
        <w:jc w:val="center"/>
        <w:rPr>
          <w:rFonts w:ascii="Times New Roman" w:hAnsi="Times New Roman" w:cs="Times New Roman"/>
        </w:rPr>
      </w:pPr>
      <w:r w:rsidRPr="008371AD">
        <w:rPr>
          <w:rFonts w:ascii="Times New Roman" w:hAnsi="Times New Roman" w:cs="Times New Roman"/>
        </w:rPr>
        <w:t xml:space="preserve">Nii </w:t>
      </w:r>
      <w:proofErr w:type="spellStart"/>
      <w:r w:rsidRPr="008371AD">
        <w:rPr>
          <w:rFonts w:ascii="Times New Roman" w:hAnsi="Times New Roman" w:cs="Times New Roman"/>
        </w:rPr>
        <w:t>Adjetey</w:t>
      </w:r>
      <w:proofErr w:type="spellEnd"/>
      <w:r w:rsidRPr="008371AD">
        <w:rPr>
          <w:rFonts w:ascii="Times New Roman" w:hAnsi="Times New Roman" w:cs="Times New Roman"/>
        </w:rPr>
        <w:t xml:space="preserve"> Adjei-Annan</w:t>
      </w:r>
    </w:p>
    <w:p w14:paraId="656FEE31" w14:textId="3987CF39" w:rsidR="00E52381" w:rsidRPr="008371AD" w:rsidRDefault="00015636" w:rsidP="009672B3">
      <w:pPr>
        <w:jc w:val="center"/>
        <w:rPr>
          <w:rFonts w:ascii="Times New Roman" w:hAnsi="Times New Roman" w:cs="Times New Roman"/>
        </w:rPr>
      </w:pPr>
      <w:r w:rsidRPr="008371AD">
        <w:rPr>
          <w:rFonts w:ascii="Times New Roman" w:hAnsi="Times New Roman" w:cs="Times New Roman"/>
        </w:rPr>
        <w:t>1</w:t>
      </w:r>
      <w:r w:rsidR="001E3766" w:rsidRPr="008371AD">
        <w:rPr>
          <w:rFonts w:ascii="Times New Roman" w:hAnsi="Times New Roman" w:cs="Times New Roman"/>
        </w:rPr>
        <w:t xml:space="preserve"> </w:t>
      </w:r>
      <w:r w:rsidRPr="008371AD">
        <w:rPr>
          <w:rFonts w:ascii="Times New Roman" w:hAnsi="Times New Roman" w:cs="Times New Roman"/>
        </w:rPr>
        <w:t>May</w:t>
      </w:r>
      <w:r w:rsidR="00E52381" w:rsidRPr="008371AD">
        <w:rPr>
          <w:rFonts w:ascii="Times New Roman" w:hAnsi="Times New Roman" w:cs="Times New Roman"/>
        </w:rPr>
        <w:t xml:space="preserve"> 2024</w:t>
      </w:r>
    </w:p>
    <w:p w14:paraId="2F3A96E4" w14:textId="32275ABC" w:rsidR="00A35FD6" w:rsidRPr="008371AD" w:rsidRDefault="00A35FD6">
      <w:pPr>
        <w:rPr>
          <w:rFonts w:ascii="Times New Roman" w:hAnsi="Times New Roman" w:cs="Times New Roman"/>
        </w:rPr>
      </w:pPr>
    </w:p>
    <w:p w14:paraId="2AD0A016" w14:textId="77777777" w:rsidR="00A35FD6" w:rsidRPr="008371AD" w:rsidRDefault="00A35FD6">
      <w:pPr>
        <w:rPr>
          <w:rFonts w:ascii="Times New Roman" w:hAnsi="Times New Roman" w:cs="Times New Roman"/>
        </w:rPr>
      </w:pPr>
      <w:r w:rsidRPr="008371AD">
        <w:rPr>
          <w:rFonts w:ascii="Times New Roman" w:hAnsi="Times New Roman" w:cs="Times New Roman"/>
        </w:rPr>
        <w:br w:type="page"/>
      </w:r>
    </w:p>
    <w:p w14:paraId="4B1475E5" w14:textId="77777777" w:rsidR="004A5098" w:rsidRPr="008371AD" w:rsidRDefault="004A5098" w:rsidP="004A5098">
      <w:pPr>
        <w:spacing w:line="480" w:lineRule="auto"/>
        <w:jc w:val="both"/>
        <w:rPr>
          <w:rFonts w:ascii="Times New Roman" w:hAnsi="Times New Roman" w:cs="Times New Roman"/>
          <w:b/>
          <w:bCs/>
          <w:u w:val="single"/>
        </w:rPr>
      </w:pPr>
      <w:r w:rsidRPr="008371AD">
        <w:rPr>
          <w:rFonts w:ascii="Times New Roman" w:hAnsi="Times New Roman" w:cs="Times New Roman"/>
          <w:b/>
          <w:bCs/>
          <w:u w:val="single"/>
        </w:rPr>
        <w:lastRenderedPageBreak/>
        <w:t xml:space="preserve">Abstract  </w:t>
      </w:r>
    </w:p>
    <w:p w14:paraId="6EE0474A" w14:textId="5EC2CB2E" w:rsidR="004A5098" w:rsidRPr="008371AD" w:rsidRDefault="004A5098" w:rsidP="004A5098">
      <w:pPr>
        <w:spacing w:line="480" w:lineRule="auto"/>
        <w:jc w:val="both"/>
        <w:rPr>
          <w:rFonts w:ascii="Times New Roman" w:hAnsi="Times New Roman" w:cs="Times New Roman"/>
        </w:rPr>
      </w:pPr>
      <w:r w:rsidRPr="008371AD">
        <w:rPr>
          <w:rFonts w:ascii="Times New Roman" w:hAnsi="Times New Roman" w:cs="Times New Roman"/>
        </w:rPr>
        <w:t>With climate change threatening our environment, there is a global effort to mitigate its impact. South Africa is not left out in this global effort towards saving the future</w:t>
      </w:r>
      <w:r w:rsidR="008343E1" w:rsidRPr="008371AD">
        <w:rPr>
          <w:rFonts w:ascii="Times New Roman" w:hAnsi="Times New Roman" w:cs="Times New Roman"/>
        </w:rPr>
        <w:t>, having introduced a carbon pricing policy to help discourage emissions</w:t>
      </w:r>
      <w:r w:rsidR="00FE4B76" w:rsidRPr="008371AD">
        <w:rPr>
          <w:rFonts w:ascii="Times New Roman" w:hAnsi="Times New Roman" w:cs="Times New Roman"/>
        </w:rPr>
        <w:t>.</w:t>
      </w:r>
      <w:r w:rsidR="00C86DCE" w:rsidRPr="008371AD">
        <w:rPr>
          <w:rFonts w:ascii="Times New Roman" w:hAnsi="Times New Roman" w:cs="Times New Roman"/>
        </w:rPr>
        <w:t xml:space="preserve"> </w:t>
      </w:r>
      <w:r w:rsidRPr="008371AD">
        <w:rPr>
          <w:rFonts w:ascii="Times New Roman" w:hAnsi="Times New Roman" w:cs="Times New Roman"/>
        </w:rPr>
        <w:t>I use a Difference-in-Differences (</w:t>
      </w:r>
      <w:proofErr w:type="spellStart"/>
      <w:r w:rsidRPr="008371AD">
        <w:rPr>
          <w:rFonts w:ascii="Times New Roman" w:hAnsi="Times New Roman" w:cs="Times New Roman"/>
        </w:rPr>
        <w:t>DiD</w:t>
      </w:r>
      <w:proofErr w:type="spellEnd"/>
      <w:r w:rsidRPr="008371AD">
        <w:rPr>
          <w:rFonts w:ascii="Times New Roman" w:hAnsi="Times New Roman" w:cs="Times New Roman"/>
        </w:rPr>
        <w:t>) estimation method to assess the effect of the carbon pricing policy introduced in 2019 by the government of South Africa on its carbon emissions. I use data from Climate Watch on carbon emissions and compare periods before and after the implementation of the policy in 2019 with other Sub-Saharan African countries. I find that the introduction of the policy has reduced emissions by about 1.</w:t>
      </w:r>
      <w:r w:rsidR="00F10F29" w:rsidRPr="008371AD">
        <w:rPr>
          <w:rFonts w:ascii="Times New Roman" w:hAnsi="Times New Roman" w:cs="Times New Roman"/>
        </w:rPr>
        <w:t>2</w:t>
      </w:r>
      <w:r w:rsidRPr="008371AD">
        <w:rPr>
          <w:rFonts w:ascii="Times New Roman" w:hAnsi="Times New Roman" w:cs="Times New Roman"/>
        </w:rPr>
        <w:t>3 metric tons per capita on average</w:t>
      </w:r>
      <w:r w:rsidR="00497EB2">
        <w:rPr>
          <w:rFonts w:ascii="Times New Roman" w:hAnsi="Times New Roman" w:cs="Times New Roman"/>
        </w:rPr>
        <w:t>. In preliminary results, m</w:t>
      </w:r>
      <w:r w:rsidRPr="008371AD">
        <w:rPr>
          <w:rFonts w:ascii="Times New Roman" w:hAnsi="Times New Roman" w:cs="Times New Roman"/>
        </w:rPr>
        <w:t>y finding highlights the effectiveness of the policy from an African perspective, contributing to the global discourse on climate change mitigation strategies</w:t>
      </w:r>
      <w:r w:rsidR="00FE4B76" w:rsidRPr="008371AD">
        <w:rPr>
          <w:rFonts w:ascii="Times New Roman" w:hAnsi="Times New Roman" w:cs="Times New Roman"/>
        </w:rPr>
        <w:t xml:space="preserve"> feasible to </w:t>
      </w:r>
      <w:r w:rsidR="007E2278" w:rsidRPr="008371AD">
        <w:rPr>
          <w:rFonts w:ascii="Times New Roman" w:hAnsi="Times New Roman" w:cs="Times New Roman"/>
        </w:rPr>
        <w:t>discourage emissions</w:t>
      </w:r>
      <w:r w:rsidRPr="008371AD">
        <w:rPr>
          <w:rFonts w:ascii="Times New Roman" w:hAnsi="Times New Roman" w:cs="Times New Roman"/>
        </w:rPr>
        <w:t>.</w:t>
      </w:r>
    </w:p>
    <w:p w14:paraId="0F75AA75" w14:textId="2433B62B" w:rsidR="0098532C" w:rsidRPr="008371AD" w:rsidRDefault="00F10C5B" w:rsidP="004A5098">
      <w:pPr>
        <w:spacing w:line="480" w:lineRule="auto"/>
        <w:jc w:val="both"/>
        <w:rPr>
          <w:rFonts w:ascii="Times New Roman" w:hAnsi="Times New Roman" w:cs="Times New Roman"/>
          <w:b/>
          <w:bCs/>
          <w:u w:val="single"/>
        </w:rPr>
      </w:pPr>
      <w:r w:rsidRPr="008371AD">
        <w:rPr>
          <w:rFonts w:ascii="Times New Roman" w:hAnsi="Times New Roman" w:cs="Times New Roman"/>
          <w:b/>
          <w:bCs/>
          <w:u w:val="single"/>
        </w:rPr>
        <w:t>Introduction</w:t>
      </w:r>
    </w:p>
    <w:p w14:paraId="450367F6" w14:textId="3EC83207" w:rsidR="007B4709" w:rsidRPr="008371AD" w:rsidRDefault="007B4709" w:rsidP="00814D97">
      <w:pPr>
        <w:spacing w:line="480" w:lineRule="auto"/>
        <w:jc w:val="both"/>
        <w:rPr>
          <w:rFonts w:ascii="Times New Roman" w:hAnsi="Times New Roman" w:cs="Times New Roman"/>
        </w:rPr>
      </w:pPr>
      <w:r w:rsidRPr="008371AD">
        <w:rPr>
          <w:rFonts w:ascii="Times New Roman" w:hAnsi="Times New Roman" w:cs="Times New Roman"/>
        </w:rPr>
        <w:t xml:space="preserve">Climate change has been at the heart of global conversations due to its impact on the fate of our planet's future. </w:t>
      </w:r>
      <w:r w:rsidR="00377E4B" w:rsidRPr="008371AD">
        <w:rPr>
          <w:rFonts w:ascii="Times New Roman" w:hAnsi="Times New Roman" w:cs="Times New Roman"/>
        </w:rPr>
        <w:t xml:space="preserve">It poses both economic and environmental threat globally, particularly </w:t>
      </w:r>
      <w:r w:rsidR="00FD3906" w:rsidRPr="008371AD">
        <w:rPr>
          <w:rFonts w:ascii="Times New Roman" w:hAnsi="Times New Roman" w:cs="Times New Roman"/>
        </w:rPr>
        <w:t>to regions</w:t>
      </w:r>
      <w:r w:rsidR="00377E4B" w:rsidRPr="008371AD">
        <w:rPr>
          <w:rFonts w:ascii="Times New Roman" w:hAnsi="Times New Roman" w:cs="Times New Roman"/>
        </w:rPr>
        <w:t xml:space="preserve"> such as sub-Saharan Africa which emits less </w:t>
      </w:r>
      <w:r w:rsidR="009324C8" w:rsidRPr="008371AD">
        <w:rPr>
          <w:rFonts w:ascii="Times New Roman" w:hAnsi="Times New Roman" w:cs="Times New Roman"/>
        </w:rPr>
        <w:t xml:space="preserve">of greenhouse </w:t>
      </w:r>
      <w:r w:rsidR="008E3B20" w:rsidRPr="008371AD">
        <w:rPr>
          <w:rFonts w:ascii="Times New Roman" w:hAnsi="Times New Roman" w:cs="Times New Roman"/>
        </w:rPr>
        <w:t>gas (</w:t>
      </w:r>
      <w:r w:rsidR="009324C8" w:rsidRPr="008371AD">
        <w:rPr>
          <w:rFonts w:ascii="Times New Roman" w:hAnsi="Times New Roman" w:cs="Times New Roman"/>
        </w:rPr>
        <w:t xml:space="preserve">GHG) </w:t>
      </w:r>
      <w:r w:rsidR="00377E4B" w:rsidRPr="008371AD">
        <w:rPr>
          <w:rFonts w:ascii="Times New Roman" w:hAnsi="Times New Roman" w:cs="Times New Roman"/>
        </w:rPr>
        <w:t xml:space="preserve">but are experiencing </w:t>
      </w:r>
      <w:r w:rsidR="00FD3906" w:rsidRPr="008371AD">
        <w:rPr>
          <w:rFonts w:ascii="Times New Roman" w:hAnsi="Times New Roman" w:cs="Times New Roman"/>
        </w:rPr>
        <w:t>damaging</w:t>
      </w:r>
      <w:r w:rsidR="00377E4B" w:rsidRPr="008371AD">
        <w:rPr>
          <w:rFonts w:ascii="Times New Roman" w:hAnsi="Times New Roman" w:cs="Times New Roman"/>
        </w:rPr>
        <w:t xml:space="preserve"> impact of </w:t>
      </w:r>
      <w:r w:rsidR="00FD3906" w:rsidRPr="008371AD">
        <w:rPr>
          <w:rFonts w:ascii="Times New Roman" w:hAnsi="Times New Roman" w:cs="Times New Roman"/>
        </w:rPr>
        <w:t>emissions</w:t>
      </w:r>
      <w:r w:rsidR="009324C8" w:rsidRPr="008371AD">
        <w:rPr>
          <w:rFonts w:ascii="Times New Roman" w:hAnsi="Times New Roman" w:cs="Times New Roman"/>
        </w:rPr>
        <w:t xml:space="preserve"> from</w:t>
      </w:r>
      <w:r w:rsidR="006969E7" w:rsidRPr="008371AD">
        <w:rPr>
          <w:rFonts w:ascii="Times New Roman" w:hAnsi="Times New Roman" w:cs="Times New Roman"/>
        </w:rPr>
        <w:t xml:space="preserve"> the</w:t>
      </w:r>
      <w:r w:rsidR="009324C8" w:rsidRPr="008371AD">
        <w:rPr>
          <w:rFonts w:ascii="Times New Roman" w:hAnsi="Times New Roman" w:cs="Times New Roman"/>
        </w:rPr>
        <w:t xml:space="preserve"> </w:t>
      </w:r>
      <w:r w:rsidR="008E3B20" w:rsidRPr="008371AD">
        <w:rPr>
          <w:rFonts w:ascii="Times New Roman" w:hAnsi="Times New Roman" w:cs="Times New Roman"/>
        </w:rPr>
        <w:t>global north</w:t>
      </w:r>
      <w:r w:rsidR="00377E4B" w:rsidRPr="008371AD">
        <w:rPr>
          <w:rFonts w:ascii="Times New Roman" w:hAnsi="Times New Roman" w:cs="Times New Roman"/>
        </w:rPr>
        <w:t xml:space="preserve">. </w:t>
      </w:r>
      <w:r w:rsidRPr="008371AD">
        <w:rPr>
          <w:rFonts w:ascii="Times New Roman" w:hAnsi="Times New Roman" w:cs="Times New Roman"/>
        </w:rPr>
        <w:t xml:space="preserve">The global rise in temperature and environmental pollution, have necessitated a global conversation toward more sustainable practices in preserving our </w:t>
      </w:r>
      <w:r w:rsidR="00FD3906" w:rsidRPr="008371AD">
        <w:rPr>
          <w:rFonts w:ascii="Times New Roman" w:hAnsi="Times New Roman" w:cs="Times New Roman"/>
        </w:rPr>
        <w:t>planet. Among</w:t>
      </w:r>
      <w:r w:rsidRPr="008371AD">
        <w:rPr>
          <w:rFonts w:ascii="Times New Roman" w:hAnsi="Times New Roman" w:cs="Times New Roman"/>
        </w:rPr>
        <w:t xml:space="preserve"> the efforts being made</w:t>
      </w:r>
      <w:r w:rsidR="00162D78" w:rsidRPr="008371AD">
        <w:rPr>
          <w:rFonts w:ascii="Times New Roman" w:hAnsi="Times New Roman" w:cs="Times New Roman"/>
        </w:rPr>
        <w:t xml:space="preserve"> </w:t>
      </w:r>
      <w:r w:rsidR="00204DF9" w:rsidRPr="008371AD">
        <w:rPr>
          <w:rFonts w:ascii="Times New Roman" w:hAnsi="Times New Roman" w:cs="Times New Roman"/>
        </w:rPr>
        <w:t>by countries</w:t>
      </w:r>
      <w:r w:rsidR="006969E7" w:rsidRPr="008371AD">
        <w:rPr>
          <w:rFonts w:ascii="Times New Roman" w:hAnsi="Times New Roman" w:cs="Times New Roman"/>
        </w:rPr>
        <w:t xml:space="preserve"> </w:t>
      </w:r>
      <w:r w:rsidRPr="008371AD">
        <w:rPr>
          <w:rFonts w:ascii="Times New Roman" w:hAnsi="Times New Roman" w:cs="Times New Roman"/>
        </w:rPr>
        <w:t>to address this threat is carbon pricing.</w:t>
      </w:r>
      <w:r w:rsidR="00980152" w:rsidRPr="008371AD">
        <w:rPr>
          <w:rFonts w:ascii="Times New Roman" w:hAnsi="Times New Roman" w:cs="Times New Roman"/>
        </w:rPr>
        <w:t xml:space="preserve"> </w:t>
      </w:r>
      <w:r w:rsidR="0003081E" w:rsidRPr="008371AD">
        <w:rPr>
          <w:rFonts w:ascii="Times New Roman" w:hAnsi="Times New Roman" w:cs="Times New Roman"/>
        </w:rPr>
        <w:t xml:space="preserve">This approach focuses </w:t>
      </w:r>
      <w:r w:rsidR="0087502F" w:rsidRPr="008371AD">
        <w:rPr>
          <w:rFonts w:ascii="Times New Roman" w:hAnsi="Times New Roman" w:cs="Times New Roman"/>
        </w:rPr>
        <w:t>on p</w:t>
      </w:r>
      <w:r w:rsidR="00DD4B0A" w:rsidRPr="008371AD">
        <w:rPr>
          <w:rFonts w:ascii="Times New Roman" w:hAnsi="Times New Roman" w:cs="Times New Roman"/>
        </w:rPr>
        <w:t xml:space="preserve">utting a cost on </w:t>
      </w:r>
      <w:r w:rsidR="008E7C7D" w:rsidRPr="008371AD">
        <w:rPr>
          <w:rFonts w:ascii="Times New Roman" w:hAnsi="Times New Roman" w:cs="Times New Roman"/>
        </w:rPr>
        <w:t xml:space="preserve">carbon emissions and making polluters pay for the environmental damage </w:t>
      </w:r>
      <w:r w:rsidR="00B540D9" w:rsidRPr="008371AD">
        <w:rPr>
          <w:rFonts w:ascii="Times New Roman" w:hAnsi="Times New Roman" w:cs="Times New Roman"/>
        </w:rPr>
        <w:t>that they may cause</w:t>
      </w:r>
      <w:r w:rsidR="008E7C7D" w:rsidRPr="008371AD">
        <w:rPr>
          <w:rFonts w:ascii="Times New Roman" w:hAnsi="Times New Roman" w:cs="Times New Roman"/>
        </w:rPr>
        <w:t xml:space="preserve">. </w:t>
      </w:r>
      <w:r w:rsidR="0009103A" w:rsidRPr="008371AD">
        <w:rPr>
          <w:rFonts w:ascii="Times New Roman" w:hAnsi="Times New Roman" w:cs="Times New Roman"/>
        </w:rPr>
        <w:t xml:space="preserve">The purpose of internalizing the external cost of </w:t>
      </w:r>
      <w:r w:rsidR="00EE7C0F" w:rsidRPr="008371AD">
        <w:rPr>
          <w:rFonts w:ascii="Times New Roman" w:hAnsi="Times New Roman" w:cs="Times New Roman"/>
        </w:rPr>
        <w:t>GHG</w:t>
      </w:r>
      <w:r w:rsidR="0009103A" w:rsidRPr="008371AD">
        <w:rPr>
          <w:rFonts w:ascii="Times New Roman" w:hAnsi="Times New Roman" w:cs="Times New Roman"/>
        </w:rPr>
        <w:t xml:space="preserve"> emissions is to </w:t>
      </w:r>
      <w:r w:rsidR="003B5405" w:rsidRPr="008371AD">
        <w:rPr>
          <w:rFonts w:ascii="Times New Roman" w:hAnsi="Times New Roman" w:cs="Times New Roman"/>
        </w:rPr>
        <w:t xml:space="preserve">encourage the reduction </w:t>
      </w:r>
      <w:r w:rsidR="005C786E" w:rsidRPr="008371AD">
        <w:rPr>
          <w:rFonts w:ascii="Times New Roman" w:hAnsi="Times New Roman" w:cs="Times New Roman"/>
        </w:rPr>
        <w:t>in</w:t>
      </w:r>
      <w:r w:rsidR="003B5405" w:rsidRPr="008371AD">
        <w:rPr>
          <w:rFonts w:ascii="Times New Roman" w:hAnsi="Times New Roman" w:cs="Times New Roman"/>
        </w:rPr>
        <w:t xml:space="preserve"> </w:t>
      </w:r>
      <w:r w:rsidR="005C786E" w:rsidRPr="008371AD">
        <w:rPr>
          <w:rFonts w:ascii="Times New Roman" w:hAnsi="Times New Roman" w:cs="Times New Roman"/>
        </w:rPr>
        <w:t>emissions</w:t>
      </w:r>
      <w:r w:rsidR="00797FF1" w:rsidRPr="008371AD">
        <w:rPr>
          <w:rFonts w:ascii="Times New Roman" w:hAnsi="Times New Roman" w:cs="Times New Roman"/>
        </w:rPr>
        <w:t xml:space="preserve"> </w:t>
      </w:r>
      <w:r w:rsidR="00FB3D77" w:rsidRPr="008371AD">
        <w:rPr>
          <w:rFonts w:ascii="Times New Roman" w:hAnsi="Times New Roman" w:cs="Times New Roman"/>
        </w:rPr>
        <w:t>and create</w:t>
      </w:r>
      <w:r w:rsidR="0059582E" w:rsidRPr="008371AD">
        <w:rPr>
          <w:rFonts w:ascii="Times New Roman" w:hAnsi="Times New Roman" w:cs="Times New Roman"/>
        </w:rPr>
        <w:t xml:space="preserve"> a </w:t>
      </w:r>
      <w:r w:rsidR="00D50947" w:rsidRPr="008371AD">
        <w:rPr>
          <w:rFonts w:ascii="Times New Roman" w:hAnsi="Times New Roman" w:cs="Times New Roman"/>
        </w:rPr>
        <w:t xml:space="preserve">more sustainable and </w:t>
      </w:r>
      <w:r w:rsidR="00797FF1" w:rsidRPr="008371AD">
        <w:rPr>
          <w:rFonts w:ascii="Times New Roman" w:hAnsi="Times New Roman" w:cs="Times New Roman"/>
        </w:rPr>
        <w:t xml:space="preserve">friendly </w:t>
      </w:r>
      <w:r w:rsidR="00864DB0" w:rsidRPr="008371AD">
        <w:rPr>
          <w:rFonts w:ascii="Times New Roman" w:hAnsi="Times New Roman" w:cs="Times New Roman"/>
        </w:rPr>
        <w:t>environment</w:t>
      </w:r>
      <w:r w:rsidR="00797FF1" w:rsidRPr="008371AD">
        <w:rPr>
          <w:rFonts w:ascii="Times New Roman" w:hAnsi="Times New Roman" w:cs="Times New Roman"/>
        </w:rPr>
        <w:t xml:space="preserve"> for </w:t>
      </w:r>
      <w:r w:rsidR="00D9045F" w:rsidRPr="008371AD">
        <w:rPr>
          <w:rFonts w:ascii="Times New Roman" w:hAnsi="Times New Roman" w:cs="Times New Roman"/>
        </w:rPr>
        <w:t>economic activities to thrive</w:t>
      </w:r>
      <w:r w:rsidR="00864DB0" w:rsidRPr="008371AD">
        <w:rPr>
          <w:rFonts w:ascii="Times New Roman" w:hAnsi="Times New Roman" w:cs="Times New Roman"/>
        </w:rPr>
        <w:t xml:space="preserve">. </w:t>
      </w:r>
      <w:r w:rsidR="00D55B3C" w:rsidRPr="008371AD">
        <w:rPr>
          <w:rFonts w:ascii="Times New Roman" w:hAnsi="Times New Roman" w:cs="Times New Roman"/>
        </w:rPr>
        <w:t xml:space="preserve">The </w:t>
      </w:r>
      <w:r w:rsidR="00B80AD5" w:rsidRPr="008371AD">
        <w:rPr>
          <w:rFonts w:ascii="Times New Roman" w:hAnsi="Times New Roman" w:cs="Times New Roman"/>
        </w:rPr>
        <w:t xml:space="preserve">adoption of carbon pricing </w:t>
      </w:r>
      <w:r w:rsidR="00D9045F" w:rsidRPr="008371AD">
        <w:rPr>
          <w:rFonts w:ascii="Times New Roman" w:hAnsi="Times New Roman" w:cs="Times New Roman"/>
        </w:rPr>
        <w:t xml:space="preserve">as </w:t>
      </w:r>
      <w:r w:rsidR="006D19C2" w:rsidRPr="008371AD">
        <w:rPr>
          <w:rFonts w:ascii="Times New Roman" w:hAnsi="Times New Roman" w:cs="Times New Roman"/>
        </w:rPr>
        <w:t xml:space="preserve">a </w:t>
      </w:r>
      <w:r w:rsidR="00394C82" w:rsidRPr="008371AD">
        <w:rPr>
          <w:rFonts w:ascii="Times New Roman" w:hAnsi="Times New Roman" w:cs="Times New Roman"/>
        </w:rPr>
        <w:t>tool to</w:t>
      </w:r>
      <w:r w:rsidR="00AA568F" w:rsidRPr="008371AD">
        <w:rPr>
          <w:rFonts w:ascii="Times New Roman" w:hAnsi="Times New Roman" w:cs="Times New Roman"/>
        </w:rPr>
        <w:t xml:space="preserve"> mitigat</w:t>
      </w:r>
      <w:r w:rsidR="00394C82" w:rsidRPr="008371AD">
        <w:rPr>
          <w:rFonts w:ascii="Times New Roman" w:hAnsi="Times New Roman" w:cs="Times New Roman"/>
        </w:rPr>
        <w:t>e</w:t>
      </w:r>
      <w:r w:rsidR="00AA568F" w:rsidRPr="008371AD">
        <w:rPr>
          <w:rFonts w:ascii="Times New Roman" w:hAnsi="Times New Roman" w:cs="Times New Roman"/>
        </w:rPr>
        <w:t xml:space="preserve"> climate change </w:t>
      </w:r>
      <w:r w:rsidR="00394C82" w:rsidRPr="008371AD">
        <w:rPr>
          <w:rFonts w:ascii="Times New Roman" w:hAnsi="Times New Roman" w:cs="Times New Roman"/>
        </w:rPr>
        <w:t>aims at preserving</w:t>
      </w:r>
      <w:r w:rsidR="00E61BE7" w:rsidRPr="008371AD">
        <w:rPr>
          <w:rFonts w:ascii="Times New Roman" w:hAnsi="Times New Roman" w:cs="Times New Roman"/>
        </w:rPr>
        <w:t xml:space="preserve"> our planet for future generations.</w:t>
      </w:r>
    </w:p>
    <w:p w14:paraId="36BDC977" w14:textId="4CE57A05" w:rsidR="00261DB5" w:rsidRPr="008371AD" w:rsidRDefault="00FD36E5" w:rsidP="00814D97">
      <w:pPr>
        <w:spacing w:line="480" w:lineRule="auto"/>
        <w:jc w:val="both"/>
        <w:rPr>
          <w:rFonts w:ascii="Times New Roman" w:hAnsi="Times New Roman" w:cs="Times New Roman"/>
        </w:rPr>
      </w:pPr>
      <w:r w:rsidRPr="008371AD">
        <w:rPr>
          <w:rFonts w:ascii="Times New Roman" w:hAnsi="Times New Roman" w:cs="Times New Roman"/>
        </w:rPr>
        <w:lastRenderedPageBreak/>
        <w:t>My</w:t>
      </w:r>
      <w:r w:rsidR="00CA487C" w:rsidRPr="008371AD">
        <w:rPr>
          <w:rFonts w:ascii="Times New Roman" w:hAnsi="Times New Roman" w:cs="Times New Roman"/>
        </w:rPr>
        <w:t xml:space="preserve"> study focuses on</w:t>
      </w:r>
      <w:r w:rsidR="00253C77" w:rsidRPr="008371AD">
        <w:rPr>
          <w:rFonts w:ascii="Times New Roman" w:hAnsi="Times New Roman" w:cs="Times New Roman"/>
        </w:rPr>
        <w:t xml:space="preserve"> assessing the effectiveness </w:t>
      </w:r>
      <w:r w:rsidR="00CA487C" w:rsidRPr="008371AD">
        <w:rPr>
          <w:rFonts w:ascii="Times New Roman" w:hAnsi="Times New Roman" w:cs="Times New Roman"/>
        </w:rPr>
        <w:t xml:space="preserve">of </w:t>
      </w:r>
      <w:r w:rsidR="00253C77" w:rsidRPr="008371AD">
        <w:rPr>
          <w:rFonts w:ascii="Times New Roman" w:hAnsi="Times New Roman" w:cs="Times New Roman"/>
        </w:rPr>
        <w:t xml:space="preserve">the </w:t>
      </w:r>
      <w:r w:rsidR="00CA487C" w:rsidRPr="008371AD">
        <w:rPr>
          <w:rFonts w:ascii="Times New Roman" w:hAnsi="Times New Roman" w:cs="Times New Roman"/>
        </w:rPr>
        <w:t>carbon pricing</w:t>
      </w:r>
      <w:r w:rsidR="00253C77" w:rsidRPr="008371AD">
        <w:rPr>
          <w:rFonts w:ascii="Times New Roman" w:hAnsi="Times New Roman" w:cs="Times New Roman"/>
        </w:rPr>
        <w:t xml:space="preserve"> policy</w:t>
      </w:r>
      <w:r w:rsidR="00F7655F" w:rsidRPr="008371AD">
        <w:rPr>
          <w:rFonts w:ascii="Times New Roman" w:hAnsi="Times New Roman" w:cs="Times New Roman"/>
        </w:rPr>
        <w:t xml:space="preserve"> introduced by the government of south Africa</w:t>
      </w:r>
      <w:r w:rsidR="006923E6" w:rsidRPr="008371AD">
        <w:rPr>
          <w:rFonts w:ascii="Times New Roman" w:hAnsi="Times New Roman" w:cs="Times New Roman"/>
        </w:rPr>
        <w:t xml:space="preserve"> in 2019</w:t>
      </w:r>
      <w:r w:rsidR="00FD7F41">
        <w:rPr>
          <w:rFonts w:ascii="Times New Roman" w:hAnsi="Times New Roman" w:cs="Times New Roman"/>
        </w:rPr>
        <w:t>,</w:t>
      </w:r>
      <w:r w:rsidR="00F7655F" w:rsidRPr="008371AD">
        <w:rPr>
          <w:rFonts w:ascii="Times New Roman" w:hAnsi="Times New Roman" w:cs="Times New Roman"/>
        </w:rPr>
        <w:t xml:space="preserve"> on carbon emissions </w:t>
      </w:r>
      <w:r w:rsidR="00CA487C" w:rsidRPr="008371AD">
        <w:rPr>
          <w:rFonts w:ascii="Times New Roman" w:hAnsi="Times New Roman" w:cs="Times New Roman"/>
        </w:rPr>
        <w:t>in South Africa</w:t>
      </w:r>
      <w:r w:rsidR="0003312C">
        <w:rPr>
          <w:rFonts w:ascii="Times New Roman" w:hAnsi="Times New Roman" w:cs="Times New Roman"/>
        </w:rPr>
        <w:t xml:space="preserve">. </w:t>
      </w:r>
      <w:r w:rsidR="00280BF7" w:rsidRPr="008371AD">
        <w:rPr>
          <w:rFonts w:ascii="Times New Roman" w:hAnsi="Times New Roman" w:cs="Times New Roman"/>
        </w:rPr>
        <w:t>I</w:t>
      </w:r>
      <w:r w:rsidR="00CA487C" w:rsidRPr="008371AD">
        <w:rPr>
          <w:rFonts w:ascii="Times New Roman" w:hAnsi="Times New Roman" w:cs="Times New Roman"/>
        </w:rPr>
        <w:t xml:space="preserve"> also delve into both the economic and environmental implications of this policy on sustainable development</w:t>
      </w:r>
      <w:r w:rsidR="00675766" w:rsidRPr="008371AD">
        <w:rPr>
          <w:rFonts w:ascii="Times New Roman" w:hAnsi="Times New Roman" w:cs="Times New Roman"/>
        </w:rPr>
        <w:t xml:space="preserve"> within the sub</w:t>
      </w:r>
      <w:r w:rsidR="00E31540" w:rsidRPr="008371AD">
        <w:rPr>
          <w:rFonts w:ascii="Times New Roman" w:hAnsi="Times New Roman" w:cs="Times New Roman"/>
        </w:rPr>
        <w:t>-Sharan Africa region</w:t>
      </w:r>
      <w:r w:rsidR="00CA487C" w:rsidRPr="008371AD">
        <w:rPr>
          <w:rFonts w:ascii="Times New Roman" w:hAnsi="Times New Roman" w:cs="Times New Roman"/>
        </w:rPr>
        <w:t>.</w:t>
      </w:r>
      <w:r w:rsidR="003A4854" w:rsidRPr="008371AD">
        <w:rPr>
          <w:rFonts w:ascii="Times New Roman" w:hAnsi="Times New Roman" w:cs="Times New Roman"/>
        </w:rPr>
        <w:t xml:space="preserve"> </w:t>
      </w:r>
      <w:r w:rsidR="0034335E" w:rsidRPr="008371AD">
        <w:rPr>
          <w:rFonts w:ascii="Times New Roman" w:hAnsi="Times New Roman" w:cs="Times New Roman"/>
        </w:rPr>
        <w:t xml:space="preserve">My </w:t>
      </w:r>
      <w:r w:rsidR="00246718" w:rsidRPr="008371AD">
        <w:rPr>
          <w:rFonts w:ascii="Times New Roman" w:hAnsi="Times New Roman" w:cs="Times New Roman"/>
        </w:rPr>
        <w:t xml:space="preserve">research </w:t>
      </w:r>
      <w:r w:rsidR="0034335E" w:rsidRPr="008371AD">
        <w:rPr>
          <w:rFonts w:ascii="Times New Roman" w:hAnsi="Times New Roman" w:cs="Times New Roman"/>
        </w:rPr>
        <w:t xml:space="preserve">will </w:t>
      </w:r>
      <w:r w:rsidR="00C37FBC" w:rsidRPr="008371AD">
        <w:rPr>
          <w:rFonts w:ascii="Times New Roman" w:hAnsi="Times New Roman" w:cs="Times New Roman"/>
        </w:rPr>
        <w:t xml:space="preserve">provide insights that </w:t>
      </w:r>
      <w:r w:rsidR="001D51C1" w:rsidRPr="008371AD">
        <w:rPr>
          <w:rFonts w:ascii="Times New Roman" w:hAnsi="Times New Roman" w:cs="Times New Roman"/>
        </w:rPr>
        <w:t xml:space="preserve">will guide </w:t>
      </w:r>
      <w:r w:rsidR="00DC67A7" w:rsidRPr="008371AD">
        <w:rPr>
          <w:rFonts w:ascii="Times New Roman" w:hAnsi="Times New Roman" w:cs="Times New Roman"/>
        </w:rPr>
        <w:t>policy formulation</w:t>
      </w:r>
      <w:r w:rsidR="00591403" w:rsidRPr="008371AD">
        <w:rPr>
          <w:rFonts w:ascii="Times New Roman" w:hAnsi="Times New Roman" w:cs="Times New Roman"/>
        </w:rPr>
        <w:t xml:space="preserve"> and </w:t>
      </w:r>
      <w:r w:rsidR="00DC67A7" w:rsidRPr="008371AD">
        <w:rPr>
          <w:rFonts w:ascii="Times New Roman" w:hAnsi="Times New Roman" w:cs="Times New Roman"/>
        </w:rPr>
        <w:t xml:space="preserve">environmental conservation </w:t>
      </w:r>
      <w:r w:rsidR="00591403" w:rsidRPr="008371AD">
        <w:rPr>
          <w:rFonts w:ascii="Times New Roman" w:hAnsi="Times New Roman" w:cs="Times New Roman"/>
        </w:rPr>
        <w:t xml:space="preserve">efforts </w:t>
      </w:r>
      <w:r w:rsidR="00B90B03" w:rsidRPr="008371AD">
        <w:rPr>
          <w:rFonts w:ascii="Times New Roman" w:hAnsi="Times New Roman" w:cs="Times New Roman"/>
        </w:rPr>
        <w:t xml:space="preserve">being made by countries </w:t>
      </w:r>
      <w:r w:rsidR="00A26891" w:rsidRPr="008371AD">
        <w:rPr>
          <w:rFonts w:ascii="Times New Roman" w:hAnsi="Times New Roman" w:cs="Times New Roman"/>
        </w:rPr>
        <w:t>in the sub-Saharan Africa regi</w:t>
      </w:r>
      <w:r w:rsidR="007F01A9" w:rsidRPr="008371AD">
        <w:rPr>
          <w:rFonts w:ascii="Times New Roman" w:hAnsi="Times New Roman" w:cs="Times New Roman"/>
        </w:rPr>
        <w:t xml:space="preserve">on </w:t>
      </w:r>
      <w:r w:rsidR="005B73C1" w:rsidRPr="008371AD">
        <w:rPr>
          <w:rFonts w:ascii="Times New Roman" w:hAnsi="Times New Roman" w:cs="Times New Roman"/>
        </w:rPr>
        <w:t>to</w:t>
      </w:r>
      <w:r w:rsidR="0056052F" w:rsidRPr="008371AD">
        <w:rPr>
          <w:rFonts w:ascii="Times New Roman" w:hAnsi="Times New Roman" w:cs="Times New Roman"/>
        </w:rPr>
        <w:t xml:space="preserve">wards </w:t>
      </w:r>
      <w:r w:rsidR="005B73C1" w:rsidRPr="008371AD">
        <w:rPr>
          <w:rFonts w:ascii="Times New Roman" w:hAnsi="Times New Roman" w:cs="Times New Roman"/>
        </w:rPr>
        <w:t>reduc</w:t>
      </w:r>
      <w:r w:rsidR="0056052F" w:rsidRPr="008371AD">
        <w:rPr>
          <w:rFonts w:ascii="Times New Roman" w:hAnsi="Times New Roman" w:cs="Times New Roman"/>
        </w:rPr>
        <w:t>ing</w:t>
      </w:r>
      <w:r w:rsidR="005B73C1" w:rsidRPr="008371AD">
        <w:rPr>
          <w:rFonts w:ascii="Times New Roman" w:hAnsi="Times New Roman" w:cs="Times New Roman"/>
        </w:rPr>
        <w:t xml:space="preserve"> GHG emissions. </w:t>
      </w:r>
      <w:r w:rsidR="00E5368D" w:rsidRPr="008371AD">
        <w:rPr>
          <w:rFonts w:ascii="Times New Roman" w:hAnsi="Times New Roman" w:cs="Times New Roman"/>
        </w:rPr>
        <w:t xml:space="preserve">It </w:t>
      </w:r>
      <w:r w:rsidR="0056052F" w:rsidRPr="008371AD">
        <w:rPr>
          <w:rFonts w:ascii="Times New Roman" w:hAnsi="Times New Roman" w:cs="Times New Roman"/>
        </w:rPr>
        <w:t>will also</w:t>
      </w:r>
      <w:r w:rsidR="004A7A0E" w:rsidRPr="008371AD">
        <w:rPr>
          <w:rFonts w:ascii="Times New Roman" w:hAnsi="Times New Roman" w:cs="Times New Roman"/>
        </w:rPr>
        <w:t xml:space="preserve"> </w:t>
      </w:r>
      <w:r w:rsidR="00261DB5" w:rsidRPr="008371AD">
        <w:rPr>
          <w:rFonts w:ascii="Times New Roman" w:hAnsi="Times New Roman" w:cs="Times New Roman"/>
        </w:rPr>
        <w:t>help to</w:t>
      </w:r>
      <w:r w:rsidR="004A7A0E" w:rsidRPr="008371AD">
        <w:rPr>
          <w:rFonts w:ascii="Times New Roman" w:hAnsi="Times New Roman" w:cs="Times New Roman"/>
        </w:rPr>
        <w:t xml:space="preserve"> analyze </w:t>
      </w:r>
      <w:r w:rsidR="00DB5592" w:rsidRPr="008371AD">
        <w:rPr>
          <w:rFonts w:ascii="Times New Roman" w:hAnsi="Times New Roman" w:cs="Times New Roman"/>
        </w:rPr>
        <w:t xml:space="preserve">how </w:t>
      </w:r>
      <w:r w:rsidR="00636660" w:rsidRPr="008371AD">
        <w:rPr>
          <w:rFonts w:ascii="Times New Roman" w:hAnsi="Times New Roman" w:cs="Times New Roman"/>
        </w:rPr>
        <w:t>market-based</w:t>
      </w:r>
      <w:r w:rsidR="002C5877" w:rsidRPr="008371AD">
        <w:rPr>
          <w:rFonts w:ascii="Times New Roman" w:hAnsi="Times New Roman" w:cs="Times New Roman"/>
        </w:rPr>
        <w:t xml:space="preserve"> </w:t>
      </w:r>
      <w:r w:rsidR="00C0692F" w:rsidRPr="008371AD">
        <w:rPr>
          <w:rFonts w:ascii="Times New Roman" w:hAnsi="Times New Roman" w:cs="Times New Roman"/>
        </w:rPr>
        <w:t>tools</w:t>
      </w:r>
      <w:r w:rsidR="00031AC7" w:rsidRPr="008371AD">
        <w:rPr>
          <w:rFonts w:ascii="Times New Roman" w:hAnsi="Times New Roman" w:cs="Times New Roman"/>
        </w:rPr>
        <w:t xml:space="preserve"> such as carbon pricing influences environmental outcomes. </w:t>
      </w:r>
    </w:p>
    <w:p w14:paraId="20FDCC03" w14:textId="063A2D5C" w:rsidR="00075E62" w:rsidRPr="008371AD" w:rsidRDefault="00F572BE" w:rsidP="00814D97">
      <w:pPr>
        <w:spacing w:line="480" w:lineRule="auto"/>
        <w:jc w:val="both"/>
        <w:rPr>
          <w:rFonts w:ascii="Times New Roman" w:hAnsi="Times New Roman" w:cs="Times New Roman"/>
        </w:rPr>
      </w:pPr>
      <w:r w:rsidRPr="008371AD">
        <w:rPr>
          <w:rFonts w:ascii="Times New Roman" w:hAnsi="Times New Roman" w:cs="Times New Roman"/>
        </w:rPr>
        <w:t>The</w:t>
      </w:r>
      <w:r w:rsidR="00E5368D" w:rsidRPr="008371AD">
        <w:rPr>
          <w:rFonts w:ascii="Times New Roman" w:hAnsi="Times New Roman" w:cs="Times New Roman"/>
        </w:rPr>
        <w:t xml:space="preserve"> </w:t>
      </w:r>
      <w:r w:rsidR="00E31540" w:rsidRPr="008371AD">
        <w:rPr>
          <w:rFonts w:ascii="Times New Roman" w:hAnsi="Times New Roman" w:cs="Times New Roman"/>
        </w:rPr>
        <w:t xml:space="preserve">global effort to reduce </w:t>
      </w:r>
      <w:r w:rsidR="00917B71" w:rsidRPr="008371AD">
        <w:rPr>
          <w:rFonts w:ascii="Times New Roman" w:hAnsi="Times New Roman" w:cs="Times New Roman"/>
        </w:rPr>
        <w:t xml:space="preserve">co2 </w:t>
      </w:r>
      <w:r w:rsidR="00166519" w:rsidRPr="008371AD">
        <w:rPr>
          <w:rFonts w:ascii="Times New Roman" w:hAnsi="Times New Roman" w:cs="Times New Roman"/>
        </w:rPr>
        <w:t>emissions prove</w:t>
      </w:r>
      <w:r w:rsidR="008C39EE" w:rsidRPr="008371AD">
        <w:rPr>
          <w:rFonts w:ascii="Times New Roman" w:hAnsi="Times New Roman" w:cs="Times New Roman"/>
        </w:rPr>
        <w:t>s</w:t>
      </w:r>
      <w:r w:rsidR="00166519" w:rsidRPr="008371AD">
        <w:rPr>
          <w:rFonts w:ascii="Times New Roman" w:hAnsi="Times New Roman" w:cs="Times New Roman"/>
        </w:rPr>
        <w:t xml:space="preserve"> to be very challenging as </w:t>
      </w:r>
      <w:r w:rsidR="00AE7E87" w:rsidRPr="008371AD">
        <w:rPr>
          <w:rFonts w:ascii="Times New Roman" w:hAnsi="Times New Roman" w:cs="Times New Roman"/>
        </w:rPr>
        <w:t>highlighted</w:t>
      </w:r>
      <w:r w:rsidR="00166519" w:rsidRPr="008371AD">
        <w:rPr>
          <w:rFonts w:ascii="Times New Roman" w:hAnsi="Times New Roman" w:cs="Times New Roman"/>
        </w:rPr>
        <w:t xml:space="preserve"> </w:t>
      </w:r>
      <w:r w:rsidR="00CD4386" w:rsidRPr="008371AD">
        <w:rPr>
          <w:rFonts w:ascii="Times New Roman" w:hAnsi="Times New Roman" w:cs="Times New Roman"/>
        </w:rPr>
        <w:t>by</w:t>
      </w:r>
      <w:r w:rsidR="00166519" w:rsidRPr="008371AD">
        <w:rPr>
          <w:rFonts w:ascii="Times New Roman" w:hAnsi="Times New Roman" w:cs="Times New Roman"/>
        </w:rPr>
        <w:t xml:space="preserve"> international agreements such as the </w:t>
      </w:r>
      <w:r w:rsidR="00F563B5" w:rsidRPr="008371AD">
        <w:rPr>
          <w:rFonts w:ascii="Times New Roman" w:hAnsi="Times New Roman" w:cs="Times New Roman"/>
        </w:rPr>
        <w:t>Kyoto Protocol</w:t>
      </w:r>
      <w:r w:rsidR="00CD4386" w:rsidRPr="008371AD">
        <w:rPr>
          <w:rFonts w:ascii="Times New Roman" w:hAnsi="Times New Roman" w:cs="Times New Roman"/>
        </w:rPr>
        <w:t xml:space="preserve"> and the </w:t>
      </w:r>
      <w:r w:rsidR="00166519" w:rsidRPr="008371AD">
        <w:rPr>
          <w:rFonts w:ascii="Times New Roman" w:hAnsi="Times New Roman" w:cs="Times New Roman"/>
        </w:rPr>
        <w:t>Paris Accord</w:t>
      </w:r>
      <w:r w:rsidR="00A32CD9" w:rsidRPr="008371AD">
        <w:rPr>
          <w:rFonts w:ascii="Times New Roman" w:hAnsi="Times New Roman" w:cs="Times New Roman"/>
        </w:rPr>
        <w:t xml:space="preserve">, </w:t>
      </w:r>
      <w:r w:rsidR="003709BD" w:rsidRPr="008371AD">
        <w:rPr>
          <w:rFonts w:ascii="Times New Roman" w:hAnsi="Times New Roman" w:cs="Times New Roman"/>
        </w:rPr>
        <w:t>UNFCC (</w:t>
      </w:r>
      <w:r w:rsidR="00A32CD9" w:rsidRPr="008371AD">
        <w:rPr>
          <w:rFonts w:ascii="Times New Roman" w:hAnsi="Times New Roman" w:cs="Times New Roman"/>
        </w:rPr>
        <w:t>2015)</w:t>
      </w:r>
      <w:r w:rsidR="00CD4386" w:rsidRPr="008371AD">
        <w:rPr>
          <w:rFonts w:ascii="Times New Roman" w:hAnsi="Times New Roman" w:cs="Times New Roman"/>
        </w:rPr>
        <w:t>.</w:t>
      </w:r>
      <w:r w:rsidR="003152D2" w:rsidRPr="008371AD">
        <w:rPr>
          <w:rFonts w:ascii="Times New Roman" w:hAnsi="Times New Roman" w:cs="Times New Roman"/>
        </w:rPr>
        <w:t xml:space="preserve"> </w:t>
      </w:r>
      <w:r w:rsidRPr="008371AD">
        <w:rPr>
          <w:rFonts w:ascii="Times New Roman" w:hAnsi="Times New Roman" w:cs="Times New Roman"/>
        </w:rPr>
        <w:t>However</w:t>
      </w:r>
      <w:r w:rsidR="008C39EE" w:rsidRPr="008371AD">
        <w:rPr>
          <w:rFonts w:ascii="Times New Roman" w:hAnsi="Times New Roman" w:cs="Times New Roman"/>
        </w:rPr>
        <w:t xml:space="preserve">, </w:t>
      </w:r>
      <w:r w:rsidR="00E77A85" w:rsidRPr="008371AD">
        <w:rPr>
          <w:rFonts w:ascii="Times New Roman" w:hAnsi="Times New Roman" w:cs="Times New Roman"/>
        </w:rPr>
        <w:t xml:space="preserve">carbon pricing has emerged as a promising tool </w:t>
      </w:r>
      <w:r w:rsidR="00E41A37" w:rsidRPr="008371AD">
        <w:rPr>
          <w:rFonts w:ascii="Times New Roman" w:hAnsi="Times New Roman" w:cs="Times New Roman"/>
        </w:rPr>
        <w:t xml:space="preserve">in ensuring the reduction in emission. </w:t>
      </w:r>
      <w:r w:rsidR="00185DB2" w:rsidRPr="008371AD">
        <w:rPr>
          <w:rFonts w:ascii="Times New Roman" w:hAnsi="Times New Roman" w:cs="Times New Roman"/>
        </w:rPr>
        <w:t xml:space="preserve">And </w:t>
      </w:r>
      <w:r w:rsidR="00E41A37" w:rsidRPr="008371AD">
        <w:rPr>
          <w:rFonts w:ascii="Times New Roman" w:hAnsi="Times New Roman" w:cs="Times New Roman"/>
        </w:rPr>
        <w:t xml:space="preserve">to </w:t>
      </w:r>
      <w:r w:rsidR="00D17963" w:rsidRPr="008371AD">
        <w:rPr>
          <w:rFonts w:ascii="Times New Roman" w:hAnsi="Times New Roman" w:cs="Times New Roman"/>
        </w:rPr>
        <w:t xml:space="preserve">understand the impact of this policy within </w:t>
      </w:r>
      <w:r w:rsidR="00211FFE" w:rsidRPr="008371AD">
        <w:rPr>
          <w:rFonts w:ascii="Times New Roman" w:hAnsi="Times New Roman" w:cs="Times New Roman"/>
        </w:rPr>
        <w:t>the heterogenous economic landscapes of Sub-Saharan Africa</w:t>
      </w:r>
      <w:r w:rsidR="003E040A" w:rsidRPr="008371AD">
        <w:rPr>
          <w:rFonts w:ascii="Times New Roman" w:hAnsi="Times New Roman" w:cs="Times New Roman"/>
        </w:rPr>
        <w:t xml:space="preserve"> with relatively low emissions compared to the global north</w:t>
      </w:r>
      <w:r w:rsidR="008C30CE" w:rsidRPr="008371AD">
        <w:rPr>
          <w:rFonts w:ascii="Times New Roman" w:hAnsi="Times New Roman" w:cs="Times New Roman"/>
        </w:rPr>
        <w:t xml:space="preserve"> is </w:t>
      </w:r>
      <w:r w:rsidR="00B2060C" w:rsidRPr="008371AD">
        <w:rPr>
          <w:rFonts w:ascii="Times New Roman" w:hAnsi="Times New Roman" w:cs="Times New Roman"/>
        </w:rPr>
        <w:t xml:space="preserve">a way to confirm the effectiveness of this </w:t>
      </w:r>
      <w:r w:rsidR="00EC4B95" w:rsidRPr="008371AD">
        <w:rPr>
          <w:rFonts w:ascii="Times New Roman" w:hAnsi="Times New Roman" w:cs="Times New Roman"/>
        </w:rPr>
        <w:t xml:space="preserve">climate </w:t>
      </w:r>
      <w:r w:rsidR="00395942" w:rsidRPr="008371AD">
        <w:rPr>
          <w:rFonts w:ascii="Times New Roman" w:hAnsi="Times New Roman" w:cs="Times New Roman"/>
        </w:rPr>
        <w:t>m</w:t>
      </w:r>
      <w:r w:rsidR="00EC4B95" w:rsidRPr="008371AD">
        <w:rPr>
          <w:rFonts w:ascii="Times New Roman" w:hAnsi="Times New Roman" w:cs="Times New Roman"/>
        </w:rPr>
        <w:t xml:space="preserve">itigating </w:t>
      </w:r>
      <w:r w:rsidR="00B2060C" w:rsidRPr="008371AD">
        <w:rPr>
          <w:rFonts w:ascii="Times New Roman" w:hAnsi="Times New Roman" w:cs="Times New Roman"/>
        </w:rPr>
        <w:t>tool or otherwise</w:t>
      </w:r>
      <w:r w:rsidR="00994F73" w:rsidRPr="008371AD">
        <w:rPr>
          <w:rFonts w:ascii="Times New Roman" w:hAnsi="Times New Roman" w:cs="Times New Roman"/>
        </w:rPr>
        <w:t xml:space="preserve">. </w:t>
      </w:r>
    </w:p>
    <w:p w14:paraId="617677EB" w14:textId="678727C0" w:rsidR="00075E62" w:rsidRPr="008371AD" w:rsidRDefault="00324495" w:rsidP="00814D97">
      <w:pPr>
        <w:pStyle w:val="NormalWeb"/>
        <w:spacing w:line="480" w:lineRule="auto"/>
        <w:jc w:val="both"/>
      </w:pPr>
      <w:r w:rsidRPr="008371AD">
        <w:t xml:space="preserve">According to </w:t>
      </w:r>
      <w:r w:rsidR="00CF0BC5">
        <w:t xml:space="preserve">Le and </w:t>
      </w:r>
      <w:proofErr w:type="spellStart"/>
      <w:r w:rsidR="00CF0BC5">
        <w:t>Azhagaliyeva</w:t>
      </w:r>
      <w:proofErr w:type="spellEnd"/>
      <w:r w:rsidR="00CF0BC5">
        <w:t xml:space="preserve"> (</w:t>
      </w:r>
      <w:r w:rsidR="00CF0BC5" w:rsidRPr="004155F6">
        <w:t>20</w:t>
      </w:r>
      <w:r w:rsidR="00CF0BC5">
        <w:t>18</w:t>
      </w:r>
      <w:r w:rsidR="00CF0BC5" w:rsidRPr="004155F6">
        <w:t>)</w:t>
      </w:r>
      <w:r w:rsidR="00CF0BC5">
        <w:t xml:space="preserve"> and World Bank (2022)</w:t>
      </w:r>
      <w:r w:rsidR="00CF0BC5" w:rsidRPr="004155F6">
        <w:t xml:space="preserve">, </w:t>
      </w:r>
      <w:r w:rsidRPr="008371AD">
        <w:t xml:space="preserve">carbon pricing policies covered 23.17% of global GHG emissions. </w:t>
      </w:r>
      <w:r w:rsidR="0011039C" w:rsidRPr="008371AD">
        <w:t>P</w:t>
      </w:r>
      <w:r w:rsidR="00B3469B" w:rsidRPr="008371AD">
        <w:t>revious studies</w:t>
      </w:r>
      <w:r w:rsidR="004B631F" w:rsidRPr="008371AD">
        <w:t xml:space="preserve"> </w:t>
      </w:r>
      <w:r w:rsidR="00FC650D" w:rsidRPr="008371AD">
        <w:t>have assessed</w:t>
      </w:r>
      <w:r w:rsidR="00490491" w:rsidRPr="008371AD">
        <w:t xml:space="preserve"> the impact of carbon pricing policy effectiveness on </w:t>
      </w:r>
      <w:r w:rsidR="008213D2" w:rsidRPr="008371AD">
        <w:t>greenhouse gas emission</w:t>
      </w:r>
      <w:r w:rsidR="007F4BB1" w:rsidRPr="008371AD">
        <w:t xml:space="preserve"> </w:t>
      </w:r>
      <w:r w:rsidR="00522A9C" w:rsidRPr="008371AD">
        <w:t>and found tha</w:t>
      </w:r>
      <w:r w:rsidR="00320AD4" w:rsidRPr="008371AD">
        <w:t>t carbon polic</w:t>
      </w:r>
      <w:r w:rsidR="000377D5" w:rsidRPr="008371AD">
        <w:t xml:space="preserve">ies </w:t>
      </w:r>
      <w:r w:rsidR="004F1E26" w:rsidRPr="008371AD">
        <w:t xml:space="preserve">effectively </w:t>
      </w:r>
      <w:r w:rsidR="003D35A8" w:rsidRPr="008371AD">
        <w:t>discourage</w:t>
      </w:r>
      <w:r w:rsidR="004F1E26" w:rsidRPr="008371AD">
        <w:t xml:space="preserve"> the </w:t>
      </w:r>
      <w:r w:rsidRPr="008371AD">
        <w:t>emission</w:t>
      </w:r>
      <w:r w:rsidR="00B47C9D" w:rsidRPr="008371AD">
        <w:t xml:space="preserve"> of GHG </w:t>
      </w:r>
      <w:r w:rsidR="007F4BB1" w:rsidRPr="008371AD">
        <w:t>(</w:t>
      </w:r>
      <w:r w:rsidR="00466189" w:rsidRPr="008371AD">
        <w:t>Andersson</w:t>
      </w:r>
      <w:r w:rsidR="007F4BB1" w:rsidRPr="008371AD">
        <w:t>, 201</w:t>
      </w:r>
      <w:r w:rsidR="00504267" w:rsidRPr="008371AD">
        <w:t>9</w:t>
      </w:r>
      <w:r w:rsidR="007F4BB1" w:rsidRPr="008371AD">
        <w:t xml:space="preserve">., </w:t>
      </w:r>
      <w:proofErr w:type="spellStart"/>
      <w:r w:rsidR="00801132" w:rsidRPr="008371AD">
        <w:t>Dechezleprêtre</w:t>
      </w:r>
      <w:proofErr w:type="spellEnd"/>
      <w:r w:rsidR="00801132" w:rsidRPr="008371AD">
        <w:t xml:space="preserve"> et al</w:t>
      </w:r>
      <w:r w:rsidR="00BB5D3C" w:rsidRPr="008371AD">
        <w:t>, 2022</w:t>
      </w:r>
      <w:r w:rsidR="00522A9C" w:rsidRPr="008371AD">
        <w:t>,</w:t>
      </w:r>
      <w:r w:rsidR="00BB5D3C" w:rsidRPr="008371AD">
        <w:t xml:space="preserve"> </w:t>
      </w:r>
      <w:proofErr w:type="spellStart"/>
      <w:r w:rsidR="00DC575B" w:rsidRPr="008371AD">
        <w:rPr>
          <w:color w:val="000000"/>
        </w:rPr>
        <w:t>Gugler</w:t>
      </w:r>
      <w:proofErr w:type="spellEnd"/>
      <w:r w:rsidR="00DC575B" w:rsidRPr="008371AD">
        <w:rPr>
          <w:color w:val="000000"/>
        </w:rPr>
        <w:t xml:space="preserve"> et al</w:t>
      </w:r>
      <w:r w:rsidR="00B9332C" w:rsidRPr="008371AD">
        <w:rPr>
          <w:color w:val="000000"/>
        </w:rPr>
        <w:t>, 20</w:t>
      </w:r>
      <w:r w:rsidR="00BB5D3C" w:rsidRPr="008371AD">
        <w:rPr>
          <w:color w:val="000000"/>
        </w:rPr>
        <w:t>23</w:t>
      </w:r>
      <w:r w:rsidR="00366B45" w:rsidRPr="008371AD">
        <w:t>)</w:t>
      </w:r>
      <w:r w:rsidR="00522A9C" w:rsidRPr="008371AD">
        <w:t>.</w:t>
      </w:r>
      <w:r w:rsidR="00233F8E" w:rsidRPr="008371AD">
        <w:t xml:space="preserve"> Also, </w:t>
      </w:r>
      <w:r w:rsidR="002021CD" w:rsidRPr="008371AD">
        <w:t xml:space="preserve">there is evidence that carbon pricing policy drives </w:t>
      </w:r>
      <w:r w:rsidR="0083753D" w:rsidRPr="008371AD">
        <w:t xml:space="preserve">the reduction in emission of greenhouse </w:t>
      </w:r>
      <w:r w:rsidR="00324902" w:rsidRPr="008371AD">
        <w:t>gas. For</w:t>
      </w:r>
      <w:r w:rsidR="00C32F79" w:rsidRPr="008371AD">
        <w:t xml:space="preserve"> </w:t>
      </w:r>
      <w:r w:rsidR="006057B2" w:rsidRPr="008371AD">
        <w:t>instance,</w:t>
      </w:r>
      <w:r w:rsidR="00C32F79" w:rsidRPr="008371AD">
        <w:t xml:space="preserve"> </w:t>
      </w:r>
      <w:r w:rsidR="006A5A75" w:rsidRPr="008371AD">
        <w:t>Andersson</w:t>
      </w:r>
      <w:r w:rsidR="00B127BA" w:rsidRPr="008371AD">
        <w:t xml:space="preserve"> </w:t>
      </w:r>
      <w:r w:rsidR="005C2513" w:rsidRPr="008371AD">
        <w:t>(</w:t>
      </w:r>
      <w:r w:rsidR="00B127BA" w:rsidRPr="008371AD">
        <w:t>201</w:t>
      </w:r>
      <w:r w:rsidR="00691A95" w:rsidRPr="008371AD">
        <w:t>9</w:t>
      </w:r>
      <w:r w:rsidR="005C2513" w:rsidRPr="008371AD">
        <w:t xml:space="preserve">) </w:t>
      </w:r>
      <w:r w:rsidR="00691A95" w:rsidRPr="008371AD">
        <w:t>found that</w:t>
      </w:r>
      <w:r w:rsidR="003D0400" w:rsidRPr="008371AD">
        <w:t xml:space="preserve"> carbon taxes </w:t>
      </w:r>
      <w:r w:rsidR="00691A95" w:rsidRPr="008371AD">
        <w:t xml:space="preserve">significantly </w:t>
      </w:r>
      <w:r w:rsidR="00C46086" w:rsidRPr="008371AD">
        <w:t>reduce</w:t>
      </w:r>
      <w:r w:rsidR="00691A95" w:rsidRPr="008371AD">
        <w:t>d</w:t>
      </w:r>
      <w:r w:rsidR="00C46086" w:rsidRPr="008371AD">
        <w:t xml:space="preserve"> </w:t>
      </w:r>
      <w:r w:rsidR="006057B2" w:rsidRPr="008371AD">
        <w:t xml:space="preserve">transportation </w:t>
      </w:r>
      <w:r w:rsidR="00C46086" w:rsidRPr="008371AD">
        <w:t>emissions in Sweden</w:t>
      </w:r>
      <w:r w:rsidR="00691A95" w:rsidRPr="008371AD">
        <w:t xml:space="preserve">, </w:t>
      </w:r>
      <w:r w:rsidR="00755A9E" w:rsidRPr="008371AD">
        <w:t xml:space="preserve">a </w:t>
      </w:r>
      <w:r w:rsidR="006057B2" w:rsidRPr="008371AD">
        <w:t>pioneer</w:t>
      </w:r>
      <w:r w:rsidR="00755A9E" w:rsidRPr="008371AD">
        <w:t xml:space="preserve"> of carbon tax in the world,</w:t>
      </w:r>
      <w:r w:rsidR="00691A95" w:rsidRPr="008371AD">
        <w:t xml:space="preserve"> by 11 percent</w:t>
      </w:r>
      <w:r w:rsidR="00755A9E" w:rsidRPr="008371AD">
        <w:t xml:space="preserve">. </w:t>
      </w:r>
      <w:r w:rsidR="000D6C3B" w:rsidRPr="008371AD">
        <w:t xml:space="preserve"> </w:t>
      </w:r>
      <w:proofErr w:type="spellStart"/>
      <w:r w:rsidR="000D6C3B" w:rsidRPr="000D6C3B">
        <w:t>Mardones</w:t>
      </w:r>
      <w:proofErr w:type="spellEnd"/>
      <w:r w:rsidR="000D6C3B" w:rsidRPr="000D6C3B">
        <w:t xml:space="preserve"> and Flores (2018)</w:t>
      </w:r>
      <w:r w:rsidR="000D6C3B" w:rsidRPr="008371AD">
        <w:t xml:space="preserve"> </w:t>
      </w:r>
      <w:r w:rsidR="003D35A8" w:rsidRPr="008371AD">
        <w:t xml:space="preserve">on the other hand </w:t>
      </w:r>
      <w:r w:rsidR="004B1731" w:rsidRPr="008371AD">
        <w:t>posited that h</w:t>
      </w:r>
      <w:r w:rsidR="000D6C3B" w:rsidRPr="000D6C3B">
        <w:t>igher or lower taxes does not necessarily reduce emission but rather increases revenue</w:t>
      </w:r>
      <w:r w:rsidR="004B1731" w:rsidRPr="008371AD">
        <w:t xml:space="preserve"> for countries. </w:t>
      </w:r>
      <w:r w:rsidR="0043202D" w:rsidRPr="008371AD">
        <w:t xml:space="preserve">These previous studies are limited in nature since they focus only on </w:t>
      </w:r>
      <w:r w:rsidR="00231F90" w:rsidRPr="008371AD">
        <w:t xml:space="preserve">global north. A </w:t>
      </w:r>
      <w:r w:rsidR="00422C17" w:rsidRPr="008371AD">
        <w:t xml:space="preserve">gap </w:t>
      </w:r>
      <w:r w:rsidR="00A36134" w:rsidRPr="008371AD">
        <w:t>exists</w:t>
      </w:r>
      <w:r w:rsidR="00422C17" w:rsidRPr="008371AD">
        <w:t xml:space="preserve"> </w:t>
      </w:r>
      <w:r w:rsidR="005B7B34" w:rsidRPr="008371AD">
        <w:t>in the literature with regards t</w:t>
      </w:r>
      <w:r w:rsidR="003C6FD6" w:rsidRPr="008371AD">
        <w:t xml:space="preserve">o the impact of </w:t>
      </w:r>
      <w:r w:rsidR="003C6FD6" w:rsidRPr="008371AD">
        <w:lastRenderedPageBreak/>
        <w:t xml:space="preserve">these policies within sub-Saharan </w:t>
      </w:r>
      <w:r w:rsidR="00982A98" w:rsidRPr="008371AD">
        <w:t>Africa,</w:t>
      </w:r>
      <w:r w:rsidR="00C70F8D" w:rsidRPr="008371AD">
        <w:t xml:space="preserve"> a region with </w:t>
      </w:r>
      <w:r w:rsidR="00982A98" w:rsidRPr="008371AD">
        <w:t>dire</w:t>
      </w:r>
      <w:r w:rsidR="00853808" w:rsidRPr="008371AD">
        <w:t xml:space="preserve"> economic </w:t>
      </w:r>
      <w:r w:rsidR="00982A98" w:rsidRPr="008371AD">
        <w:t>vul</w:t>
      </w:r>
      <w:r w:rsidR="00152665" w:rsidRPr="008371AD">
        <w:t xml:space="preserve">nerabilities. </w:t>
      </w:r>
      <w:r w:rsidR="008029E2" w:rsidRPr="008371AD">
        <w:t xml:space="preserve">Building </w:t>
      </w:r>
      <w:r w:rsidR="00223367" w:rsidRPr="008371AD">
        <w:t xml:space="preserve">on </w:t>
      </w:r>
      <w:r w:rsidR="000B27E8" w:rsidRPr="008371AD">
        <w:t xml:space="preserve">previous </w:t>
      </w:r>
      <w:r w:rsidR="00187011" w:rsidRPr="008371AD">
        <w:t>empirical</w:t>
      </w:r>
      <w:r w:rsidR="002763F1" w:rsidRPr="008371AD">
        <w:t xml:space="preserve"> </w:t>
      </w:r>
      <w:r w:rsidR="008371AD" w:rsidRPr="008371AD">
        <w:t>studies,</w:t>
      </w:r>
      <w:r w:rsidR="008A0EDC" w:rsidRPr="008371AD">
        <w:t xml:space="preserve"> I</w:t>
      </w:r>
      <w:r w:rsidR="002763F1" w:rsidRPr="008371AD">
        <w:t xml:space="preserve"> assess the </w:t>
      </w:r>
      <w:r w:rsidR="008A0EDC" w:rsidRPr="008371AD">
        <w:t xml:space="preserve">effectiveness of the </w:t>
      </w:r>
      <w:r w:rsidR="002763F1" w:rsidRPr="008371AD">
        <w:t xml:space="preserve">carbon pricing policy introduced in </w:t>
      </w:r>
      <w:r w:rsidR="00F91ED5" w:rsidRPr="008371AD">
        <w:t xml:space="preserve">South </w:t>
      </w:r>
      <w:r w:rsidR="00EA00A3" w:rsidRPr="008371AD">
        <w:t>Africa</w:t>
      </w:r>
      <w:r w:rsidR="00F91ED5" w:rsidRPr="008371AD">
        <w:t xml:space="preserve"> – the first and only African country to </w:t>
      </w:r>
      <w:r w:rsidR="00220934" w:rsidRPr="008371AD">
        <w:t xml:space="preserve">implement </w:t>
      </w:r>
      <w:r w:rsidR="00071FAB" w:rsidRPr="008371AD">
        <w:t>a carbon pricing policy</w:t>
      </w:r>
      <w:r w:rsidR="002A0CAB" w:rsidRPr="008371AD">
        <w:t xml:space="preserve">- as a case study to </w:t>
      </w:r>
      <w:r w:rsidR="0074036F" w:rsidRPr="008371AD">
        <w:t>thro</w:t>
      </w:r>
      <w:r w:rsidR="00CC62C2" w:rsidRPr="008371AD">
        <w:t>w</w:t>
      </w:r>
      <w:r w:rsidR="0074036F" w:rsidRPr="008371AD">
        <w:t xml:space="preserve"> </w:t>
      </w:r>
      <w:r w:rsidR="002D1F0A" w:rsidRPr="008371AD">
        <w:t>light on the wider implication of carbon pricing policy for sub-Saharan Africa.</w:t>
      </w:r>
      <w:r w:rsidR="002745EF" w:rsidRPr="008371AD">
        <w:t xml:space="preserve"> </w:t>
      </w:r>
    </w:p>
    <w:p w14:paraId="430FAC4A" w14:textId="5F69DDD2" w:rsidR="00A06BCD" w:rsidRPr="008371AD" w:rsidRDefault="004C2FB5" w:rsidP="00810C86">
      <w:pPr>
        <w:pStyle w:val="NormalWeb"/>
        <w:spacing w:line="480" w:lineRule="auto"/>
        <w:jc w:val="both"/>
      </w:pPr>
      <w:r w:rsidRPr="008371AD">
        <w:t>I rel</w:t>
      </w:r>
      <w:r w:rsidR="005059F5" w:rsidRPr="008371AD">
        <w:t>y</w:t>
      </w:r>
      <w:r w:rsidRPr="008371AD">
        <w:t xml:space="preserve"> on </w:t>
      </w:r>
      <w:r w:rsidR="00966A83" w:rsidRPr="008371AD">
        <w:t xml:space="preserve">data from the World Development Indicators (WDI) and </w:t>
      </w:r>
      <w:r w:rsidR="005059F5" w:rsidRPr="008371AD">
        <w:t>Climate Watch t</w:t>
      </w:r>
      <w:r w:rsidR="00075A7F" w:rsidRPr="008371AD">
        <w:t xml:space="preserve">o analyze the effect of </w:t>
      </w:r>
      <w:r w:rsidR="00C779A8" w:rsidRPr="008371AD">
        <w:t xml:space="preserve">ab </w:t>
      </w:r>
      <w:r w:rsidR="00075A7F" w:rsidRPr="008371AD">
        <w:t>carbon pricing policy on C</w:t>
      </w:r>
      <w:r w:rsidR="00C62878" w:rsidRPr="008371AD">
        <w:t>O2 emissions in south Africa through a</w:t>
      </w:r>
      <w:r w:rsidR="00635E0C" w:rsidRPr="008371AD">
        <w:t xml:space="preserve"> difference-in-differences estimation technique. </w:t>
      </w:r>
      <w:r w:rsidR="00B56ECA" w:rsidRPr="008371AD">
        <w:t xml:space="preserve">My finding </w:t>
      </w:r>
      <w:r w:rsidR="004A25DE" w:rsidRPr="008371AD">
        <w:t xml:space="preserve">will </w:t>
      </w:r>
      <w:r w:rsidR="00B56ECA" w:rsidRPr="008371AD">
        <w:t>h</w:t>
      </w:r>
      <w:r w:rsidR="005B6A2E">
        <w:t xml:space="preserve">elp to assess </w:t>
      </w:r>
      <w:r w:rsidR="00B56ECA" w:rsidRPr="008371AD">
        <w:t xml:space="preserve">the </w:t>
      </w:r>
      <w:r w:rsidR="00C624C2" w:rsidRPr="008371AD">
        <w:t xml:space="preserve">effectiveness of the carbon pricing policy </w:t>
      </w:r>
      <w:r w:rsidR="00135FE5" w:rsidRPr="008371AD">
        <w:t>with</w:t>
      </w:r>
      <w:r w:rsidR="001E6F70" w:rsidRPr="008371AD">
        <w:t xml:space="preserve">in </w:t>
      </w:r>
      <w:r w:rsidR="00C52ECB" w:rsidRPr="008371AD">
        <w:t>south African and sub-Saharan African perspective.</w:t>
      </w:r>
      <w:r w:rsidR="00172CD0" w:rsidRPr="008371AD">
        <w:t xml:space="preserve"> </w:t>
      </w:r>
      <w:r w:rsidR="007800D6" w:rsidRPr="008371AD">
        <w:t>It offers a practical insight for policy makers</w:t>
      </w:r>
      <w:r w:rsidR="00E533F6" w:rsidRPr="008371AD">
        <w:t xml:space="preserve"> and stakeholders within developing economies</w:t>
      </w:r>
      <w:r w:rsidR="00E54EEC" w:rsidRPr="008371AD">
        <w:t xml:space="preserve">. </w:t>
      </w:r>
    </w:p>
    <w:p w14:paraId="4A2FC5E3" w14:textId="654C8177" w:rsidR="00984EE6" w:rsidRPr="008371AD" w:rsidRDefault="00984EE6" w:rsidP="00814D97">
      <w:pPr>
        <w:spacing w:line="480" w:lineRule="auto"/>
        <w:jc w:val="both"/>
        <w:rPr>
          <w:rFonts w:ascii="Times New Roman" w:hAnsi="Times New Roman" w:cs="Times New Roman"/>
          <w:b/>
          <w:bCs/>
          <w:u w:val="single"/>
        </w:rPr>
      </w:pPr>
      <w:r w:rsidRPr="008371AD">
        <w:rPr>
          <w:rFonts w:ascii="Times New Roman" w:hAnsi="Times New Roman" w:cs="Times New Roman"/>
          <w:b/>
          <w:bCs/>
          <w:u w:val="single"/>
        </w:rPr>
        <w:t>Background of the study</w:t>
      </w:r>
    </w:p>
    <w:p w14:paraId="005C191A" w14:textId="3F8ED34A" w:rsidR="008F67EF" w:rsidRPr="008371AD" w:rsidRDefault="008F67EF" w:rsidP="00814D97">
      <w:pPr>
        <w:spacing w:line="480" w:lineRule="auto"/>
        <w:jc w:val="both"/>
        <w:rPr>
          <w:rFonts w:ascii="Times New Roman" w:hAnsi="Times New Roman" w:cs="Times New Roman"/>
        </w:rPr>
      </w:pPr>
      <w:r w:rsidRPr="008371AD">
        <w:rPr>
          <w:rFonts w:ascii="Times New Roman" w:hAnsi="Times New Roman" w:cs="Times New Roman"/>
        </w:rPr>
        <w:t>Nations worldwide are exploring and implementing a myriad of strategies to help mitigate the increasing global warming crisis. Among these efforts, carbon pricing is considered a critical tool aimed at discouraging greenhouse gas emissions. “Carbon pricing” is a term used to place a direct cost on carbon emissions, with the sole intention of discouraging greenhouse gas emissions by industries and consumers to reduce the carbon footprint. By setting a market price for emissions, the cost of emissions is internalized, and polluters are made to pay for their emissions.</w:t>
      </w:r>
    </w:p>
    <w:p w14:paraId="664F05D9" w14:textId="7DD7FB88" w:rsidR="00810C86" w:rsidRPr="008371AD" w:rsidRDefault="008F67EF" w:rsidP="00810C86">
      <w:pPr>
        <w:spacing w:line="480" w:lineRule="auto"/>
        <w:jc w:val="both"/>
        <w:rPr>
          <w:rFonts w:ascii="Times New Roman" w:hAnsi="Times New Roman" w:cs="Times New Roman"/>
        </w:rPr>
      </w:pPr>
      <w:r w:rsidRPr="008371AD">
        <w:rPr>
          <w:rFonts w:ascii="Times New Roman" w:hAnsi="Times New Roman" w:cs="Times New Roman"/>
        </w:rPr>
        <w:t>South Africa contributes about 38% of greenhouse gas emissions in Africa</w:t>
      </w:r>
      <w:r w:rsidR="00461909" w:rsidRPr="008371AD">
        <w:rPr>
          <w:rFonts w:ascii="Times New Roman" w:hAnsi="Times New Roman" w:cs="Times New Roman"/>
        </w:rPr>
        <w:t xml:space="preserve">, </w:t>
      </w:r>
      <w:r w:rsidR="00C511D3" w:rsidRPr="008371AD">
        <w:rPr>
          <w:rFonts w:ascii="Times New Roman" w:hAnsi="Times New Roman" w:cs="Times New Roman"/>
        </w:rPr>
        <w:t>(</w:t>
      </w:r>
      <w:r w:rsidR="00461909" w:rsidRPr="008371AD">
        <w:rPr>
          <w:rFonts w:ascii="Times New Roman" w:hAnsi="Times New Roman" w:cs="Times New Roman"/>
        </w:rPr>
        <w:t>IEA, 201</w:t>
      </w:r>
      <w:r w:rsidR="00C511D3" w:rsidRPr="008371AD">
        <w:rPr>
          <w:rFonts w:ascii="Times New Roman" w:hAnsi="Times New Roman" w:cs="Times New Roman"/>
        </w:rPr>
        <w:t>0)</w:t>
      </w:r>
      <w:r w:rsidRPr="008371AD">
        <w:rPr>
          <w:rFonts w:ascii="Times New Roman" w:hAnsi="Times New Roman" w:cs="Times New Roman"/>
        </w:rPr>
        <w:t>. This</w:t>
      </w:r>
      <w:r w:rsidR="00BF4150" w:rsidRPr="008371AD">
        <w:rPr>
          <w:rFonts w:ascii="Times New Roman" w:hAnsi="Times New Roman" w:cs="Times New Roman"/>
        </w:rPr>
        <w:t xml:space="preserve"> trend in emission </w:t>
      </w:r>
      <w:r w:rsidRPr="008371AD">
        <w:rPr>
          <w:rFonts w:ascii="Times New Roman" w:hAnsi="Times New Roman" w:cs="Times New Roman"/>
        </w:rPr>
        <w:t>highlighted the need to strategize measures to discourage emissions and promote sustainable development within the region (</w:t>
      </w:r>
      <w:proofErr w:type="spellStart"/>
      <w:r w:rsidR="006B3509" w:rsidRPr="008371AD">
        <w:rPr>
          <w:rFonts w:ascii="Times New Roman" w:hAnsi="Times New Roman" w:cs="Times New Roman"/>
          <w:color w:val="222222"/>
          <w:shd w:val="clear" w:color="auto" w:fill="FFFFFF"/>
        </w:rPr>
        <w:t>Telsnig</w:t>
      </w:r>
      <w:proofErr w:type="spellEnd"/>
      <w:r w:rsidR="006B3509" w:rsidRPr="008371AD">
        <w:rPr>
          <w:rFonts w:ascii="Times New Roman" w:hAnsi="Times New Roman" w:cs="Times New Roman"/>
          <w:color w:val="222222"/>
          <w:shd w:val="clear" w:color="auto" w:fill="FFFFFF"/>
        </w:rPr>
        <w:t>, 2013</w:t>
      </w:r>
      <w:r w:rsidRPr="008371AD">
        <w:rPr>
          <w:rFonts w:ascii="Times New Roman" w:hAnsi="Times New Roman" w:cs="Times New Roman"/>
        </w:rPr>
        <w:t xml:space="preserve">). </w:t>
      </w:r>
      <w:r w:rsidR="0050784F" w:rsidRPr="008371AD">
        <w:rPr>
          <w:rFonts w:ascii="Times New Roman" w:hAnsi="Times New Roman" w:cs="Times New Roman"/>
        </w:rPr>
        <w:t>Considering</w:t>
      </w:r>
      <w:r w:rsidRPr="008371AD">
        <w:rPr>
          <w:rFonts w:ascii="Times New Roman" w:hAnsi="Times New Roman" w:cs="Times New Roman"/>
        </w:rPr>
        <w:t xml:space="preserve"> this, South Africa introduced a carbon tax policy in 2019 to </w:t>
      </w:r>
      <w:r w:rsidR="006B4609" w:rsidRPr="008371AD">
        <w:rPr>
          <w:rFonts w:ascii="Times New Roman" w:hAnsi="Times New Roman" w:cs="Times New Roman"/>
        </w:rPr>
        <w:t xml:space="preserve">discourage </w:t>
      </w:r>
      <w:r w:rsidRPr="008371AD">
        <w:rPr>
          <w:rFonts w:ascii="Times New Roman" w:hAnsi="Times New Roman" w:cs="Times New Roman"/>
        </w:rPr>
        <w:t xml:space="preserve">carbon emissions and to join the global effort to combat climate change. </w:t>
      </w:r>
      <w:r w:rsidR="001448D0" w:rsidRPr="008371AD">
        <w:rPr>
          <w:rFonts w:ascii="Times New Roman" w:hAnsi="Times New Roman" w:cs="Times New Roman"/>
        </w:rPr>
        <w:t xml:space="preserve">The </w:t>
      </w:r>
      <w:r w:rsidR="006B4609" w:rsidRPr="008371AD">
        <w:rPr>
          <w:rFonts w:ascii="Times New Roman" w:hAnsi="Times New Roman" w:cs="Times New Roman"/>
        </w:rPr>
        <w:t xml:space="preserve">carbon tax policy </w:t>
      </w:r>
      <w:r w:rsidR="00DB4567" w:rsidRPr="008371AD">
        <w:rPr>
          <w:rFonts w:ascii="Times New Roman" w:hAnsi="Times New Roman" w:cs="Times New Roman"/>
        </w:rPr>
        <w:t>is set at 120 South African Rand (approximately USD 8) per ton of CO2 equivalent</w:t>
      </w:r>
      <w:r w:rsidR="000F70F0" w:rsidRPr="008371AD">
        <w:rPr>
          <w:rFonts w:ascii="Times New Roman" w:hAnsi="Times New Roman" w:cs="Times New Roman"/>
        </w:rPr>
        <w:t xml:space="preserve">. </w:t>
      </w:r>
      <w:r w:rsidR="00AB2D7C" w:rsidRPr="008371AD">
        <w:rPr>
          <w:rFonts w:ascii="Times New Roman" w:hAnsi="Times New Roman" w:cs="Times New Roman"/>
        </w:rPr>
        <w:t xml:space="preserve">The </w:t>
      </w:r>
      <w:r w:rsidR="00005A81" w:rsidRPr="008371AD">
        <w:rPr>
          <w:rFonts w:ascii="Times New Roman" w:hAnsi="Times New Roman" w:cs="Times New Roman"/>
        </w:rPr>
        <w:t xml:space="preserve">tax </w:t>
      </w:r>
      <w:r w:rsidR="00C67686" w:rsidRPr="008371AD">
        <w:rPr>
          <w:rFonts w:ascii="Times New Roman" w:hAnsi="Times New Roman" w:cs="Times New Roman"/>
        </w:rPr>
        <w:t>rate</w:t>
      </w:r>
      <w:r w:rsidR="00A662B6" w:rsidRPr="008371AD">
        <w:rPr>
          <w:rFonts w:ascii="Times New Roman" w:hAnsi="Times New Roman" w:cs="Times New Roman"/>
        </w:rPr>
        <w:t xml:space="preserve"> focuses on major industri</w:t>
      </w:r>
      <w:r w:rsidR="00F753F5" w:rsidRPr="008371AD">
        <w:rPr>
          <w:rFonts w:ascii="Times New Roman" w:hAnsi="Times New Roman" w:cs="Times New Roman"/>
        </w:rPr>
        <w:t xml:space="preserve">al sectors that are the </w:t>
      </w:r>
      <w:r w:rsidR="00F753F5" w:rsidRPr="008371AD">
        <w:rPr>
          <w:rFonts w:ascii="Times New Roman" w:hAnsi="Times New Roman" w:cs="Times New Roman"/>
        </w:rPr>
        <w:lastRenderedPageBreak/>
        <w:t>primary</w:t>
      </w:r>
      <w:r w:rsidR="00C608EE" w:rsidRPr="008371AD">
        <w:rPr>
          <w:rFonts w:ascii="Times New Roman" w:hAnsi="Times New Roman" w:cs="Times New Roman"/>
        </w:rPr>
        <w:t xml:space="preserve"> </w:t>
      </w:r>
      <w:r w:rsidR="00487C1B" w:rsidRPr="008371AD">
        <w:rPr>
          <w:rFonts w:ascii="Times New Roman" w:hAnsi="Times New Roman" w:cs="Times New Roman"/>
        </w:rPr>
        <w:t>source</w:t>
      </w:r>
      <w:r w:rsidR="00C608EE" w:rsidRPr="008371AD">
        <w:rPr>
          <w:rFonts w:ascii="Times New Roman" w:hAnsi="Times New Roman" w:cs="Times New Roman"/>
        </w:rPr>
        <w:t xml:space="preserve"> of carbon emissions</w:t>
      </w:r>
      <w:r w:rsidR="00141035" w:rsidRPr="008371AD">
        <w:rPr>
          <w:rFonts w:ascii="Times New Roman" w:hAnsi="Times New Roman" w:cs="Times New Roman"/>
        </w:rPr>
        <w:t xml:space="preserve">. These major industrial </w:t>
      </w:r>
      <w:r w:rsidR="009A1145" w:rsidRPr="008371AD">
        <w:rPr>
          <w:rFonts w:ascii="Times New Roman" w:hAnsi="Times New Roman" w:cs="Times New Roman"/>
        </w:rPr>
        <w:t xml:space="preserve">sectors </w:t>
      </w:r>
      <w:r w:rsidR="00FF75EB" w:rsidRPr="008371AD">
        <w:rPr>
          <w:rFonts w:ascii="Times New Roman" w:hAnsi="Times New Roman" w:cs="Times New Roman"/>
        </w:rPr>
        <w:t xml:space="preserve">were given allowances </w:t>
      </w:r>
      <w:r w:rsidR="00C627AE" w:rsidRPr="008371AD">
        <w:rPr>
          <w:rFonts w:ascii="Times New Roman" w:hAnsi="Times New Roman" w:cs="Times New Roman"/>
        </w:rPr>
        <w:t xml:space="preserve">to adapt to new </w:t>
      </w:r>
      <w:r w:rsidR="00B151E5" w:rsidRPr="008371AD">
        <w:rPr>
          <w:rFonts w:ascii="Times New Roman" w:hAnsi="Times New Roman" w:cs="Times New Roman"/>
        </w:rPr>
        <w:t xml:space="preserve">the varying </w:t>
      </w:r>
      <w:r w:rsidR="00C627AE" w:rsidRPr="008371AD">
        <w:rPr>
          <w:rFonts w:ascii="Times New Roman" w:hAnsi="Times New Roman" w:cs="Times New Roman"/>
        </w:rPr>
        <w:t xml:space="preserve">costs </w:t>
      </w:r>
      <w:r w:rsidR="00B151E5" w:rsidRPr="008371AD">
        <w:rPr>
          <w:rFonts w:ascii="Times New Roman" w:hAnsi="Times New Roman" w:cs="Times New Roman"/>
        </w:rPr>
        <w:t>in emission carbon</w:t>
      </w:r>
      <w:r w:rsidR="008F3B2E" w:rsidRPr="008371AD">
        <w:rPr>
          <w:rFonts w:ascii="Times New Roman" w:hAnsi="Times New Roman" w:cs="Times New Roman"/>
        </w:rPr>
        <w:t xml:space="preserve">. At the onset, lower tax rates were introduced to </w:t>
      </w:r>
      <w:r w:rsidR="00B51CBC" w:rsidRPr="008371AD">
        <w:rPr>
          <w:rFonts w:ascii="Times New Roman" w:hAnsi="Times New Roman" w:cs="Times New Roman"/>
        </w:rPr>
        <w:t>reduce the cost of emission and encourage the investment in cleaner technologies</w:t>
      </w:r>
      <w:r w:rsidR="0074406E" w:rsidRPr="008371AD">
        <w:rPr>
          <w:rFonts w:ascii="Times New Roman" w:hAnsi="Times New Roman" w:cs="Times New Roman"/>
        </w:rPr>
        <w:t xml:space="preserve"> by these major industries. The policy is in line with both national and international </w:t>
      </w:r>
      <w:r w:rsidR="00AA4213" w:rsidRPr="008371AD">
        <w:rPr>
          <w:rFonts w:ascii="Times New Roman" w:hAnsi="Times New Roman" w:cs="Times New Roman"/>
        </w:rPr>
        <w:t>commitments towards reducing emissions.</w:t>
      </w:r>
      <w:r w:rsidR="00407DCB" w:rsidRPr="008371AD">
        <w:rPr>
          <w:rFonts w:ascii="Times New Roman" w:hAnsi="Times New Roman" w:cs="Times New Roman"/>
        </w:rPr>
        <w:t xml:space="preserve"> </w:t>
      </w:r>
      <w:r w:rsidRPr="008371AD">
        <w:rPr>
          <w:rFonts w:ascii="Times New Roman" w:hAnsi="Times New Roman" w:cs="Times New Roman"/>
        </w:rPr>
        <w:t>The implementation of this policy signaled a shift towards a more economically driven approach to reducing emissions, unlike conventional policies</w:t>
      </w:r>
      <w:r w:rsidR="00342D04" w:rsidRPr="008371AD">
        <w:rPr>
          <w:rFonts w:ascii="Times New Roman" w:hAnsi="Times New Roman" w:cs="Times New Roman"/>
        </w:rPr>
        <w:t xml:space="preserve"> that do not place market price or value on emission</w:t>
      </w:r>
      <w:r w:rsidRPr="008371AD">
        <w:rPr>
          <w:rFonts w:ascii="Times New Roman" w:hAnsi="Times New Roman" w:cs="Times New Roman"/>
        </w:rPr>
        <w:t>. The carbon tax policy provided an incentive for industries to reduce their carbon emissions and encouraged the adoption of cleaner technologies and behaviors.</w:t>
      </w:r>
      <w:r w:rsidR="00F50D9E" w:rsidRPr="008371AD">
        <w:rPr>
          <w:rFonts w:ascii="Times New Roman" w:hAnsi="Times New Roman" w:cs="Times New Roman"/>
        </w:rPr>
        <w:t xml:space="preserve"> </w:t>
      </w:r>
      <w:proofErr w:type="gramStart"/>
      <w:r w:rsidRPr="008371AD">
        <w:rPr>
          <w:rFonts w:ascii="Times New Roman" w:hAnsi="Times New Roman" w:cs="Times New Roman"/>
        </w:rPr>
        <w:t>In order to</w:t>
      </w:r>
      <w:proofErr w:type="gramEnd"/>
      <w:r w:rsidRPr="008371AD">
        <w:rPr>
          <w:rFonts w:ascii="Times New Roman" w:hAnsi="Times New Roman" w:cs="Times New Roman"/>
        </w:rPr>
        <w:t xml:space="preserve"> assess the effectiveness of the carbon pricing policy, my study focuses on CO2 emissions, which are the </w:t>
      </w:r>
      <w:r w:rsidR="00AD1F5D" w:rsidRPr="008371AD">
        <w:rPr>
          <w:rFonts w:ascii="Times New Roman" w:hAnsi="Times New Roman" w:cs="Times New Roman"/>
        </w:rPr>
        <w:t>main</w:t>
      </w:r>
      <w:r w:rsidRPr="008371AD">
        <w:rPr>
          <w:rFonts w:ascii="Times New Roman" w:hAnsi="Times New Roman" w:cs="Times New Roman"/>
        </w:rPr>
        <w:t xml:space="preserve"> greenhouse gases produced by burning fossil fuels</w:t>
      </w:r>
      <w:r w:rsidR="00AD1F5D" w:rsidRPr="008371AD">
        <w:rPr>
          <w:rFonts w:ascii="Times New Roman" w:hAnsi="Times New Roman" w:cs="Times New Roman"/>
        </w:rPr>
        <w:t xml:space="preserve"> and the </w:t>
      </w:r>
      <w:r w:rsidR="00E229C7" w:rsidRPr="008371AD">
        <w:rPr>
          <w:rFonts w:ascii="Times New Roman" w:hAnsi="Times New Roman" w:cs="Times New Roman"/>
        </w:rPr>
        <w:t xml:space="preserve">represents </w:t>
      </w:r>
      <w:r w:rsidR="00AD1F5D" w:rsidRPr="008371AD">
        <w:rPr>
          <w:rFonts w:ascii="Times New Roman" w:hAnsi="Times New Roman" w:cs="Times New Roman"/>
        </w:rPr>
        <w:t>primary emission</w:t>
      </w:r>
      <w:r w:rsidR="00E04F0A" w:rsidRPr="008371AD">
        <w:rPr>
          <w:rFonts w:ascii="Times New Roman" w:hAnsi="Times New Roman" w:cs="Times New Roman"/>
        </w:rPr>
        <w:t>.</w:t>
      </w:r>
    </w:p>
    <w:p w14:paraId="2761482A" w14:textId="32078A3D" w:rsidR="004F5B7A" w:rsidRPr="008371AD" w:rsidRDefault="00C93F9D" w:rsidP="00810C86">
      <w:pPr>
        <w:spacing w:line="480" w:lineRule="auto"/>
        <w:jc w:val="both"/>
        <w:rPr>
          <w:rFonts w:ascii="Times New Roman" w:hAnsi="Times New Roman" w:cs="Times New Roman"/>
        </w:rPr>
      </w:pPr>
      <w:r w:rsidRPr="008371AD">
        <w:rPr>
          <w:rFonts w:ascii="Times New Roman" w:hAnsi="Times New Roman" w:cs="Times New Roman"/>
          <w:b/>
          <w:bCs/>
          <w:u w:val="single"/>
        </w:rPr>
        <w:t>Data</w:t>
      </w:r>
    </w:p>
    <w:p w14:paraId="3C04412A" w14:textId="102CD665" w:rsidR="004F5B7A" w:rsidRPr="008371AD" w:rsidRDefault="00E229C7" w:rsidP="00810C86">
      <w:pPr>
        <w:spacing w:line="480" w:lineRule="auto"/>
        <w:jc w:val="both"/>
        <w:rPr>
          <w:rFonts w:ascii="Times New Roman" w:hAnsi="Times New Roman" w:cs="Times New Roman"/>
        </w:rPr>
      </w:pPr>
      <w:r w:rsidRPr="008371AD">
        <w:rPr>
          <w:rFonts w:ascii="Times New Roman" w:hAnsi="Times New Roman" w:cs="Times New Roman"/>
        </w:rPr>
        <w:t>I use</w:t>
      </w:r>
      <w:r w:rsidR="002C3288" w:rsidRPr="008371AD">
        <w:rPr>
          <w:rFonts w:ascii="Times New Roman" w:hAnsi="Times New Roman" w:cs="Times New Roman"/>
        </w:rPr>
        <w:t xml:space="preserve"> data from World Bank’s World Development Indicator (WDI) and </w:t>
      </w:r>
      <w:r w:rsidR="004A24A3" w:rsidRPr="008371AD">
        <w:rPr>
          <w:rFonts w:ascii="Times New Roman" w:hAnsi="Times New Roman" w:cs="Times New Roman"/>
        </w:rPr>
        <w:t>Climate Watch</w:t>
      </w:r>
      <w:r w:rsidR="00FF1A36" w:rsidRPr="008371AD">
        <w:rPr>
          <w:rFonts w:ascii="Times New Roman" w:hAnsi="Times New Roman" w:cs="Times New Roman"/>
        </w:rPr>
        <w:t>.</w:t>
      </w:r>
      <w:r w:rsidR="002C3288" w:rsidRPr="008371AD">
        <w:rPr>
          <w:rFonts w:ascii="Times New Roman" w:hAnsi="Times New Roman" w:cs="Times New Roman"/>
        </w:rPr>
        <w:t xml:space="preserve"> </w:t>
      </w:r>
      <w:r w:rsidR="00EE3B53" w:rsidRPr="008371AD">
        <w:rPr>
          <w:rFonts w:ascii="Times New Roman" w:hAnsi="Times New Roman" w:cs="Times New Roman"/>
        </w:rPr>
        <w:t xml:space="preserve">The </w:t>
      </w:r>
      <w:r w:rsidR="00D94C2D" w:rsidRPr="008371AD">
        <w:rPr>
          <w:rFonts w:ascii="Times New Roman" w:hAnsi="Times New Roman" w:cs="Times New Roman"/>
        </w:rPr>
        <w:t xml:space="preserve">WDI </w:t>
      </w:r>
      <w:r w:rsidR="00122543" w:rsidRPr="008371AD">
        <w:rPr>
          <w:rFonts w:ascii="Times New Roman" w:hAnsi="Times New Roman" w:cs="Times New Roman"/>
        </w:rPr>
        <w:t xml:space="preserve">has data on both socio-economic, </w:t>
      </w:r>
      <w:r w:rsidR="005855E7" w:rsidRPr="008371AD">
        <w:rPr>
          <w:rFonts w:ascii="Times New Roman" w:hAnsi="Times New Roman" w:cs="Times New Roman"/>
        </w:rPr>
        <w:t>financial,</w:t>
      </w:r>
      <w:r w:rsidR="00122543" w:rsidRPr="008371AD">
        <w:rPr>
          <w:rFonts w:ascii="Times New Roman" w:hAnsi="Times New Roman" w:cs="Times New Roman"/>
        </w:rPr>
        <w:t xml:space="preserve"> and environmental </w:t>
      </w:r>
      <w:r w:rsidR="00D425B3" w:rsidRPr="008371AD">
        <w:rPr>
          <w:rFonts w:ascii="Times New Roman" w:hAnsi="Times New Roman" w:cs="Times New Roman"/>
        </w:rPr>
        <w:t xml:space="preserve">variables </w:t>
      </w:r>
      <w:r w:rsidR="00D4666D" w:rsidRPr="008371AD">
        <w:rPr>
          <w:rFonts w:ascii="Times New Roman" w:hAnsi="Times New Roman" w:cs="Times New Roman"/>
        </w:rPr>
        <w:t xml:space="preserve">of various countries globally. </w:t>
      </w:r>
      <w:r w:rsidR="00FF1A36" w:rsidRPr="008371AD">
        <w:rPr>
          <w:rFonts w:ascii="Times New Roman" w:hAnsi="Times New Roman" w:cs="Times New Roman"/>
        </w:rPr>
        <w:t>Climate Watch</w:t>
      </w:r>
      <w:r w:rsidR="00970A33" w:rsidRPr="008371AD">
        <w:rPr>
          <w:rFonts w:ascii="Times New Roman" w:hAnsi="Times New Roman" w:cs="Times New Roman"/>
        </w:rPr>
        <w:t xml:space="preserve"> takes annual data on greenhouse emissions of various </w:t>
      </w:r>
      <w:r w:rsidR="0050784F" w:rsidRPr="008371AD">
        <w:rPr>
          <w:rFonts w:ascii="Times New Roman" w:hAnsi="Times New Roman" w:cs="Times New Roman"/>
        </w:rPr>
        <w:t>countries</w:t>
      </w:r>
      <w:r w:rsidR="00970A33" w:rsidRPr="008371AD">
        <w:rPr>
          <w:rFonts w:ascii="Times New Roman" w:hAnsi="Times New Roman" w:cs="Times New Roman"/>
        </w:rPr>
        <w:t xml:space="preserve"> globally. </w:t>
      </w:r>
    </w:p>
    <w:p w14:paraId="4FE925D2" w14:textId="4D303263" w:rsidR="005855E7" w:rsidRPr="008371AD" w:rsidRDefault="00575B79" w:rsidP="00810C86">
      <w:pPr>
        <w:spacing w:line="480" w:lineRule="auto"/>
        <w:jc w:val="both"/>
        <w:rPr>
          <w:rFonts w:ascii="Times New Roman" w:hAnsi="Times New Roman" w:cs="Times New Roman"/>
        </w:rPr>
      </w:pPr>
      <w:r w:rsidRPr="008371AD">
        <w:rPr>
          <w:rFonts w:ascii="Times New Roman" w:hAnsi="Times New Roman" w:cs="Times New Roman"/>
        </w:rPr>
        <w:t>Co2 emissions</w:t>
      </w:r>
      <w:r w:rsidR="00BF0993" w:rsidRPr="008371AD">
        <w:rPr>
          <w:rFonts w:ascii="Times New Roman" w:hAnsi="Times New Roman" w:cs="Times New Roman"/>
        </w:rPr>
        <w:t xml:space="preserve"> </w:t>
      </w:r>
      <w:r w:rsidRPr="008371AD">
        <w:rPr>
          <w:rFonts w:ascii="Times New Roman" w:hAnsi="Times New Roman" w:cs="Times New Roman"/>
        </w:rPr>
        <w:t xml:space="preserve">was sourced from </w:t>
      </w:r>
      <w:r w:rsidR="00BF0993" w:rsidRPr="008371AD">
        <w:rPr>
          <w:rFonts w:ascii="Times New Roman" w:hAnsi="Times New Roman" w:cs="Times New Roman"/>
        </w:rPr>
        <w:t>Climate Watch</w:t>
      </w:r>
      <w:r w:rsidRPr="008371AD">
        <w:rPr>
          <w:rFonts w:ascii="Times New Roman" w:hAnsi="Times New Roman" w:cs="Times New Roman"/>
        </w:rPr>
        <w:t xml:space="preserve"> whereas population growth</w:t>
      </w:r>
      <w:r w:rsidR="001D4559" w:rsidRPr="008371AD">
        <w:rPr>
          <w:rFonts w:ascii="Times New Roman" w:hAnsi="Times New Roman" w:cs="Times New Roman"/>
        </w:rPr>
        <w:t xml:space="preserve"> </w:t>
      </w:r>
      <w:r w:rsidRPr="008371AD">
        <w:rPr>
          <w:rFonts w:ascii="Times New Roman" w:hAnsi="Times New Roman" w:cs="Times New Roman"/>
        </w:rPr>
        <w:t xml:space="preserve">and Gross Domestic </w:t>
      </w:r>
      <w:r w:rsidR="0024164C" w:rsidRPr="008371AD">
        <w:rPr>
          <w:rFonts w:ascii="Times New Roman" w:hAnsi="Times New Roman" w:cs="Times New Roman"/>
        </w:rPr>
        <w:t xml:space="preserve">Product </w:t>
      </w:r>
      <w:r w:rsidR="002A4DDA" w:rsidRPr="008371AD">
        <w:rPr>
          <w:rFonts w:ascii="Times New Roman" w:hAnsi="Times New Roman" w:cs="Times New Roman"/>
        </w:rPr>
        <w:t>Growth</w:t>
      </w:r>
      <w:r w:rsidR="00B53C13" w:rsidRPr="008371AD">
        <w:rPr>
          <w:rFonts w:ascii="Times New Roman" w:hAnsi="Times New Roman" w:cs="Times New Roman"/>
        </w:rPr>
        <w:t xml:space="preserve"> </w:t>
      </w:r>
      <w:r w:rsidR="001D4559" w:rsidRPr="008371AD">
        <w:rPr>
          <w:rFonts w:ascii="Times New Roman" w:hAnsi="Times New Roman" w:cs="Times New Roman"/>
        </w:rPr>
        <w:t xml:space="preserve">are </w:t>
      </w:r>
      <w:r w:rsidR="00B53C13" w:rsidRPr="008371AD">
        <w:rPr>
          <w:rFonts w:ascii="Times New Roman" w:hAnsi="Times New Roman" w:cs="Times New Roman"/>
        </w:rPr>
        <w:t xml:space="preserve">from WDI. </w:t>
      </w:r>
    </w:p>
    <w:p w14:paraId="6EDB2313" w14:textId="69E4B1BC" w:rsidR="00AB5404" w:rsidRPr="008371AD" w:rsidRDefault="005A714E" w:rsidP="005A714E">
      <w:pPr>
        <w:pStyle w:val="Caption"/>
        <w:rPr>
          <w:rFonts w:ascii="Times New Roman" w:hAnsi="Times New Roman" w:cs="Times New Roman"/>
          <w:i w:val="0"/>
          <w:iCs w:val="0"/>
          <w:sz w:val="24"/>
          <w:szCs w:val="24"/>
        </w:rPr>
      </w:pPr>
      <w:r w:rsidRPr="008371AD">
        <w:rPr>
          <w:rFonts w:ascii="Times New Roman" w:hAnsi="Times New Roman" w:cs="Times New Roman"/>
          <w:i w:val="0"/>
          <w:iCs w:val="0"/>
          <w:sz w:val="24"/>
          <w:szCs w:val="24"/>
        </w:rPr>
        <w:t xml:space="preserve">Table </w:t>
      </w:r>
      <w:r w:rsidRPr="008371AD">
        <w:rPr>
          <w:rFonts w:ascii="Times New Roman" w:hAnsi="Times New Roman" w:cs="Times New Roman"/>
          <w:i w:val="0"/>
          <w:iCs w:val="0"/>
          <w:sz w:val="24"/>
          <w:szCs w:val="24"/>
        </w:rPr>
        <w:fldChar w:fldCharType="begin"/>
      </w:r>
      <w:r w:rsidRPr="008371AD">
        <w:rPr>
          <w:rFonts w:ascii="Times New Roman" w:hAnsi="Times New Roman" w:cs="Times New Roman"/>
          <w:i w:val="0"/>
          <w:iCs w:val="0"/>
          <w:sz w:val="24"/>
          <w:szCs w:val="24"/>
        </w:rPr>
        <w:instrText xml:space="preserve"> SEQ Table \* ARABIC </w:instrText>
      </w:r>
      <w:r w:rsidRPr="008371AD">
        <w:rPr>
          <w:rFonts w:ascii="Times New Roman" w:hAnsi="Times New Roman" w:cs="Times New Roman"/>
          <w:i w:val="0"/>
          <w:iCs w:val="0"/>
          <w:sz w:val="24"/>
          <w:szCs w:val="24"/>
        </w:rPr>
        <w:fldChar w:fldCharType="separate"/>
      </w:r>
      <w:r w:rsidR="0037059B" w:rsidRPr="008371AD">
        <w:rPr>
          <w:rFonts w:ascii="Times New Roman" w:hAnsi="Times New Roman" w:cs="Times New Roman"/>
          <w:i w:val="0"/>
          <w:iCs w:val="0"/>
          <w:noProof/>
          <w:sz w:val="24"/>
          <w:szCs w:val="24"/>
        </w:rPr>
        <w:t>1</w:t>
      </w:r>
      <w:r w:rsidRPr="008371AD">
        <w:rPr>
          <w:rFonts w:ascii="Times New Roman" w:hAnsi="Times New Roman" w:cs="Times New Roman"/>
          <w:i w:val="0"/>
          <w:iCs w:val="0"/>
          <w:sz w:val="24"/>
          <w:szCs w:val="24"/>
        </w:rPr>
        <w:fldChar w:fldCharType="end"/>
      </w:r>
      <w:r w:rsidR="004A5631" w:rsidRPr="008371AD">
        <w:rPr>
          <w:rFonts w:ascii="Times New Roman" w:hAnsi="Times New Roman" w:cs="Times New Roman"/>
          <w:i w:val="0"/>
          <w:iCs w:val="0"/>
          <w:sz w:val="24"/>
          <w:szCs w:val="24"/>
        </w:rPr>
        <w:t xml:space="preserve">: Descriptive statistics of </w:t>
      </w:r>
      <w:r w:rsidR="006E2F4C">
        <w:rPr>
          <w:rFonts w:ascii="Times New Roman" w:hAnsi="Times New Roman" w:cs="Times New Roman"/>
          <w:i w:val="0"/>
          <w:iCs w:val="0"/>
          <w:sz w:val="24"/>
          <w:szCs w:val="24"/>
        </w:rPr>
        <w:t>Carbon Emission over time between South Africa and Other SSA</w:t>
      </w:r>
    </w:p>
    <w:tbl>
      <w:tblPr>
        <w:tblW w:w="9966" w:type="dxa"/>
        <w:tblLayout w:type="fixed"/>
        <w:tblLook w:val="0000" w:firstRow="0" w:lastRow="0" w:firstColumn="0" w:lastColumn="0" w:noHBand="0" w:noVBand="0"/>
      </w:tblPr>
      <w:tblGrid>
        <w:gridCol w:w="1646"/>
        <w:gridCol w:w="1663"/>
        <w:gridCol w:w="1663"/>
        <w:gridCol w:w="1663"/>
        <w:gridCol w:w="1663"/>
        <w:gridCol w:w="1668"/>
      </w:tblGrid>
      <w:tr w:rsidR="006E2F4C" w:rsidRPr="006E2F4C" w14:paraId="3EECA7A1" w14:textId="77777777" w:rsidTr="006E2F4C">
        <w:trPr>
          <w:trHeight w:val="434"/>
        </w:trPr>
        <w:tc>
          <w:tcPr>
            <w:tcW w:w="1646" w:type="dxa"/>
            <w:tcBorders>
              <w:top w:val="single" w:sz="4" w:space="0" w:color="auto"/>
              <w:left w:val="nil"/>
              <w:bottom w:val="single" w:sz="10" w:space="0" w:color="auto"/>
              <w:right w:val="nil"/>
            </w:tcBorders>
          </w:tcPr>
          <w:p w14:paraId="4CC6BEA3" w14:textId="29EDA0E5"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 xml:space="preserve">  </w:t>
            </w:r>
          </w:p>
        </w:tc>
        <w:tc>
          <w:tcPr>
            <w:tcW w:w="1663" w:type="dxa"/>
            <w:tcBorders>
              <w:top w:val="single" w:sz="4" w:space="0" w:color="auto"/>
              <w:left w:val="nil"/>
              <w:bottom w:val="single" w:sz="10" w:space="0" w:color="auto"/>
              <w:right w:val="nil"/>
            </w:tcBorders>
          </w:tcPr>
          <w:p w14:paraId="7F8C500C"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 xml:space="preserve">  N</w:t>
            </w:r>
          </w:p>
        </w:tc>
        <w:tc>
          <w:tcPr>
            <w:tcW w:w="1663" w:type="dxa"/>
            <w:tcBorders>
              <w:top w:val="single" w:sz="4" w:space="0" w:color="auto"/>
              <w:left w:val="nil"/>
              <w:bottom w:val="single" w:sz="10" w:space="0" w:color="auto"/>
              <w:right w:val="nil"/>
            </w:tcBorders>
          </w:tcPr>
          <w:p w14:paraId="44E7DE96"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 xml:space="preserve">  Mean</w:t>
            </w:r>
          </w:p>
        </w:tc>
        <w:tc>
          <w:tcPr>
            <w:tcW w:w="1663" w:type="dxa"/>
            <w:tcBorders>
              <w:top w:val="single" w:sz="4" w:space="0" w:color="auto"/>
              <w:left w:val="nil"/>
              <w:bottom w:val="single" w:sz="10" w:space="0" w:color="auto"/>
              <w:right w:val="nil"/>
            </w:tcBorders>
          </w:tcPr>
          <w:p w14:paraId="0E52EEA5"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 xml:space="preserve">  SD</w:t>
            </w:r>
          </w:p>
        </w:tc>
        <w:tc>
          <w:tcPr>
            <w:tcW w:w="1663" w:type="dxa"/>
            <w:tcBorders>
              <w:top w:val="single" w:sz="4" w:space="0" w:color="auto"/>
              <w:left w:val="nil"/>
              <w:bottom w:val="single" w:sz="10" w:space="0" w:color="auto"/>
              <w:right w:val="nil"/>
            </w:tcBorders>
          </w:tcPr>
          <w:p w14:paraId="1E99F4BA"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 xml:space="preserve">  Min</w:t>
            </w:r>
          </w:p>
        </w:tc>
        <w:tc>
          <w:tcPr>
            <w:tcW w:w="1667" w:type="dxa"/>
            <w:tcBorders>
              <w:top w:val="single" w:sz="4" w:space="0" w:color="auto"/>
              <w:left w:val="nil"/>
              <w:bottom w:val="single" w:sz="10" w:space="0" w:color="auto"/>
              <w:right w:val="nil"/>
            </w:tcBorders>
          </w:tcPr>
          <w:p w14:paraId="134E53AC"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 xml:space="preserve">  Max</w:t>
            </w:r>
          </w:p>
        </w:tc>
      </w:tr>
      <w:tr w:rsidR="006E2F4C" w:rsidRPr="006E2F4C" w14:paraId="027869E5" w14:textId="77777777" w:rsidTr="006E2F4C">
        <w:trPr>
          <w:trHeight w:val="809"/>
        </w:trPr>
        <w:tc>
          <w:tcPr>
            <w:tcW w:w="1646" w:type="dxa"/>
            <w:tcBorders>
              <w:top w:val="nil"/>
              <w:left w:val="nil"/>
              <w:bottom w:val="nil"/>
              <w:right w:val="nil"/>
            </w:tcBorders>
          </w:tcPr>
          <w:p w14:paraId="17E7A388" w14:textId="0FBA443B" w:rsidR="006E2F4C" w:rsidRPr="006E2F4C" w:rsidRDefault="006E2F4C" w:rsidP="00DE69BF">
            <w:pPr>
              <w:widowControl w:val="0"/>
              <w:autoSpaceDE w:val="0"/>
              <w:autoSpaceDN w:val="0"/>
              <w:adjustRightInd w:val="0"/>
              <w:spacing w:after="0" w:line="240" w:lineRule="auto"/>
              <w:rPr>
                <w:rFonts w:ascii="Times New Roman" w:hAnsi="Times New Roman" w:cs="Times New Roman"/>
                <w:kern w:val="0"/>
              </w:rPr>
            </w:pPr>
            <w:r w:rsidRPr="006E2F4C">
              <w:rPr>
                <w:rFonts w:ascii="Times New Roman" w:hAnsi="Times New Roman" w:cs="Times New Roman"/>
                <w:kern w:val="0"/>
              </w:rPr>
              <w:t xml:space="preserve"> </w:t>
            </w:r>
            <w:r>
              <w:rPr>
                <w:rFonts w:ascii="Times New Roman" w:hAnsi="Times New Roman" w:cs="Times New Roman"/>
                <w:kern w:val="0"/>
              </w:rPr>
              <w:t>Other SSA</w:t>
            </w:r>
          </w:p>
        </w:tc>
        <w:tc>
          <w:tcPr>
            <w:tcW w:w="1663" w:type="dxa"/>
            <w:tcBorders>
              <w:top w:val="nil"/>
              <w:left w:val="nil"/>
              <w:bottom w:val="nil"/>
              <w:right w:val="nil"/>
            </w:tcBorders>
          </w:tcPr>
          <w:p w14:paraId="2C795C4B"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896</w:t>
            </w:r>
          </w:p>
        </w:tc>
        <w:tc>
          <w:tcPr>
            <w:tcW w:w="1663" w:type="dxa"/>
            <w:tcBorders>
              <w:top w:val="nil"/>
              <w:left w:val="nil"/>
              <w:bottom w:val="nil"/>
              <w:right w:val="nil"/>
            </w:tcBorders>
          </w:tcPr>
          <w:p w14:paraId="46D67273" w14:textId="41D8969E"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Pr>
                <w:rFonts w:ascii="Times New Roman" w:hAnsi="Times New Roman" w:cs="Times New Roman"/>
                <w:kern w:val="0"/>
              </w:rPr>
              <w:t>0</w:t>
            </w:r>
            <w:r w:rsidRPr="006E2F4C">
              <w:rPr>
                <w:rFonts w:ascii="Times New Roman" w:hAnsi="Times New Roman" w:cs="Times New Roman"/>
                <w:kern w:val="0"/>
              </w:rPr>
              <w:t>.98</w:t>
            </w:r>
          </w:p>
        </w:tc>
        <w:tc>
          <w:tcPr>
            <w:tcW w:w="1663" w:type="dxa"/>
            <w:tcBorders>
              <w:top w:val="nil"/>
              <w:left w:val="nil"/>
              <w:bottom w:val="nil"/>
              <w:right w:val="nil"/>
            </w:tcBorders>
          </w:tcPr>
          <w:p w14:paraId="2BF19160"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1.440</w:t>
            </w:r>
          </w:p>
        </w:tc>
        <w:tc>
          <w:tcPr>
            <w:tcW w:w="1663" w:type="dxa"/>
            <w:tcBorders>
              <w:top w:val="nil"/>
              <w:left w:val="nil"/>
              <w:bottom w:val="nil"/>
              <w:right w:val="nil"/>
            </w:tcBorders>
          </w:tcPr>
          <w:p w14:paraId="6D62E36B"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.04</w:t>
            </w:r>
          </w:p>
        </w:tc>
        <w:tc>
          <w:tcPr>
            <w:tcW w:w="1667" w:type="dxa"/>
            <w:tcBorders>
              <w:top w:val="nil"/>
              <w:left w:val="nil"/>
              <w:bottom w:val="nil"/>
              <w:right w:val="nil"/>
            </w:tcBorders>
          </w:tcPr>
          <w:p w14:paraId="05BB6E05"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8.56</w:t>
            </w:r>
          </w:p>
        </w:tc>
      </w:tr>
      <w:tr w:rsidR="006E2F4C" w:rsidRPr="006E2F4C" w14:paraId="2A2EA33A" w14:textId="77777777" w:rsidTr="006E2F4C">
        <w:trPr>
          <w:trHeight w:val="434"/>
        </w:trPr>
        <w:tc>
          <w:tcPr>
            <w:tcW w:w="1646" w:type="dxa"/>
            <w:tcBorders>
              <w:top w:val="nil"/>
              <w:left w:val="nil"/>
              <w:bottom w:val="nil"/>
              <w:right w:val="nil"/>
            </w:tcBorders>
          </w:tcPr>
          <w:p w14:paraId="608332E2" w14:textId="41E3CFB5" w:rsidR="006E2F4C" w:rsidRPr="006E2F4C" w:rsidRDefault="006E2F4C" w:rsidP="00DE69BF">
            <w:pPr>
              <w:widowControl w:val="0"/>
              <w:autoSpaceDE w:val="0"/>
              <w:autoSpaceDN w:val="0"/>
              <w:adjustRightInd w:val="0"/>
              <w:spacing w:after="0" w:line="240" w:lineRule="auto"/>
              <w:rPr>
                <w:rFonts w:ascii="Times New Roman" w:hAnsi="Times New Roman" w:cs="Times New Roman"/>
                <w:kern w:val="0"/>
              </w:rPr>
            </w:pPr>
            <w:r w:rsidRPr="006E2F4C">
              <w:rPr>
                <w:rFonts w:ascii="Times New Roman" w:hAnsi="Times New Roman" w:cs="Times New Roman"/>
                <w:kern w:val="0"/>
              </w:rPr>
              <w:t xml:space="preserve"> </w:t>
            </w:r>
            <w:r>
              <w:rPr>
                <w:rFonts w:ascii="Times New Roman" w:hAnsi="Times New Roman" w:cs="Times New Roman"/>
                <w:kern w:val="0"/>
              </w:rPr>
              <w:t>South Africa</w:t>
            </w:r>
          </w:p>
        </w:tc>
        <w:tc>
          <w:tcPr>
            <w:tcW w:w="1663" w:type="dxa"/>
            <w:tcBorders>
              <w:top w:val="nil"/>
              <w:left w:val="nil"/>
              <w:bottom w:val="nil"/>
              <w:right w:val="nil"/>
            </w:tcBorders>
          </w:tcPr>
          <w:p w14:paraId="2443E6E4"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32</w:t>
            </w:r>
          </w:p>
        </w:tc>
        <w:tc>
          <w:tcPr>
            <w:tcW w:w="1663" w:type="dxa"/>
            <w:tcBorders>
              <w:top w:val="nil"/>
              <w:left w:val="nil"/>
              <w:bottom w:val="nil"/>
              <w:right w:val="nil"/>
            </w:tcBorders>
          </w:tcPr>
          <w:p w14:paraId="5BFD7AB0"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8.492</w:t>
            </w:r>
          </w:p>
        </w:tc>
        <w:tc>
          <w:tcPr>
            <w:tcW w:w="1663" w:type="dxa"/>
            <w:tcBorders>
              <w:top w:val="nil"/>
              <w:left w:val="nil"/>
              <w:bottom w:val="nil"/>
              <w:right w:val="nil"/>
            </w:tcBorders>
          </w:tcPr>
          <w:p w14:paraId="2658A52E"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0.660</w:t>
            </w:r>
          </w:p>
        </w:tc>
        <w:tc>
          <w:tcPr>
            <w:tcW w:w="1663" w:type="dxa"/>
            <w:tcBorders>
              <w:top w:val="nil"/>
              <w:left w:val="nil"/>
              <w:bottom w:val="nil"/>
              <w:right w:val="nil"/>
            </w:tcBorders>
          </w:tcPr>
          <w:p w14:paraId="31C59720"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7.09</w:t>
            </w:r>
          </w:p>
        </w:tc>
        <w:tc>
          <w:tcPr>
            <w:tcW w:w="1667" w:type="dxa"/>
            <w:tcBorders>
              <w:top w:val="nil"/>
              <w:left w:val="nil"/>
              <w:bottom w:val="nil"/>
              <w:right w:val="nil"/>
            </w:tcBorders>
          </w:tcPr>
          <w:p w14:paraId="0443700F" w14:textId="77777777" w:rsidR="006E2F4C" w:rsidRPr="006E2F4C" w:rsidRDefault="006E2F4C" w:rsidP="00DE69BF">
            <w:pPr>
              <w:widowControl w:val="0"/>
              <w:autoSpaceDE w:val="0"/>
              <w:autoSpaceDN w:val="0"/>
              <w:adjustRightInd w:val="0"/>
              <w:spacing w:after="0" w:line="240" w:lineRule="auto"/>
              <w:jc w:val="right"/>
              <w:rPr>
                <w:rFonts w:ascii="Times New Roman" w:hAnsi="Times New Roman" w:cs="Times New Roman"/>
                <w:kern w:val="0"/>
              </w:rPr>
            </w:pPr>
            <w:r w:rsidRPr="006E2F4C">
              <w:rPr>
                <w:rFonts w:ascii="Times New Roman" w:hAnsi="Times New Roman" w:cs="Times New Roman"/>
                <w:kern w:val="0"/>
              </w:rPr>
              <w:t>9.95</w:t>
            </w:r>
          </w:p>
        </w:tc>
      </w:tr>
      <w:tr w:rsidR="006E2F4C" w:rsidRPr="006E2F4C" w14:paraId="4BA81985" w14:textId="77777777" w:rsidTr="006E2F4C">
        <w:trPr>
          <w:trHeight w:val="403"/>
        </w:trPr>
        <w:tc>
          <w:tcPr>
            <w:tcW w:w="9966" w:type="dxa"/>
            <w:gridSpan w:val="6"/>
            <w:tcBorders>
              <w:top w:val="single" w:sz="6" w:space="0" w:color="auto"/>
              <w:left w:val="nil"/>
              <w:bottom w:val="nil"/>
              <w:right w:val="nil"/>
            </w:tcBorders>
          </w:tcPr>
          <w:p w14:paraId="5A38AF40" w14:textId="77777777" w:rsidR="006E2F4C" w:rsidRPr="006E2F4C" w:rsidRDefault="006E2F4C" w:rsidP="00DE69BF">
            <w:pPr>
              <w:widowControl w:val="0"/>
              <w:autoSpaceDE w:val="0"/>
              <w:autoSpaceDN w:val="0"/>
              <w:adjustRightInd w:val="0"/>
              <w:spacing w:after="0" w:line="240" w:lineRule="auto"/>
              <w:rPr>
                <w:rFonts w:ascii="Times New Roman" w:hAnsi="Times New Roman" w:cs="Times New Roman"/>
                <w:kern w:val="0"/>
              </w:rPr>
            </w:pPr>
          </w:p>
        </w:tc>
      </w:tr>
    </w:tbl>
    <w:p w14:paraId="02BDB270" w14:textId="7B3EB7EE" w:rsidR="00ED4CD7" w:rsidRPr="008371AD" w:rsidRDefault="00ED4CD7" w:rsidP="00810C86">
      <w:pPr>
        <w:spacing w:line="480" w:lineRule="auto"/>
        <w:jc w:val="both"/>
        <w:rPr>
          <w:rFonts w:ascii="Times New Roman" w:hAnsi="Times New Roman" w:cs="Times New Roman"/>
        </w:rPr>
      </w:pPr>
    </w:p>
    <w:p w14:paraId="755E1394" w14:textId="489BC147" w:rsidR="00D652A3" w:rsidRPr="008371AD" w:rsidRDefault="00BE0ABE" w:rsidP="00D652A3">
      <w:pPr>
        <w:spacing w:line="480" w:lineRule="auto"/>
        <w:jc w:val="both"/>
        <w:rPr>
          <w:rFonts w:ascii="Times New Roman" w:hAnsi="Times New Roman" w:cs="Times New Roman"/>
        </w:rPr>
      </w:pPr>
      <w:r w:rsidRPr="00BE0ABE">
        <w:rPr>
          <w:rFonts w:ascii="Times New Roman" w:hAnsi="Times New Roman" w:cs="Times New Roman"/>
        </w:rPr>
        <w:lastRenderedPageBreak/>
        <w:t>From Table 1, the average CO2 emissions for South Africa over the study period are about 8.5 metric tons per capita (</w:t>
      </w:r>
      <w:proofErr w:type="spellStart"/>
      <w:r w:rsidRPr="00BE0ABE">
        <w:rPr>
          <w:rFonts w:ascii="Times New Roman" w:hAnsi="Times New Roman" w:cs="Times New Roman"/>
        </w:rPr>
        <w:t>mtpc</w:t>
      </w:r>
      <w:proofErr w:type="spellEnd"/>
      <w:r w:rsidRPr="00BE0ABE">
        <w:rPr>
          <w:rFonts w:ascii="Times New Roman" w:hAnsi="Times New Roman" w:cs="Times New Roman"/>
        </w:rPr>
        <w:t xml:space="preserve">), which is significantly higher than the average emissions within the Sub-Saharan Africa region. South Africa's emissions have increased on average, with a minimum emission of 7.09 </w:t>
      </w:r>
      <w:proofErr w:type="spellStart"/>
      <w:r w:rsidRPr="00BE0ABE">
        <w:rPr>
          <w:rFonts w:ascii="Times New Roman" w:hAnsi="Times New Roman" w:cs="Times New Roman"/>
        </w:rPr>
        <w:t>mtpc</w:t>
      </w:r>
      <w:proofErr w:type="spellEnd"/>
      <w:r w:rsidRPr="00BE0ABE">
        <w:rPr>
          <w:rFonts w:ascii="Times New Roman" w:hAnsi="Times New Roman" w:cs="Times New Roman"/>
        </w:rPr>
        <w:t xml:space="preserve"> and a maximum of 9.95 </w:t>
      </w:r>
      <w:proofErr w:type="spellStart"/>
      <w:r w:rsidRPr="00BE0ABE">
        <w:rPr>
          <w:rFonts w:ascii="Times New Roman" w:hAnsi="Times New Roman" w:cs="Times New Roman"/>
        </w:rPr>
        <w:t>mtpc</w:t>
      </w:r>
      <w:proofErr w:type="spellEnd"/>
      <w:r>
        <w:rPr>
          <w:rFonts w:ascii="Times New Roman" w:hAnsi="Times New Roman" w:cs="Times New Roman"/>
        </w:rPr>
        <w:t xml:space="preserve">. </w:t>
      </w:r>
      <w:r w:rsidR="0076418B" w:rsidRPr="008371AD">
        <w:rPr>
          <w:rFonts w:ascii="Times New Roman" w:hAnsi="Times New Roman" w:cs="Times New Roman"/>
        </w:rPr>
        <w:t xml:space="preserve">Figure 1 confirms the vast variation in emission between </w:t>
      </w:r>
      <w:r w:rsidR="00E80027" w:rsidRPr="008371AD">
        <w:rPr>
          <w:rFonts w:ascii="Times New Roman" w:hAnsi="Times New Roman" w:cs="Times New Roman"/>
        </w:rPr>
        <w:t xml:space="preserve">South Africa and the control group. </w:t>
      </w:r>
      <w:r w:rsidR="00D652A3" w:rsidRPr="008371AD">
        <w:rPr>
          <w:rFonts w:ascii="Times New Roman" w:hAnsi="Times New Roman" w:cs="Times New Roman"/>
        </w:rPr>
        <w:t xml:space="preserve">While South Africa's average emission hovers around 8 </w:t>
      </w:r>
      <w:proofErr w:type="spellStart"/>
      <w:r w:rsidR="00D652A3" w:rsidRPr="008371AD">
        <w:rPr>
          <w:rFonts w:ascii="Times New Roman" w:hAnsi="Times New Roman" w:cs="Times New Roman"/>
        </w:rPr>
        <w:t>mtpc</w:t>
      </w:r>
      <w:proofErr w:type="spellEnd"/>
      <w:r w:rsidR="00D652A3" w:rsidRPr="008371AD">
        <w:rPr>
          <w:rFonts w:ascii="Times New Roman" w:hAnsi="Times New Roman" w:cs="Times New Roman"/>
        </w:rPr>
        <w:t xml:space="preserve">, </w:t>
      </w:r>
      <w:r>
        <w:rPr>
          <w:rFonts w:ascii="Times New Roman" w:hAnsi="Times New Roman" w:cs="Times New Roman"/>
        </w:rPr>
        <w:t>other SSA</w:t>
      </w:r>
      <w:r w:rsidR="00D652A3" w:rsidRPr="008371AD">
        <w:rPr>
          <w:rFonts w:ascii="Times New Roman" w:hAnsi="Times New Roman" w:cs="Times New Roman"/>
        </w:rPr>
        <w:t xml:space="preserve"> average emission is less than 2 </w:t>
      </w:r>
      <w:proofErr w:type="spellStart"/>
      <w:r w:rsidR="00D652A3" w:rsidRPr="008371AD">
        <w:rPr>
          <w:rFonts w:ascii="Times New Roman" w:hAnsi="Times New Roman" w:cs="Times New Roman"/>
        </w:rPr>
        <w:t>mtpc</w:t>
      </w:r>
      <w:proofErr w:type="spellEnd"/>
      <w:r w:rsidR="00D652A3" w:rsidRPr="008371AD">
        <w:rPr>
          <w:rFonts w:ascii="Times New Roman" w:hAnsi="Times New Roman" w:cs="Times New Roman"/>
        </w:rPr>
        <w:t xml:space="preserve"> over the study period (1990-2021).</w:t>
      </w:r>
    </w:p>
    <w:p w14:paraId="4E7CB697" w14:textId="553BA4DF" w:rsidR="008847AF" w:rsidRPr="008371AD" w:rsidRDefault="004D3EA1" w:rsidP="00987444">
      <w:pPr>
        <w:spacing w:line="240" w:lineRule="auto"/>
        <w:rPr>
          <w:rFonts w:ascii="Times New Roman" w:hAnsi="Times New Roman" w:cs="Times New Roman"/>
        </w:rPr>
      </w:pPr>
      <w:r w:rsidRPr="008371AD">
        <w:rPr>
          <w:rFonts w:ascii="Times New Roman" w:hAnsi="Times New Roman" w:cs="Times New Roman"/>
          <w:b/>
          <w:bCs/>
          <w:i/>
          <w:iCs/>
        </w:rPr>
        <w:t xml:space="preserve">Figure </w:t>
      </w:r>
      <w:r w:rsidRPr="008371AD">
        <w:rPr>
          <w:rFonts w:ascii="Times New Roman" w:hAnsi="Times New Roman" w:cs="Times New Roman"/>
          <w:b/>
          <w:bCs/>
          <w:i/>
          <w:iCs/>
        </w:rPr>
        <w:fldChar w:fldCharType="begin"/>
      </w:r>
      <w:r w:rsidRPr="008371AD">
        <w:rPr>
          <w:rFonts w:ascii="Times New Roman" w:hAnsi="Times New Roman" w:cs="Times New Roman"/>
          <w:b/>
          <w:bCs/>
          <w:i/>
          <w:iCs/>
        </w:rPr>
        <w:instrText xml:space="preserve"> SEQ Figure \* ARABIC </w:instrText>
      </w:r>
      <w:r w:rsidRPr="008371AD">
        <w:rPr>
          <w:rFonts w:ascii="Times New Roman" w:hAnsi="Times New Roman" w:cs="Times New Roman"/>
          <w:b/>
          <w:bCs/>
          <w:i/>
          <w:iCs/>
        </w:rPr>
        <w:fldChar w:fldCharType="separate"/>
      </w:r>
      <w:r w:rsidRPr="008371AD">
        <w:rPr>
          <w:rFonts w:ascii="Times New Roman" w:hAnsi="Times New Roman" w:cs="Times New Roman"/>
          <w:b/>
          <w:bCs/>
          <w:i/>
          <w:iCs/>
          <w:noProof/>
        </w:rPr>
        <w:t>1</w:t>
      </w:r>
      <w:r w:rsidRPr="008371AD">
        <w:rPr>
          <w:rFonts w:ascii="Times New Roman" w:hAnsi="Times New Roman" w:cs="Times New Roman"/>
          <w:b/>
          <w:bCs/>
          <w:i/>
          <w:iCs/>
        </w:rPr>
        <w:fldChar w:fldCharType="end"/>
      </w:r>
      <w:r w:rsidRPr="008371AD">
        <w:rPr>
          <w:rFonts w:ascii="Times New Roman" w:hAnsi="Times New Roman" w:cs="Times New Roman"/>
          <w:b/>
          <w:bCs/>
          <w:i/>
          <w:iCs/>
        </w:rPr>
        <w:t xml:space="preserve">: </w:t>
      </w:r>
      <w:r w:rsidR="00987444" w:rsidRPr="008371AD">
        <w:rPr>
          <w:rFonts w:ascii="Times New Roman" w:hAnsi="Times New Roman" w:cs="Times New Roman"/>
        </w:rPr>
        <w:t>Average emission of carbon over time for South Africa and other Sub-Saharan African Countries</w:t>
      </w:r>
    </w:p>
    <w:p w14:paraId="1FFF8282" w14:textId="4511C83E" w:rsidR="00063E9C" w:rsidRPr="007F0720" w:rsidRDefault="000119DE" w:rsidP="005855E7">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563BCD56" wp14:editId="29E017BD">
            <wp:extent cx="5943600" cy="4323080"/>
            <wp:effectExtent l="0" t="0" r="0" b="0"/>
            <wp:docPr id="270629360" name="Picture 1" descr="A graph showing the amount of carbon emission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29360" name="Picture 1" descr="A graph showing the amount of carbon emission over ti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14:paraId="2A216E49" w14:textId="77777777" w:rsidR="000119DE" w:rsidRDefault="000119DE" w:rsidP="005855E7">
      <w:pPr>
        <w:spacing w:line="480" w:lineRule="auto"/>
        <w:jc w:val="both"/>
        <w:rPr>
          <w:rFonts w:ascii="Times New Roman" w:hAnsi="Times New Roman" w:cs="Times New Roman"/>
          <w:b/>
          <w:bCs/>
          <w:u w:val="single"/>
        </w:rPr>
      </w:pPr>
    </w:p>
    <w:p w14:paraId="75B5F098" w14:textId="44346C09" w:rsidR="005855E7" w:rsidRPr="008371AD" w:rsidRDefault="0075053D" w:rsidP="005855E7">
      <w:pPr>
        <w:spacing w:line="480" w:lineRule="auto"/>
        <w:jc w:val="both"/>
        <w:rPr>
          <w:rFonts w:ascii="Times New Roman" w:hAnsi="Times New Roman" w:cs="Times New Roman"/>
          <w:b/>
          <w:bCs/>
          <w:u w:val="single"/>
        </w:rPr>
      </w:pPr>
      <w:r w:rsidRPr="008371AD">
        <w:rPr>
          <w:rFonts w:ascii="Times New Roman" w:hAnsi="Times New Roman" w:cs="Times New Roman"/>
          <w:b/>
          <w:bCs/>
          <w:u w:val="single"/>
        </w:rPr>
        <w:lastRenderedPageBreak/>
        <w:t>Empirical strategy</w:t>
      </w:r>
    </w:p>
    <w:p w14:paraId="52E7D644" w14:textId="7E7613E7" w:rsidR="0075053D" w:rsidRPr="008371AD" w:rsidRDefault="0075053D" w:rsidP="00FE6F0E">
      <w:pPr>
        <w:spacing w:line="480" w:lineRule="auto"/>
        <w:jc w:val="both"/>
        <w:rPr>
          <w:rFonts w:ascii="Times New Roman" w:hAnsi="Times New Roman" w:cs="Times New Roman"/>
          <w:b/>
          <w:bCs/>
          <w:u w:val="single"/>
        </w:rPr>
      </w:pPr>
      <w:r w:rsidRPr="008371AD">
        <w:rPr>
          <w:rFonts w:ascii="Times New Roman" w:hAnsi="Times New Roman" w:cs="Times New Roman"/>
        </w:rPr>
        <w:t>I employ</w:t>
      </w:r>
      <w:r w:rsidR="0006619B" w:rsidRPr="008371AD">
        <w:rPr>
          <w:rFonts w:ascii="Times New Roman" w:hAnsi="Times New Roman" w:cs="Times New Roman"/>
        </w:rPr>
        <w:t xml:space="preserve"> </w:t>
      </w:r>
      <w:r w:rsidRPr="008371AD">
        <w:rPr>
          <w:rFonts w:ascii="Times New Roman" w:hAnsi="Times New Roman" w:cs="Times New Roman"/>
        </w:rPr>
        <w:t xml:space="preserve">the difference-in-differences model to estimate the effect of carbon pricing policy on emission in South Africa. </w:t>
      </w:r>
      <w:r w:rsidR="007E29B7" w:rsidRPr="008371AD">
        <w:rPr>
          <w:rFonts w:ascii="Times New Roman" w:hAnsi="Times New Roman" w:cs="Times New Roman"/>
        </w:rPr>
        <w:t xml:space="preserve">I used this </w:t>
      </w:r>
      <w:r w:rsidR="004B6E45" w:rsidRPr="008371AD">
        <w:rPr>
          <w:rFonts w:ascii="Times New Roman" w:hAnsi="Times New Roman" w:cs="Times New Roman"/>
        </w:rPr>
        <w:t xml:space="preserve">estimation </w:t>
      </w:r>
      <w:r w:rsidR="00923F0B" w:rsidRPr="008371AD">
        <w:rPr>
          <w:rFonts w:ascii="Times New Roman" w:hAnsi="Times New Roman" w:cs="Times New Roman"/>
        </w:rPr>
        <w:t xml:space="preserve">technique </w:t>
      </w:r>
      <w:r w:rsidR="002E1DD4" w:rsidRPr="008371AD">
        <w:rPr>
          <w:rFonts w:ascii="Times New Roman" w:hAnsi="Times New Roman" w:cs="Times New Roman"/>
        </w:rPr>
        <w:t>by</w:t>
      </w:r>
      <w:r w:rsidR="001D2DAD" w:rsidRPr="008371AD">
        <w:rPr>
          <w:rFonts w:ascii="Times New Roman" w:hAnsi="Times New Roman" w:cs="Times New Roman"/>
        </w:rPr>
        <w:t xml:space="preserve"> comparing the before and after outcomes of </w:t>
      </w:r>
      <w:r w:rsidR="003E5424" w:rsidRPr="008371AD">
        <w:rPr>
          <w:rFonts w:ascii="Times New Roman" w:hAnsi="Times New Roman" w:cs="Times New Roman"/>
        </w:rPr>
        <w:t>the carbon pricing policy</w:t>
      </w:r>
      <w:r w:rsidR="004B7587" w:rsidRPr="008371AD">
        <w:rPr>
          <w:rFonts w:ascii="Times New Roman" w:hAnsi="Times New Roman" w:cs="Times New Roman"/>
        </w:rPr>
        <w:t xml:space="preserve"> in South Africa</w:t>
      </w:r>
      <w:r w:rsidR="003E5424" w:rsidRPr="008371AD">
        <w:rPr>
          <w:rFonts w:ascii="Times New Roman" w:hAnsi="Times New Roman" w:cs="Times New Roman"/>
        </w:rPr>
        <w:t xml:space="preserve">. </w:t>
      </w:r>
      <w:r w:rsidR="004B278C" w:rsidRPr="008371AD">
        <w:rPr>
          <w:rFonts w:ascii="Times New Roman" w:hAnsi="Times New Roman" w:cs="Times New Roman"/>
        </w:rPr>
        <w:t xml:space="preserve">Since </w:t>
      </w:r>
      <w:r w:rsidR="002E1DD4" w:rsidRPr="008371AD">
        <w:rPr>
          <w:rFonts w:ascii="Times New Roman" w:hAnsi="Times New Roman" w:cs="Times New Roman"/>
        </w:rPr>
        <w:t xml:space="preserve">South Africa introduced a carbon tax policy in </w:t>
      </w:r>
      <w:r w:rsidR="004B7587" w:rsidRPr="008371AD">
        <w:rPr>
          <w:rFonts w:ascii="Times New Roman" w:hAnsi="Times New Roman" w:cs="Times New Roman"/>
        </w:rPr>
        <w:t>2019,</w:t>
      </w:r>
      <w:r w:rsidR="002E1DD4" w:rsidRPr="008371AD">
        <w:rPr>
          <w:rFonts w:ascii="Times New Roman" w:hAnsi="Times New Roman" w:cs="Times New Roman"/>
        </w:rPr>
        <w:t xml:space="preserve"> </w:t>
      </w:r>
      <w:r w:rsidR="004B278C" w:rsidRPr="008371AD">
        <w:rPr>
          <w:rFonts w:ascii="Times New Roman" w:hAnsi="Times New Roman" w:cs="Times New Roman"/>
        </w:rPr>
        <w:t xml:space="preserve">I </w:t>
      </w:r>
      <w:r w:rsidR="0006619B" w:rsidRPr="008371AD">
        <w:rPr>
          <w:rFonts w:ascii="Times New Roman" w:hAnsi="Times New Roman" w:cs="Times New Roman"/>
        </w:rPr>
        <w:t>considered it</w:t>
      </w:r>
      <w:r w:rsidR="004B278C" w:rsidRPr="008371AD">
        <w:rPr>
          <w:rFonts w:ascii="Times New Roman" w:hAnsi="Times New Roman" w:cs="Times New Roman"/>
        </w:rPr>
        <w:t xml:space="preserve"> </w:t>
      </w:r>
      <w:r w:rsidR="00B922AC" w:rsidRPr="008371AD">
        <w:rPr>
          <w:rFonts w:ascii="Times New Roman" w:hAnsi="Times New Roman" w:cs="Times New Roman"/>
        </w:rPr>
        <w:t xml:space="preserve">as </w:t>
      </w:r>
      <w:r w:rsidR="004B278C" w:rsidRPr="008371AD">
        <w:rPr>
          <w:rFonts w:ascii="Times New Roman" w:hAnsi="Times New Roman" w:cs="Times New Roman"/>
        </w:rPr>
        <w:t xml:space="preserve">the </w:t>
      </w:r>
      <w:r w:rsidR="00B922AC" w:rsidRPr="008371AD">
        <w:rPr>
          <w:rFonts w:ascii="Times New Roman" w:hAnsi="Times New Roman" w:cs="Times New Roman"/>
        </w:rPr>
        <w:t xml:space="preserve">treatment group whereas the other sub-Saharan African countries without the </w:t>
      </w:r>
      <w:r w:rsidR="000D21EE" w:rsidRPr="008371AD">
        <w:rPr>
          <w:rFonts w:ascii="Times New Roman" w:hAnsi="Times New Roman" w:cs="Times New Roman"/>
        </w:rPr>
        <w:t xml:space="preserve">carbon </w:t>
      </w:r>
      <w:r w:rsidR="00B922AC" w:rsidRPr="008371AD">
        <w:rPr>
          <w:rFonts w:ascii="Times New Roman" w:hAnsi="Times New Roman" w:cs="Times New Roman"/>
        </w:rPr>
        <w:t xml:space="preserve">policy are </w:t>
      </w:r>
      <w:r w:rsidR="0006619B" w:rsidRPr="008371AD">
        <w:rPr>
          <w:rFonts w:ascii="Times New Roman" w:hAnsi="Times New Roman" w:cs="Times New Roman"/>
        </w:rPr>
        <w:t>in</w:t>
      </w:r>
      <w:r w:rsidR="00B922AC" w:rsidRPr="008371AD">
        <w:rPr>
          <w:rFonts w:ascii="Times New Roman" w:hAnsi="Times New Roman" w:cs="Times New Roman"/>
        </w:rPr>
        <w:t xml:space="preserve"> the control group. </w:t>
      </w:r>
    </w:p>
    <w:p w14:paraId="7F5B22CB" w14:textId="24CBD885" w:rsidR="00411C98" w:rsidRPr="008371AD" w:rsidRDefault="00411C98" w:rsidP="00FE6F0E">
      <w:pPr>
        <w:pStyle w:val="NormalWeb"/>
        <w:spacing w:line="480" w:lineRule="auto"/>
        <w:jc w:val="both"/>
      </w:pPr>
      <w:r w:rsidRPr="008371AD">
        <w:t xml:space="preserve">I hypothesize that the introduction of carbon pricing policy in South Africa will have a negative effect on CO2 emissions compared to other sub-Saharan countries without such a policy. The purpose of introducing the carbon tax is to discourage emissions; hence, polluters will reduce emissions since it becomes </w:t>
      </w:r>
      <w:r w:rsidR="00AB5305" w:rsidRPr="008371AD">
        <w:t xml:space="preserve">more </w:t>
      </w:r>
      <w:r w:rsidRPr="008371AD">
        <w:t>costly to emit greenhouse gases.</w:t>
      </w:r>
    </w:p>
    <w:p w14:paraId="6393BD70" w14:textId="42BD86D7" w:rsidR="009C007B" w:rsidRPr="008371AD" w:rsidRDefault="00EA4E5A" w:rsidP="00FE6F0E">
      <w:pPr>
        <w:pStyle w:val="NormalWeb"/>
        <w:spacing w:line="480" w:lineRule="auto"/>
        <w:jc w:val="both"/>
      </w:pPr>
      <w:r w:rsidRPr="008371AD">
        <w:t xml:space="preserve">My estimation </w:t>
      </w:r>
      <w:r w:rsidR="00AB5305" w:rsidRPr="008371AD">
        <w:t xml:space="preserve">model </w:t>
      </w:r>
      <w:r w:rsidRPr="008371AD">
        <w:t xml:space="preserve">is as follows: </w:t>
      </w:r>
    </w:p>
    <w:p w14:paraId="18364F73" w14:textId="4FF49BDD" w:rsidR="001A0555" w:rsidRPr="008371AD" w:rsidRDefault="00000000" w:rsidP="00810C86">
      <w:pPr>
        <w:pStyle w:val="NormalWeb"/>
        <w:spacing w:line="480" w:lineRule="auto"/>
      </w:pPr>
      <m:oMathPara>
        <m:oMathParaPr>
          <m:jc m:val="left"/>
        </m:oMathParaPr>
        <m:oMath>
          <m:sSub>
            <m:sSubPr>
              <m:ctrlPr>
                <w:rPr>
                  <w:rFonts w:ascii="Cambria Math" w:hAnsi="Cambria Math"/>
                  <w:i/>
                </w:rPr>
              </m:ctrlPr>
            </m:sSubPr>
            <m:e>
              <m:r>
                <w:rPr>
                  <w:rFonts w:ascii="Cambria Math" w:hAnsi="Cambria Math"/>
                </w:rPr>
                <m:t>CO2Emissions</m:t>
              </m:r>
            </m:e>
            <m:sub>
              <m:r>
                <w:rPr>
                  <w:rFonts w:ascii="Cambria Math" w:hAnsi="Cambria Math"/>
                </w:rPr>
                <m:t>ct</m:t>
              </m:r>
            </m:sub>
          </m:sSub>
          <m:r>
            <w:rPr>
              <w:rFonts w:ascii="Cambria Math" w:hAnsi="Cambria Math"/>
            </w:rPr>
            <m:t>=β</m:t>
          </m:r>
          <m:sSub>
            <m:sSubPr>
              <m:ctrlPr>
                <w:rPr>
                  <w:rFonts w:ascii="Cambria Math" w:hAnsi="Cambria Math"/>
                  <w:i/>
                </w:rPr>
              </m:ctrlPr>
            </m:sSubPr>
            <m:e>
              <m:r>
                <w:rPr>
                  <w:rFonts w:ascii="Cambria Math" w:hAnsi="Cambria Math"/>
                </w:rPr>
                <m:t>CarbonPricing</m:t>
              </m:r>
            </m:e>
            <m:sub>
              <m:r>
                <w:rPr>
                  <w:rFonts w:ascii="Cambria Math" w:hAnsi="Cambria Math"/>
                </w:rPr>
                <m:t>ct</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sSub>
            <m:sSubPr>
              <m:ctrlPr>
                <w:rPr>
                  <w:rFonts w:ascii="Cambria Math" w:hAnsi="Cambria Math"/>
                  <w:i/>
                </w:rPr>
              </m:ctrlPr>
            </m:sSubPr>
            <m:e>
              <m:r>
                <w:rPr>
                  <w:rFonts w:ascii="Cambria Math" w:hAnsi="Cambria Math"/>
                </w:rPr>
                <m:t>Controls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ct</m:t>
              </m:r>
            </m:sub>
          </m:sSub>
        </m:oMath>
      </m:oMathPara>
    </w:p>
    <w:p w14:paraId="53848ADE" w14:textId="5CE89892" w:rsidR="00AC33B2" w:rsidRPr="008371AD" w:rsidRDefault="00000000" w:rsidP="00067917">
      <w:pPr>
        <w:spacing w:line="480" w:lineRule="auto"/>
        <w:jc w:val="both"/>
        <w:rPr>
          <w:rFonts w:ascii="Times New Roman" w:hAnsi="Times New Roman" w:cs="Times New Roman"/>
        </w:rPr>
      </w:pPr>
      <m:oMath>
        <m:sSub>
          <m:sSubPr>
            <m:ctrlPr>
              <w:rPr>
                <w:rFonts w:ascii="Cambria Math" w:eastAsia="Times New Roman" w:hAnsi="Cambria Math" w:cs="Times New Roman"/>
                <w:i/>
                <w:kern w:val="0"/>
                <w14:ligatures w14:val="none"/>
              </w:rPr>
            </m:ctrlPr>
          </m:sSubPr>
          <m:e>
            <m:r>
              <w:rPr>
                <w:rFonts w:ascii="Cambria Math" w:hAnsi="Cambria Math" w:cs="Times New Roman"/>
              </w:rPr>
              <m:t>CO2Emissions</m:t>
            </m:r>
          </m:e>
          <m:sub>
            <m:r>
              <w:rPr>
                <w:rFonts w:ascii="Cambria Math" w:hAnsi="Cambria Math" w:cs="Times New Roman"/>
              </w:rPr>
              <m:t>ct</m:t>
            </m:r>
          </m:sub>
        </m:sSub>
      </m:oMath>
      <w:r w:rsidR="00A160B9" w:rsidRPr="008371AD">
        <w:rPr>
          <w:rFonts w:ascii="Times New Roman" w:eastAsiaTheme="minorEastAsia" w:hAnsi="Times New Roman" w:cs="Times New Roman"/>
          <w:kern w:val="0"/>
          <w14:ligatures w14:val="none"/>
        </w:rPr>
        <w:t xml:space="preserve"> represents the CO2 emissions</w:t>
      </w:r>
      <w:r w:rsidR="000267D3" w:rsidRPr="008371AD">
        <w:rPr>
          <w:rFonts w:ascii="Times New Roman" w:eastAsiaTheme="minorEastAsia" w:hAnsi="Times New Roman" w:cs="Times New Roman"/>
          <w:kern w:val="0"/>
          <w14:ligatures w14:val="none"/>
        </w:rPr>
        <w:t xml:space="preserve"> </w:t>
      </w:r>
      <w:r w:rsidR="00AD0DDD" w:rsidRPr="008371AD">
        <w:rPr>
          <w:rFonts w:ascii="Times New Roman" w:eastAsiaTheme="minorEastAsia" w:hAnsi="Times New Roman" w:cs="Times New Roman"/>
          <w:kern w:val="0"/>
          <w14:ligatures w14:val="none"/>
        </w:rPr>
        <w:t xml:space="preserve">(metric tons </w:t>
      </w:r>
      <w:r w:rsidR="00906A08" w:rsidRPr="008371AD">
        <w:rPr>
          <w:rFonts w:ascii="Times New Roman" w:eastAsiaTheme="minorEastAsia" w:hAnsi="Times New Roman" w:cs="Times New Roman"/>
          <w:kern w:val="0"/>
          <w14:ligatures w14:val="none"/>
        </w:rPr>
        <w:t xml:space="preserve">per capita) </w:t>
      </w:r>
      <w:r w:rsidR="000267D3" w:rsidRPr="008371AD">
        <w:rPr>
          <w:rFonts w:ascii="Times New Roman" w:eastAsiaTheme="minorEastAsia" w:hAnsi="Times New Roman" w:cs="Times New Roman"/>
          <w:kern w:val="0"/>
          <w14:ligatures w14:val="none"/>
        </w:rPr>
        <w:t xml:space="preserve">in country </w:t>
      </w:r>
      <w:r w:rsidR="001A0555" w:rsidRPr="008371AD">
        <w:rPr>
          <w:rFonts w:ascii="Times New Roman" w:eastAsiaTheme="minorEastAsia" w:hAnsi="Times New Roman" w:cs="Times New Roman"/>
          <w:kern w:val="0"/>
          <w14:ligatures w14:val="none"/>
        </w:rPr>
        <w:t>‘</w:t>
      </w:r>
      <w:r w:rsidR="000267D3" w:rsidRPr="008371AD">
        <w:rPr>
          <w:rFonts w:ascii="Times New Roman" w:eastAsiaTheme="minorEastAsia" w:hAnsi="Times New Roman" w:cs="Times New Roman"/>
          <w:kern w:val="0"/>
          <w14:ligatures w14:val="none"/>
        </w:rPr>
        <w:t>c</w:t>
      </w:r>
      <w:r w:rsidR="001A0555" w:rsidRPr="008371AD">
        <w:rPr>
          <w:rFonts w:ascii="Times New Roman" w:eastAsiaTheme="minorEastAsia" w:hAnsi="Times New Roman" w:cs="Times New Roman"/>
          <w:kern w:val="0"/>
          <w14:ligatures w14:val="none"/>
        </w:rPr>
        <w:t>’</w:t>
      </w:r>
      <w:r w:rsidR="000267D3" w:rsidRPr="008371AD">
        <w:rPr>
          <w:rFonts w:ascii="Times New Roman" w:eastAsiaTheme="minorEastAsia" w:hAnsi="Times New Roman" w:cs="Times New Roman"/>
          <w:kern w:val="0"/>
          <w14:ligatures w14:val="none"/>
        </w:rPr>
        <w:t xml:space="preserve"> at time </w:t>
      </w:r>
      <w:r w:rsidR="001A0555" w:rsidRPr="008371AD">
        <w:rPr>
          <w:rFonts w:ascii="Times New Roman" w:eastAsiaTheme="minorEastAsia" w:hAnsi="Times New Roman" w:cs="Times New Roman"/>
          <w:kern w:val="0"/>
          <w14:ligatures w14:val="none"/>
        </w:rPr>
        <w:t>‘</w:t>
      </w:r>
      <w:r w:rsidR="000267D3" w:rsidRPr="008371AD">
        <w:rPr>
          <w:rFonts w:ascii="Times New Roman" w:eastAsiaTheme="minorEastAsia" w:hAnsi="Times New Roman" w:cs="Times New Roman"/>
          <w:kern w:val="0"/>
          <w14:ligatures w14:val="none"/>
        </w:rPr>
        <w:t>t.</w:t>
      </w:r>
      <w:r w:rsidR="001A0555" w:rsidRPr="008371AD">
        <w:rPr>
          <w:rFonts w:ascii="Times New Roman" w:eastAsiaTheme="minorEastAsia" w:hAnsi="Times New Roman" w:cs="Times New Roman"/>
          <w:kern w:val="0"/>
          <w14:ligatures w14:val="none"/>
        </w:rPr>
        <w:t>’</w:t>
      </w:r>
      <w:r w:rsidR="0082020F" w:rsidRPr="008371AD">
        <w:rPr>
          <w:rFonts w:ascii="Times New Roman" w:eastAsiaTheme="minorEastAsia" w:hAnsi="Times New Roman" w:cs="Times New Roman"/>
          <w:kern w:val="0"/>
          <w14:ligatures w14:val="none"/>
        </w:rPr>
        <w:t xml:space="preserve"> </w:t>
      </w:r>
      <m:oMath>
        <m:sSub>
          <m:sSubPr>
            <m:ctrlPr>
              <w:rPr>
                <w:rFonts w:ascii="Cambria Math" w:eastAsia="Times New Roman" w:hAnsi="Cambria Math" w:cs="Times New Roman"/>
                <w:i/>
                <w:kern w:val="0"/>
                <w14:ligatures w14:val="none"/>
              </w:rPr>
            </m:ctrlPr>
          </m:sSubPr>
          <m:e>
            <m:r>
              <w:rPr>
                <w:rFonts w:ascii="Cambria Math" w:hAnsi="Cambria Math" w:cs="Times New Roman"/>
              </w:rPr>
              <m:t>CarbonPricing</m:t>
            </m:r>
          </m:e>
          <m:sub>
            <m:r>
              <w:rPr>
                <w:rFonts w:ascii="Cambria Math" w:hAnsi="Cambria Math" w:cs="Times New Roman"/>
              </w:rPr>
              <m:t>ct</m:t>
            </m:r>
          </m:sub>
        </m:sSub>
      </m:oMath>
      <w:r w:rsidR="00A60E72" w:rsidRPr="008371AD">
        <w:rPr>
          <w:rFonts w:ascii="Times New Roman" w:eastAsiaTheme="minorEastAsia" w:hAnsi="Times New Roman" w:cs="Times New Roman"/>
          <w:kern w:val="0"/>
          <w14:ligatures w14:val="none"/>
        </w:rPr>
        <w:t xml:space="preserve"> is a dummy variable </w:t>
      </w:r>
      <w:r w:rsidR="00C62971" w:rsidRPr="008371AD">
        <w:rPr>
          <w:rFonts w:ascii="Times New Roman" w:eastAsiaTheme="minorEastAsia" w:hAnsi="Times New Roman" w:cs="Times New Roman"/>
          <w:kern w:val="0"/>
          <w14:ligatures w14:val="none"/>
        </w:rPr>
        <w:t>showing the presence of</w:t>
      </w:r>
      <w:r w:rsidR="00056FAC" w:rsidRPr="008371AD">
        <w:rPr>
          <w:rFonts w:ascii="Times New Roman" w:eastAsiaTheme="minorEastAsia" w:hAnsi="Times New Roman" w:cs="Times New Roman"/>
          <w:kern w:val="0"/>
          <w14:ligatures w14:val="none"/>
        </w:rPr>
        <w:t xml:space="preserve"> carbon pricing policy with </w:t>
      </w:r>
      <w:r w:rsidR="00E80995" w:rsidRPr="008371AD">
        <w:rPr>
          <w:rFonts w:ascii="Times New Roman" w:eastAsiaTheme="minorEastAsia" w:hAnsi="Times New Roman" w:cs="Times New Roman"/>
          <w:kern w:val="0"/>
          <w14:ligatures w14:val="none"/>
        </w:rPr>
        <w:t>1</w:t>
      </w:r>
      <w:r w:rsidR="00056FAC" w:rsidRPr="008371AD">
        <w:rPr>
          <w:rFonts w:ascii="Times New Roman" w:eastAsiaTheme="minorEastAsia" w:hAnsi="Times New Roman" w:cs="Times New Roman"/>
          <w:kern w:val="0"/>
          <w14:ligatures w14:val="none"/>
        </w:rPr>
        <w:t xml:space="preserve"> for countries </w:t>
      </w:r>
      <w:r w:rsidR="00E80995" w:rsidRPr="008371AD">
        <w:rPr>
          <w:rFonts w:ascii="Times New Roman" w:eastAsiaTheme="minorEastAsia" w:hAnsi="Times New Roman" w:cs="Times New Roman"/>
          <w:kern w:val="0"/>
          <w14:ligatures w14:val="none"/>
        </w:rPr>
        <w:t xml:space="preserve">who implemented the policy and 0 otherwise. </w:t>
      </w:r>
      <m:oMath>
        <m:sSub>
          <m:sSubPr>
            <m:ctrlPr>
              <w:rPr>
                <w:rFonts w:ascii="Cambria Math" w:eastAsia="Times New Roman" w:hAnsi="Cambria Math" w:cs="Times New Roman"/>
                <w:i/>
                <w:kern w:val="0"/>
                <w14:ligatures w14:val="none"/>
              </w:rPr>
            </m:ctrlPr>
          </m:sSubPr>
          <m:e>
            <m:r>
              <w:rPr>
                <w:rFonts w:ascii="Cambria Math" w:hAnsi="Cambria Math" w:cs="Times New Roman"/>
              </w:rPr>
              <m:t>Controls</m:t>
            </m:r>
          </m:e>
          <m:sub>
            <m:r>
              <w:rPr>
                <w:rFonts w:ascii="Cambria Math" w:hAnsi="Cambria Math" w:cs="Times New Roman"/>
              </w:rPr>
              <m:t>ct</m:t>
            </m:r>
          </m:sub>
        </m:sSub>
      </m:oMath>
      <w:r w:rsidR="00585980" w:rsidRPr="008371AD">
        <w:rPr>
          <w:rFonts w:ascii="Times New Roman" w:eastAsiaTheme="minorEastAsia" w:hAnsi="Times New Roman" w:cs="Times New Roman"/>
          <w:kern w:val="0"/>
          <w14:ligatures w14:val="none"/>
        </w:rPr>
        <w:t xml:space="preserve"> includes GDP growth rate and population growth</w:t>
      </w:r>
      <w:r w:rsidR="00DB648B" w:rsidRPr="008371AD">
        <w:rPr>
          <w:rFonts w:ascii="Times New Roman" w:eastAsiaTheme="minorEastAsia" w:hAnsi="Times New Roman" w:cs="Times New Roman"/>
          <w:kern w:val="0"/>
          <w14:ligatures w14:val="none"/>
        </w:rPr>
        <w:t xml:space="preserve"> as control variables to account for other economic variations that can affect emission. </w:t>
      </w:r>
      <m:oMath>
        <m:sSub>
          <m:sSubPr>
            <m:ctrlPr>
              <w:rPr>
                <w:rFonts w:ascii="Cambria Math" w:eastAsia="Times New Roman" w:hAnsi="Cambria Math" w:cs="Times New Roman"/>
                <w:i/>
                <w:kern w:val="0"/>
                <w14:ligatures w14:val="none"/>
              </w:rPr>
            </m:ctrlPr>
          </m:sSubPr>
          <m:e>
            <m:r>
              <w:rPr>
                <w:rFonts w:ascii="Cambria Math" w:hAnsi="Cambria Math" w:cs="Times New Roman"/>
              </w:rPr>
              <m:t>α</m:t>
            </m:r>
          </m:e>
          <m:sub>
            <m:r>
              <w:rPr>
                <w:rFonts w:ascii="Cambria Math" w:hAnsi="Cambria Math" w:cs="Times New Roman"/>
              </w:rPr>
              <m:t>c</m:t>
            </m:r>
          </m:sub>
        </m:sSub>
      </m:oMath>
      <w:r w:rsidR="00DB648B" w:rsidRPr="008371AD">
        <w:rPr>
          <w:rFonts w:ascii="Times New Roman" w:eastAsiaTheme="minorEastAsia" w:hAnsi="Times New Roman" w:cs="Times New Roman"/>
          <w:kern w:val="0"/>
          <w14:ligatures w14:val="none"/>
        </w:rPr>
        <w:t xml:space="preserve"> </w:t>
      </w:r>
      <w:r w:rsidR="007D51D9" w:rsidRPr="008371AD">
        <w:rPr>
          <w:rFonts w:ascii="Times New Roman" w:eastAsiaTheme="minorEastAsia" w:hAnsi="Times New Roman" w:cs="Times New Roman"/>
          <w:kern w:val="0"/>
          <w14:ligatures w14:val="none"/>
        </w:rPr>
        <w:t xml:space="preserve">shows the country fixed effects, </w:t>
      </w:r>
      <m:oMath>
        <m:sSub>
          <m:sSubPr>
            <m:ctrlPr>
              <w:rPr>
                <w:rFonts w:ascii="Cambria Math" w:eastAsia="Times New Roman" w:hAnsi="Cambria Math" w:cs="Times New Roman"/>
                <w:i/>
                <w:kern w:val="0"/>
                <w14:ligatures w14:val="none"/>
              </w:rPr>
            </m:ctrlPr>
          </m:sSubPr>
          <m:e>
            <m:r>
              <w:rPr>
                <w:rFonts w:ascii="Cambria Math" w:hAnsi="Cambria Math" w:cs="Times New Roman"/>
              </w:rPr>
              <m:t>γ</m:t>
            </m:r>
          </m:e>
          <m:sub>
            <m:r>
              <w:rPr>
                <w:rFonts w:ascii="Cambria Math" w:hAnsi="Cambria Math" w:cs="Times New Roman"/>
              </w:rPr>
              <m:t>t</m:t>
            </m:r>
          </m:sub>
        </m:sSub>
        <m:r>
          <w:rPr>
            <w:rFonts w:ascii="Cambria Math" w:eastAsia="Times New Roman" w:hAnsi="Cambria Math" w:cs="Times New Roman"/>
            <w:kern w:val="0"/>
            <w14:ligatures w14:val="none"/>
          </w:rPr>
          <m:t xml:space="preserve"> </m:t>
        </m:r>
      </m:oMath>
      <w:r w:rsidR="00EB225F" w:rsidRPr="008371AD">
        <w:rPr>
          <w:rFonts w:ascii="Times New Roman" w:eastAsiaTheme="minorEastAsia" w:hAnsi="Times New Roman" w:cs="Times New Roman"/>
          <w:kern w:val="0"/>
          <w14:ligatures w14:val="none"/>
        </w:rPr>
        <w:t>are the time</w:t>
      </w:r>
      <w:r w:rsidR="00AC33B2" w:rsidRPr="008371AD">
        <w:rPr>
          <w:rFonts w:ascii="Times New Roman" w:eastAsiaTheme="minorEastAsia" w:hAnsi="Times New Roman" w:cs="Times New Roman"/>
          <w:kern w:val="0"/>
          <w14:ligatures w14:val="none"/>
        </w:rPr>
        <w:t xml:space="preserve"> fixed effects, accounting for shocks and trends affecting all countries over time globally</w:t>
      </w:r>
      <w:r w:rsidR="00704D58" w:rsidRPr="008371AD">
        <w:rPr>
          <w:rFonts w:ascii="Times New Roman" w:eastAsiaTheme="minorEastAsia" w:hAnsi="Times New Roman" w:cs="Times New Roman"/>
          <w:kern w:val="0"/>
          <w14:ligatures w14:val="none"/>
        </w:rPr>
        <w:t xml:space="preserve"> and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ct</m:t>
            </m:r>
          </m:sub>
        </m:sSub>
      </m:oMath>
      <w:r w:rsidR="00AC33B2" w:rsidRPr="008371AD">
        <w:rPr>
          <w:rFonts w:ascii="Times New Roman" w:hAnsi="Times New Roman" w:cs="Times New Roman"/>
        </w:rPr>
        <w:t xml:space="preserve"> is the error term.</w:t>
      </w:r>
    </w:p>
    <w:p w14:paraId="1DD7ADB4" w14:textId="5EE3060F" w:rsidR="00063E9C" w:rsidRPr="007F0720" w:rsidRDefault="005D5011" w:rsidP="00063E9C">
      <w:pPr>
        <w:spacing w:line="480" w:lineRule="auto"/>
        <w:jc w:val="both"/>
        <w:rPr>
          <w:rFonts w:ascii="Times New Roman" w:hAnsi="Times New Roman" w:cs="Times New Roman"/>
        </w:rPr>
      </w:pPr>
      <w:r w:rsidRPr="008371AD">
        <w:rPr>
          <w:rFonts w:ascii="Times New Roman" w:hAnsi="Times New Roman" w:cs="Times New Roman"/>
        </w:rPr>
        <w:t>The causal effect of carbon pricing</w:t>
      </w:r>
      <w:r w:rsidR="0087409A" w:rsidRPr="008371AD">
        <w:rPr>
          <w:rFonts w:ascii="Times New Roman" w:hAnsi="Times New Roman" w:cs="Times New Roman"/>
        </w:rPr>
        <w:t xml:space="preserve"> (</w:t>
      </w:r>
      <m:oMath>
        <m:r>
          <w:rPr>
            <w:rFonts w:ascii="Cambria Math" w:hAnsi="Cambria Math" w:cs="Times New Roman"/>
          </w:rPr>
          <m:t>β</m:t>
        </m:r>
      </m:oMath>
      <w:r w:rsidR="0087409A" w:rsidRPr="008371AD">
        <w:rPr>
          <w:rFonts w:ascii="Times New Roman" w:eastAsiaTheme="minorEastAsia" w:hAnsi="Times New Roman" w:cs="Times New Roman"/>
        </w:rPr>
        <w:t xml:space="preserve">) is dependent on the assumption that </w:t>
      </w:r>
      <w:r w:rsidR="00AB1A17" w:rsidRPr="008371AD">
        <w:rPr>
          <w:rFonts w:ascii="Times New Roman" w:eastAsiaTheme="minorEastAsia" w:hAnsi="Times New Roman" w:cs="Times New Roman"/>
        </w:rPr>
        <w:t xml:space="preserve">the trend in C02 emission for South Africa will </w:t>
      </w:r>
      <w:r w:rsidR="00A81157" w:rsidRPr="008371AD">
        <w:rPr>
          <w:rFonts w:ascii="Times New Roman" w:eastAsiaTheme="minorEastAsia" w:hAnsi="Times New Roman" w:cs="Times New Roman"/>
        </w:rPr>
        <w:t xml:space="preserve">be </w:t>
      </w:r>
      <w:r w:rsidR="00067485" w:rsidRPr="008371AD">
        <w:rPr>
          <w:rFonts w:ascii="Times New Roman" w:eastAsiaTheme="minorEastAsia" w:hAnsi="Times New Roman" w:cs="Times New Roman"/>
        </w:rPr>
        <w:t>like</w:t>
      </w:r>
      <w:r w:rsidR="00A81157" w:rsidRPr="008371AD">
        <w:rPr>
          <w:rFonts w:ascii="Times New Roman" w:eastAsiaTheme="minorEastAsia" w:hAnsi="Times New Roman" w:cs="Times New Roman"/>
        </w:rPr>
        <w:t xml:space="preserve"> that of the control group </w:t>
      </w:r>
      <w:r w:rsidR="000E4A25" w:rsidRPr="008371AD">
        <w:rPr>
          <w:rFonts w:ascii="Times New Roman" w:eastAsiaTheme="minorEastAsia" w:hAnsi="Times New Roman" w:cs="Times New Roman"/>
        </w:rPr>
        <w:t>(</w:t>
      </w:r>
      <w:r w:rsidR="008D1399" w:rsidRPr="008371AD">
        <w:rPr>
          <w:rFonts w:ascii="Times New Roman" w:eastAsiaTheme="minorEastAsia" w:hAnsi="Times New Roman" w:cs="Times New Roman"/>
        </w:rPr>
        <w:t xml:space="preserve">other sub-Saharan African </w:t>
      </w:r>
      <w:r w:rsidR="008D1399" w:rsidRPr="008371AD">
        <w:rPr>
          <w:rFonts w:ascii="Times New Roman" w:eastAsiaTheme="minorEastAsia" w:hAnsi="Times New Roman" w:cs="Times New Roman"/>
        </w:rPr>
        <w:lastRenderedPageBreak/>
        <w:t xml:space="preserve">countries) </w:t>
      </w:r>
      <w:r w:rsidR="00A81157" w:rsidRPr="008371AD">
        <w:rPr>
          <w:rFonts w:ascii="Times New Roman" w:eastAsiaTheme="minorEastAsia" w:hAnsi="Times New Roman" w:cs="Times New Roman"/>
        </w:rPr>
        <w:t>in the absence of the policy</w:t>
      </w:r>
      <w:r w:rsidR="004B1BA8" w:rsidRPr="008371AD">
        <w:rPr>
          <w:rFonts w:ascii="Times New Roman" w:eastAsiaTheme="minorEastAsia" w:hAnsi="Times New Roman" w:cs="Times New Roman"/>
        </w:rPr>
        <w:t xml:space="preserve">. </w:t>
      </w:r>
      <w:r w:rsidR="008D1399" w:rsidRPr="008371AD">
        <w:rPr>
          <w:rFonts w:ascii="Times New Roman" w:eastAsiaTheme="minorEastAsia" w:hAnsi="Times New Roman" w:cs="Times New Roman"/>
        </w:rPr>
        <w:t xml:space="preserve">This assumption </w:t>
      </w:r>
      <w:proofErr w:type="gramStart"/>
      <w:r w:rsidR="00ED4E28" w:rsidRPr="008371AD">
        <w:rPr>
          <w:rFonts w:ascii="Times New Roman" w:eastAsiaTheme="minorEastAsia" w:hAnsi="Times New Roman" w:cs="Times New Roman"/>
        </w:rPr>
        <w:t xml:space="preserve">has </w:t>
      </w:r>
      <w:r w:rsidR="00A82DC9" w:rsidRPr="008371AD">
        <w:rPr>
          <w:rFonts w:ascii="Times New Roman" w:eastAsiaTheme="minorEastAsia" w:hAnsi="Times New Roman" w:cs="Times New Roman"/>
        </w:rPr>
        <w:t>to</w:t>
      </w:r>
      <w:proofErr w:type="gramEnd"/>
      <w:r w:rsidR="00A82DC9" w:rsidRPr="008371AD">
        <w:rPr>
          <w:rFonts w:ascii="Times New Roman" w:eastAsiaTheme="minorEastAsia" w:hAnsi="Times New Roman" w:cs="Times New Roman"/>
        </w:rPr>
        <w:t xml:space="preserve"> </w:t>
      </w:r>
      <w:r w:rsidR="00743FBD" w:rsidRPr="008371AD">
        <w:rPr>
          <w:rFonts w:ascii="Times New Roman" w:eastAsiaTheme="minorEastAsia" w:hAnsi="Times New Roman" w:cs="Times New Roman"/>
        </w:rPr>
        <w:t xml:space="preserve">get an unbiased estimate </w:t>
      </w:r>
      <w:r w:rsidR="00ED4E28" w:rsidRPr="008371AD">
        <w:rPr>
          <w:rFonts w:ascii="Times New Roman" w:eastAsiaTheme="minorEastAsia" w:hAnsi="Times New Roman" w:cs="Times New Roman"/>
        </w:rPr>
        <w:t xml:space="preserve">in understanding </w:t>
      </w:r>
      <w:r w:rsidR="00743FBD" w:rsidRPr="008371AD">
        <w:rPr>
          <w:rFonts w:ascii="Times New Roman" w:eastAsiaTheme="minorEastAsia" w:hAnsi="Times New Roman" w:cs="Times New Roman"/>
        </w:rPr>
        <w:t>a</w:t>
      </w:r>
      <w:r w:rsidR="00ED4E28" w:rsidRPr="008371AD">
        <w:rPr>
          <w:rFonts w:ascii="Times New Roman" w:eastAsiaTheme="minorEastAsia" w:hAnsi="Times New Roman" w:cs="Times New Roman"/>
        </w:rPr>
        <w:t xml:space="preserve"> policy impact after its implementation</w:t>
      </w:r>
      <w:r w:rsidR="009E1F01" w:rsidRPr="008371AD">
        <w:rPr>
          <w:rFonts w:ascii="Times New Roman" w:eastAsiaTheme="minorEastAsia" w:hAnsi="Times New Roman" w:cs="Times New Roman"/>
        </w:rPr>
        <w:t xml:space="preserve"> for both treated and non-treated group</w:t>
      </w:r>
      <w:r w:rsidR="00743FBD" w:rsidRPr="008371AD">
        <w:rPr>
          <w:rFonts w:ascii="Times New Roman" w:eastAsiaTheme="minorEastAsia" w:hAnsi="Times New Roman" w:cs="Times New Roman"/>
        </w:rPr>
        <w:t>s</w:t>
      </w:r>
      <w:r w:rsidR="009E1F01" w:rsidRPr="008371AD">
        <w:rPr>
          <w:rFonts w:ascii="Times New Roman" w:eastAsiaTheme="minorEastAsia" w:hAnsi="Times New Roman" w:cs="Times New Roman"/>
        </w:rPr>
        <w:t xml:space="preserve">. </w:t>
      </w:r>
    </w:p>
    <w:p w14:paraId="22E3F7D6" w14:textId="13E04585" w:rsidR="00512498" w:rsidRPr="008371AD" w:rsidRDefault="002109B1" w:rsidP="00063E9C">
      <w:pPr>
        <w:spacing w:line="480" w:lineRule="auto"/>
        <w:jc w:val="both"/>
        <w:rPr>
          <w:rFonts w:ascii="Times New Roman" w:hAnsi="Times New Roman" w:cs="Times New Roman"/>
          <w:b/>
          <w:bCs/>
          <w:u w:val="single"/>
        </w:rPr>
      </w:pPr>
      <w:r w:rsidRPr="008371AD">
        <w:rPr>
          <w:rFonts w:ascii="Times New Roman" w:hAnsi="Times New Roman" w:cs="Times New Roman"/>
          <w:b/>
          <w:bCs/>
          <w:u w:val="single"/>
        </w:rPr>
        <w:t>Results</w:t>
      </w:r>
    </w:p>
    <w:p w14:paraId="224CD70E" w14:textId="4F776949" w:rsidR="006E2905" w:rsidRPr="008371AD" w:rsidRDefault="007B7F43" w:rsidP="007B7F43">
      <w:pPr>
        <w:pStyle w:val="Caption"/>
        <w:rPr>
          <w:rFonts w:ascii="Times New Roman" w:hAnsi="Times New Roman" w:cs="Times New Roman"/>
          <w:b/>
          <w:bCs/>
          <w:i w:val="0"/>
          <w:iCs w:val="0"/>
          <w:sz w:val="24"/>
          <w:szCs w:val="24"/>
          <w:u w:val="single"/>
        </w:rPr>
      </w:pPr>
      <w:r w:rsidRPr="008371AD">
        <w:rPr>
          <w:rFonts w:ascii="Times New Roman" w:hAnsi="Times New Roman" w:cs="Times New Roman"/>
          <w:i w:val="0"/>
          <w:iCs w:val="0"/>
          <w:sz w:val="24"/>
          <w:szCs w:val="24"/>
        </w:rPr>
        <w:t xml:space="preserve">Table </w:t>
      </w:r>
      <w:r w:rsidRPr="008371AD">
        <w:rPr>
          <w:rFonts w:ascii="Times New Roman" w:hAnsi="Times New Roman" w:cs="Times New Roman"/>
          <w:i w:val="0"/>
          <w:iCs w:val="0"/>
          <w:sz w:val="24"/>
          <w:szCs w:val="24"/>
        </w:rPr>
        <w:fldChar w:fldCharType="begin"/>
      </w:r>
      <w:r w:rsidRPr="008371AD">
        <w:rPr>
          <w:rFonts w:ascii="Times New Roman" w:hAnsi="Times New Roman" w:cs="Times New Roman"/>
          <w:i w:val="0"/>
          <w:iCs w:val="0"/>
          <w:sz w:val="24"/>
          <w:szCs w:val="24"/>
        </w:rPr>
        <w:instrText xml:space="preserve"> SEQ Table \* ARABIC </w:instrText>
      </w:r>
      <w:r w:rsidRPr="008371AD">
        <w:rPr>
          <w:rFonts w:ascii="Times New Roman" w:hAnsi="Times New Roman" w:cs="Times New Roman"/>
          <w:i w:val="0"/>
          <w:iCs w:val="0"/>
          <w:sz w:val="24"/>
          <w:szCs w:val="24"/>
        </w:rPr>
        <w:fldChar w:fldCharType="separate"/>
      </w:r>
      <w:r w:rsidR="0037059B" w:rsidRPr="008371AD">
        <w:rPr>
          <w:rFonts w:ascii="Times New Roman" w:hAnsi="Times New Roman" w:cs="Times New Roman"/>
          <w:i w:val="0"/>
          <w:iCs w:val="0"/>
          <w:noProof/>
          <w:sz w:val="24"/>
          <w:szCs w:val="24"/>
        </w:rPr>
        <w:t>2</w:t>
      </w:r>
      <w:r w:rsidRPr="008371AD">
        <w:rPr>
          <w:rFonts w:ascii="Times New Roman" w:hAnsi="Times New Roman" w:cs="Times New Roman"/>
          <w:i w:val="0"/>
          <w:iCs w:val="0"/>
          <w:sz w:val="24"/>
          <w:szCs w:val="24"/>
        </w:rPr>
        <w:fldChar w:fldCharType="end"/>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57C64" w:rsidRPr="008371AD" w14:paraId="60610BBB" w14:textId="77777777" w:rsidTr="00897B09">
        <w:tc>
          <w:tcPr>
            <w:tcW w:w="4675" w:type="dxa"/>
            <w:tcBorders>
              <w:bottom w:val="single" w:sz="4" w:space="0" w:color="auto"/>
            </w:tcBorders>
          </w:tcPr>
          <w:p w14:paraId="3417652D" w14:textId="1F687E81" w:rsidR="00A57C64" w:rsidRPr="008371AD" w:rsidRDefault="00A75446" w:rsidP="00EB2512">
            <w:pPr>
              <w:spacing w:line="480" w:lineRule="auto"/>
              <w:jc w:val="both"/>
              <w:rPr>
                <w:rFonts w:ascii="Times New Roman" w:hAnsi="Times New Roman" w:cs="Times New Roman"/>
              </w:rPr>
            </w:pPr>
            <w:r w:rsidRPr="008371AD">
              <w:rPr>
                <w:rFonts w:ascii="Times New Roman" w:hAnsi="Times New Roman" w:cs="Times New Roman"/>
              </w:rPr>
              <w:t>Treatment Variable</w:t>
            </w:r>
          </w:p>
        </w:tc>
        <w:tc>
          <w:tcPr>
            <w:tcW w:w="4675" w:type="dxa"/>
            <w:tcBorders>
              <w:bottom w:val="single" w:sz="4" w:space="0" w:color="auto"/>
            </w:tcBorders>
          </w:tcPr>
          <w:p w14:paraId="00914718" w14:textId="522652AD" w:rsidR="00A57C64" w:rsidRPr="008371AD" w:rsidRDefault="00A75446" w:rsidP="00EB2512">
            <w:pPr>
              <w:spacing w:line="480" w:lineRule="auto"/>
              <w:jc w:val="both"/>
              <w:rPr>
                <w:rFonts w:ascii="Times New Roman" w:hAnsi="Times New Roman" w:cs="Times New Roman"/>
              </w:rPr>
            </w:pPr>
            <w:r w:rsidRPr="008371AD">
              <w:rPr>
                <w:rFonts w:ascii="Times New Roman" w:hAnsi="Times New Roman" w:cs="Times New Roman"/>
              </w:rPr>
              <w:t>Coefficient</w:t>
            </w:r>
          </w:p>
        </w:tc>
      </w:tr>
      <w:tr w:rsidR="00A57C64" w:rsidRPr="008371AD" w14:paraId="11839CC5" w14:textId="77777777" w:rsidTr="00897B09">
        <w:tc>
          <w:tcPr>
            <w:tcW w:w="4675" w:type="dxa"/>
            <w:tcBorders>
              <w:top w:val="single" w:sz="4" w:space="0" w:color="auto"/>
            </w:tcBorders>
          </w:tcPr>
          <w:p w14:paraId="060BDEA1" w14:textId="2EF4AC3A" w:rsidR="00A57C64" w:rsidRPr="008371AD" w:rsidRDefault="00C92144" w:rsidP="00EB2512">
            <w:pPr>
              <w:spacing w:line="480" w:lineRule="auto"/>
              <w:jc w:val="both"/>
              <w:rPr>
                <w:rFonts w:ascii="Times New Roman" w:hAnsi="Times New Roman" w:cs="Times New Roman"/>
              </w:rPr>
            </w:pPr>
            <w:r w:rsidRPr="008371AD">
              <w:rPr>
                <w:rFonts w:ascii="Times New Roman" w:hAnsi="Times New Roman" w:cs="Times New Roman"/>
              </w:rPr>
              <w:t>Carbon Pricing</w:t>
            </w:r>
          </w:p>
        </w:tc>
        <w:tc>
          <w:tcPr>
            <w:tcW w:w="4675" w:type="dxa"/>
            <w:tcBorders>
              <w:top w:val="single" w:sz="4" w:space="0" w:color="auto"/>
            </w:tcBorders>
          </w:tcPr>
          <w:p w14:paraId="47C0E6E5" w14:textId="77777777" w:rsidR="00A57C64" w:rsidRPr="008371AD" w:rsidRDefault="008C62D9" w:rsidP="00EB2512">
            <w:pPr>
              <w:spacing w:line="480" w:lineRule="auto"/>
              <w:jc w:val="both"/>
              <w:rPr>
                <w:rFonts w:ascii="Times New Roman" w:hAnsi="Times New Roman" w:cs="Times New Roman"/>
              </w:rPr>
            </w:pPr>
            <w:r w:rsidRPr="008371AD">
              <w:rPr>
                <w:rFonts w:ascii="Times New Roman" w:hAnsi="Times New Roman" w:cs="Times New Roman"/>
              </w:rPr>
              <w:t>-1.23***</w:t>
            </w:r>
          </w:p>
          <w:p w14:paraId="10686F54" w14:textId="5139B7E9" w:rsidR="00512498" w:rsidRPr="008371AD" w:rsidRDefault="00512498" w:rsidP="00EB2512">
            <w:pPr>
              <w:spacing w:line="480" w:lineRule="auto"/>
              <w:jc w:val="both"/>
              <w:rPr>
                <w:rFonts w:ascii="Times New Roman" w:hAnsi="Times New Roman" w:cs="Times New Roman"/>
              </w:rPr>
            </w:pPr>
            <w:r w:rsidRPr="008371AD">
              <w:rPr>
                <w:rFonts w:ascii="Times New Roman" w:hAnsi="Times New Roman" w:cs="Times New Roman"/>
              </w:rPr>
              <w:t>(</w:t>
            </w:r>
            <w:r w:rsidR="00D14597" w:rsidRPr="008371AD">
              <w:rPr>
                <w:rFonts w:ascii="Times New Roman" w:hAnsi="Times New Roman" w:cs="Times New Roman"/>
              </w:rPr>
              <w:t>0.12)</w:t>
            </w:r>
          </w:p>
        </w:tc>
      </w:tr>
      <w:tr w:rsidR="00A57C64" w:rsidRPr="008371AD" w14:paraId="43DACBF4" w14:textId="77777777" w:rsidTr="004E69F6">
        <w:tc>
          <w:tcPr>
            <w:tcW w:w="4675" w:type="dxa"/>
          </w:tcPr>
          <w:p w14:paraId="0121EE56" w14:textId="4FCE9B4B" w:rsidR="00A57C64" w:rsidRPr="008371AD" w:rsidRDefault="00F521AF" w:rsidP="00EB2512">
            <w:pPr>
              <w:spacing w:line="480" w:lineRule="auto"/>
              <w:jc w:val="both"/>
              <w:rPr>
                <w:rFonts w:ascii="Times New Roman" w:hAnsi="Times New Roman" w:cs="Times New Roman"/>
              </w:rPr>
            </w:pPr>
            <w:r w:rsidRPr="008371AD">
              <w:rPr>
                <w:rFonts w:ascii="Times New Roman" w:hAnsi="Times New Roman" w:cs="Times New Roman"/>
              </w:rPr>
              <w:t xml:space="preserve">Number of </w:t>
            </w:r>
            <w:r w:rsidR="00D902A6" w:rsidRPr="008371AD">
              <w:rPr>
                <w:rFonts w:ascii="Times New Roman" w:hAnsi="Times New Roman" w:cs="Times New Roman"/>
              </w:rPr>
              <w:t>observations</w:t>
            </w:r>
          </w:p>
        </w:tc>
        <w:tc>
          <w:tcPr>
            <w:tcW w:w="4675" w:type="dxa"/>
          </w:tcPr>
          <w:p w14:paraId="0DC118A3" w14:textId="4C493C24" w:rsidR="00A57C64" w:rsidRPr="008371AD" w:rsidRDefault="00152722" w:rsidP="00EB2512">
            <w:pPr>
              <w:spacing w:line="480" w:lineRule="auto"/>
              <w:jc w:val="both"/>
              <w:rPr>
                <w:rFonts w:ascii="Times New Roman" w:hAnsi="Times New Roman" w:cs="Times New Roman"/>
              </w:rPr>
            </w:pPr>
            <w:r w:rsidRPr="008371AD">
              <w:rPr>
                <w:rFonts w:ascii="Times New Roman" w:hAnsi="Times New Roman" w:cs="Times New Roman"/>
              </w:rPr>
              <w:t>928</w:t>
            </w:r>
          </w:p>
        </w:tc>
      </w:tr>
    </w:tbl>
    <w:p w14:paraId="29D5873A" w14:textId="77777777" w:rsidR="00BD51B6" w:rsidRPr="008371AD" w:rsidRDefault="00BD51B6" w:rsidP="00EB2512">
      <w:pPr>
        <w:spacing w:line="480" w:lineRule="auto"/>
        <w:jc w:val="both"/>
        <w:rPr>
          <w:rFonts w:ascii="Times New Roman" w:hAnsi="Times New Roman" w:cs="Times New Roman"/>
        </w:rPr>
      </w:pPr>
    </w:p>
    <w:p w14:paraId="1E1D32D1" w14:textId="08071B7E" w:rsidR="00A81801" w:rsidRPr="008371AD" w:rsidRDefault="00BC1529" w:rsidP="00A81801">
      <w:pPr>
        <w:spacing w:line="480" w:lineRule="auto"/>
        <w:jc w:val="both"/>
        <w:rPr>
          <w:rFonts w:ascii="Times New Roman" w:hAnsi="Times New Roman" w:cs="Times New Roman"/>
        </w:rPr>
      </w:pPr>
      <w:r w:rsidRPr="008371AD">
        <w:rPr>
          <w:rFonts w:ascii="Times New Roman" w:hAnsi="Times New Roman" w:cs="Times New Roman"/>
        </w:rPr>
        <w:t xml:space="preserve">From </w:t>
      </w:r>
      <w:r w:rsidR="007113B5" w:rsidRPr="008371AD">
        <w:rPr>
          <w:rFonts w:ascii="Times New Roman" w:hAnsi="Times New Roman" w:cs="Times New Roman"/>
        </w:rPr>
        <w:t xml:space="preserve">table 2, the coefficient for the carbon pricing variable is </w:t>
      </w:r>
      <w:r w:rsidR="00AC431A" w:rsidRPr="008371AD">
        <w:rPr>
          <w:rFonts w:ascii="Times New Roman" w:hAnsi="Times New Roman" w:cs="Times New Roman"/>
        </w:rPr>
        <w:t>-1.23</w:t>
      </w:r>
      <w:r w:rsidR="00722578" w:rsidRPr="008371AD">
        <w:rPr>
          <w:rFonts w:ascii="Times New Roman" w:hAnsi="Times New Roman" w:cs="Times New Roman"/>
        </w:rPr>
        <w:t xml:space="preserve"> and</w:t>
      </w:r>
      <w:r w:rsidR="008F779B" w:rsidRPr="008371AD">
        <w:rPr>
          <w:rFonts w:ascii="Times New Roman" w:hAnsi="Times New Roman" w:cs="Times New Roman"/>
        </w:rPr>
        <w:t xml:space="preserve"> stat</w:t>
      </w:r>
      <w:r w:rsidR="00722578" w:rsidRPr="008371AD">
        <w:rPr>
          <w:rFonts w:ascii="Times New Roman" w:hAnsi="Times New Roman" w:cs="Times New Roman"/>
        </w:rPr>
        <w:t>istic</w:t>
      </w:r>
      <w:r w:rsidR="008F779B" w:rsidRPr="008371AD">
        <w:rPr>
          <w:rFonts w:ascii="Times New Roman" w:hAnsi="Times New Roman" w:cs="Times New Roman"/>
        </w:rPr>
        <w:t>ally significant</w:t>
      </w:r>
      <w:r w:rsidR="00354CB6" w:rsidRPr="008371AD">
        <w:rPr>
          <w:rFonts w:ascii="Times New Roman" w:hAnsi="Times New Roman" w:cs="Times New Roman"/>
        </w:rPr>
        <w:t xml:space="preserve">. This </w:t>
      </w:r>
      <w:r w:rsidR="00B00342" w:rsidRPr="008371AD">
        <w:rPr>
          <w:rFonts w:ascii="Times New Roman" w:hAnsi="Times New Roman" w:cs="Times New Roman"/>
        </w:rPr>
        <w:t xml:space="preserve">gives evidence that the implementation of the carbon pricing policy </w:t>
      </w:r>
      <w:r w:rsidR="00E74006" w:rsidRPr="008371AD">
        <w:rPr>
          <w:rFonts w:ascii="Times New Roman" w:hAnsi="Times New Roman" w:cs="Times New Roman"/>
        </w:rPr>
        <w:t xml:space="preserve">has led to a reduction in </w:t>
      </w:r>
      <w:r w:rsidR="00576566" w:rsidRPr="008371AD">
        <w:rPr>
          <w:rFonts w:ascii="Times New Roman" w:hAnsi="Times New Roman" w:cs="Times New Roman"/>
        </w:rPr>
        <w:t xml:space="preserve">carbon emissions. </w:t>
      </w:r>
      <w:r w:rsidR="00B732AF" w:rsidRPr="008371AD">
        <w:rPr>
          <w:rFonts w:ascii="Times New Roman" w:hAnsi="Times New Roman" w:cs="Times New Roman"/>
        </w:rPr>
        <w:t xml:space="preserve">The negative coefficient </w:t>
      </w:r>
      <w:r w:rsidR="00436490" w:rsidRPr="008371AD">
        <w:rPr>
          <w:rFonts w:ascii="Times New Roman" w:hAnsi="Times New Roman" w:cs="Times New Roman"/>
        </w:rPr>
        <w:t>of -1.23 implies that for every unit increase in the carbon pricing</w:t>
      </w:r>
      <w:r w:rsidR="006D59C9" w:rsidRPr="008371AD">
        <w:rPr>
          <w:rFonts w:ascii="Times New Roman" w:hAnsi="Times New Roman" w:cs="Times New Roman"/>
        </w:rPr>
        <w:t xml:space="preserve"> rate, carbon emissions </w:t>
      </w:r>
      <w:proofErr w:type="gramStart"/>
      <w:r w:rsidR="006D59C9" w:rsidRPr="008371AD">
        <w:rPr>
          <w:rFonts w:ascii="Times New Roman" w:hAnsi="Times New Roman" w:cs="Times New Roman"/>
        </w:rPr>
        <w:t>reduces</w:t>
      </w:r>
      <w:proofErr w:type="gramEnd"/>
      <w:r w:rsidR="006D59C9" w:rsidRPr="008371AD">
        <w:rPr>
          <w:rFonts w:ascii="Times New Roman" w:hAnsi="Times New Roman" w:cs="Times New Roman"/>
        </w:rPr>
        <w:t xml:space="preserve"> by 1.23 </w:t>
      </w:r>
      <w:proofErr w:type="spellStart"/>
      <w:r w:rsidR="006D59C9" w:rsidRPr="008371AD">
        <w:rPr>
          <w:rFonts w:ascii="Times New Roman" w:hAnsi="Times New Roman" w:cs="Times New Roman"/>
        </w:rPr>
        <w:t>mtpc</w:t>
      </w:r>
      <w:proofErr w:type="spellEnd"/>
      <w:r w:rsidR="00FF1527" w:rsidRPr="008371AD">
        <w:rPr>
          <w:rFonts w:ascii="Times New Roman" w:hAnsi="Times New Roman" w:cs="Times New Roman"/>
        </w:rPr>
        <w:t xml:space="preserve">. </w:t>
      </w:r>
    </w:p>
    <w:p w14:paraId="3124307B" w14:textId="7DA07595" w:rsidR="00FF1527" w:rsidRDefault="00FF1527" w:rsidP="00A81801">
      <w:pPr>
        <w:spacing w:line="480" w:lineRule="auto"/>
        <w:jc w:val="both"/>
        <w:rPr>
          <w:rFonts w:ascii="Times New Roman" w:hAnsi="Times New Roman" w:cs="Times New Roman"/>
        </w:rPr>
      </w:pPr>
      <w:proofErr w:type="gramStart"/>
      <w:r w:rsidRPr="008371AD">
        <w:rPr>
          <w:rFonts w:ascii="Times New Roman" w:hAnsi="Times New Roman" w:cs="Times New Roman"/>
        </w:rPr>
        <w:t>I</w:t>
      </w:r>
      <w:r w:rsidR="00A81801" w:rsidRPr="008371AD">
        <w:rPr>
          <w:rFonts w:ascii="Times New Roman" w:hAnsi="Times New Roman" w:cs="Times New Roman"/>
        </w:rPr>
        <w:t>n order to</w:t>
      </w:r>
      <w:proofErr w:type="gramEnd"/>
      <w:r w:rsidR="00A81801" w:rsidRPr="008371AD">
        <w:rPr>
          <w:rFonts w:ascii="Times New Roman" w:hAnsi="Times New Roman" w:cs="Times New Roman"/>
        </w:rPr>
        <w:t xml:space="preserve"> check the parallel trend assumption that underlies my identification strategy, I </w:t>
      </w:r>
      <w:r w:rsidR="00C92DFF" w:rsidRPr="008371AD">
        <w:rPr>
          <w:rFonts w:ascii="Times New Roman" w:hAnsi="Times New Roman" w:cs="Times New Roman"/>
        </w:rPr>
        <w:t xml:space="preserve">estimate </w:t>
      </w:r>
      <w:r w:rsidR="00A81801" w:rsidRPr="008371AD">
        <w:rPr>
          <w:rFonts w:ascii="Times New Roman" w:hAnsi="Times New Roman" w:cs="Times New Roman"/>
        </w:rPr>
        <w:t>an event study. The parallel trend requires that both the treated and untreated groups in a study should have a similar trend before the introduction of a treatment; this way, we are able to confidently assess the impact of the treatment and attribute any change after the treatment to the treatment itself. In cases where this does not hold, it becomes difficult to ascertain the causal impact of a treatment. From my study, the parallel trend assumption does not hold, as is evident from Figure 2</w:t>
      </w:r>
      <w:r w:rsidR="00355606">
        <w:rPr>
          <w:rFonts w:ascii="Times New Roman" w:hAnsi="Times New Roman" w:cs="Times New Roman"/>
        </w:rPr>
        <w:t xml:space="preserve"> below</w:t>
      </w:r>
      <w:r w:rsidR="00A81801" w:rsidRPr="008371AD">
        <w:rPr>
          <w:rFonts w:ascii="Times New Roman" w:hAnsi="Times New Roman" w:cs="Times New Roman"/>
        </w:rPr>
        <w:t xml:space="preserve">. Since South Africa accounts for about 65% of Africa’s emissions, it becomes difficult to find countries with emission trends </w:t>
      </w:r>
      <w:proofErr w:type="gramStart"/>
      <w:r w:rsidR="00A81801" w:rsidRPr="008371AD">
        <w:rPr>
          <w:rFonts w:ascii="Times New Roman" w:hAnsi="Times New Roman" w:cs="Times New Roman"/>
        </w:rPr>
        <w:t>similar to</w:t>
      </w:r>
      <w:proofErr w:type="gramEnd"/>
      <w:r w:rsidR="00A81801" w:rsidRPr="008371AD">
        <w:rPr>
          <w:rFonts w:ascii="Times New Roman" w:hAnsi="Times New Roman" w:cs="Times New Roman"/>
        </w:rPr>
        <w:t xml:space="preserve"> those of South Africa.</w:t>
      </w:r>
    </w:p>
    <w:p w14:paraId="6E0D3371" w14:textId="77777777" w:rsidR="00355606" w:rsidRDefault="00355606" w:rsidP="00355606">
      <w:pPr>
        <w:spacing w:line="240" w:lineRule="auto"/>
        <w:rPr>
          <w:rFonts w:ascii="Times New Roman" w:hAnsi="Times New Roman" w:cs="Times New Roman"/>
        </w:rPr>
      </w:pPr>
    </w:p>
    <w:p w14:paraId="185525E1" w14:textId="77777777" w:rsidR="00355606" w:rsidRDefault="00355606" w:rsidP="00355606">
      <w:pPr>
        <w:spacing w:line="240" w:lineRule="auto"/>
        <w:rPr>
          <w:rFonts w:ascii="Times New Roman" w:hAnsi="Times New Roman" w:cs="Times New Roman"/>
        </w:rPr>
      </w:pPr>
    </w:p>
    <w:p w14:paraId="21BF7167" w14:textId="0B7B6818" w:rsidR="00355606" w:rsidRPr="008371AD" w:rsidRDefault="00355606" w:rsidP="00355606">
      <w:pPr>
        <w:spacing w:line="240" w:lineRule="auto"/>
        <w:rPr>
          <w:rFonts w:ascii="Times New Roman" w:hAnsi="Times New Roman" w:cs="Times New Roman"/>
        </w:rPr>
      </w:pPr>
      <w:r w:rsidRPr="008371AD">
        <w:rPr>
          <w:rFonts w:ascii="Times New Roman" w:hAnsi="Times New Roman" w:cs="Times New Roman"/>
        </w:rPr>
        <w:t xml:space="preserve">Figure 2: An event study of CO2 emissions over time. </w:t>
      </w:r>
    </w:p>
    <w:p w14:paraId="486E4300" w14:textId="77777777" w:rsidR="00355606" w:rsidRPr="008371AD" w:rsidRDefault="00355606" w:rsidP="00355606">
      <w:pPr>
        <w:spacing w:line="240" w:lineRule="auto"/>
        <w:rPr>
          <w:rFonts w:ascii="Times New Roman" w:hAnsi="Times New Roman" w:cs="Times New Roman"/>
        </w:rPr>
      </w:pPr>
      <w:r w:rsidRPr="008371AD">
        <w:rPr>
          <w:rFonts w:ascii="Times New Roman" w:hAnsi="Times New Roman" w:cs="Times New Roman"/>
          <w:noProof/>
        </w:rPr>
        <w:drawing>
          <wp:inline distT="0" distB="0" distL="0" distR="0" wp14:anchorId="490D34E3" wp14:editId="1AB2B2CC">
            <wp:extent cx="5334000" cy="3879117"/>
            <wp:effectExtent l="0" t="0" r="0" b="0"/>
            <wp:docPr id="526558367" name="Picture 2" descr="A graph showing the results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58367" name="Picture 2" descr="A graph showing the results of a performan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7435" cy="3888887"/>
                    </a:xfrm>
                    <a:prstGeom prst="rect">
                      <a:avLst/>
                    </a:prstGeom>
                  </pic:spPr>
                </pic:pic>
              </a:graphicData>
            </a:graphic>
          </wp:inline>
        </w:drawing>
      </w:r>
    </w:p>
    <w:p w14:paraId="271312A8" w14:textId="77777777" w:rsidR="00355606" w:rsidRPr="008371AD" w:rsidRDefault="00355606" w:rsidP="00A81801">
      <w:pPr>
        <w:spacing w:line="480" w:lineRule="auto"/>
        <w:jc w:val="both"/>
        <w:rPr>
          <w:rFonts w:ascii="Times New Roman" w:hAnsi="Times New Roman" w:cs="Times New Roman"/>
        </w:rPr>
      </w:pPr>
    </w:p>
    <w:p w14:paraId="47C4A50C" w14:textId="1DCF34AA" w:rsidR="00D36BFC" w:rsidRPr="008371AD" w:rsidRDefault="001555EB" w:rsidP="00A81801">
      <w:pPr>
        <w:spacing w:line="480" w:lineRule="auto"/>
        <w:jc w:val="both"/>
        <w:rPr>
          <w:rFonts w:ascii="Times New Roman" w:hAnsi="Times New Roman" w:cs="Times New Roman"/>
        </w:rPr>
      </w:pPr>
      <w:r w:rsidRPr="008371AD">
        <w:rPr>
          <w:rFonts w:ascii="Times New Roman" w:hAnsi="Times New Roman" w:cs="Times New Roman"/>
        </w:rPr>
        <w:t xml:space="preserve">My </w:t>
      </w:r>
      <w:r w:rsidR="00520831" w:rsidRPr="008371AD">
        <w:rPr>
          <w:rFonts w:ascii="Times New Roman" w:hAnsi="Times New Roman" w:cs="Times New Roman"/>
        </w:rPr>
        <w:t>study is limited as it did not provide a sector-specific response to carbon pricing and emissions. Additionally, other factors can influence the emission of CO2, and their omission makes it difficult to fully accept that carbon pricing has led to a reduction in emissions in South Africa. Future research should consider examining the sector-specific impacts of carbon pricing on emissions. Furthermore, an extension should include other control variables that significantly influence carbon emissions. Another estimation technique, such as the synthetic control method, c</w:t>
      </w:r>
      <w:r w:rsidRPr="008371AD">
        <w:rPr>
          <w:rFonts w:ascii="Times New Roman" w:hAnsi="Times New Roman" w:cs="Times New Roman"/>
        </w:rPr>
        <w:t>ould</w:t>
      </w:r>
      <w:r w:rsidR="00520831" w:rsidRPr="008371AD">
        <w:rPr>
          <w:rFonts w:ascii="Times New Roman" w:hAnsi="Times New Roman" w:cs="Times New Roman"/>
        </w:rPr>
        <w:t xml:space="preserve"> be employed to assign equal weights to countries in assessing the impact of this policy.</w:t>
      </w:r>
    </w:p>
    <w:p w14:paraId="1817A2F9" w14:textId="77777777" w:rsidR="00355606" w:rsidRDefault="00355606" w:rsidP="009A2FEF">
      <w:pPr>
        <w:spacing w:line="480" w:lineRule="auto"/>
        <w:rPr>
          <w:rFonts w:ascii="Times New Roman" w:hAnsi="Times New Roman" w:cs="Times New Roman"/>
          <w:b/>
          <w:bCs/>
          <w:u w:val="single"/>
        </w:rPr>
      </w:pPr>
    </w:p>
    <w:p w14:paraId="2603F3D5" w14:textId="77777777" w:rsidR="00355606" w:rsidRDefault="00355606" w:rsidP="009A2FEF">
      <w:pPr>
        <w:spacing w:line="480" w:lineRule="auto"/>
        <w:rPr>
          <w:rFonts w:ascii="Times New Roman" w:hAnsi="Times New Roman" w:cs="Times New Roman"/>
          <w:b/>
          <w:bCs/>
          <w:u w:val="single"/>
        </w:rPr>
      </w:pPr>
    </w:p>
    <w:p w14:paraId="65267C7D" w14:textId="5DD3EBA5" w:rsidR="009A2FEF" w:rsidRPr="008371AD" w:rsidRDefault="00FE6F0E" w:rsidP="009A2FEF">
      <w:pPr>
        <w:spacing w:line="480" w:lineRule="auto"/>
        <w:rPr>
          <w:rFonts w:ascii="Times New Roman" w:hAnsi="Times New Roman" w:cs="Times New Roman"/>
          <w:b/>
          <w:bCs/>
          <w:u w:val="single"/>
        </w:rPr>
      </w:pPr>
      <w:r w:rsidRPr="008371AD">
        <w:rPr>
          <w:rFonts w:ascii="Times New Roman" w:hAnsi="Times New Roman" w:cs="Times New Roman"/>
          <w:b/>
          <w:bCs/>
          <w:u w:val="single"/>
        </w:rPr>
        <w:lastRenderedPageBreak/>
        <w:t>Conclusion</w:t>
      </w:r>
    </w:p>
    <w:p w14:paraId="4F1081A2" w14:textId="7644CF8C" w:rsidR="004A433B" w:rsidRPr="008371AD" w:rsidRDefault="009A2FEF" w:rsidP="000C7A2B">
      <w:pPr>
        <w:spacing w:line="480" w:lineRule="auto"/>
        <w:jc w:val="both"/>
        <w:rPr>
          <w:rFonts w:ascii="Times New Roman" w:hAnsi="Times New Roman" w:cs="Times New Roman"/>
        </w:rPr>
      </w:pPr>
      <w:r w:rsidRPr="008371AD">
        <w:rPr>
          <w:rFonts w:ascii="Times New Roman" w:hAnsi="Times New Roman" w:cs="Times New Roman"/>
        </w:rPr>
        <w:t>By employing a difference-in-differences estimation technique, I assess the carbon pricing policy implemented in South Africa in 2019, comparing its effect on countries within the Sub-Saharan Africa region that did not implement this policy. I found that the implementation of the carbon pricing policy has significantly reduced emissions in South Africa</w:t>
      </w:r>
      <w:r w:rsidR="00A33D97" w:rsidRPr="008371AD">
        <w:rPr>
          <w:rFonts w:ascii="Times New Roman" w:hAnsi="Times New Roman" w:cs="Times New Roman"/>
        </w:rPr>
        <w:t xml:space="preserve"> by 1.23 metric tons per capita for every unit increase in the carbon pricing rate.</w:t>
      </w:r>
      <w:r w:rsidR="00E872F1" w:rsidRPr="008371AD">
        <w:rPr>
          <w:rFonts w:ascii="Times New Roman" w:hAnsi="Times New Roman" w:cs="Times New Roman"/>
        </w:rPr>
        <w:t xml:space="preserve"> </w:t>
      </w:r>
      <w:r w:rsidR="000C7A2B" w:rsidRPr="008371AD">
        <w:rPr>
          <w:rFonts w:ascii="Times New Roman" w:hAnsi="Times New Roman" w:cs="Times New Roman"/>
        </w:rPr>
        <w:t>T</w:t>
      </w:r>
      <w:r w:rsidR="00274804" w:rsidRPr="008371AD">
        <w:rPr>
          <w:rFonts w:ascii="Times New Roman" w:hAnsi="Times New Roman" w:cs="Times New Roman"/>
        </w:rPr>
        <w:t xml:space="preserve">his </w:t>
      </w:r>
      <w:r w:rsidR="00C051A1" w:rsidRPr="008371AD">
        <w:rPr>
          <w:rFonts w:ascii="Times New Roman" w:hAnsi="Times New Roman" w:cs="Times New Roman"/>
        </w:rPr>
        <w:t xml:space="preserve">finding </w:t>
      </w:r>
      <w:r w:rsidR="00BE2ADA" w:rsidRPr="008371AD">
        <w:rPr>
          <w:rFonts w:ascii="Times New Roman" w:hAnsi="Times New Roman" w:cs="Times New Roman"/>
        </w:rPr>
        <w:t>highlights</w:t>
      </w:r>
      <w:r w:rsidR="00DA344D" w:rsidRPr="008371AD">
        <w:rPr>
          <w:rFonts w:ascii="Times New Roman" w:hAnsi="Times New Roman" w:cs="Times New Roman"/>
        </w:rPr>
        <w:t xml:space="preserve"> the effectiveness of carbon pricing as a tool to discourage emission</w:t>
      </w:r>
      <w:r w:rsidR="00BE2ADA" w:rsidRPr="008371AD">
        <w:rPr>
          <w:rFonts w:ascii="Times New Roman" w:hAnsi="Times New Roman" w:cs="Times New Roman"/>
        </w:rPr>
        <w:t xml:space="preserve">s </w:t>
      </w:r>
      <w:r w:rsidR="00DA344D" w:rsidRPr="008371AD">
        <w:rPr>
          <w:rFonts w:ascii="Times New Roman" w:hAnsi="Times New Roman" w:cs="Times New Roman"/>
        </w:rPr>
        <w:t xml:space="preserve">while promoting sustainable </w:t>
      </w:r>
      <w:r w:rsidR="00BE2ADA" w:rsidRPr="008371AD">
        <w:rPr>
          <w:rFonts w:ascii="Times New Roman" w:hAnsi="Times New Roman" w:cs="Times New Roman"/>
        </w:rPr>
        <w:t xml:space="preserve">environment. </w:t>
      </w:r>
    </w:p>
    <w:p w14:paraId="17F6966E" w14:textId="0C4F5F3D" w:rsidR="004A433B" w:rsidRPr="008371AD" w:rsidRDefault="004A433B" w:rsidP="000C7A2B">
      <w:pPr>
        <w:spacing w:line="480" w:lineRule="auto"/>
        <w:jc w:val="both"/>
        <w:rPr>
          <w:rFonts w:ascii="Times New Roman" w:hAnsi="Times New Roman" w:cs="Times New Roman"/>
        </w:rPr>
      </w:pPr>
      <w:r w:rsidRPr="008371AD">
        <w:rPr>
          <w:rFonts w:ascii="Times New Roman" w:hAnsi="Times New Roman" w:cs="Times New Roman"/>
        </w:rPr>
        <w:t xml:space="preserve">However, my study </w:t>
      </w:r>
      <w:r w:rsidR="007629CE" w:rsidRPr="008371AD">
        <w:rPr>
          <w:rFonts w:ascii="Times New Roman" w:hAnsi="Times New Roman" w:cs="Times New Roman"/>
        </w:rPr>
        <w:t xml:space="preserve">had challenges in applying the differences-in-differences </w:t>
      </w:r>
      <w:r w:rsidR="006D33EC" w:rsidRPr="008371AD">
        <w:rPr>
          <w:rFonts w:ascii="Times New Roman" w:hAnsi="Times New Roman" w:cs="Times New Roman"/>
        </w:rPr>
        <w:t>due to the absence o</w:t>
      </w:r>
      <w:r w:rsidR="004D29FF" w:rsidRPr="008371AD">
        <w:rPr>
          <w:rFonts w:ascii="Times New Roman" w:hAnsi="Times New Roman" w:cs="Times New Roman"/>
        </w:rPr>
        <w:t xml:space="preserve">f </w:t>
      </w:r>
      <w:r w:rsidR="006D33EC" w:rsidRPr="008371AD">
        <w:rPr>
          <w:rFonts w:ascii="Times New Roman" w:hAnsi="Times New Roman" w:cs="Times New Roman"/>
        </w:rPr>
        <w:t xml:space="preserve">the parallel trend assumption. </w:t>
      </w:r>
      <w:r w:rsidR="00DA57C5" w:rsidRPr="008371AD">
        <w:rPr>
          <w:rFonts w:ascii="Times New Roman" w:hAnsi="Times New Roman" w:cs="Times New Roman"/>
        </w:rPr>
        <w:t xml:space="preserve">This makes it </w:t>
      </w:r>
      <w:r w:rsidR="00E31D22" w:rsidRPr="008371AD">
        <w:rPr>
          <w:rFonts w:ascii="Times New Roman" w:hAnsi="Times New Roman" w:cs="Times New Roman"/>
        </w:rPr>
        <w:t>difficult to fairly interpret the result</w:t>
      </w:r>
      <w:r w:rsidR="00D4130E" w:rsidRPr="008371AD">
        <w:rPr>
          <w:rFonts w:ascii="Times New Roman" w:hAnsi="Times New Roman" w:cs="Times New Roman"/>
        </w:rPr>
        <w:t xml:space="preserve"> and </w:t>
      </w:r>
      <w:r w:rsidR="000042B6" w:rsidRPr="008371AD">
        <w:rPr>
          <w:rFonts w:ascii="Times New Roman" w:hAnsi="Times New Roman" w:cs="Times New Roman"/>
        </w:rPr>
        <w:t xml:space="preserve">confirm the effectiveness of the carbon pricing policy in South Africa. </w:t>
      </w:r>
    </w:p>
    <w:p w14:paraId="7D38919E" w14:textId="302FD628" w:rsidR="005020C3" w:rsidRPr="008371AD" w:rsidRDefault="00D0532F" w:rsidP="00C911D4">
      <w:pPr>
        <w:spacing w:line="480" w:lineRule="auto"/>
        <w:jc w:val="both"/>
        <w:rPr>
          <w:rFonts w:ascii="Times New Roman" w:hAnsi="Times New Roman" w:cs="Times New Roman"/>
        </w:rPr>
      </w:pPr>
      <w:r w:rsidRPr="008371AD">
        <w:rPr>
          <w:rFonts w:ascii="Times New Roman" w:hAnsi="Times New Roman" w:cs="Times New Roman"/>
        </w:rPr>
        <w:t>Overall,</w:t>
      </w:r>
      <w:r w:rsidR="000C7A2B" w:rsidRPr="008371AD">
        <w:rPr>
          <w:rFonts w:ascii="Times New Roman" w:hAnsi="Times New Roman" w:cs="Times New Roman"/>
        </w:rPr>
        <w:t xml:space="preserve"> </w:t>
      </w:r>
      <w:r w:rsidR="00B370DA" w:rsidRPr="008371AD">
        <w:rPr>
          <w:rFonts w:ascii="Times New Roman" w:hAnsi="Times New Roman" w:cs="Times New Roman"/>
        </w:rPr>
        <w:t>my</w:t>
      </w:r>
      <w:r w:rsidR="000C7A2B" w:rsidRPr="008371AD">
        <w:rPr>
          <w:rFonts w:ascii="Times New Roman" w:hAnsi="Times New Roman" w:cs="Times New Roman"/>
        </w:rPr>
        <w:t xml:space="preserve"> study</w:t>
      </w:r>
      <w:r w:rsidR="00484E04" w:rsidRPr="008371AD">
        <w:rPr>
          <w:rFonts w:ascii="Times New Roman" w:hAnsi="Times New Roman" w:cs="Times New Roman"/>
        </w:rPr>
        <w:t xml:space="preserve"> </w:t>
      </w:r>
      <w:r w:rsidR="00B370DA" w:rsidRPr="008371AD">
        <w:rPr>
          <w:rFonts w:ascii="Times New Roman" w:hAnsi="Times New Roman" w:cs="Times New Roman"/>
        </w:rPr>
        <w:t xml:space="preserve">provide insight for policy makers and the global community on the importance of </w:t>
      </w:r>
      <w:r w:rsidR="00491779" w:rsidRPr="008371AD">
        <w:rPr>
          <w:rFonts w:ascii="Times New Roman" w:hAnsi="Times New Roman" w:cs="Times New Roman"/>
        </w:rPr>
        <w:t xml:space="preserve">climate mitigation schemes such as the carbon pricing policy. </w:t>
      </w:r>
      <w:r w:rsidR="003F2AA5" w:rsidRPr="008371AD">
        <w:rPr>
          <w:rFonts w:ascii="Times New Roman" w:hAnsi="Times New Roman" w:cs="Times New Roman"/>
        </w:rPr>
        <w:t xml:space="preserve">My </w:t>
      </w:r>
      <w:r w:rsidR="006D44F3" w:rsidRPr="008371AD">
        <w:rPr>
          <w:rFonts w:ascii="Times New Roman" w:hAnsi="Times New Roman" w:cs="Times New Roman"/>
        </w:rPr>
        <w:t>study also provided a</w:t>
      </w:r>
      <w:r w:rsidR="003F2AA5" w:rsidRPr="008371AD">
        <w:rPr>
          <w:rFonts w:ascii="Times New Roman" w:hAnsi="Times New Roman" w:cs="Times New Roman"/>
        </w:rPr>
        <w:t xml:space="preserve">n </w:t>
      </w:r>
      <w:r w:rsidR="0031600B" w:rsidRPr="008371AD">
        <w:rPr>
          <w:rFonts w:ascii="Times New Roman" w:hAnsi="Times New Roman" w:cs="Times New Roman"/>
        </w:rPr>
        <w:t>African perspective</w:t>
      </w:r>
      <w:r w:rsidR="00266C58" w:rsidRPr="008371AD">
        <w:rPr>
          <w:rFonts w:ascii="Times New Roman" w:hAnsi="Times New Roman" w:cs="Times New Roman"/>
        </w:rPr>
        <w:t xml:space="preserve"> </w:t>
      </w:r>
      <w:r w:rsidR="008D16AA" w:rsidRPr="008371AD">
        <w:rPr>
          <w:rFonts w:ascii="Times New Roman" w:hAnsi="Times New Roman" w:cs="Times New Roman"/>
        </w:rPr>
        <w:t xml:space="preserve">to </w:t>
      </w:r>
      <w:r w:rsidR="008125A8" w:rsidRPr="008371AD">
        <w:rPr>
          <w:rFonts w:ascii="Times New Roman" w:hAnsi="Times New Roman" w:cs="Times New Roman"/>
        </w:rPr>
        <w:t>existing</w:t>
      </w:r>
      <w:r w:rsidR="008D16AA" w:rsidRPr="008371AD">
        <w:rPr>
          <w:rFonts w:ascii="Times New Roman" w:hAnsi="Times New Roman" w:cs="Times New Roman"/>
        </w:rPr>
        <w:t xml:space="preserve"> literature </w:t>
      </w:r>
      <w:r w:rsidR="00266C58" w:rsidRPr="008371AD">
        <w:rPr>
          <w:rFonts w:ascii="Times New Roman" w:hAnsi="Times New Roman" w:cs="Times New Roman"/>
        </w:rPr>
        <w:t xml:space="preserve">on climate change </w:t>
      </w:r>
      <w:r w:rsidR="00C911D4" w:rsidRPr="008371AD">
        <w:rPr>
          <w:rFonts w:ascii="Times New Roman" w:hAnsi="Times New Roman" w:cs="Times New Roman"/>
        </w:rPr>
        <w:t>and will</w:t>
      </w:r>
      <w:r w:rsidR="00D006E6" w:rsidRPr="008371AD">
        <w:rPr>
          <w:rFonts w:ascii="Times New Roman" w:hAnsi="Times New Roman" w:cs="Times New Roman"/>
        </w:rPr>
        <w:t xml:space="preserve"> add to global </w:t>
      </w:r>
      <w:r w:rsidR="00CC7FA8" w:rsidRPr="008371AD">
        <w:rPr>
          <w:rFonts w:ascii="Times New Roman" w:hAnsi="Times New Roman" w:cs="Times New Roman"/>
        </w:rPr>
        <w:t xml:space="preserve">discourse on efforts being made to reduce greenhouse gas </w:t>
      </w:r>
      <w:r w:rsidR="008D16AA" w:rsidRPr="008371AD">
        <w:rPr>
          <w:rFonts w:ascii="Times New Roman" w:hAnsi="Times New Roman" w:cs="Times New Roman"/>
        </w:rPr>
        <w:t>emissions</w:t>
      </w:r>
      <w:r w:rsidR="00CC7FA8" w:rsidRPr="008371AD">
        <w:rPr>
          <w:rFonts w:ascii="Times New Roman" w:hAnsi="Times New Roman" w:cs="Times New Roman"/>
        </w:rPr>
        <w:t>.</w:t>
      </w:r>
    </w:p>
    <w:p w14:paraId="129CE3AC" w14:textId="36377CF8" w:rsidR="000C5758" w:rsidRPr="008371AD" w:rsidRDefault="005020C3" w:rsidP="00E9017F">
      <w:pPr>
        <w:spacing w:line="240" w:lineRule="auto"/>
        <w:jc w:val="both"/>
        <w:rPr>
          <w:rFonts w:ascii="Times New Roman" w:hAnsi="Times New Roman" w:cs="Times New Roman"/>
          <w:b/>
          <w:bCs/>
          <w:u w:val="single"/>
        </w:rPr>
      </w:pPr>
      <w:r w:rsidRPr="008371AD">
        <w:rPr>
          <w:rFonts w:ascii="Times New Roman" w:hAnsi="Times New Roman" w:cs="Times New Roman"/>
        </w:rPr>
        <w:t>.</w:t>
      </w:r>
      <w:r w:rsidR="00CC7FA8" w:rsidRPr="008371AD">
        <w:rPr>
          <w:rFonts w:ascii="Times New Roman" w:hAnsi="Times New Roman" w:cs="Times New Roman"/>
        </w:rPr>
        <w:t xml:space="preserve"> </w:t>
      </w:r>
      <w:r w:rsidR="00AB1F6B" w:rsidRPr="008371AD">
        <w:rPr>
          <w:rFonts w:ascii="Times New Roman" w:hAnsi="Times New Roman" w:cs="Times New Roman"/>
        </w:rPr>
        <w:br w:type="page"/>
      </w:r>
    </w:p>
    <w:p w14:paraId="65D14F3F" w14:textId="77777777" w:rsidR="00037B14" w:rsidRPr="008371AD" w:rsidRDefault="000C5758">
      <w:pPr>
        <w:rPr>
          <w:rFonts w:ascii="Times New Roman" w:hAnsi="Times New Roman" w:cs="Times New Roman"/>
          <w:b/>
          <w:bCs/>
          <w:u w:val="single"/>
        </w:rPr>
      </w:pPr>
      <w:r w:rsidRPr="008371AD">
        <w:rPr>
          <w:rFonts w:ascii="Times New Roman" w:hAnsi="Times New Roman" w:cs="Times New Roman"/>
          <w:b/>
          <w:bCs/>
          <w:u w:val="single"/>
        </w:rPr>
        <w:lastRenderedPageBreak/>
        <w:t>References</w:t>
      </w:r>
    </w:p>
    <w:p w14:paraId="584BA23F" w14:textId="77777777" w:rsidR="007B2034" w:rsidRPr="008371AD" w:rsidRDefault="007B2034" w:rsidP="007B2034">
      <w:pPr>
        <w:rPr>
          <w:rFonts w:ascii="Times New Roman" w:hAnsi="Times New Roman" w:cs="Times New Roman"/>
          <w:color w:val="222222"/>
          <w:shd w:val="clear" w:color="auto" w:fill="FFFFFF"/>
        </w:rPr>
      </w:pPr>
      <w:proofErr w:type="spellStart"/>
      <w:r w:rsidRPr="008371AD">
        <w:rPr>
          <w:rFonts w:ascii="Times New Roman" w:hAnsi="Times New Roman" w:cs="Times New Roman"/>
          <w:color w:val="222222"/>
          <w:shd w:val="clear" w:color="auto" w:fill="FFFFFF"/>
        </w:rPr>
        <w:t>Adamolekun</w:t>
      </w:r>
      <w:proofErr w:type="spellEnd"/>
      <w:r w:rsidRPr="008371AD">
        <w:rPr>
          <w:rFonts w:ascii="Times New Roman" w:hAnsi="Times New Roman" w:cs="Times New Roman"/>
          <w:color w:val="222222"/>
          <w:shd w:val="clear" w:color="auto" w:fill="FFFFFF"/>
        </w:rPr>
        <w:t>, G. (2024). Carbon price and firm greenhouse gas emissions.</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Journal of Environmental Management</w:t>
      </w:r>
      <w:r w:rsidRPr="008371AD">
        <w:rPr>
          <w:rFonts w:ascii="Times New Roman" w:hAnsi="Times New Roman" w:cs="Times New Roman"/>
          <w:color w:val="222222"/>
          <w:shd w:val="clear" w:color="auto" w:fill="FFFFFF"/>
        </w:rPr>
        <w:t>,</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349</w:t>
      </w:r>
      <w:r w:rsidRPr="008371AD">
        <w:rPr>
          <w:rFonts w:ascii="Times New Roman" w:hAnsi="Times New Roman" w:cs="Times New Roman"/>
          <w:color w:val="222222"/>
          <w:shd w:val="clear" w:color="auto" w:fill="FFFFFF"/>
        </w:rPr>
        <w:t>, 119496.</w:t>
      </w:r>
    </w:p>
    <w:p w14:paraId="460C5967" w14:textId="77777777" w:rsidR="002E4874" w:rsidRDefault="002E4874" w:rsidP="002E4874">
      <w:pPr>
        <w:rPr>
          <w:rFonts w:ascii="Times New Roman" w:hAnsi="Times New Roman" w:cs="Times New Roman"/>
          <w:color w:val="222222"/>
          <w:shd w:val="clear" w:color="auto" w:fill="FFFFFF"/>
        </w:rPr>
      </w:pPr>
      <w:r w:rsidRPr="008371AD">
        <w:rPr>
          <w:rFonts w:ascii="Times New Roman" w:hAnsi="Times New Roman" w:cs="Times New Roman"/>
          <w:color w:val="222222"/>
          <w:shd w:val="clear" w:color="auto" w:fill="FFFFFF"/>
        </w:rPr>
        <w:t>Andersson, J. J. (2019). Carbon taxes and CO2 emissions: Sweden as a case study.</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American Economic Journal: Economic Policy</w:t>
      </w:r>
      <w:r w:rsidRPr="008371AD">
        <w:rPr>
          <w:rFonts w:ascii="Times New Roman" w:hAnsi="Times New Roman" w:cs="Times New Roman"/>
          <w:color w:val="222222"/>
          <w:shd w:val="clear" w:color="auto" w:fill="FFFFFF"/>
        </w:rPr>
        <w:t>,</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11</w:t>
      </w:r>
      <w:r w:rsidRPr="008371AD">
        <w:rPr>
          <w:rFonts w:ascii="Times New Roman" w:hAnsi="Times New Roman" w:cs="Times New Roman"/>
          <w:color w:val="222222"/>
          <w:shd w:val="clear" w:color="auto" w:fill="FFFFFF"/>
        </w:rPr>
        <w:t>(4), 1-30.</w:t>
      </w:r>
    </w:p>
    <w:p w14:paraId="2E685FDE" w14:textId="23AC4F54" w:rsidR="00C52682" w:rsidRPr="008371AD" w:rsidRDefault="00A6541F" w:rsidP="002E4874">
      <w:pPr>
        <w:rPr>
          <w:rFonts w:ascii="Times New Roman" w:hAnsi="Times New Roman" w:cs="Times New Roman"/>
          <w:color w:val="222222"/>
          <w:shd w:val="clear" w:color="auto" w:fill="FFFFFF"/>
        </w:rPr>
      </w:pPr>
      <w:proofErr w:type="spellStart"/>
      <w:r w:rsidRPr="00A6541F">
        <w:rPr>
          <w:rFonts w:ascii="Times New Roman" w:hAnsi="Times New Roman" w:cs="Times New Roman"/>
          <w:color w:val="222222"/>
          <w:shd w:val="clear" w:color="auto" w:fill="FFFFFF"/>
        </w:rPr>
        <w:t>Dechezleprêtre</w:t>
      </w:r>
      <w:proofErr w:type="spellEnd"/>
      <w:r w:rsidRPr="00A6541F">
        <w:rPr>
          <w:rFonts w:ascii="Times New Roman" w:hAnsi="Times New Roman" w:cs="Times New Roman"/>
          <w:color w:val="222222"/>
          <w:shd w:val="clear" w:color="auto" w:fill="FFFFFF"/>
        </w:rPr>
        <w:t xml:space="preserve">, A., </w:t>
      </w:r>
      <w:proofErr w:type="spellStart"/>
      <w:r w:rsidRPr="00A6541F">
        <w:rPr>
          <w:rFonts w:ascii="Times New Roman" w:hAnsi="Times New Roman" w:cs="Times New Roman"/>
          <w:color w:val="222222"/>
          <w:shd w:val="clear" w:color="auto" w:fill="FFFFFF"/>
        </w:rPr>
        <w:t>Nachtigall</w:t>
      </w:r>
      <w:proofErr w:type="spellEnd"/>
      <w:r w:rsidRPr="00A6541F">
        <w:rPr>
          <w:rFonts w:ascii="Times New Roman" w:hAnsi="Times New Roman" w:cs="Times New Roman"/>
          <w:color w:val="222222"/>
          <w:shd w:val="clear" w:color="auto" w:fill="FFFFFF"/>
        </w:rPr>
        <w:t xml:space="preserve">, D., &amp; </w:t>
      </w:r>
      <w:proofErr w:type="spellStart"/>
      <w:r w:rsidRPr="00A6541F">
        <w:rPr>
          <w:rFonts w:ascii="Times New Roman" w:hAnsi="Times New Roman" w:cs="Times New Roman"/>
          <w:color w:val="222222"/>
          <w:shd w:val="clear" w:color="auto" w:fill="FFFFFF"/>
        </w:rPr>
        <w:t>Venmans</w:t>
      </w:r>
      <w:proofErr w:type="spellEnd"/>
      <w:r w:rsidRPr="00A6541F">
        <w:rPr>
          <w:rFonts w:ascii="Times New Roman" w:hAnsi="Times New Roman" w:cs="Times New Roman"/>
          <w:color w:val="222222"/>
          <w:shd w:val="clear" w:color="auto" w:fill="FFFFFF"/>
        </w:rPr>
        <w:t>, F. (2023). The joint impact of the European Union emissions trading system on carbon emissions and economic performance. Journal of Environmental Economics and Management, 118, 102758</w:t>
      </w:r>
    </w:p>
    <w:p w14:paraId="6D7E862C" w14:textId="043E9794" w:rsidR="009B480A" w:rsidRDefault="009B480A">
      <w:pPr>
        <w:rPr>
          <w:rFonts w:ascii="Times New Roman" w:hAnsi="Times New Roman" w:cs="Times New Roman"/>
          <w:color w:val="222222"/>
          <w:shd w:val="clear" w:color="auto" w:fill="FFFFFF"/>
        </w:rPr>
      </w:pPr>
      <w:proofErr w:type="spellStart"/>
      <w:r w:rsidRPr="008371AD">
        <w:rPr>
          <w:rFonts w:ascii="Times New Roman" w:hAnsi="Times New Roman" w:cs="Times New Roman"/>
          <w:color w:val="222222"/>
          <w:shd w:val="clear" w:color="auto" w:fill="FFFFFF"/>
        </w:rPr>
        <w:t>Gugler</w:t>
      </w:r>
      <w:proofErr w:type="spellEnd"/>
      <w:r w:rsidRPr="008371AD">
        <w:rPr>
          <w:rFonts w:ascii="Times New Roman" w:hAnsi="Times New Roman" w:cs="Times New Roman"/>
          <w:color w:val="222222"/>
          <w:shd w:val="clear" w:color="auto" w:fill="FFFFFF"/>
        </w:rPr>
        <w:t xml:space="preserve">, K., </w:t>
      </w:r>
      <w:proofErr w:type="spellStart"/>
      <w:r w:rsidRPr="008371AD">
        <w:rPr>
          <w:rFonts w:ascii="Times New Roman" w:hAnsi="Times New Roman" w:cs="Times New Roman"/>
          <w:color w:val="222222"/>
          <w:shd w:val="clear" w:color="auto" w:fill="FFFFFF"/>
        </w:rPr>
        <w:t>Haxhimusa</w:t>
      </w:r>
      <w:proofErr w:type="spellEnd"/>
      <w:r w:rsidRPr="008371AD">
        <w:rPr>
          <w:rFonts w:ascii="Times New Roman" w:hAnsi="Times New Roman" w:cs="Times New Roman"/>
          <w:color w:val="222222"/>
          <w:shd w:val="clear" w:color="auto" w:fill="FFFFFF"/>
        </w:rPr>
        <w:t xml:space="preserve">, A., &amp; </w:t>
      </w:r>
      <w:proofErr w:type="spellStart"/>
      <w:r w:rsidRPr="008371AD">
        <w:rPr>
          <w:rFonts w:ascii="Times New Roman" w:hAnsi="Times New Roman" w:cs="Times New Roman"/>
          <w:color w:val="222222"/>
          <w:shd w:val="clear" w:color="auto" w:fill="FFFFFF"/>
        </w:rPr>
        <w:t>Liebensteiner</w:t>
      </w:r>
      <w:proofErr w:type="spellEnd"/>
      <w:r w:rsidRPr="008371AD">
        <w:rPr>
          <w:rFonts w:ascii="Times New Roman" w:hAnsi="Times New Roman" w:cs="Times New Roman"/>
          <w:color w:val="222222"/>
          <w:shd w:val="clear" w:color="auto" w:fill="FFFFFF"/>
        </w:rPr>
        <w:t>, M. (2023). Carbon pricing and emissions: Causal effects of Britain's carbon tax.</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Energy Economics</w:t>
      </w:r>
      <w:r w:rsidRPr="008371AD">
        <w:rPr>
          <w:rFonts w:ascii="Times New Roman" w:hAnsi="Times New Roman" w:cs="Times New Roman"/>
          <w:color w:val="222222"/>
          <w:shd w:val="clear" w:color="auto" w:fill="FFFFFF"/>
        </w:rPr>
        <w:t>,</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121</w:t>
      </w:r>
      <w:r w:rsidRPr="008371AD">
        <w:rPr>
          <w:rFonts w:ascii="Times New Roman" w:hAnsi="Times New Roman" w:cs="Times New Roman"/>
          <w:color w:val="222222"/>
          <w:shd w:val="clear" w:color="auto" w:fill="FFFFFF"/>
        </w:rPr>
        <w:t>, 106655.</w:t>
      </w:r>
    </w:p>
    <w:p w14:paraId="19F1EDBF" w14:textId="6180EBBA" w:rsidR="00CF0BC5" w:rsidRPr="00CF0BC5" w:rsidRDefault="00CF0BC5" w:rsidP="00CF0BC5">
      <w:pPr>
        <w:spacing w:before="100" w:beforeAutospacing="1" w:after="100" w:afterAutospacing="1" w:line="240" w:lineRule="auto"/>
        <w:rPr>
          <w:rFonts w:ascii="Times New Roman" w:eastAsia="Times New Roman" w:hAnsi="Times New Roman" w:cs="Times New Roman"/>
          <w:color w:val="000000"/>
          <w:kern w:val="0"/>
          <w14:ligatures w14:val="none"/>
        </w:rPr>
      </w:pPr>
      <w:r w:rsidRPr="00666439">
        <w:rPr>
          <w:rFonts w:ascii="Times New Roman" w:eastAsia="Times New Roman" w:hAnsi="Times New Roman" w:cs="Times New Roman"/>
          <w:color w:val="000000"/>
          <w:kern w:val="0"/>
          <w14:ligatures w14:val="none"/>
        </w:rPr>
        <w:t xml:space="preserve">Le, H., &amp; </w:t>
      </w:r>
      <w:proofErr w:type="spellStart"/>
      <w:r w:rsidRPr="00666439">
        <w:rPr>
          <w:rFonts w:ascii="Times New Roman" w:eastAsia="Times New Roman" w:hAnsi="Times New Roman" w:cs="Times New Roman"/>
          <w:color w:val="000000"/>
          <w:kern w:val="0"/>
          <w14:ligatures w14:val="none"/>
        </w:rPr>
        <w:t>Azhgaliyeva</w:t>
      </w:r>
      <w:proofErr w:type="spellEnd"/>
      <w:r w:rsidRPr="00666439">
        <w:rPr>
          <w:rFonts w:ascii="Times New Roman" w:eastAsia="Times New Roman" w:hAnsi="Times New Roman" w:cs="Times New Roman"/>
          <w:color w:val="000000"/>
          <w:kern w:val="0"/>
          <w14:ligatures w14:val="none"/>
        </w:rPr>
        <w:t>, D. (2023). Carbon pricing and firms’ GHG emissions: Firm-level empirical evidence from East Asia. Journal of Cleaner Production, 429, 139504.</w:t>
      </w:r>
    </w:p>
    <w:p w14:paraId="5D3739E6" w14:textId="77777777" w:rsidR="002E4874" w:rsidRPr="008371AD" w:rsidRDefault="002E4874" w:rsidP="002E4874">
      <w:pPr>
        <w:rPr>
          <w:rFonts w:ascii="Times New Roman" w:hAnsi="Times New Roman" w:cs="Times New Roman"/>
          <w:color w:val="222222"/>
          <w:shd w:val="clear" w:color="auto" w:fill="FFFFFF"/>
        </w:rPr>
      </w:pPr>
      <w:proofErr w:type="spellStart"/>
      <w:r w:rsidRPr="008371AD">
        <w:rPr>
          <w:rFonts w:ascii="Times New Roman" w:hAnsi="Times New Roman" w:cs="Times New Roman"/>
          <w:color w:val="222222"/>
          <w:shd w:val="clear" w:color="auto" w:fill="FFFFFF"/>
        </w:rPr>
        <w:t>Mardones</w:t>
      </w:r>
      <w:proofErr w:type="spellEnd"/>
      <w:r w:rsidRPr="008371AD">
        <w:rPr>
          <w:rFonts w:ascii="Times New Roman" w:hAnsi="Times New Roman" w:cs="Times New Roman"/>
          <w:color w:val="222222"/>
          <w:shd w:val="clear" w:color="auto" w:fill="FFFFFF"/>
        </w:rPr>
        <w:t>, C., &amp; Flores, B. (2018). Effectiveness of a CO2 tax on industrial emissions.</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Energy Economics</w:t>
      </w:r>
      <w:r w:rsidRPr="008371AD">
        <w:rPr>
          <w:rFonts w:ascii="Times New Roman" w:hAnsi="Times New Roman" w:cs="Times New Roman"/>
          <w:color w:val="222222"/>
          <w:shd w:val="clear" w:color="auto" w:fill="FFFFFF"/>
        </w:rPr>
        <w:t>,</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71</w:t>
      </w:r>
      <w:r w:rsidRPr="008371AD">
        <w:rPr>
          <w:rFonts w:ascii="Times New Roman" w:hAnsi="Times New Roman" w:cs="Times New Roman"/>
          <w:color w:val="222222"/>
          <w:shd w:val="clear" w:color="auto" w:fill="FFFFFF"/>
        </w:rPr>
        <w:t>, 370-382.</w:t>
      </w:r>
    </w:p>
    <w:p w14:paraId="087074A3" w14:textId="2AB51E99" w:rsidR="002E4874" w:rsidRPr="008371AD" w:rsidRDefault="002E4874" w:rsidP="002E4874">
      <w:pPr>
        <w:rPr>
          <w:rFonts w:ascii="Times New Roman" w:hAnsi="Times New Roman" w:cs="Times New Roman"/>
          <w:color w:val="222222"/>
          <w:shd w:val="clear" w:color="auto" w:fill="FFFFFF"/>
        </w:rPr>
      </w:pPr>
      <w:r w:rsidRPr="008371AD">
        <w:rPr>
          <w:rFonts w:ascii="Times New Roman" w:hAnsi="Times New Roman" w:cs="Times New Roman"/>
          <w:color w:val="222222"/>
          <w:shd w:val="clear" w:color="auto" w:fill="FFFFFF"/>
        </w:rPr>
        <w:t xml:space="preserve">Nong, D., </w:t>
      </w:r>
      <w:proofErr w:type="spellStart"/>
      <w:r w:rsidRPr="008371AD">
        <w:rPr>
          <w:rFonts w:ascii="Times New Roman" w:hAnsi="Times New Roman" w:cs="Times New Roman"/>
          <w:color w:val="222222"/>
          <w:shd w:val="clear" w:color="auto" w:fill="FFFFFF"/>
        </w:rPr>
        <w:t>Simshauser</w:t>
      </w:r>
      <w:proofErr w:type="spellEnd"/>
      <w:r w:rsidRPr="008371AD">
        <w:rPr>
          <w:rFonts w:ascii="Times New Roman" w:hAnsi="Times New Roman" w:cs="Times New Roman"/>
          <w:color w:val="222222"/>
          <w:shd w:val="clear" w:color="auto" w:fill="FFFFFF"/>
        </w:rPr>
        <w:t>, P., &amp; Nguyen, D. B. (2021). Greenhouse gas emissions vs CO2 emissions: Comparative analysis of a global carbon tax.</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Applied Energy</w:t>
      </w:r>
      <w:r w:rsidRPr="008371AD">
        <w:rPr>
          <w:rFonts w:ascii="Times New Roman" w:hAnsi="Times New Roman" w:cs="Times New Roman"/>
          <w:color w:val="222222"/>
          <w:shd w:val="clear" w:color="auto" w:fill="FFFFFF"/>
        </w:rPr>
        <w:t>,</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298</w:t>
      </w:r>
      <w:r w:rsidRPr="008371AD">
        <w:rPr>
          <w:rFonts w:ascii="Times New Roman" w:hAnsi="Times New Roman" w:cs="Times New Roman"/>
          <w:color w:val="222222"/>
          <w:shd w:val="clear" w:color="auto" w:fill="FFFFFF"/>
        </w:rPr>
        <w:t>, 117223</w:t>
      </w:r>
    </w:p>
    <w:p w14:paraId="191F6333" w14:textId="77777777" w:rsidR="00295ECC" w:rsidRPr="008371AD" w:rsidRDefault="002643C3">
      <w:pPr>
        <w:rPr>
          <w:rFonts w:ascii="Times New Roman" w:hAnsi="Times New Roman" w:cs="Times New Roman"/>
          <w:color w:val="222222"/>
          <w:shd w:val="clear" w:color="auto" w:fill="FFFFFF"/>
        </w:rPr>
      </w:pPr>
      <w:proofErr w:type="spellStart"/>
      <w:r w:rsidRPr="008371AD">
        <w:rPr>
          <w:rFonts w:ascii="Times New Roman" w:hAnsi="Times New Roman" w:cs="Times New Roman"/>
          <w:color w:val="222222"/>
          <w:shd w:val="clear" w:color="auto" w:fill="FFFFFF"/>
        </w:rPr>
        <w:t>Telsnig</w:t>
      </w:r>
      <w:proofErr w:type="spellEnd"/>
      <w:r w:rsidRPr="008371AD">
        <w:rPr>
          <w:rFonts w:ascii="Times New Roman" w:hAnsi="Times New Roman" w:cs="Times New Roman"/>
          <w:color w:val="222222"/>
          <w:shd w:val="clear" w:color="auto" w:fill="FFFFFF"/>
        </w:rPr>
        <w:t xml:space="preserve">, T., </w:t>
      </w:r>
      <w:proofErr w:type="spellStart"/>
      <w:r w:rsidRPr="008371AD">
        <w:rPr>
          <w:rFonts w:ascii="Times New Roman" w:hAnsi="Times New Roman" w:cs="Times New Roman"/>
          <w:color w:val="222222"/>
          <w:shd w:val="clear" w:color="auto" w:fill="FFFFFF"/>
        </w:rPr>
        <w:t>Tomaschek</w:t>
      </w:r>
      <w:proofErr w:type="spellEnd"/>
      <w:r w:rsidRPr="008371AD">
        <w:rPr>
          <w:rFonts w:ascii="Times New Roman" w:hAnsi="Times New Roman" w:cs="Times New Roman"/>
          <w:color w:val="222222"/>
          <w:shd w:val="clear" w:color="auto" w:fill="FFFFFF"/>
        </w:rPr>
        <w:t xml:space="preserve">, J., </w:t>
      </w:r>
      <w:proofErr w:type="spellStart"/>
      <w:r w:rsidRPr="008371AD">
        <w:rPr>
          <w:rFonts w:ascii="Times New Roman" w:hAnsi="Times New Roman" w:cs="Times New Roman"/>
          <w:color w:val="222222"/>
          <w:shd w:val="clear" w:color="auto" w:fill="FFFFFF"/>
        </w:rPr>
        <w:t>Özdemir</w:t>
      </w:r>
      <w:proofErr w:type="spellEnd"/>
      <w:r w:rsidRPr="008371AD">
        <w:rPr>
          <w:rFonts w:ascii="Times New Roman" w:hAnsi="Times New Roman" w:cs="Times New Roman"/>
          <w:color w:val="222222"/>
          <w:shd w:val="clear" w:color="auto" w:fill="FFFFFF"/>
        </w:rPr>
        <w:t xml:space="preserve">, E. D., </w:t>
      </w:r>
      <w:proofErr w:type="spellStart"/>
      <w:r w:rsidRPr="008371AD">
        <w:rPr>
          <w:rFonts w:ascii="Times New Roman" w:hAnsi="Times New Roman" w:cs="Times New Roman"/>
          <w:color w:val="222222"/>
          <w:shd w:val="clear" w:color="auto" w:fill="FFFFFF"/>
        </w:rPr>
        <w:t>Bruchof</w:t>
      </w:r>
      <w:proofErr w:type="spellEnd"/>
      <w:r w:rsidRPr="008371AD">
        <w:rPr>
          <w:rFonts w:ascii="Times New Roman" w:hAnsi="Times New Roman" w:cs="Times New Roman"/>
          <w:color w:val="222222"/>
          <w:shd w:val="clear" w:color="auto" w:fill="FFFFFF"/>
        </w:rPr>
        <w:t xml:space="preserve">, D., </w:t>
      </w:r>
      <w:proofErr w:type="spellStart"/>
      <w:r w:rsidRPr="008371AD">
        <w:rPr>
          <w:rFonts w:ascii="Times New Roman" w:hAnsi="Times New Roman" w:cs="Times New Roman"/>
          <w:color w:val="222222"/>
          <w:shd w:val="clear" w:color="auto" w:fill="FFFFFF"/>
        </w:rPr>
        <w:t>Fahl</w:t>
      </w:r>
      <w:proofErr w:type="spellEnd"/>
      <w:r w:rsidRPr="008371AD">
        <w:rPr>
          <w:rFonts w:ascii="Times New Roman" w:hAnsi="Times New Roman" w:cs="Times New Roman"/>
          <w:color w:val="222222"/>
          <w:shd w:val="clear" w:color="auto" w:fill="FFFFFF"/>
        </w:rPr>
        <w:t xml:space="preserve">, U., &amp; </w:t>
      </w:r>
      <w:proofErr w:type="spellStart"/>
      <w:r w:rsidRPr="008371AD">
        <w:rPr>
          <w:rFonts w:ascii="Times New Roman" w:hAnsi="Times New Roman" w:cs="Times New Roman"/>
          <w:color w:val="222222"/>
          <w:shd w:val="clear" w:color="auto" w:fill="FFFFFF"/>
        </w:rPr>
        <w:t>Eltrop</w:t>
      </w:r>
      <w:proofErr w:type="spellEnd"/>
      <w:r w:rsidRPr="008371AD">
        <w:rPr>
          <w:rFonts w:ascii="Times New Roman" w:hAnsi="Times New Roman" w:cs="Times New Roman"/>
          <w:color w:val="222222"/>
          <w:shd w:val="clear" w:color="auto" w:fill="FFFFFF"/>
        </w:rPr>
        <w:t>, L. (2013). Assessment of selected CCS technologies in electricity and synthetic fuel production for CO2 mitigation in South Africa.</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Energy Policy</w:t>
      </w:r>
      <w:r w:rsidRPr="008371AD">
        <w:rPr>
          <w:rFonts w:ascii="Times New Roman" w:hAnsi="Times New Roman" w:cs="Times New Roman"/>
          <w:color w:val="222222"/>
          <w:shd w:val="clear" w:color="auto" w:fill="FFFFFF"/>
        </w:rPr>
        <w:t>,</w:t>
      </w:r>
      <w:r w:rsidRPr="008371AD">
        <w:rPr>
          <w:rStyle w:val="apple-converted-space"/>
          <w:rFonts w:ascii="Times New Roman" w:hAnsi="Times New Roman" w:cs="Times New Roman"/>
          <w:color w:val="222222"/>
          <w:shd w:val="clear" w:color="auto" w:fill="FFFFFF"/>
        </w:rPr>
        <w:t> </w:t>
      </w:r>
      <w:r w:rsidRPr="008371AD">
        <w:rPr>
          <w:rFonts w:ascii="Times New Roman" w:hAnsi="Times New Roman" w:cs="Times New Roman"/>
          <w:i/>
          <w:iCs/>
          <w:color w:val="222222"/>
        </w:rPr>
        <w:t>63</w:t>
      </w:r>
      <w:r w:rsidRPr="008371AD">
        <w:rPr>
          <w:rFonts w:ascii="Times New Roman" w:hAnsi="Times New Roman" w:cs="Times New Roman"/>
          <w:color w:val="222222"/>
          <w:shd w:val="clear" w:color="auto" w:fill="FFFFFF"/>
        </w:rPr>
        <w:t>, 168-180.</w:t>
      </w:r>
    </w:p>
    <w:p w14:paraId="48A540AB" w14:textId="77777777" w:rsidR="00202F6D" w:rsidRDefault="00C62552" w:rsidP="00954B15">
      <w:pPr>
        <w:jc w:val="both"/>
        <w:rPr>
          <w:rFonts w:ascii="Times New Roman" w:hAnsi="Times New Roman" w:cs="Times New Roman"/>
        </w:rPr>
      </w:pPr>
      <w:r w:rsidRPr="008371AD">
        <w:rPr>
          <w:rFonts w:ascii="Times New Roman" w:hAnsi="Times New Roman" w:cs="Times New Roman"/>
        </w:rPr>
        <w:t xml:space="preserve">United Nations Framework Convention on Climate Change. (2015). The Paris Agreement. Retrieved April 8, 2024, from </w:t>
      </w:r>
      <w:proofErr w:type="gramStart"/>
      <w:r w:rsidRPr="008371AD">
        <w:rPr>
          <w:rFonts w:ascii="Times New Roman" w:hAnsi="Times New Roman" w:cs="Times New Roman"/>
        </w:rPr>
        <w:t>https://unfccc.int/sites/default/files/english_paris_agreement.pdf</w:t>
      </w:r>
      <w:proofErr w:type="gramEnd"/>
      <w:r w:rsidRPr="008371AD">
        <w:rPr>
          <w:rFonts w:ascii="Times New Roman" w:hAnsi="Times New Roman" w:cs="Times New Roman"/>
        </w:rPr>
        <w:t xml:space="preserve"> </w:t>
      </w:r>
    </w:p>
    <w:p w14:paraId="1F176E87" w14:textId="77777777" w:rsidR="00815386" w:rsidRDefault="0043742A" w:rsidP="00954B15">
      <w:pPr>
        <w:jc w:val="both"/>
        <w:rPr>
          <w:rFonts w:ascii="Times New Roman" w:hAnsi="Times New Roman" w:cs="Times New Roman"/>
        </w:rPr>
      </w:pPr>
      <w:r w:rsidRPr="0043742A">
        <w:rPr>
          <w:rFonts w:ascii="Times New Roman" w:hAnsi="Times New Roman" w:cs="Times New Roman"/>
        </w:rPr>
        <w:t xml:space="preserve">World Bank. (2023). Record-high revenues from global carbon pricing near $100 billion. World Bank. Retrieved March 12, 2024, from </w:t>
      </w:r>
      <w:hyperlink r:id="rId8" w:history="1">
        <w:r w:rsidRPr="00903EC5">
          <w:rPr>
            <w:rStyle w:val="Hyperlink"/>
            <w:rFonts w:ascii="Times New Roman" w:hAnsi="Times New Roman" w:cs="Times New Roman"/>
          </w:rPr>
          <w:t>https://www.worldbank.org/en/news/press-release/2023/05/23/record-high-revenues-from-global-carbon-pricing-near-100-billion</w:t>
        </w:r>
      </w:hyperlink>
      <w:r>
        <w:rPr>
          <w:rFonts w:ascii="Times New Roman" w:hAnsi="Times New Roman" w:cs="Times New Roman"/>
        </w:rPr>
        <w:t xml:space="preserve"> </w:t>
      </w:r>
    </w:p>
    <w:p w14:paraId="487F3A9A" w14:textId="77777777" w:rsidR="00815386" w:rsidRPr="00815386" w:rsidRDefault="00815386" w:rsidP="00815386">
      <w:pPr>
        <w:spacing w:before="100" w:beforeAutospacing="1" w:after="100" w:afterAutospacing="1" w:line="240" w:lineRule="auto"/>
        <w:rPr>
          <w:rFonts w:ascii="Times New Roman" w:eastAsia="Times New Roman" w:hAnsi="Times New Roman" w:cs="Times New Roman"/>
          <w:color w:val="000000"/>
          <w:kern w:val="0"/>
          <w14:ligatures w14:val="none"/>
        </w:rPr>
      </w:pPr>
      <w:r w:rsidRPr="00815386">
        <w:rPr>
          <w:rFonts w:ascii="Times New Roman" w:eastAsia="Times New Roman" w:hAnsi="Times New Roman" w:cs="Times New Roman"/>
          <w:color w:val="000000"/>
          <w:kern w:val="0"/>
          <w14:ligatures w14:val="none"/>
        </w:rPr>
        <w:t>International Monetary Fund. Fiscal Affairs Dept. (2023). Chile: Technical Assistance Report – An Evaluation of Improved Green Tax Options [IMF Staff Country Reports Volume 2023, Issue 035]. Retrieved from </w:t>
      </w:r>
      <w:hyperlink r:id="rId9" w:tgtFrame="_blank" w:history="1">
        <w:r w:rsidRPr="00815386">
          <w:rPr>
            <w:rFonts w:ascii="Times New Roman" w:eastAsia="Times New Roman" w:hAnsi="Times New Roman" w:cs="Times New Roman"/>
            <w:color w:val="0000FF"/>
            <w:kern w:val="0"/>
            <w:u w:val="single"/>
            <w14:ligatures w14:val="none"/>
          </w:rPr>
          <w:t>https://www.imf.org/en/Publications/Staff-Country-Reports/Issues/2023/01/19/Chile-Technical-Assistance-Report-An-Evaluation-of-Improved-Green-Tax-Options-460470</w:t>
        </w:r>
      </w:hyperlink>
    </w:p>
    <w:p w14:paraId="19DD6E0E" w14:textId="60F7FEE4" w:rsidR="00AB1F6B" w:rsidRPr="008371AD" w:rsidRDefault="000C5758" w:rsidP="00954B15">
      <w:pPr>
        <w:jc w:val="both"/>
        <w:rPr>
          <w:rFonts w:ascii="Times New Roman" w:hAnsi="Times New Roman" w:cs="Times New Roman"/>
        </w:rPr>
      </w:pPr>
      <w:r w:rsidRPr="008371AD">
        <w:rPr>
          <w:rFonts w:ascii="Times New Roman" w:hAnsi="Times New Roman" w:cs="Times New Roman"/>
        </w:rPr>
        <w:br w:type="page"/>
      </w:r>
    </w:p>
    <w:p w14:paraId="78F33847" w14:textId="59242C23" w:rsidR="00514127" w:rsidRPr="008371AD" w:rsidRDefault="00514127" w:rsidP="00E9118A">
      <w:pPr>
        <w:spacing w:line="240" w:lineRule="auto"/>
        <w:rPr>
          <w:rFonts w:ascii="Times New Roman" w:hAnsi="Times New Roman" w:cs="Times New Roman"/>
          <w:b/>
          <w:bCs/>
          <w:u w:val="single"/>
        </w:rPr>
      </w:pPr>
      <w:r w:rsidRPr="008371AD">
        <w:rPr>
          <w:rFonts w:ascii="Times New Roman" w:hAnsi="Times New Roman" w:cs="Times New Roman"/>
          <w:b/>
          <w:bCs/>
          <w:u w:val="single"/>
        </w:rPr>
        <w:lastRenderedPageBreak/>
        <w:t>Appendix</w:t>
      </w:r>
    </w:p>
    <w:p w14:paraId="166B6FF2" w14:textId="7E4E3E3F" w:rsidR="000C45E2" w:rsidRPr="008371AD" w:rsidRDefault="000C45E2" w:rsidP="000C45E2">
      <w:pPr>
        <w:spacing w:line="480" w:lineRule="auto"/>
        <w:jc w:val="both"/>
        <w:rPr>
          <w:rFonts w:ascii="Times New Roman" w:hAnsi="Times New Roman" w:cs="Times New Roman"/>
        </w:rPr>
      </w:pPr>
      <w:proofErr w:type="spellStart"/>
      <w:r w:rsidRPr="008371AD">
        <w:rPr>
          <w:rFonts w:ascii="Times New Roman" w:hAnsi="Times New Roman" w:cs="Times New Roman"/>
        </w:rPr>
        <w:t>Mardones</w:t>
      </w:r>
      <w:proofErr w:type="spellEnd"/>
      <w:r w:rsidRPr="008371AD">
        <w:rPr>
          <w:rFonts w:ascii="Times New Roman" w:hAnsi="Times New Roman" w:cs="Times New Roman"/>
        </w:rPr>
        <w:t xml:space="preserve"> and Flores (2018) used data from ENIA to conduct analysis on the effectiveness of carbon tax and industrial reaction towards these taxes in Chile. The paper employed an optimization problem that each industry faces in the presence of a carbon tax. The paper concluded that, higher taxes such as $10/ton CO2 and US$30/ton CO2 are implemented, emissions will be reduced </w:t>
      </w:r>
      <w:r w:rsidR="002E6F5C" w:rsidRPr="008371AD">
        <w:rPr>
          <w:rFonts w:ascii="Times New Roman" w:hAnsi="Times New Roman" w:cs="Times New Roman"/>
        </w:rPr>
        <w:t>rapidly</w:t>
      </w:r>
      <w:r w:rsidRPr="008371AD">
        <w:rPr>
          <w:rFonts w:ascii="Times New Roman" w:hAnsi="Times New Roman" w:cs="Times New Roman"/>
        </w:rPr>
        <w:t xml:space="preserve"> whereas taxes around US$10/ton CO2 do not have any impact on emission.  They concluded that higher or lower taxes does not necessarily reduces emission but rather increases revenue. While Chile ranks among the least emitters of GHG, primarily carbon dioxide, it has been so much committed to efforts towards reduction. This study reflects the extra efforts being made by countries that emits insignificant quantum of GHG towards climate change mitigation. </w:t>
      </w:r>
    </w:p>
    <w:p w14:paraId="32B25A0D" w14:textId="53B734F8" w:rsidR="000C45E2" w:rsidRDefault="000C45E2" w:rsidP="000C45E2">
      <w:pPr>
        <w:spacing w:line="480" w:lineRule="auto"/>
        <w:jc w:val="both"/>
        <w:rPr>
          <w:rFonts w:ascii="Times New Roman" w:hAnsi="Times New Roman" w:cs="Times New Roman"/>
        </w:rPr>
      </w:pPr>
      <w:proofErr w:type="spellStart"/>
      <w:r w:rsidRPr="008371AD">
        <w:rPr>
          <w:rFonts w:ascii="Times New Roman" w:hAnsi="Times New Roman" w:cs="Times New Roman"/>
        </w:rPr>
        <w:t>Gugler</w:t>
      </w:r>
      <w:proofErr w:type="spellEnd"/>
      <w:r w:rsidRPr="008371AD">
        <w:rPr>
          <w:rFonts w:ascii="Times New Roman" w:hAnsi="Times New Roman" w:cs="Times New Roman"/>
        </w:rPr>
        <w:t xml:space="preserve">, et al., (2023), </w:t>
      </w:r>
      <w:r w:rsidR="00560614">
        <w:rPr>
          <w:rFonts w:ascii="Times New Roman" w:hAnsi="Times New Roman" w:cs="Times New Roman"/>
        </w:rPr>
        <w:t xml:space="preserve">used data from the </w:t>
      </w:r>
      <w:r w:rsidR="00560614" w:rsidRPr="00560614">
        <w:rPr>
          <w:rFonts w:ascii="Times New Roman" w:hAnsi="Times New Roman" w:cs="Times New Roman"/>
        </w:rPr>
        <w:t>Department for Business,</w:t>
      </w:r>
      <w:r w:rsidR="00560614">
        <w:rPr>
          <w:rFonts w:ascii="Times New Roman" w:hAnsi="Times New Roman" w:cs="Times New Roman"/>
        </w:rPr>
        <w:t xml:space="preserve"> </w:t>
      </w:r>
      <w:proofErr w:type="gramStart"/>
      <w:r w:rsidR="00560614" w:rsidRPr="00560614">
        <w:rPr>
          <w:rFonts w:ascii="Times New Roman" w:hAnsi="Times New Roman" w:cs="Times New Roman"/>
        </w:rPr>
        <w:t>Energy</w:t>
      </w:r>
      <w:proofErr w:type="gramEnd"/>
      <w:r w:rsidR="00560614" w:rsidRPr="00560614">
        <w:rPr>
          <w:rFonts w:ascii="Times New Roman" w:hAnsi="Times New Roman" w:cs="Times New Roman"/>
        </w:rPr>
        <w:t xml:space="preserve"> and Industrial Strategy (BEIS)</w:t>
      </w:r>
      <w:r w:rsidR="00560614">
        <w:rPr>
          <w:rFonts w:ascii="Times New Roman" w:hAnsi="Times New Roman" w:cs="Times New Roman"/>
        </w:rPr>
        <w:t xml:space="preserve"> in the UK </w:t>
      </w:r>
      <w:r w:rsidRPr="008371AD">
        <w:rPr>
          <w:rFonts w:ascii="Times New Roman" w:hAnsi="Times New Roman" w:cs="Times New Roman"/>
        </w:rPr>
        <w:t xml:space="preserve">examined the impact of the introduction of carbon tax in British power sector on electricity-related emissions. Using a regression discontinuity design, the authors estimated the impact for the year the tax was introduced (2013) and subsequent years elevation and modification (2013 and 2014). The paper concluded that the causal effect of the policy on emission is dependent on the discontinuity created in electricity generation over the years because of the policy. The paper confirmed that the introduction of the policy changed the marginal cost of power plants base on emission intensities such that emissions are restrained. It also concludes that a minimal or moderate tax policy can cause a reduction in emission. </w:t>
      </w:r>
      <w:r w:rsidR="00560614">
        <w:rPr>
          <w:rFonts w:ascii="Times New Roman" w:hAnsi="Times New Roman" w:cs="Times New Roman"/>
        </w:rPr>
        <w:t>This paper raises gives insight on how high or low South Africa’s carbon policy should be set such that it will serve it purpose of reducing emission other than just raising revenue.</w:t>
      </w:r>
    </w:p>
    <w:p w14:paraId="7F3574F8" w14:textId="28103C8C" w:rsidR="000C45E2" w:rsidRPr="008371AD" w:rsidRDefault="000C45E2" w:rsidP="000C45E2">
      <w:pPr>
        <w:spacing w:line="480" w:lineRule="auto"/>
        <w:jc w:val="both"/>
        <w:rPr>
          <w:rFonts w:ascii="Times New Roman" w:hAnsi="Times New Roman" w:cs="Times New Roman"/>
        </w:rPr>
      </w:pPr>
      <w:r w:rsidRPr="008371AD">
        <w:rPr>
          <w:rFonts w:ascii="Times New Roman" w:hAnsi="Times New Roman" w:cs="Times New Roman"/>
        </w:rPr>
        <w:t>Andersen (2019) use</w:t>
      </w:r>
      <w:r w:rsidR="00F82C61">
        <w:rPr>
          <w:rFonts w:ascii="Times New Roman" w:hAnsi="Times New Roman" w:cs="Times New Roman"/>
        </w:rPr>
        <w:t xml:space="preserve">s data from the World Bank’s World Development Indicators and employed </w:t>
      </w:r>
      <w:r w:rsidRPr="008371AD">
        <w:rPr>
          <w:rFonts w:ascii="Times New Roman" w:hAnsi="Times New Roman" w:cs="Times New Roman"/>
        </w:rPr>
        <w:t xml:space="preserve">a synthetic control method to assess the impact of carbon taxes and value added tax on transport fuel </w:t>
      </w:r>
      <w:r w:rsidRPr="008371AD">
        <w:rPr>
          <w:rFonts w:ascii="Times New Roman" w:hAnsi="Times New Roman" w:cs="Times New Roman"/>
        </w:rPr>
        <w:lastRenderedPageBreak/>
        <w:t xml:space="preserve">in Sweden. The </w:t>
      </w:r>
      <w:r w:rsidR="007471BD" w:rsidRPr="008371AD">
        <w:rPr>
          <w:rFonts w:ascii="Times New Roman" w:hAnsi="Times New Roman" w:cs="Times New Roman"/>
        </w:rPr>
        <w:t>Sweden</w:t>
      </w:r>
      <w:r w:rsidRPr="008371AD">
        <w:rPr>
          <w:rFonts w:ascii="Times New Roman" w:hAnsi="Times New Roman" w:cs="Times New Roman"/>
        </w:rPr>
        <w:t xml:space="preserve"> carbon tax currently stands at US$132 per ton which is the world’s highest tax imposed on non-trading sectors and households. The study revealed that the implementation of this policy significantly accounted for the reduction of emissions from transport by 11 percent. Anderson (2019) concluded that carbon tax elasticity demand for gasoline is about three times more than its price elastic and as such, using </w:t>
      </w:r>
      <w:r w:rsidR="00993BD7" w:rsidRPr="008371AD">
        <w:rPr>
          <w:rFonts w:ascii="Times New Roman" w:hAnsi="Times New Roman" w:cs="Times New Roman"/>
        </w:rPr>
        <w:t>elasticates</w:t>
      </w:r>
      <w:r w:rsidRPr="008371AD">
        <w:rPr>
          <w:rFonts w:ascii="Times New Roman" w:hAnsi="Times New Roman" w:cs="Times New Roman"/>
        </w:rPr>
        <w:t xml:space="preserve"> to measure emission reductions can be misleading. </w:t>
      </w:r>
      <w:r w:rsidR="007471BD" w:rsidRPr="008371AD">
        <w:rPr>
          <w:rFonts w:ascii="Times New Roman" w:hAnsi="Times New Roman" w:cs="Times New Roman"/>
        </w:rPr>
        <w:t xml:space="preserve">This study gives account of a sector-specific </w:t>
      </w:r>
      <w:r w:rsidR="001B6B20" w:rsidRPr="008371AD">
        <w:rPr>
          <w:rFonts w:ascii="Times New Roman" w:hAnsi="Times New Roman" w:cs="Times New Roman"/>
        </w:rPr>
        <w:t xml:space="preserve">emission in the face of a carbon tax policy. </w:t>
      </w:r>
    </w:p>
    <w:p w14:paraId="5E48CE8F" w14:textId="3312C763" w:rsidR="0067276A" w:rsidRDefault="000C45E2" w:rsidP="000C45E2">
      <w:pPr>
        <w:spacing w:line="480" w:lineRule="auto"/>
        <w:jc w:val="both"/>
        <w:rPr>
          <w:rFonts w:ascii="Times New Roman" w:hAnsi="Times New Roman" w:cs="Times New Roman"/>
        </w:rPr>
      </w:pPr>
      <w:r w:rsidRPr="008371AD">
        <w:rPr>
          <w:rFonts w:ascii="Times New Roman" w:hAnsi="Times New Roman" w:cs="Times New Roman"/>
        </w:rPr>
        <w:t xml:space="preserve">In their study, Xu, et al., (2023) used a dynamic general equilibrium model to confirm that changes in coal resource tax can go a long way to discourage co2 emission and promote sustainable environment for economic actives to thrive. </w:t>
      </w:r>
      <w:r w:rsidR="00155E64">
        <w:rPr>
          <w:rFonts w:ascii="Times New Roman" w:hAnsi="Times New Roman" w:cs="Times New Roman"/>
        </w:rPr>
        <w:t xml:space="preserve">They used data from </w:t>
      </w:r>
      <w:r w:rsidR="00155E64" w:rsidRPr="00155E64">
        <w:rPr>
          <w:rFonts w:ascii="Times New Roman" w:hAnsi="Times New Roman" w:cs="Times New Roman"/>
        </w:rPr>
        <w:t xml:space="preserve">China Energy Statistical Yearbook and the China Electric Power </w:t>
      </w:r>
      <w:r w:rsidR="000119DE" w:rsidRPr="00155E64">
        <w:rPr>
          <w:rFonts w:ascii="Times New Roman" w:hAnsi="Times New Roman" w:cs="Times New Roman"/>
        </w:rPr>
        <w:t xml:space="preserve">Yearbook </w:t>
      </w:r>
      <w:r w:rsidR="000119DE">
        <w:rPr>
          <w:rFonts w:ascii="Times New Roman" w:hAnsi="Times New Roman" w:cs="Times New Roman"/>
        </w:rPr>
        <w:t xml:space="preserve">for this study. </w:t>
      </w:r>
      <w:r w:rsidRPr="008371AD">
        <w:rPr>
          <w:rFonts w:ascii="Times New Roman" w:hAnsi="Times New Roman" w:cs="Times New Roman"/>
        </w:rPr>
        <w:t xml:space="preserve">According to the authors, coal resource taxes affect general price system and affects consumer behavior in the face of energy consumption. From their simulation, they predicted that increased coal resource tax will affect industrial consumption and optimize resource use by industries and hence reduce haze emissions and co2 emissions. Studies such as this informs for the purpose of policy the effectiveness of pricing on </w:t>
      </w:r>
      <w:r w:rsidR="00993BD7" w:rsidRPr="008371AD">
        <w:rPr>
          <w:rFonts w:ascii="Times New Roman" w:hAnsi="Times New Roman" w:cs="Times New Roman"/>
        </w:rPr>
        <w:t>emission</w:t>
      </w:r>
      <w:r w:rsidR="000119DE">
        <w:rPr>
          <w:rFonts w:ascii="Times New Roman" w:hAnsi="Times New Roman" w:cs="Times New Roman"/>
        </w:rPr>
        <w:t xml:space="preserve"> which South Africa is </w:t>
      </w:r>
      <w:proofErr w:type="gramStart"/>
      <w:r w:rsidR="000119DE">
        <w:rPr>
          <w:rFonts w:ascii="Times New Roman" w:hAnsi="Times New Roman" w:cs="Times New Roman"/>
        </w:rPr>
        <w:t>at the moment</w:t>
      </w:r>
      <w:proofErr w:type="gramEnd"/>
      <w:r w:rsidR="000119DE">
        <w:rPr>
          <w:rFonts w:ascii="Times New Roman" w:hAnsi="Times New Roman" w:cs="Times New Roman"/>
        </w:rPr>
        <w:t xml:space="preserve"> working towards it. </w:t>
      </w:r>
    </w:p>
    <w:p w14:paraId="576191CC" w14:textId="4E4E0116" w:rsidR="001F31D1" w:rsidRPr="00EE2230" w:rsidRDefault="00915B28" w:rsidP="00EE2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both"/>
        <w:rPr>
          <w:rFonts w:ascii="Times New Roman" w:hAnsi="Times New Roman" w:cs="Times New Roman"/>
          <w:color w:val="000000"/>
          <w:kern w:val="0"/>
        </w:rPr>
      </w:pPr>
      <w:proofErr w:type="spellStart"/>
      <w:r w:rsidRPr="00EE2230">
        <w:rPr>
          <w:rFonts w:ascii="Times New Roman" w:hAnsi="Times New Roman" w:cs="Times New Roman"/>
          <w:color w:val="000000"/>
          <w:kern w:val="0"/>
        </w:rPr>
        <w:t>Dechezlepr</w:t>
      </w:r>
      <w:r w:rsidR="00854DA5" w:rsidRPr="00EE2230">
        <w:rPr>
          <w:rFonts w:ascii="Times New Roman" w:hAnsi="Times New Roman" w:cs="Times New Roman"/>
          <w:color w:val="000000"/>
          <w:kern w:val="0"/>
        </w:rPr>
        <w:t>ê</w:t>
      </w:r>
      <w:r w:rsidRPr="00EE2230">
        <w:rPr>
          <w:rFonts w:ascii="Times New Roman" w:hAnsi="Times New Roman" w:cs="Times New Roman"/>
          <w:color w:val="000000"/>
          <w:kern w:val="0"/>
        </w:rPr>
        <w:t>tre</w:t>
      </w:r>
      <w:proofErr w:type="spellEnd"/>
      <w:r w:rsidR="00854DA5" w:rsidRPr="00EE2230">
        <w:rPr>
          <w:rFonts w:ascii="Times New Roman" w:hAnsi="Times New Roman" w:cs="Times New Roman"/>
          <w:color w:val="000000"/>
          <w:kern w:val="0"/>
        </w:rPr>
        <w:t>, et al (202</w:t>
      </w:r>
      <w:r w:rsidR="00CF42D0" w:rsidRPr="00EE2230">
        <w:rPr>
          <w:rFonts w:ascii="Times New Roman" w:hAnsi="Times New Roman" w:cs="Times New Roman"/>
          <w:color w:val="000000"/>
          <w:kern w:val="0"/>
        </w:rPr>
        <w:t xml:space="preserve">3) used the </w:t>
      </w:r>
      <w:r w:rsidR="00CB5FCA" w:rsidRPr="00EE2230">
        <w:rPr>
          <w:rFonts w:ascii="Times New Roman" w:hAnsi="Times New Roman" w:cs="Times New Roman"/>
          <w:color w:val="000000"/>
          <w:kern w:val="0"/>
        </w:rPr>
        <w:t xml:space="preserve">matching methodology and </w:t>
      </w:r>
      <w:r w:rsidR="00094761" w:rsidRPr="00EE2230">
        <w:rPr>
          <w:rFonts w:ascii="Times New Roman" w:hAnsi="Times New Roman" w:cs="Times New Roman"/>
          <w:color w:val="000000"/>
          <w:kern w:val="0"/>
        </w:rPr>
        <w:t xml:space="preserve">differences-in-differences </w:t>
      </w:r>
      <w:r w:rsidR="00352A16" w:rsidRPr="00EE2230">
        <w:rPr>
          <w:rFonts w:ascii="Times New Roman" w:hAnsi="Times New Roman" w:cs="Times New Roman"/>
          <w:color w:val="000000"/>
          <w:kern w:val="0"/>
        </w:rPr>
        <w:t xml:space="preserve">estimation </w:t>
      </w:r>
      <w:r w:rsidR="00BC2FBA" w:rsidRPr="00EE2230">
        <w:rPr>
          <w:rFonts w:ascii="Times New Roman" w:hAnsi="Times New Roman" w:cs="Times New Roman"/>
          <w:color w:val="000000"/>
          <w:kern w:val="0"/>
        </w:rPr>
        <w:t>approach</w:t>
      </w:r>
      <w:r w:rsidR="00453080" w:rsidRPr="00EE2230">
        <w:rPr>
          <w:rFonts w:ascii="Times New Roman" w:hAnsi="Times New Roman" w:cs="Times New Roman"/>
          <w:color w:val="000000"/>
          <w:kern w:val="0"/>
        </w:rPr>
        <w:t xml:space="preserve"> </w:t>
      </w:r>
      <w:r w:rsidR="00352A16" w:rsidRPr="00EE2230">
        <w:rPr>
          <w:rFonts w:ascii="Times New Roman" w:hAnsi="Times New Roman" w:cs="Times New Roman"/>
          <w:color w:val="000000"/>
          <w:kern w:val="0"/>
        </w:rPr>
        <w:t xml:space="preserve">to investigate the impact of </w:t>
      </w:r>
      <w:r w:rsidR="00AD416B" w:rsidRPr="00EE2230">
        <w:rPr>
          <w:rFonts w:ascii="Times New Roman" w:hAnsi="Times New Roman" w:cs="Times New Roman"/>
          <w:color w:val="000000"/>
          <w:kern w:val="0"/>
        </w:rPr>
        <w:t>European Union Emissions Trading System</w:t>
      </w:r>
      <w:r w:rsidR="00AA7A2D" w:rsidRPr="00EE2230">
        <w:rPr>
          <w:rFonts w:ascii="Times New Roman" w:hAnsi="Times New Roman" w:cs="Times New Roman"/>
          <w:color w:val="000000"/>
          <w:kern w:val="0"/>
        </w:rPr>
        <w:t xml:space="preserve"> (EU ETS) on carbon emissions and economic performance</w:t>
      </w:r>
      <w:r w:rsidR="00453080" w:rsidRPr="00EE2230">
        <w:rPr>
          <w:rFonts w:ascii="Times New Roman" w:hAnsi="Times New Roman" w:cs="Times New Roman"/>
          <w:color w:val="000000"/>
          <w:kern w:val="0"/>
        </w:rPr>
        <w:t xml:space="preserve"> with data from France, Netherlands, Norway, and the United Kingdom. They found </w:t>
      </w:r>
      <w:r w:rsidR="001F31D1" w:rsidRPr="00EE2230">
        <w:rPr>
          <w:rFonts w:ascii="Times New Roman" w:hAnsi="Times New Roman" w:cs="Times New Roman"/>
          <w:color w:val="000000"/>
          <w:kern w:val="0"/>
        </w:rPr>
        <w:t xml:space="preserve">a statistically significant reduction in emissions by approximately 10% from 2005 to 2012, without </w:t>
      </w:r>
      <w:r w:rsidR="00AD3B52" w:rsidRPr="00EE2230">
        <w:rPr>
          <w:rFonts w:ascii="Times New Roman" w:hAnsi="Times New Roman" w:cs="Times New Roman"/>
          <w:color w:val="000000"/>
          <w:kern w:val="0"/>
        </w:rPr>
        <w:t>decreasing economic</w:t>
      </w:r>
      <w:r w:rsidR="001F31D1" w:rsidRPr="00EE2230">
        <w:rPr>
          <w:rFonts w:ascii="Times New Roman" w:hAnsi="Times New Roman" w:cs="Times New Roman"/>
          <w:color w:val="000000"/>
          <w:kern w:val="0"/>
        </w:rPr>
        <w:t xml:space="preserve"> performance of regulated firms. This study confirms </w:t>
      </w:r>
      <w:r w:rsidR="00AD3B52">
        <w:rPr>
          <w:rFonts w:ascii="Times New Roman" w:hAnsi="Times New Roman" w:cs="Times New Roman"/>
          <w:color w:val="000000"/>
          <w:kern w:val="0"/>
        </w:rPr>
        <w:t xml:space="preserve">that </w:t>
      </w:r>
      <w:r w:rsidR="00F33805">
        <w:rPr>
          <w:rFonts w:ascii="Times New Roman" w:hAnsi="Times New Roman" w:cs="Times New Roman"/>
          <w:color w:val="000000"/>
          <w:kern w:val="0"/>
        </w:rPr>
        <w:t xml:space="preserve">emission tools can help reduce </w:t>
      </w:r>
      <w:r w:rsidR="001F31D1" w:rsidRPr="00EE2230">
        <w:rPr>
          <w:rFonts w:ascii="Times New Roman" w:hAnsi="Times New Roman" w:cs="Times New Roman"/>
          <w:color w:val="000000"/>
          <w:kern w:val="0"/>
        </w:rPr>
        <w:t xml:space="preserve">emissions </w:t>
      </w:r>
      <w:r w:rsidR="00F33805">
        <w:rPr>
          <w:rFonts w:ascii="Times New Roman" w:hAnsi="Times New Roman" w:cs="Times New Roman"/>
          <w:color w:val="000000"/>
          <w:kern w:val="0"/>
        </w:rPr>
        <w:t xml:space="preserve">without distorting </w:t>
      </w:r>
      <w:r w:rsidR="008736E1">
        <w:rPr>
          <w:rFonts w:ascii="Times New Roman" w:hAnsi="Times New Roman" w:cs="Times New Roman"/>
          <w:color w:val="000000"/>
          <w:kern w:val="0"/>
        </w:rPr>
        <w:t>market structures.</w:t>
      </w:r>
      <w:r w:rsidR="000119DE">
        <w:rPr>
          <w:rFonts w:ascii="Times New Roman" w:hAnsi="Times New Roman" w:cs="Times New Roman"/>
          <w:color w:val="000000"/>
          <w:kern w:val="0"/>
        </w:rPr>
        <w:t xml:space="preserve"> Implying that despite the bottlenecks with a pricing policy, it can still serve its purpose.</w:t>
      </w:r>
    </w:p>
    <w:sectPr w:rsidR="001F31D1" w:rsidRPr="00EE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C54E4"/>
    <w:multiLevelType w:val="hybridMultilevel"/>
    <w:tmpl w:val="E8BE526E"/>
    <w:lvl w:ilvl="0" w:tplc="C38A3B8C">
      <w:start w:val="1"/>
      <w:numFmt w:val="bullet"/>
      <w:lvlText w:val="q"/>
      <w:lvlJc w:val="left"/>
      <w:pPr>
        <w:tabs>
          <w:tab w:val="num" w:pos="720"/>
        </w:tabs>
        <w:ind w:left="720" w:hanging="360"/>
      </w:pPr>
      <w:rPr>
        <w:rFonts w:ascii="Wingdings" w:hAnsi="Wingdings" w:hint="default"/>
      </w:rPr>
    </w:lvl>
    <w:lvl w:ilvl="1" w:tplc="F3FA485E" w:tentative="1">
      <w:start w:val="1"/>
      <w:numFmt w:val="bullet"/>
      <w:lvlText w:val="q"/>
      <w:lvlJc w:val="left"/>
      <w:pPr>
        <w:tabs>
          <w:tab w:val="num" w:pos="1440"/>
        </w:tabs>
        <w:ind w:left="1440" w:hanging="360"/>
      </w:pPr>
      <w:rPr>
        <w:rFonts w:ascii="Wingdings" w:hAnsi="Wingdings" w:hint="default"/>
      </w:rPr>
    </w:lvl>
    <w:lvl w:ilvl="2" w:tplc="A3021240" w:tentative="1">
      <w:start w:val="1"/>
      <w:numFmt w:val="bullet"/>
      <w:lvlText w:val="q"/>
      <w:lvlJc w:val="left"/>
      <w:pPr>
        <w:tabs>
          <w:tab w:val="num" w:pos="2160"/>
        </w:tabs>
        <w:ind w:left="2160" w:hanging="360"/>
      </w:pPr>
      <w:rPr>
        <w:rFonts w:ascii="Wingdings" w:hAnsi="Wingdings" w:hint="default"/>
      </w:rPr>
    </w:lvl>
    <w:lvl w:ilvl="3" w:tplc="80E8EC88" w:tentative="1">
      <w:start w:val="1"/>
      <w:numFmt w:val="bullet"/>
      <w:lvlText w:val="q"/>
      <w:lvlJc w:val="left"/>
      <w:pPr>
        <w:tabs>
          <w:tab w:val="num" w:pos="2880"/>
        </w:tabs>
        <w:ind w:left="2880" w:hanging="360"/>
      </w:pPr>
      <w:rPr>
        <w:rFonts w:ascii="Wingdings" w:hAnsi="Wingdings" w:hint="default"/>
      </w:rPr>
    </w:lvl>
    <w:lvl w:ilvl="4" w:tplc="B18CE5E4" w:tentative="1">
      <w:start w:val="1"/>
      <w:numFmt w:val="bullet"/>
      <w:lvlText w:val="q"/>
      <w:lvlJc w:val="left"/>
      <w:pPr>
        <w:tabs>
          <w:tab w:val="num" w:pos="3600"/>
        </w:tabs>
        <w:ind w:left="3600" w:hanging="360"/>
      </w:pPr>
      <w:rPr>
        <w:rFonts w:ascii="Wingdings" w:hAnsi="Wingdings" w:hint="default"/>
      </w:rPr>
    </w:lvl>
    <w:lvl w:ilvl="5" w:tplc="DC4E20FE" w:tentative="1">
      <w:start w:val="1"/>
      <w:numFmt w:val="bullet"/>
      <w:lvlText w:val="q"/>
      <w:lvlJc w:val="left"/>
      <w:pPr>
        <w:tabs>
          <w:tab w:val="num" w:pos="4320"/>
        </w:tabs>
        <w:ind w:left="4320" w:hanging="360"/>
      </w:pPr>
      <w:rPr>
        <w:rFonts w:ascii="Wingdings" w:hAnsi="Wingdings" w:hint="default"/>
      </w:rPr>
    </w:lvl>
    <w:lvl w:ilvl="6" w:tplc="32C63348" w:tentative="1">
      <w:start w:val="1"/>
      <w:numFmt w:val="bullet"/>
      <w:lvlText w:val="q"/>
      <w:lvlJc w:val="left"/>
      <w:pPr>
        <w:tabs>
          <w:tab w:val="num" w:pos="5040"/>
        </w:tabs>
        <w:ind w:left="5040" w:hanging="360"/>
      </w:pPr>
      <w:rPr>
        <w:rFonts w:ascii="Wingdings" w:hAnsi="Wingdings" w:hint="default"/>
      </w:rPr>
    </w:lvl>
    <w:lvl w:ilvl="7" w:tplc="9842C1B0" w:tentative="1">
      <w:start w:val="1"/>
      <w:numFmt w:val="bullet"/>
      <w:lvlText w:val="q"/>
      <w:lvlJc w:val="left"/>
      <w:pPr>
        <w:tabs>
          <w:tab w:val="num" w:pos="5760"/>
        </w:tabs>
        <w:ind w:left="5760" w:hanging="360"/>
      </w:pPr>
      <w:rPr>
        <w:rFonts w:ascii="Wingdings" w:hAnsi="Wingdings" w:hint="default"/>
      </w:rPr>
    </w:lvl>
    <w:lvl w:ilvl="8" w:tplc="0660F0B6" w:tentative="1">
      <w:start w:val="1"/>
      <w:numFmt w:val="bullet"/>
      <w:lvlText w:val="q"/>
      <w:lvlJc w:val="left"/>
      <w:pPr>
        <w:tabs>
          <w:tab w:val="num" w:pos="6480"/>
        </w:tabs>
        <w:ind w:left="6480" w:hanging="360"/>
      </w:pPr>
      <w:rPr>
        <w:rFonts w:ascii="Wingdings" w:hAnsi="Wingdings" w:hint="default"/>
      </w:rPr>
    </w:lvl>
  </w:abstractNum>
  <w:abstractNum w:abstractNumId="1" w15:restartNumberingAfterBreak="0">
    <w:nsid w:val="48F65B95"/>
    <w:multiLevelType w:val="multilevel"/>
    <w:tmpl w:val="37FE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740DD"/>
    <w:multiLevelType w:val="hybridMultilevel"/>
    <w:tmpl w:val="D644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82B81"/>
    <w:multiLevelType w:val="hybridMultilevel"/>
    <w:tmpl w:val="6BB097E0"/>
    <w:lvl w:ilvl="0" w:tplc="F3C6AB20">
      <w:start w:val="1"/>
      <w:numFmt w:val="bullet"/>
      <w:lvlText w:val="q"/>
      <w:lvlJc w:val="left"/>
      <w:pPr>
        <w:tabs>
          <w:tab w:val="num" w:pos="720"/>
        </w:tabs>
        <w:ind w:left="720" w:hanging="360"/>
      </w:pPr>
      <w:rPr>
        <w:rFonts w:ascii="Wingdings" w:hAnsi="Wingdings" w:hint="default"/>
      </w:rPr>
    </w:lvl>
    <w:lvl w:ilvl="1" w:tplc="7F02F9AA">
      <w:numFmt w:val="bullet"/>
      <w:lvlText w:val="§"/>
      <w:lvlJc w:val="left"/>
      <w:pPr>
        <w:tabs>
          <w:tab w:val="num" w:pos="1440"/>
        </w:tabs>
        <w:ind w:left="1440" w:hanging="360"/>
      </w:pPr>
      <w:rPr>
        <w:rFonts w:ascii="Wingdings" w:hAnsi="Wingdings" w:hint="default"/>
      </w:rPr>
    </w:lvl>
    <w:lvl w:ilvl="2" w:tplc="91700336" w:tentative="1">
      <w:start w:val="1"/>
      <w:numFmt w:val="bullet"/>
      <w:lvlText w:val="q"/>
      <w:lvlJc w:val="left"/>
      <w:pPr>
        <w:tabs>
          <w:tab w:val="num" w:pos="2160"/>
        </w:tabs>
        <w:ind w:left="2160" w:hanging="360"/>
      </w:pPr>
      <w:rPr>
        <w:rFonts w:ascii="Wingdings" w:hAnsi="Wingdings" w:hint="default"/>
      </w:rPr>
    </w:lvl>
    <w:lvl w:ilvl="3" w:tplc="8C1EE488" w:tentative="1">
      <w:start w:val="1"/>
      <w:numFmt w:val="bullet"/>
      <w:lvlText w:val="q"/>
      <w:lvlJc w:val="left"/>
      <w:pPr>
        <w:tabs>
          <w:tab w:val="num" w:pos="2880"/>
        </w:tabs>
        <w:ind w:left="2880" w:hanging="360"/>
      </w:pPr>
      <w:rPr>
        <w:rFonts w:ascii="Wingdings" w:hAnsi="Wingdings" w:hint="default"/>
      </w:rPr>
    </w:lvl>
    <w:lvl w:ilvl="4" w:tplc="D8023DF2" w:tentative="1">
      <w:start w:val="1"/>
      <w:numFmt w:val="bullet"/>
      <w:lvlText w:val="q"/>
      <w:lvlJc w:val="left"/>
      <w:pPr>
        <w:tabs>
          <w:tab w:val="num" w:pos="3600"/>
        </w:tabs>
        <w:ind w:left="3600" w:hanging="360"/>
      </w:pPr>
      <w:rPr>
        <w:rFonts w:ascii="Wingdings" w:hAnsi="Wingdings" w:hint="default"/>
      </w:rPr>
    </w:lvl>
    <w:lvl w:ilvl="5" w:tplc="EE365526" w:tentative="1">
      <w:start w:val="1"/>
      <w:numFmt w:val="bullet"/>
      <w:lvlText w:val="q"/>
      <w:lvlJc w:val="left"/>
      <w:pPr>
        <w:tabs>
          <w:tab w:val="num" w:pos="4320"/>
        </w:tabs>
        <w:ind w:left="4320" w:hanging="360"/>
      </w:pPr>
      <w:rPr>
        <w:rFonts w:ascii="Wingdings" w:hAnsi="Wingdings" w:hint="default"/>
      </w:rPr>
    </w:lvl>
    <w:lvl w:ilvl="6" w:tplc="20163ED2" w:tentative="1">
      <w:start w:val="1"/>
      <w:numFmt w:val="bullet"/>
      <w:lvlText w:val="q"/>
      <w:lvlJc w:val="left"/>
      <w:pPr>
        <w:tabs>
          <w:tab w:val="num" w:pos="5040"/>
        </w:tabs>
        <w:ind w:left="5040" w:hanging="360"/>
      </w:pPr>
      <w:rPr>
        <w:rFonts w:ascii="Wingdings" w:hAnsi="Wingdings" w:hint="default"/>
      </w:rPr>
    </w:lvl>
    <w:lvl w:ilvl="7" w:tplc="61429022" w:tentative="1">
      <w:start w:val="1"/>
      <w:numFmt w:val="bullet"/>
      <w:lvlText w:val="q"/>
      <w:lvlJc w:val="left"/>
      <w:pPr>
        <w:tabs>
          <w:tab w:val="num" w:pos="5760"/>
        </w:tabs>
        <w:ind w:left="5760" w:hanging="360"/>
      </w:pPr>
      <w:rPr>
        <w:rFonts w:ascii="Wingdings" w:hAnsi="Wingdings" w:hint="default"/>
      </w:rPr>
    </w:lvl>
    <w:lvl w:ilvl="8" w:tplc="D340B60A" w:tentative="1">
      <w:start w:val="1"/>
      <w:numFmt w:val="bullet"/>
      <w:lvlText w:val="q"/>
      <w:lvlJc w:val="left"/>
      <w:pPr>
        <w:tabs>
          <w:tab w:val="num" w:pos="6480"/>
        </w:tabs>
        <w:ind w:left="6480" w:hanging="360"/>
      </w:pPr>
      <w:rPr>
        <w:rFonts w:ascii="Wingdings" w:hAnsi="Wingdings" w:hint="default"/>
      </w:rPr>
    </w:lvl>
  </w:abstractNum>
  <w:num w:numId="1" w16cid:durableId="1706448531">
    <w:abstractNumId w:val="1"/>
  </w:num>
  <w:num w:numId="2" w16cid:durableId="993214614">
    <w:abstractNumId w:val="2"/>
  </w:num>
  <w:num w:numId="3" w16cid:durableId="2076513218">
    <w:abstractNumId w:val="0"/>
  </w:num>
  <w:num w:numId="4" w16cid:durableId="503060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33"/>
    <w:rsid w:val="000042B6"/>
    <w:rsid w:val="00005A81"/>
    <w:rsid w:val="000119DE"/>
    <w:rsid w:val="00012723"/>
    <w:rsid w:val="00015636"/>
    <w:rsid w:val="00016475"/>
    <w:rsid w:val="000267D3"/>
    <w:rsid w:val="0003081E"/>
    <w:rsid w:val="00031AC7"/>
    <w:rsid w:val="00031F03"/>
    <w:rsid w:val="0003312C"/>
    <w:rsid w:val="000377D5"/>
    <w:rsid w:val="00037B14"/>
    <w:rsid w:val="00041046"/>
    <w:rsid w:val="00042D91"/>
    <w:rsid w:val="000513FB"/>
    <w:rsid w:val="00054576"/>
    <w:rsid w:val="00056A0A"/>
    <w:rsid w:val="00056FAC"/>
    <w:rsid w:val="00063E9C"/>
    <w:rsid w:val="00064B87"/>
    <w:rsid w:val="0006619B"/>
    <w:rsid w:val="0006729F"/>
    <w:rsid w:val="00067485"/>
    <w:rsid w:val="00067917"/>
    <w:rsid w:val="000709B0"/>
    <w:rsid w:val="00070AE7"/>
    <w:rsid w:val="00071FAB"/>
    <w:rsid w:val="00075A7F"/>
    <w:rsid w:val="00075E62"/>
    <w:rsid w:val="000857FC"/>
    <w:rsid w:val="00090DF8"/>
    <w:rsid w:val="0009103A"/>
    <w:rsid w:val="00094761"/>
    <w:rsid w:val="000A03CE"/>
    <w:rsid w:val="000A2E1F"/>
    <w:rsid w:val="000A401D"/>
    <w:rsid w:val="000A5DF4"/>
    <w:rsid w:val="000A7093"/>
    <w:rsid w:val="000B27E8"/>
    <w:rsid w:val="000C0F20"/>
    <w:rsid w:val="000C45E2"/>
    <w:rsid w:val="000C4D12"/>
    <w:rsid w:val="000C4DD3"/>
    <w:rsid w:val="000C5758"/>
    <w:rsid w:val="000C576A"/>
    <w:rsid w:val="000C7A2B"/>
    <w:rsid w:val="000D16B3"/>
    <w:rsid w:val="000D21EE"/>
    <w:rsid w:val="000D3378"/>
    <w:rsid w:val="000D6C3B"/>
    <w:rsid w:val="000E4A25"/>
    <w:rsid w:val="000F3420"/>
    <w:rsid w:val="000F3C42"/>
    <w:rsid w:val="000F54F8"/>
    <w:rsid w:val="000F70F0"/>
    <w:rsid w:val="00101268"/>
    <w:rsid w:val="001038EA"/>
    <w:rsid w:val="0010398A"/>
    <w:rsid w:val="00106243"/>
    <w:rsid w:val="001070DE"/>
    <w:rsid w:val="0011039C"/>
    <w:rsid w:val="00113109"/>
    <w:rsid w:val="001204C0"/>
    <w:rsid w:val="00122543"/>
    <w:rsid w:val="001228AF"/>
    <w:rsid w:val="00122943"/>
    <w:rsid w:val="00134AD3"/>
    <w:rsid w:val="00134AED"/>
    <w:rsid w:val="00135FE5"/>
    <w:rsid w:val="00140497"/>
    <w:rsid w:val="00141035"/>
    <w:rsid w:val="001448D0"/>
    <w:rsid w:val="00144FFF"/>
    <w:rsid w:val="001508B7"/>
    <w:rsid w:val="00152665"/>
    <w:rsid w:val="00152722"/>
    <w:rsid w:val="00155180"/>
    <w:rsid w:val="001555EB"/>
    <w:rsid w:val="00155E64"/>
    <w:rsid w:val="00157EE1"/>
    <w:rsid w:val="00162D78"/>
    <w:rsid w:val="00166519"/>
    <w:rsid w:val="00167BAD"/>
    <w:rsid w:val="00172CD0"/>
    <w:rsid w:val="00172EE6"/>
    <w:rsid w:val="001810E9"/>
    <w:rsid w:val="00181AD4"/>
    <w:rsid w:val="00185DB2"/>
    <w:rsid w:val="00185F63"/>
    <w:rsid w:val="00186F9A"/>
    <w:rsid w:val="00187011"/>
    <w:rsid w:val="001961DE"/>
    <w:rsid w:val="001A0555"/>
    <w:rsid w:val="001A3757"/>
    <w:rsid w:val="001A3D09"/>
    <w:rsid w:val="001A53C2"/>
    <w:rsid w:val="001B069C"/>
    <w:rsid w:val="001B3F26"/>
    <w:rsid w:val="001B5FA2"/>
    <w:rsid w:val="001B6B20"/>
    <w:rsid w:val="001C0879"/>
    <w:rsid w:val="001C4A41"/>
    <w:rsid w:val="001C4B2B"/>
    <w:rsid w:val="001D0BA6"/>
    <w:rsid w:val="001D2DAD"/>
    <w:rsid w:val="001D4559"/>
    <w:rsid w:val="001D51C1"/>
    <w:rsid w:val="001D6C4E"/>
    <w:rsid w:val="001E290A"/>
    <w:rsid w:val="001E3766"/>
    <w:rsid w:val="001E4134"/>
    <w:rsid w:val="001E43D1"/>
    <w:rsid w:val="001E6F70"/>
    <w:rsid w:val="001F31D1"/>
    <w:rsid w:val="001F773E"/>
    <w:rsid w:val="002021CD"/>
    <w:rsid w:val="00202F6D"/>
    <w:rsid w:val="00204DF9"/>
    <w:rsid w:val="002109B1"/>
    <w:rsid w:val="00210ADB"/>
    <w:rsid w:val="00211FFE"/>
    <w:rsid w:val="00220934"/>
    <w:rsid w:val="00221909"/>
    <w:rsid w:val="00223367"/>
    <w:rsid w:val="00225F09"/>
    <w:rsid w:val="00231F90"/>
    <w:rsid w:val="00233F8E"/>
    <w:rsid w:val="0024164C"/>
    <w:rsid w:val="00243CBB"/>
    <w:rsid w:val="00246718"/>
    <w:rsid w:val="00247F32"/>
    <w:rsid w:val="0025158C"/>
    <w:rsid w:val="00253C77"/>
    <w:rsid w:val="00254C11"/>
    <w:rsid w:val="00256242"/>
    <w:rsid w:val="002576B5"/>
    <w:rsid w:val="00261DB5"/>
    <w:rsid w:val="002643C3"/>
    <w:rsid w:val="00266C58"/>
    <w:rsid w:val="00267482"/>
    <w:rsid w:val="002745EF"/>
    <w:rsid w:val="00274804"/>
    <w:rsid w:val="002752B5"/>
    <w:rsid w:val="002763F1"/>
    <w:rsid w:val="002777BF"/>
    <w:rsid w:val="00280BF7"/>
    <w:rsid w:val="00287881"/>
    <w:rsid w:val="00291B18"/>
    <w:rsid w:val="00293307"/>
    <w:rsid w:val="002952C3"/>
    <w:rsid w:val="00295ECC"/>
    <w:rsid w:val="00297FDE"/>
    <w:rsid w:val="002A0CAB"/>
    <w:rsid w:val="002A4DDA"/>
    <w:rsid w:val="002A4ED0"/>
    <w:rsid w:val="002A614D"/>
    <w:rsid w:val="002C3288"/>
    <w:rsid w:val="002C46B3"/>
    <w:rsid w:val="002C5877"/>
    <w:rsid w:val="002C7513"/>
    <w:rsid w:val="002C75C9"/>
    <w:rsid w:val="002C7D24"/>
    <w:rsid w:val="002D1F0A"/>
    <w:rsid w:val="002D6A9E"/>
    <w:rsid w:val="002E0958"/>
    <w:rsid w:val="002E1DD4"/>
    <w:rsid w:val="002E4874"/>
    <w:rsid w:val="002E6F5C"/>
    <w:rsid w:val="002F11FB"/>
    <w:rsid w:val="002F12E2"/>
    <w:rsid w:val="002F2020"/>
    <w:rsid w:val="002F2244"/>
    <w:rsid w:val="002F4D9B"/>
    <w:rsid w:val="002F6699"/>
    <w:rsid w:val="002F7FF8"/>
    <w:rsid w:val="00301B7F"/>
    <w:rsid w:val="00305FBD"/>
    <w:rsid w:val="003136D9"/>
    <w:rsid w:val="003152D2"/>
    <w:rsid w:val="0031600B"/>
    <w:rsid w:val="00320AD4"/>
    <w:rsid w:val="0032207C"/>
    <w:rsid w:val="00322516"/>
    <w:rsid w:val="00324495"/>
    <w:rsid w:val="00324902"/>
    <w:rsid w:val="00332784"/>
    <w:rsid w:val="00340303"/>
    <w:rsid w:val="00342D04"/>
    <w:rsid w:val="0034335E"/>
    <w:rsid w:val="00347B70"/>
    <w:rsid w:val="003518C9"/>
    <w:rsid w:val="00352A16"/>
    <w:rsid w:val="00354CB6"/>
    <w:rsid w:val="00355606"/>
    <w:rsid w:val="0036012D"/>
    <w:rsid w:val="00361637"/>
    <w:rsid w:val="00366B45"/>
    <w:rsid w:val="0037059B"/>
    <w:rsid w:val="003709BD"/>
    <w:rsid w:val="00371C30"/>
    <w:rsid w:val="00377AB3"/>
    <w:rsid w:val="00377E4B"/>
    <w:rsid w:val="003825A7"/>
    <w:rsid w:val="00386366"/>
    <w:rsid w:val="003867FD"/>
    <w:rsid w:val="00394C82"/>
    <w:rsid w:val="00395942"/>
    <w:rsid w:val="00396ABE"/>
    <w:rsid w:val="00397A63"/>
    <w:rsid w:val="003A4854"/>
    <w:rsid w:val="003B5405"/>
    <w:rsid w:val="003C0D3C"/>
    <w:rsid w:val="003C104E"/>
    <w:rsid w:val="003C2090"/>
    <w:rsid w:val="003C6FD6"/>
    <w:rsid w:val="003C77EE"/>
    <w:rsid w:val="003D0400"/>
    <w:rsid w:val="003D35A8"/>
    <w:rsid w:val="003D38D1"/>
    <w:rsid w:val="003D4B0C"/>
    <w:rsid w:val="003D5AD1"/>
    <w:rsid w:val="003D7A33"/>
    <w:rsid w:val="003E040A"/>
    <w:rsid w:val="003E0D30"/>
    <w:rsid w:val="003E35A7"/>
    <w:rsid w:val="003E5424"/>
    <w:rsid w:val="003F2AA5"/>
    <w:rsid w:val="00407DCB"/>
    <w:rsid w:val="00411462"/>
    <w:rsid w:val="00411C98"/>
    <w:rsid w:val="00421280"/>
    <w:rsid w:val="00422C17"/>
    <w:rsid w:val="004232CB"/>
    <w:rsid w:val="00425F10"/>
    <w:rsid w:val="0043202D"/>
    <w:rsid w:val="00436490"/>
    <w:rsid w:val="0043742A"/>
    <w:rsid w:val="00453080"/>
    <w:rsid w:val="00457542"/>
    <w:rsid w:val="00460761"/>
    <w:rsid w:val="00461909"/>
    <w:rsid w:val="00465EE4"/>
    <w:rsid w:val="00466189"/>
    <w:rsid w:val="004704D5"/>
    <w:rsid w:val="00475B9F"/>
    <w:rsid w:val="004775F5"/>
    <w:rsid w:val="00477D11"/>
    <w:rsid w:val="004827C5"/>
    <w:rsid w:val="00484D7C"/>
    <w:rsid w:val="00484E04"/>
    <w:rsid w:val="00487C1B"/>
    <w:rsid w:val="00490491"/>
    <w:rsid w:val="00491779"/>
    <w:rsid w:val="004937F1"/>
    <w:rsid w:val="00497EB2"/>
    <w:rsid w:val="004A157B"/>
    <w:rsid w:val="004A24A3"/>
    <w:rsid w:val="004A25DE"/>
    <w:rsid w:val="004A433B"/>
    <w:rsid w:val="004A5098"/>
    <w:rsid w:val="004A5631"/>
    <w:rsid w:val="004A59EB"/>
    <w:rsid w:val="004A7A0E"/>
    <w:rsid w:val="004B1731"/>
    <w:rsid w:val="004B1BA8"/>
    <w:rsid w:val="004B278C"/>
    <w:rsid w:val="004B631F"/>
    <w:rsid w:val="004B6E45"/>
    <w:rsid w:val="004B7587"/>
    <w:rsid w:val="004B7A4F"/>
    <w:rsid w:val="004C2946"/>
    <w:rsid w:val="004C2FB5"/>
    <w:rsid w:val="004C424C"/>
    <w:rsid w:val="004C637E"/>
    <w:rsid w:val="004D29FF"/>
    <w:rsid w:val="004D3EA1"/>
    <w:rsid w:val="004D535C"/>
    <w:rsid w:val="004D5465"/>
    <w:rsid w:val="004E2880"/>
    <w:rsid w:val="004E69F6"/>
    <w:rsid w:val="004F0D8B"/>
    <w:rsid w:val="004F1E26"/>
    <w:rsid w:val="004F50F9"/>
    <w:rsid w:val="004F53B7"/>
    <w:rsid w:val="004F5B7A"/>
    <w:rsid w:val="005020C3"/>
    <w:rsid w:val="005041BC"/>
    <w:rsid w:val="00504267"/>
    <w:rsid w:val="005059F5"/>
    <w:rsid w:val="0050784F"/>
    <w:rsid w:val="00507B4B"/>
    <w:rsid w:val="00511DE6"/>
    <w:rsid w:val="00512498"/>
    <w:rsid w:val="00514127"/>
    <w:rsid w:val="00520831"/>
    <w:rsid w:val="00521851"/>
    <w:rsid w:val="00522A9C"/>
    <w:rsid w:val="005249C3"/>
    <w:rsid w:val="0053189D"/>
    <w:rsid w:val="00533BD9"/>
    <w:rsid w:val="00543BCA"/>
    <w:rsid w:val="00544D36"/>
    <w:rsid w:val="00547334"/>
    <w:rsid w:val="00555BD0"/>
    <w:rsid w:val="0056052F"/>
    <w:rsid w:val="00560614"/>
    <w:rsid w:val="00561D28"/>
    <w:rsid w:val="005664D7"/>
    <w:rsid w:val="00566653"/>
    <w:rsid w:val="00566C1E"/>
    <w:rsid w:val="0056726F"/>
    <w:rsid w:val="00572972"/>
    <w:rsid w:val="00572A27"/>
    <w:rsid w:val="00575B79"/>
    <w:rsid w:val="00576566"/>
    <w:rsid w:val="00576574"/>
    <w:rsid w:val="00576D0F"/>
    <w:rsid w:val="005837E9"/>
    <w:rsid w:val="005855E7"/>
    <w:rsid w:val="00585980"/>
    <w:rsid w:val="00590202"/>
    <w:rsid w:val="00591403"/>
    <w:rsid w:val="00591EE4"/>
    <w:rsid w:val="0059582E"/>
    <w:rsid w:val="005A2638"/>
    <w:rsid w:val="005A5FF1"/>
    <w:rsid w:val="005A714E"/>
    <w:rsid w:val="005B1199"/>
    <w:rsid w:val="005B3510"/>
    <w:rsid w:val="005B6A2E"/>
    <w:rsid w:val="005B73C1"/>
    <w:rsid w:val="005B7B34"/>
    <w:rsid w:val="005C2513"/>
    <w:rsid w:val="005C786E"/>
    <w:rsid w:val="005D5011"/>
    <w:rsid w:val="005D6CB8"/>
    <w:rsid w:val="005E3162"/>
    <w:rsid w:val="005E4624"/>
    <w:rsid w:val="005F0EB7"/>
    <w:rsid w:val="005F116C"/>
    <w:rsid w:val="005F31A3"/>
    <w:rsid w:val="005F5A78"/>
    <w:rsid w:val="00601F53"/>
    <w:rsid w:val="006024A1"/>
    <w:rsid w:val="00602ADC"/>
    <w:rsid w:val="00603697"/>
    <w:rsid w:val="0060471F"/>
    <w:rsid w:val="006057B2"/>
    <w:rsid w:val="00613772"/>
    <w:rsid w:val="00613A42"/>
    <w:rsid w:val="00623604"/>
    <w:rsid w:val="00625975"/>
    <w:rsid w:val="00634A21"/>
    <w:rsid w:val="00635E0C"/>
    <w:rsid w:val="00636660"/>
    <w:rsid w:val="00636F41"/>
    <w:rsid w:val="00640767"/>
    <w:rsid w:val="00641A8C"/>
    <w:rsid w:val="00647835"/>
    <w:rsid w:val="00656F53"/>
    <w:rsid w:val="0067276A"/>
    <w:rsid w:val="00675766"/>
    <w:rsid w:val="0068324B"/>
    <w:rsid w:val="00691A95"/>
    <w:rsid w:val="006923E6"/>
    <w:rsid w:val="00695462"/>
    <w:rsid w:val="006969AE"/>
    <w:rsid w:val="006969E7"/>
    <w:rsid w:val="006A51D5"/>
    <w:rsid w:val="006A5A75"/>
    <w:rsid w:val="006A7798"/>
    <w:rsid w:val="006A7896"/>
    <w:rsid w:val="006A7B25"/>
    <w:rsid w:val="006B3509"/>
    <w:rsid w:val="006B434D"/>
    <w:rsid w:val="006B4609"/>
    <w:rsid w:val="006C1A61"/>
    <w:rsid w:val="006C1C90"/>
    <w:rsid w:val="006C4896"/>
    <w:rsid w:val="006D19C2"/>
    <w:rsid w:val="006D1F55"/>
    <w:rsid w:val="006D33EC"/>
    <w:rsid w:val="006D44F3"/>
    <w:rsid w:val="006D59C9"/>
    <w:rsid w:val="006D7154"/>
    <w:rsid w:val="006E28D2"/>
    <w:rsid w:val="006E2905"/>
    <w:rsid w:val="006E2F4C"/>
    <w:rsid w:val="006F0907"/>
    <w:rsid w:val="007013AD"/>
    <w:rsid w:val="00701C20"/>
    <w:rsid w:val="00704D58"/>
    <w:rsid w:val="0071027B"/>
    <w:rsid w:val="007113B5"/>
    <w:rsid w:val="00722578"/>
    <w:rsid w:val="00724730"/>
    <w:rsid w:val="007269CB"/>
    <w:rsid w:val="00726BB7"/>
    <w:rsid w:val="00730ECA"/>
    <w:rsid w:val="0074036F"/>
    <w:rsid w:val="00743FBD"/>
    <w:rsid w:val="0074406E"/>
    <w:rsid w:val="007471BD"/>
    <w:rsid w:val="007479B5"/>
    <w:rsid w:val="0075053D"/>
    <w:rsid w:val="00752071"/>
    <w:rsid w:val="0075236E"/>
    <w:rsid w:val="007528E9"/>
    <w:rsid w:val="00753AC6"/>
    <w:rsid w:val="00755A9E"/>
    <w:rsid w:val="007629CE"/>
    <w:rsid w:val="00763823"/>
    <w:rsid w:val="0076418B"/>
    <w:rsid w:val="00766D47"/>
    <w:rsid w:val="00770B00"/>
    <w:rsid w:val="00770DC6"/>
    <w:rsid w:val="007724A6"/>
    <w:rsid w:val="007763F5"/>
    <w:rsid w:val="007800D6"/>
    <w:rsid w:val="007826CA"/>
    <w:rsid w:val="00782AEC"/>
    <w:rsid w:val="00784BB3"/>
    <w:rsid w:val="00787E9A"/>
    <w:rsid w:val="00796C25"/>
    <w:rsid w:val="0079729B"/>
    <w:rsid w:val="00797FF1"/>
    <w:rsid w:val="007A138B"/>
    <w:rsid w:val="007A49AA"/>
    <w:rsid w:val="007A5560"/>
    <w:rsid w:val="007B2034"/>
    <w:rsid w:val="007B4390"/>
    <w:rsid w:val="007B4709"/>
    <w:rsid w:val="007B7F43"/>
    <w:rsid w:val="007C4BC6"/>
    <w:rsid w:val="007D06ED"/>
    <w:rsid w:val="007D51D9"/>
    <w:rsid w:val="007D54E7"/>
    <w:rsid w:val="007D7070"/>
    <w:rsid w:val="007E2278"/>
    <w:rsid w:val="007E29B7"/>
    <w:rsid w:val="007E4FFE"/>
    <w:rsid w:val="007E5408"/>
    <w:rsid w:val="007E5792"/>
    <w:rsid w:val="007E6980"/>
    <w:rsid w:val="007E7040"/>
    <w:rsid w:val="007E74D2"/>
    <w:rsid w:val="007F01A9"/>
    <w:rsid w:val="007F0720"/>
    <w:rsid w:val="007F4BB1"/>
    <w:rsid w:val="00801132"/>
    <w:rsid w:val="008029E2"/>
    <w:rsid w:val="0080463E"/>
    <w:rsid w:val="00810C86"/>
    <w:rsid w:val="008125A8"/>
    <w:rsid w:val="00814D97"/>
    <w:rsid w:val="00815386"/>
    <w:rsid w:val="00816482"/>
    <w:rsid w:val="00817C42"/>
    <w:rsid w:val="0082020F"/>
    <w:rsid w:val="008213D2"/>
    <w:rsid w:val="0082633D"/>
    <w:rsid w:val="008343E1"/>
    <w:rsid w:val="008366F4"/>
    <w:rsid w:val="008371AD"/>
    <w:rsid w:val="00837436"/>
    <w:rsid w:val="0083753D"/>
    <w:rsid w:val="008536F1"/>
    <w:rsid w:val="00853808"/>
    <w:rsid w:val="00853C01"/>
    <w:rsid w:val="00854DA5"/>
    <w:rsid w:val="008633DE"/>
    <w:rsid w:val="00864DB0"/>
    <w:rsid w:val="008736E1"/>
    <w:rsid w:val="0087409A"/>
    <w:rsid w:val="0087502F"/>
    <w:rsid w:val="00880548"/>
    <w:rsid w:val="00881434"/>
    <w:rsid w:val="0088263F"/>
    <w:rsid w:val="00884726"/>
    <w:rsid w:val="008847AF"/>
    <w:rsid w:val="00890765"/>
    <w:rsid w:val="0089179A"/>
    <w:rsid w:val="0089259A"/>
    <w:rsid w:val="00892FBB"/>
    <w:rsid w:val="008932DF"/>
    <w:rsid w:val="00897B09"/>
    <w:rsid w:val="008A0EDC"/>
    <w:rsid w:val="008A3E00"/>
    <w:rsid w:val="008A5484"/>
    <w:rsid w:val="008A785B"/>
    <w:rsid w:val="008B1D85"/>
    <w:rsid w:val="008B2FAA"/>
    <w:rsid w:val="008B4F9E"/>
    <w:rsid w:val="008B4FF0"/>
    <w:rsid w:val="008B67AA"/>
    <w:rsid w:val="008C30CE"/>
    <w:rsid w:val="008C39EE"/>
    <w:rsid w:val="008C62D9"/>
    <w:rsid w:val="008D1399"/>
    <w:rsid w:val="008D16AA"/>
    <w:rsid w:val="008D3403"/>
    <w:rsid w:val="008D75EA"/>
    <w:rsid w:val="008E04B3"/>
    <w:rsid w:val="008E27A0"/>
    <w:rsid w:val="008E3513"/>
    <w:rsid w:val="008E3B20"/>
    <w:rsid w:val="008E55CF"/>
    <w:rsid w:val="008E7C7D"/>
    <w:rsid w:val="008F3B2E"/>
    <w:rsid w:val="008F3DB5"/>
    <w:rsid w:val="008F67EF"/>
    <w:rsid w:val="008F779B"/>
    <w:rsid w:val="0090015E"/>
    <w:rsid w:val="00900E32"/>
    <w:rsid w:val="00906A08"/>
    <w:rsid w:val="00915B28"/>
    <w:rsid w:val="0091690D"/>
    <w:rsid w:val="00917596"/>
    <w:rsid w:val="00917B71"/>
    <w:rsid w:val="009200C8"/>
    <w:rsid w:val="00922791"/>
    <w:rsid w:val="00922A1E"/>
    <w:rsid w:val="00922BD5"/>
    <w:rsid w:val="00923F0B"/>
    <w:rsid w:val="00930CC9"/>
    <w:rsid w:val="00931F31"/>
    <w:rsid w:val="009324C8"/>
    <w:rsid w:val="009331C1"/>
    <w:rsid w:val="009347B8"/>
    <w:rsid w:val="00934C2F"/>
    <w:rsid w:val="00935978"/>
    <w:rsid w:val="00937B8C"/>
    <w:rsid w:val="00941112"/>
    <w:rsid w:val="00954992"/>
    <w:rsid w:val="00954B15"/>
    <w:rsid w:val="00966A83"/>
    <w:rsid w:val="009672B3"/>
    <w:rsid w:val="00970A33"/>
    <w:rsid w:val="00971888"/>
    <w:rsid w:val="00977B11"/>
    <w:rsid w:val="00980152"/>
    <w:rsid w:val="00980DF9"/>
    <w:rsid w:val="00982A98"/>
    <w:rsid w:val="00984EE6"/>
    <w:rsid w:val="0098532C"/>
    <w:rsid w:val="00987444"/>
    <w:rsid w:val="00993BD7"/>
    <w:rsid w:val="00994F07"/>
    <w:rsid w:val="00994F73"/>
    <w:rsid w:val="009A07B5"/>
    <w:rsid w:val="009A1145"/>
    <w:rsid w:val="009A2FEF"/>
    <w:rsid w:val="009A463C"/>
    <w:rsid w:val="009B480A"/>
    <w:rsid w:val="009C007B"/>
    <w:rsid w:val="009C3749"/>
    <w:rsid w:val="009C57D2"/>
    <w:rsid w:val="009D174E"/>
    <w:rsid w:val="009D4256"/>
    <w:rsid w:val="009E1A87"/>
    <w:rsid w:val="009E1F01"/>
    <w:rsid w:val="009E499C"/>
    <w:rsid w:val="009F3A25"/>
    <w:rsid w:val="00A001B3"/>
    <w:rsid w:val="00A0039C"/>
    <w:rsid w:val="00A010BB"/>
    <w:rsid w:val="00A06BCD"/>
    <w:rsid w:val="00A074FE"/>
    <w:rsid w:val="00A137FA"/>
    <w:rsid w:val="00A158BF"/>
    <w:rsid w:val="00A160B9"/>
    <w:rsid w:val="00A178B3"/>
    <w:rsid w:val="00A244A5"/>
    <w:rsid w:val="00A25624"/>
    <w:rsid w:val="00A26891"/>
    <w:rsid w:val="00A27E5F"/>
    <w:rsid w:val="00A32CD9"/>
    <w:rsid w:val="00A33D97"/>
    <w:rsid w:val="00A343F3"/>
    <w:rsid w:val="00A35FD6"/>
    <w:rsid w:val="00A36134"/>
    <w:rsid w:val="00A4286B"/>
    <w:rsid w:val="00A43BE0"/>
    <w:rsid w:val="00A57C64"/>
    <w:rsid w:val="00A60C9D"/>
    <w:rsid w:val="00A60E72"/>
    <w:rsid w:val="00A6541F"/>
    <w:rsid w:val="00A662B6"/>
    <w:rsid w:val="00A70233"/>
    <w:rsid w:val="00A75446"/>
    <w:rsid w:val="00A76D48"/>
    <w:rsid w:val="00A810E5"/>
    <w:rsid w:val="00A81157"/>
    <w:rsid w:val="00A81801"/>
    <w:rsid w:val="00A82DC9"/>
    <w:rsid w:val="00A83F77"/>
    <w:rsid w:val="00A93871"/>
    <w:rsid w:val="00A95690"/>
    <w:rsid w:val="00A97A6F"/>
    <w:rsid w:val="00AA11F6"/>
    <w:rsid w:val="00AA352A"/>
    <w:rsid w:val="00AA3BEA"/>
    <w:rsid w:val="00AA4213"/>
    <w:rsid w:val="00AA568F"/>
    <w:rsid w:val="00AA5DE8"/>
    <w:rsid w:val="00AA7505"/>
    <w:rsid w:val="00AA7A2D"/>
    <w:rsid w:val="00AB1A17"/>
    <w:rsid w:val="00AB1F6B"/>
    <w:rsid w:val="00AB2D7C"/>
    <w:rsid w:val="00AB5305"/>
    <w:rsid w:val="00AB5404"/>
    <w:rsid w:val="00AC18E5"/>
    <w:rsid w:val="00AC33B2"/>
    <w:rsid w:val="00AC431A"/>
    <w:rsid w:val="00AD0DDD"/>
    <w:rsid w:val="00AD1F5D"/>
    <w:rsid w:val="00AD3B52"/>
    <w:rsid w:val="00AD416B"/>
    <w:rsid w:val="00AD5C68"/>
    <w:rsid w:val="00AE6044"/>
    <w:rsid w:val="00AE7E87"/>
    <w:rsid w:val="00AF605E"/>
    <w:rsid w:val="00B00342"/>
    <w:rsid w:val="00B024F2"/>
    <w:rsid w:val="00B127BA"/>
    <w:rsid w:val="00B151E5"/>
    <w:rsid w:val="00B2060C"/>
    <w:rsid w:val="00B2247F"/>
    <w:rsid w:val="00B25E95"/>
    <w:rsid w:val="00B337D7"/>
    <w:rsid w:val="00B3469B"/>
    <w:rsid w:val="00B370DA"/>
    <w:rsid w:val="00B37F0A"/>
    <w:rsid w:val="00B47C9D"/>
    <w:rsid w:val="00B47D6C"/>
    <w:rsid w:val="00B51CBC"/>
    <w:rsid w:val="00B53C13"/>
    <w:rsid w:val="00B540D9"/>
    <w:rsid w:val="00B56ECA"/>
    <w:rsid w:val="00B60935"/>
    <w:rsid w:val="00B61B04"/>
    <w:rsid w:val="00B62476"/>
    <w:rsid w:val="00B6563B"/>
    <w:rsid w:val="00B727C9"/>
    <w:rsid w:val="00B732AF"/>
    <w:rsid w:val="00B75D8E"/>
    <w:rsid w:val="00B76D57"/>
    <w:rsid w:val="00B80AD5"/>
    <w:rsid w:val="00B82032"/>
    <w:rsid w:val="00B83F8D"/>
    <w:rsid w:val="00B90B03"/>
    <w:rsid w:val="00B91088"/>
    <w:rsid w:val="00B922AC"/>
    <w:rsid w:val="00B92460"/>
    <w:rsid w:val="00B92756"/>
    <w:rsid w:val="00B9332C"/>
    <w:rsid w:val="00B96D2B"/>
    <w:rsid w:val="00BA0F05"/>
    <w:rsid w:val="00BA67E1"/>
    <w:rsid w:val="00BB5D3C"/>
    <w:rsid w:val="00BB708E"/>
    <w:rsid w:val="00BC1529"/>
    <w:rsid w:val="00BC2FBA"/>
    <w:rsid w:val="00BC4008"/>
    <w:rsid w:val="00BC554F"/>
    <w:rsid w:val="00BC68AF"/>
    <w:rsid w:val="00BD140F"/>
    <w:rsid w:val="00BD19A2"/>
    <w:rsid w:val="00BD25DE"/>
    <w:rsid w:val="00BD51B6"/>
    <w:rsid w:val="00BE0ABE"/>
    <w:rsid w:val="00BE2ADA"/>
    <w:rsid w:val="00BF0993"/>
    <w:rsid w:val="00BF4150"/>
    <w:rsid w:val="00BF63F0"/>
    <w:rsid w:val="00C0349B"/>
    <w:rsid w:val="00C0420C"/>
    <w:rsid w:val="00C051A1"/>
    <w:rsid w:val="00C0692F"/>
    <w:rsid w:val="00C123F9"/>
    <w:rsid w:val="00C15537"/>
    <w:rsid w:val="00C23DC4"/>
    <w:rsid w:val="00C23EB2"/>
    <w:rsid w:val="00C24DFC"/>
    <w:rsid w:val="00C2648C"/>
    <w:rsid w:val="00C26548"/>
    <w:rsid w:val="00C30F97"/>
    <w:rsid w:val="00C32F79"/>
    <w:rsid w:val="00C33110"/>
    <w:rsid w:val="00C3635E"/>
    <w:rsid w:val="00C37FBC"/>
    <w:rsid w:val="00C42130"/>
    <w:rsid w:val="00C46086"/>
    <w:rsid w:val="00C46AB7"/>
    <w:rsid w:val="00C511D3"/>
    <w:rsid w:val="00C52682"/>
    <w:rsid w:val="00C52ECB"/>
    <w:rsid w:val="00C531E3"/>
    <w:rsid w:val="00C53A92"/>
    <w:rsid w:val="00C608EE"/>
    <w:rsid w:val="00C624C2"/>
    <w:rsid w:val="00C62552"/>
    <w:rsid w:val="00C627AE"/>
    <w:rsid w:val="00C62878"/>
    <w:rsid w:val="00C62971"/>
    <w:rsid w:val="00C67686"/>
    <w:rsid w:val="00C70F8D"/>
    <w:rsid w:val="00C71360"/>
    <w:rsid w:val="00C71AFC"/>
    <w:rsid w:val="00C75E5F"/>
    <w:rsid w:val="00C76199"/>
    <w:rsid w:val="00C779A8"/>
    <w:rsid w:val="00C80C7F"/>
    <w:rsid w:val="00C86DCE"/>
    <w:rsid w:val="00C911D4"/>
    <w:rsid w:val="00C92144"/>
    <w:rsid w:val="00C92DFF"/>
    <w:rsid w:val="00C93F9D"/>
    <w:rsid w:val="00C94A46"/>
    <w:rsid w:val="00C951F0"/>
    <w:rsid w:val="00C95FED"/>
    <w:rsid w:val="00CA487C"/>
    <w:rsid w:val="00CB0E50"/>
    <w:rsid w:val="00CB1FB9"/>
    <w:rsid w:val="00CB2CEF"/>
    <w:rsid w:val="00CB316A"/>
    <w:rsid w:val="00CB5FCA"/>
    <w:rsid w:val="00CC2DB5"/>
    <w:rsid w:val="00CC62C2"/>
    <w:rsid w:val="00CC7FA8"/>
    <w:rsid w:val="00CD4386"/>
    <w:rsid w:val="00CD7A12"/>
    <w:rsid w:val="00CF09B0"/>
    <w:rsid w:val="00CF0BC5"/>
    <w:rsid w:val="00CF174C"/>
    <w:rsid w:val="00CF1BED"/>
    <w:rsid w:val="00CF42D0"/>
    <w:rsid w:val="00CF439D"/>
    <w:rsid w:val="00D006E6"/>
    <w:rsid w:val="00D00F4C"/>
    <w:rsid w:val="00D028EF"/>
    <w:rsid w:val="00D031FE"/>
    <w:rsid w:val="00D04D71"/>
    <w:rsid w:val="00D0532F"/>
    <w:rsid w:val="00D14597"/>
    <w:rsid w:val="00D17963"/>
    <w:rsid w:val="00D17A0A"/>
    <w:rsid w:val="00D20633"/>
    <w:rsid w:val="00D2173D"/>
    <w:rsid w:val="00D250B9"/>
    <w:rsid w:val="00D26A0F"/>
    <w:rsid w:val="00D321C5"/>
    <w:rsid w:val="00D3356D"/>
    <w:rsid w:val="00D36BFC"/>
    <w:rsid w:val="00D4130E"/>
    <w:rsid w:val="00D425B3"/>
    <w:rsid w:val="00D45E02"/>
    <w:rsid w:val="00D4666D"/>
    <w:rsid w:val="00D508A1"/>
    <w:rsid w:val="00D50947"/>
    <w:rsid w:val="00D525B1"/>
    <w:rsid w:val="00D55B3C"/>
    <w:rsid w:val="00D57DA2"/>
    <w:rsid w:val="00D57DD8"/>
    <w:rsid w:val="00D60366"/>
    <w:rsid w:val="00D6444A"/>
    <w:rsid w:val="00D645F3"/>
    <w:rsid w:val="00D652A3"/>
    <w:rsid w:val="00D70B50"/>
    <w:rsid w:val="00D80848"/>
    <w:rsid w:val="00D86B21"/>
    <w:rsid w:val="00D87133"/>
    <w:rsid w:val="00D873B1"/>
    <w:rsid w:val="00D902A6"/>
    <w:rsid w:val="00D9045F"/>
    <w:rsid w:val="00D92E7A"/>
    <w:rsid w:val="00D94C2D"/>
    <w:rsid w:val="00D97C48"/>
    <w:rsid w:val="00DA02C0"/>
    <w:rsid w:val="00DA122F"/>
    <w:rsid w:val="00DA287C"/>
    <w:rsid w:val="00DA344D"/>
    <w:rsid w:val="00DA57C5"/>
    <w:rsid w:val="00DA7276"/>
    <w:rsid w:val="00DB13B0"/>
    <w:rsid w:val="00DB2641"/>
    <w:rsid w:val="00DB4567"/>
    <w:rsid w:val="00DB5592"/>
    <w:rsid w:val="00DB648B"/>
    <w:rsid w:val="00DB73B4"/>
    <w:rsid w:val="00DC22AE"/>
    <w:rsid w:val="00DC575B"/>
    <w:rsid w:val="00DC67A7"/>
    <w:rsid w:val="00DD1697"/>
    <w:rsid w:val="00DD49BC"/>
    <w:rsid w:val="00DD4B0A"/>
    <w:rsid w:val="00DE39AB"/>
    <w:rsid w:val="00DF2170"/>
    <w:rsid w:val="00DF4293"/>
    <w:rsid w:val="00DF6983"/>
    <w:rsid w:val="00E01F6D"/>
    <w:rsid w:val="00E02D01"/>
    <w:rsid w:val="00E04F0A"/>
    <w:rsid w:val="00E1182F"/>
    <w:rsid w:val="00E229C7"/>
    <w:rsid w:val="00E24D73"/>
    <w:rsid w:val="00E264C7"/>
    <w:rsid w:val="00E31540"/>
    <w:rsid w:val="00E31D22"/>
    <w:rsid w:val="00E410C8"/>
    <w:rsid w:val="00E41A37"/>
    <w:rsid w:val="00E431F1"/>
    <w:rsid w:val="00E47BBB"/>
    <w:rsid w:val="00E5197A"/>
    <w:rsid w:val="00E52381"/>
    <w:rsid w:val="00E533F6"/>
    <w:rsid w:val="00E5368D"/>
    <w:rsid w:val="00E54EEC"/>
    <w:rsid w:val="00E564FA"/>
    <w:rsid w:val="00E5676A"/>
    <w:rsid w:val="00E61BE7"/>
    <w:rsid w:val="00E64BD0"/>
    <w:rsid w:val="00E74006"/>
    <w:rsid w:val="00E77A85"/>
    <w:rsid w:val="00E80027"/>
    <w:rsid w:val="00E80995"/>
    <w:rsid w:val="00E872F1"/>
    <w:rsid w:val="00E9017F"/>
    <w:rsid w:val="00E9118A"/>
    <w:rsid w:val="00E93CE7"/>
    <w:rsid w:val="00E97906"/>
    <w:rsid w:val="00EA00A3"/>
    <w:rsid w:val="00EA4E5A"/>
    <w:rsid w:val="00EA6D6E"/>
    <w:rsid w:val="00EB225F"/>
    <w:rsid w:val="00EB2512"/>
    <w:rsid w:val="00EB4AB8"/>
    <w:rsid w:val="00EB7C63"/>
    <w:rsid w:val="00EC37A3"/>
    <w:rsid w:val="00EC495F"/>
    <w:rsid w:val="00EC4B95"/>
    <w:rsid w:val="00ED38AD"/>
    <w:rsid w:val="00ED4CD7"/>
    <w:rsid w:val="00ED4E28"/>
    <w:rsid w:val="00EE1C40"/>
    <w:rsid w:val="00EE2230"/>
    <w:rsid w:val="00EE3B53"/>
    <w:rsid w:val="00EE5062"/>
    <w:rsid w:val="00EE7C0F"/>
    <w:rsid w:val="00EF2A43"/>
    <w:rsid w:val="00EF437D"/>
    <w:rsid w:val="00EF526D"/>
    <w:rsid w:val="00EF5FB4"/>
    <w:rsid w:val="00EF7308"/>
    <w:rsid w:val="00F02FA9"/>
    <w:rsid w:val="00F10B8E"/>
    <w:rsid w:val="00F10C5B"/>
    <w:rsid w:val="00F10F29"/>
    <w:rsid w:val="00F14AA8"/>
    <w:rsid w:val="00F2030D"/>
    <w:rsid w:val="00F24950"/>
    <w:rsid w:val="00F32AAF"/>
    <w:rsid w:val="00F33805"/>
    <w:rsid w:val="00F33ABF"/>
    <w:rsid w:val="00F354B0"/>
    <w:rsid w:val="00F404CD"/>
    <w:rsid w:val="00F40AB9"/>
    <w:rsid w:val="00F50D9E"/>
    <w:rsid w:val="00F521AF"/>
    <w:rsid w:val="00F53536"/>
    <w:rsid w:val="00F563B5"/>
    <w:rsid w:val="00F572BE"/>
    <w:rsid w:val="00F6041C"/>
    <w:rsid w:val="00F605DE"/>
    <w:rsid w:val="00F625CF"/>
    <w:rsid w:val="00F642E4"/>
    <w:rsid w:val="00F65C01"/>
    <w:rsid w:val="00F67407"/>
    <w:rsid w:val="00F71879"/>
    <w:rsid w:val="00F71B69"/>
    <w:rsid w:val="00F753F5"/>
    <w:rsid w:val="00F7655F"/>
    <w:rsid w:val="00F81138"/>
    <w:rsid w:val="00F820F8"/>
    <w:rsid w:val="00F82C61"/>
    <w:rsid w:val="00F86360"/>
    <w:rsid w:val="00F91ED5"/>
    <w:rsid w:val="00F9324F"/>
    <w:rsid w:val="00F93A4F"/>
    <w:rsid w:val="00F94C6D"/>
    <w:rsid w:val="00FA1019"/>
    <w:rsid w:val="00FB3D77"/>
    <w:rsid w:val="00FB4509"/>
    <w:rsid w:val="00FB6D33"/>
    <w:rsid w:val="00FC1E13"/>
    <w:rsid w:val="00FC513F"/>
    <w:rsid w:val="00FC52B5"/>
    <w:rsid w:val="00FC650D"/>
    <w:rsid w:val="00FD25CB"/>
    <w:rsid w:val="00FD36E5"/>
    <w:rsid w:val="00FD3906"/>
    <w:rsid w:val="00FD7F41"/>
    <w:rsid w:val="00FE1136"/>
    <w:rsid w:val="00FE2B93"/>
    <w:rsid w:val="00FE4980"/>
    <w:rsid w:val="00FE4B76"/>
    <w:rsid w:val="00FE5AA5"/>
    <w:rsid w:val="00FE6F0E"/>
    <w:rsid w:val="00FF1527"/>
    <w:rsid w:val="00FF1A36"/>
    <w:rsid w:val="00FF20F2"/>
    <w:rsid w:val="00FF2DCD"/>
    <w:rsid w:val="00FF2E66"/>
    <w:rsid w:val="00FF433B"/>
    <w:rsid w:val="00FF5037"/>
    <w:rsid w:val="00FF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20B8"/>
  <w15:chartTrackingRefBased/>
  <w15:docId w15:val="{173A7353-DDA3-B842-BB5C-878EDF54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81"/>
  </w:style>
  <w:style w:type="paragraph" w:styleId="Heading1">
    <w:name w:val="heading 1"/>
    <w:basedOn w:val="Normal"/>
    <w:next w:val="Normal"/>
    <w:link w:val="Heading1Char"/>
    <w:uiPriority w:val="9"/>
    <w:qFormat/>
    <w:rsid w:val="003D7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A33"/>
    <w:rPr>
      <w:rFonts w:eastAsiaTheme="majorEastAsia" w:cstheme="majorBidi"/>
      <w:color w:val="272727" w:themeColor="text1" w:themeTint="D8"/>
    </w:rPr>
  </w:style>
  <w:style w:type="paragraph" w:styleId="Title">
    <w:name w:val="Title"/>
    <w:basedOn w:val="Normal"/>
    <w:next w:val="Normal"/>
    <w:link w:val="TitleChar"/>
    <w:uiPriority w:val="10"/>
    <w:qFormat/>
    <w:rsid w:val="003D7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A33"/>
    <w:pPr>
      <w:spacing w:before="160"/>
      <w:jc w:val="center"/>
    </w:pPr>
    <w:rPr>
      <w:i/>
      <w:iCs/>
      <w:color w:val="404040" w:themeColor="text1" w:themeTint="BF"/>
    </w:rPr>
  </w:style>
  <w:style w:type="character" w:customStyle="1" w:styleId="QuoteChar">
    <w:name w:val="Quote Char"/>
    <w:basedOn w:val="DefaultParagraphFont"/>
    <w:link w:val="Quote"/>
    <w:uiPriority w:val="29"/>
    <w:rsid w:val="003D7A33"/>
    <w:rPr>
      <w:i/>
      <w:iCs/>
      <w:color w:val="404040" w:themeColor="text1" w:themeTint="BF"/>
    </w:rPr>
  </w:style>
  <w:style w:type="paragraph" w:styleId="ListParagraph">
    <w:name w:val="List Paragraph"/>
    <w:basedOn w:val="Normal"/>
    <w:uiPriority w:val="34"/>
    <w:qFormat/>
    <w:rsid w:val="003D7A33"/>
    <w:pPr>
      <w:ind w:left="720"/>
      <w:contextualSpacing/>
    </w:pPr>
  </w:style>
  <w:style w:type="character" w:styleId="IntenseEmphasis">
    <w:name w:val="Intense Emphasis"/>
    <w:basedOn w:val="DefaultParagraphFont"/>
    <w:uiPriority w:val="21"/>
    <w:qFormat/>
    <w:rsid w:val="003D7A33"/>
    <w:rPr>
      <w:i/>
      <w:iCs/>
      <w:color w:val="0F4761" w:themeColor="accent1" w:themeShade="BF"/>
    </w:rPr>
  </w:style>
  <w:style w:type="paragraph" w:styleId="IntenseQuote">
    <w:name w:val="Intense Quote"/>
    <w:basedOn w:val="Normal"/>
    <w:next w:val="Normal"/>
    <w:link w:val="IntenseQuoteChar"/>
    <w:uiPriority w:val="30"/>
    <w:qFormat/>
    <w:rsid w:val="003D7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A33"/>
    <w:rPr>
      <w:i/>
      <w:iCs/>
      <w:color w:val="0F4761" w:themeColor="accent1" w:themeShade="BF"/>
    </w:rPr>
  </w:style>
  <w:style w:type="character" w:styleId="IntenseReference">
    <w:name w:val="Intense Reference"/>
    <w:basedOn w:val="DefaultParagraphFont"/>
    <w:uiPriority w:val="32"/>
    <w:qFormat/>
    <w:rsid w:val="003D7A33"/>
    <w:rPr>
      <w:b/>
      <w:bCs/>
      <w:smallCaps/>
      <w:color w:val="0F4761" w:themeColor="accent1" w:themeShade="BF"/>
      <w:spacing w:val="5"/>
    </w:rPr>
  </w:style>
  <w:style w:type="paragraph" w:styleId="NormalWeb">
    <w:name w:val="Normal (Web)"/>
    <w:basedOn w:val="Normal"/>
    <w:uiPriority w:val="99"/>
    <w:unhideWhenUsed/>
    <w:rsid w:val="004661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1027B"/>
    <w:rPr>
      <w:b/>
      <w:bCs/>
    </w:rPr>
  </w:style>
  <w:style w:type="character" w:customStyle="1" w:styleId="katex-mathml">
    <w:name w:val="katex-mathml"/>
    <w:basedOn w:val="DefaultParagraphFont"/>
    <w:rsid w:val="0071027B"/>
  </w:style>
  <w:style w:type="character" w:customStyle="1" w:styleId="mord">
    <w:name w:val="mord"/>
    <w:basedOn w:val="DefaultParagraphFont"/>
    <w:rsid w:val="0071027B"/>
  </w:style>
  <w:style w:type="character" w:customStyle="1" w:styleId="vlist-s">
    <w:name w:val="vlist-s"/>
    <w:basedOn w:val="DefaultParagraphFont"/>
    <w:rsid w:val="0071027B"/>
  </w:style>
  <w:style w:type="character" w:customStyle="1" w:styleId="mrel">
    <w:name w:val="mrel"/>
    <w:basedOn w:val="DefaultParagraphFont"/>
    <w:rsid w:val="0071027B"/>
  </w:style>
  <w:style w:type="character" w:customStyle="1" w:styleId="mbin">
    <w:name w:val="mbin"/>
    <w:basedOn w:val="DefaultParagraphFont"/>
    <w:rsid w:val="0071027B"/>
  </w:style>
  <w:style w:type="character" w:styleId="PlaceholderText">
    <w:name w:val="Placeholder Text"/>
    <w:basedOn w:val="DefaultParagraphFont"/>
    <w:uiPriority w:val="99"/>
    <w:semiHidden/>
    <w:rsid w:val="00EE5062"/>
    <w:rPr>
      <w:color w:val="666666"/>
    </w:rPr>
  </w:style>
  <w:style w:type="table" w:styleId="TableGrid">
    <w:name w:val="Table Grid"/>
    <w:basedOn w:val="TableNormal"/>
    <w:uiPriority w:val="39"/>
    <w:rsid w:val="008B2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B7F43"/>
    <w:pPr>
      <w:spacing w:after="0"/>
    </w:pPr>
  </w:style>
  <w:style w:type="paragraph" w:styleId="Caption">
    <w:name w:val="caption"/>
    <w:basedOn w:val="Normal"/>
    <w:next w:val="Normal"/>
    <w:uiPriority w:val="35"/>
    <w:unhideWhenUsed/>
    <w:qFormat/>
    <w:rsid w:val="007B7F43"/>
    <w:pPr>
      <w:spacing w:after="200" w:line="240" w:lineRule="auto"/>
    </w:pPr>
    <w:rPr>
      <w:i/>
      <w:iCs/>
      <w:color w:val="0E2841" w:themeColor="text2"/>
      <w:sz w:val="18"/>
      <w:szCs w:val="18"/>
    </w:rPr>
  </w:style>
  <w:style w:type="character" w:customStyle="1" w:styleId="apple-converted-space">
    <w:name w:val="apple-converted-space"/>
    <w:basedOn w:val="DefaultParagraphFont"/>
    <w:rsid w:val="009B480A"/>
  </w:style>
  <w:style w:type="character" w:styleId="Hyperlink">
    <w:name w:val="Hyperlink"/>
    <w:basedOn w:val="DefaultParagraphFont"/>
    <w:uiPriority w:val="99"/>
    <w:unhideWhenUsed/>
    <w:rsid w:val="005664D7"/>
    <w:rPr>
      <w:color w:val="467886" w:themeColor="hyperlink"/>
      <w:u w:val="single"/>
    </w:rPr>
  </w:style>
  <w:style w:type="character" w:styleId="UnresolvedMention">
    <w:name w:val="Unresolved Mention"/>
    <w:basedOn w:val="DefaultParagraphFont"/>
    <w:uiPriority w:val="99"/>
    <w:semiHidden/>
    <w:unhideWhenUsed/>
    <w:rsid w:val="00437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633">
      <w:bodyDiv w:val="1"/>
      <w:marLeft w:val="0"/>
      <w:marRight w:val="0"/>
      <w:marTop w:val="0"/>
      <w:marBottom w:val="0"/>
      <w:divBdr>
        <w:top w:val="none" w:sz="0" w:space="0" w:color="auto"/>
        <w:left w:val="none" w:sz="0" w:space="0" w:color="auto"/>
        <w:bottom w:val="none" w:sz="0" w:space="0" w:color="auto"/>
        <w:right w:val="none" w:sz="0" w:space="0" w:color="auto"/>
      </w:divBdr>
    </w:div>
    <w:div w:id="112865527">
      <w:bodyDiv w:val="1"/>
      <w:marLeft w:val="0"/>
      <w:marRight w:val="0"/>
      <w:marTop w:val="0"/>
      <w:marBottom w:val="0"/>
      <w:divBdr>
        <w:top w:val="none" w:sz="0" w:space="0" w:color="auto"/>
        <w:left w:val="none" w:sz="0" w:space="0" w:color="auto"/>
        <w:bottom w:val="none" w:sz="0" w:space="0" w:color="auto"/>
        <w:right w:val="none" w:sz="0" w:space="0" w:color="auto"/>
      </w:divBdr>
    </w:div>
    <w:div w:id="232587409">
      <w:bodyDiv w:val="1"/>
      <w:marLeft w:val="0"/>
      <w:marRight w:val="0"/>
      <w:marTop w:val="0"/>
      <w:marBottom w:val="0"/>
      <w:divBdr>
        <w:top w:val="none" w:sz="0" w:space="0" w:color="auto"/>
        <w:left w:val="none" w:sz="0" w:space="0" w:color="auto"/>
        <w:bottom w:val="none" w:sz="0" w:space="0" w:color="auto"/>
        <w:right w:val="none" w:sz="0" w:space="0" w:color="auto"/>
      </w:divBdr>
    </w:div>
    <w:div w:id="253250898">
      <w:bodyDiv w:val="1"/>
      <w:marLeft w:val="0"/>
      <w:marRight w:val="0"/>
      <w:marTop w:val="0"/>
      <w:marBottom w:val="0"/>
      <w:divBdr>
        <w:top w:val="none" w:sz="0" w:space="0" w:color="auto"/>
        <w:left w:val="none" w:sz="0" w:space="0" w:color="auto"/>
        <w:bottom w:val="none" w:sz="0" w:space="0" w:color="auto"/>
        <w:right w:val="none" w:sz="0" w:space="0" w:color="auto"/>
      </w:divBdr>
      <w:divsChild>
        <w:div w:id="1514109931">
          <w:marLeft w:val="0"/>
          <w:marRight w:val="0"/>
          <w:marTop w:val="0"/>
          <w:marBottom w:val="0"/>
          <w:divBdr>
            <w:top w:val="none" w:sz="0" w:space="0" w:color="auto"/>
            <w:left w:val="none" w:sz="0" w:space="0" w:color="auto"/>
            <w:bottom w:val="none" w:sz="0" w:space="0" w:color="auto"/>
            <w:right w:val="none" w:sz="0" w:space="0" w:color="auto"/>
          </w:divBdr>
          <w:divsChild>
            <w:div w:id="86384508">
              <w:marLeft w:val="0"/>
              <w:marRight w:val="0"/>
              <w:marTop w:val="0"/>
              <w:marBottom w:val="0"/>
              <w:divBdr>
                <w:top w:val="none" w:sz="0" w:space="0" w:color="auto"/>
                <w:left w:val="none" w:sz="0" w:space="0" w:color="auto"/>
                <w:bottom w:val="none" w:sz="0" w:space="0" w:color="auto"/>
                <w:right w:val="none" w:sz="0" w:space="0" w:color="auto"/>
              </w:divBdr>
              <w:divsChild>
                <w:div w:id="1961566160">
                  <w:marLeft w:val="0"/>
                  <w:marRight w:val="0"/>
                  <w:marTop w:val="0"/>
                  <w:marBottom w:val="0"/>
                  <w:divBdr>
                    <w:top w:val="none" w:sz="0" w:space="0" w:color="auto"/>
                    <w:left w:val="none" w:sz="0" w:space="0" w:color="auto"/>
                    <w:bottom w:val="none" w:sz="0" w:space="0" w:color="auto"/>
                    <w:right w:val="none" w:sz="0" w:space="0" w:color="auto"/>
                  </w:divBdr>
                  <w:divsChild>
                    <w:div w:id="17422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02730">
      <w:bodyDiv w:val="1"/>
      <w:marLeft w:val="0"/>
      <w:marRight w:val="0"/>
      <w:marTop w:val="0"/>
      <w:marBottom w:val="0"/>
      <w:divBdr>
        <w:top w:val="none" w:sz="0" w:space="0" w:color="auto"/>
        <w:left w:val="none" w:sz="0" w:space="0" w:color="auto"/>
        <w:bottom w:val="none" w:sz="0" w:space="0" w:color="auto"/>
        <w:right w:val="none" w:sz="0" w:space="0" w:color="auto"/>
      </w:divBdr>
      <w:divsChild>
        <w:div w:id="1017803644">
          <w:marLeft w:val="446"/>
          <w:marRight w:val="0"/>
          <w:marTop w:val="150"/>
          <w:marBottom w:val="0"/>
          <w:divBdr>
            <w:top w:val="none" w:sz="0" w:space="0" w:color="auto"/>
            <w:left w:val="none" w:sz="0" w:space="0" w:color="auto"/>
            <w:bottom w:val="none" w:sz="0" w:space="0" w:color="auto"/>
            <w:right w:val="none" w:sz="0" w:space="0" w:color="auto"/>
          </w:divBdr>
        </w:div>
      </w:divsChild>
    </w:div>
    <w:div w:id="881675957">
      <w:bodyDiv w:val="1"/>
      <w:marLeft w:val="0"/>
      <w:marRight w:val="0"/>
      <w:marTop w:val="0"/>
      <w:marBottom w:val="0"/>
      <w:divBdr>
        <w:top w:val="none" w:sz="0" w:space="0" w:color="auto"/>
        <w:left w:val="none" w:sz="0" w:space="0" w:color="auto"/>
        <w:bottom w:val="none" w:sz="0" w:space="0" w:color="auto"/>
        <w:right w:val="none" w:sz="0" w:space="0" w:color="auto"/>
      </w:divBdr>
      <w:divsChild>
        <w:div w:id="1772778430">
          <w:marLeft w:val="547"/>
          <w:marRight w:val="0"/>
          <w:marTop w:val="150"/>
          <w:marBottom w:val="0"/>
          <w:divBdr>
            <w:top w:val="none" w:sz="0" w:space="0" w:color="auto"/>
            <w:left w:val="none" w:sz="0" w:space="0" w:color="auto"/>
            <w:bottom w:val="none" w:sz="0" w:space="0" w:color="auto"/>
            <w:right w:val="none" w:sz="0" w:space="0" w:color="auto"/>
          </w:divBdr>
        </w:div>
        <w:div w:id="1580747618">
          <w:marLeft w:val="1354"/>
          <w:marRight w:val="0"/>
          <w:marTop w:val="75"/>
          <w:marBottom w:val="0"/>
          <w:divBdr>
            <w:top w:val="none" w:sz="0" w:space="0" w:color="auto"/>
            <w:left w:val="none" w:sz="0" w:space="0" w:color="auto"/>
            <w:bottom w:val="none" w:sz="0" w:space="0" w:color="auto"/>
            <w:right w:val="none" w:sz="0" w:space="0" w:color="auto"/>
          </w:divBdr>
        </w:div>
        <w:div w:id="1543134193">
          <w:marLeft w:val="1354"/>
          <w:marRight w:val="0"/>
          <w:marTop w:val="75"/>
          <w:marBottom w:val="0"/>
          <w:divBdr>
            <w:top w:val="none" w:sz="0" w:space="0" w:color="auto"/>
            <w:left w:val="none" w:sz="0" w:space="0" w:color="auto"/>
            <w:bottom w:val="none" w:sz="0" w:space="0" w:color="auto"/>
            <w:right w:val="none" w:sz="0" w:space="0" w:color="auto"/>
          </w:divBdr>
        </w:div>
        <w:div w:id="1467816354">
          <w:marLeft w:val="547"/>
          <w:marRight w:val="0"/>
          <w:marTop w:val="150"/>
          <w:marBottom w:val="0"/>
          <w:divBdr>
            <w:top w:val="none" w:sz="0" w:space="0" w:color="auto"/>
            <w:left w:val="none" w:sz="0" w:space="0" w:color="auto"/>
            <w:bottom w:val="none" w:sz="0" w:space="0" w:color="auto"/>
            <w:right w:val="none" w:sz="0" w:space="0" w:color="auto"/>
          </w:divBdr>
        </w:div>
        <w:div w:id="1697189999">
          <w:marLeft w:val="1354"/>
          <w:marRight w:val="0"/>
          <w:marTop w:val="75"/>
          <w:marBottom w:val="0"/>
          <w:divBdr>
            <w:top w:val="none" w:sz="0" w:space="0" w:color="auto"/>
            <w:left w:val="none" w:sz="0" w:space="0" w:color="auto"/>
            <w:bottom w:val="none" w:sz="0" w:space="0" w:color="auto"/>
            <w:right w:val="none" w:sz="0" w:space="0" w:color="auto"/>
          </w:divBdr>
        </w:div>
        <w:div w:id="942803081">
          <w:marLeft w:val="547"/>
          <w:marRight w:val="0"/>
          <w:marTop w:val="150"/>
          <w:marBottom w:val="0"/>
          <w:divBdr>
            <w:top w:val="none" w:sz="0" w:space="0" w:color="auto"/>
            <w:left w:val="none" w:sz="0" w:space="0" w:color="auto"/>
            <w:bottom w:val="none" w:sz="0" w:space="0" w:color="auto"/>
            <w:right w:val="none" w:sz="0" w:space="0" w:color="auto"/>
          </w:divBdr>
        </w:div>
        <w:div w:id="847714566">
          <w:marLeft w:val="547"/>
          <w:marRight w:val="0"/>
          <w:marTop w:val="150"/>
          <w:marBottom w:val="0"/>
          <w:divBdr>
            <w:top w:val="none" w:sz="0" w:space="0" w:color="auto"/>
            <w:left w:val="none" w:sz="0" w:space="0" w:color="auto"/>
            <w:bottom w:val="none" w:sz="0" w:space="0" w:color="auto"/>
            <w:right w:val="none" w:sz="0" w:space="0" w:color="auto"/>
          </w:divBdr>
        </w:div>
        <w:div w:id="1064597681">
          <w:marLeft w:val="1526"/>
          <w:marRight w:val="0"/>
          <w:marTop w:val="75"/>
          <w:marBottom w:val="0"/>
          <w:divBdr>
            <w:top w:val="none" w:sz="0" w:space="0" w:color="auto"/>
            <w:left w:val="none" w:sz="0" w:space="0" w:color="auto"/>
            <w:bottom w:val="none" w:sz="0" w:space="0" w:color="auto"/>
            <w:right w:val="none" w:sz="0" w:space="0" w:color="auto"/>
          </w:divBdr>
        </w:div>
        <w:div w:id="740056489">
          <w:marLeft w:val="1526"/>
          <w:marRight w:val="0"/>
          <w:marTop w:val="75"/>
          <w:marBottom w:val="0"/>
          <w:divBdr>
            <w:top w:val="none" w:sz="0" w:space="0" w:color="auto"/>
            <w:left w:val="none" w:sz="0" w:space="0" w:color="auto"/>
            <w:bottom w:val="none" w:sz="0" w:space="0" w:color="auto"/>
            <w:right w:val="none" w:sz="0" w:space="0" w:color="auto"/>
          </w:divBdr>
        </w:div>
      </w:divsChild>
    </w:div>
    <w:div w:id="1066223029">
      <w:bodyDiv w:val="1"/>
      <w:marLeft w:val="0"/>
      <w:marRight w:val="0"/>
      <w:marTop w:val="0"/>
      <w:marBottom w:val="0"/>
      <w:divBdr>
        <w:top w:val="none" w:sz="0" w:space="0" w:color="auto"/>
        <w:left w:val="none" w:sz="0" w:space="0" w:color="auto"/>
        <w:bottom w:val="none" w:sz="0" w:space="0" w:color="auto"/>
        <w:right w:val="none" w:sz="0" w:space="0" w:color="auto"/>
      </w:divBdr>
    </w:div>
    <w:div w:id="1199900267">
      <w:bodyDiv w:val="1"/>
      <w:marLeft w:val="0"/>
      <w:marRight w:val="0"/>
      <w:marTop w:val="0"/>
      <w:marBottom w:val="0"/>
      <w:divBdr>
        <w:top w:val="none" w:sz="0" w:space="0" w:color="auto"/>
        <w:left w:val="none" w:sz="0" w:space="0" w:color="auto"/>
        <w:bottom w:val="none" w:sz="0" w:space="0" w:color="auto"/>
        <w:right w:val="none" w:sz="0" w:space="0" w:color="auto"/>
      </w:divBdr>
      <w:divsChild>
        <w:div w:id="1276133889">
          <w:marLeft w:val="0"/>
          <w:marRight w:val="0"/>
          <w:marTop w:val="0"/>
          <w:marBottom w:val="0"/>
          <w:divBdr>
            <w:top w:val="none" w:sz="0" w:space="0" w:color="auto"/>
            <w:left w:val="none" w:sz="0" w:space="0" w:color="auto"/>
            <w:bottom w:val="none" w:sz="0" w:space="0" w:color="auto"/>
            <w:right w:val="none" w:sz="0" w:space="0" w:color="auto"/>
          </w:divBdr>
          <w:divsChild>
            <w:div w:id="1267690208">
              <w:marLeft w:val="0"/>
              <w:marRight w:val="0"/>
              <w:marTop w:val="0"/>
              <w:marBottom w:val="0"/>
              <w:divBdr>
                <w:top w:val="none" w:sz="0" w:space="0" w:color="auto"/>
                <w:left w:val="none" w:sz="0" w:space="0" w:color="auto"/>
                <w:bottom w:val="none" w:sz="0" w:space="0" w:color="auto"/>
                <w:right w:val="none" w:sz="0" w:space="0" w:color="auto"/>
              </w:divBdr>
              <w:divsChild>
                <w:div w:id="20925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00388">
      <w:bodyDiv w:val="1"/>
      <w:marLeft w:val="0"/>
      <w:marRight w:val="0"/>
      <w:marTop w:val="0"/>
      <w:marBottom w:val="0"/>
      <w:divBdr>
        <w:top w:val="none" w:sz="0" w:space="0" w:color="auto"/>
        <w:left w:val="none" w:sz="0" w:space="0" w:color="auto"/>
        <w:bottom w:val="none" w:sz="0" w:space="0" w:color="auto"/>
        <w:right w:val="none" w:sz="0" w:space="0" w:color="auto"/>
      </w:divBdr>
    </w:div>
    <w:div w:id="1503816304">
      <w:bodyDiv w:val="1"/>
      <w:marLeft w:val="0"/>
      <w:marRight w:val="0"/>
      <w:marTop w:val="0"/>
      <w:marBottom w:val="0"/>
      <w:divBdr>
        <w:top w:val="none" w:sz="0" w:space="0" w:color="auto"/>
        <w:left w:val="none" w:sz="0" w:space="0" w:color="auto"/>
        <w:bottom w:val="none" w:sz="0" w:space="0" w:color="auto"/>
        <w:right w:val="none" w:sz="0" w:space="0" w:color="auto"/>
      </w:divBdr>
    </w:div>
    <w:div w:id="1534033662">
      <w:bodyDiv w:val="1"/>
      <w:marLeft w:val="0"/>
      <w:marRight w:val="0"/>
      <w:marTop w:val="0"/>
      <w:marBottom w:val="0"/>
      <w:divBdr>
        <w:top w:val="none" w:sz="0" w:space="0" w:color="auto"/>
        <w:left w:val="none" w:sz="0" w:space="0" w:color="auto"/>
        <w:bottom w:val="none" w:sz="0" w:space="0" w:color="auto"/>
        <w:right w:val="none" w:sz="0" w:space="0" w:color="auto"/>
      </w:divBdr>
      <w:divsChild>
        <w:div w:id="1753699269">
          <w:marLeft w:val="0"/>
          <w:marRight w:val="0"/>
          <w:marTop w:val="0"/>
          <w:marBottom w:val="0"/>
          <w:divBdr>
            <w:top w:val="none" w:sz="0" w:space="0" w:color="auto"/>
            <w:left w:val="none" w:sz="0" w:space="0" w:color="auto"/>
            <w:bottom w:val="none" w:sz="0" w:space="0" w:color="auto"/>
            <w:right w:val="none" w:sz="0" w:space="0" w:color="auto"/>
          </w:divBdr>
          <w:divsChild>
            <w:div w:id="890119023">
              <w:marLeft w:val="0"/>
              <w:marRight w:val="0"/>
              <w:marTop w:val="0"/>
              <w:marBottom w:val="0"/>
              <w:divBdr>
                <w:top w:val="none" w:sz="0" w:space="0" w:color="auto"/>
                <w:left w:val="none" w:sz="0" w:space="0" w:color="auto"/>
                <w:bottom w:val="none" w:sz="0" w:space="0" w:color="auto"/>
                <w:right w:val="none" w:sz="0" w:space="0" w:color="auto"/>
              </w:divBdr>
              <w:divsChild>
                <w:div w:id="9152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5924">
      <w:bodyDiv w:val="1"/>
      <w:marLeft w:val="0"/>
      <w:marRight w:val="0"/>
      <w:marTop w:val="0"/>
      <w:marBottom w:val="0"/>
      <w:divBdr>
        <w:top w:val="none" w:sz="0" w:space="0" w:color="auto"/>
        <w:left w:val="none" w:sz="0" w:space="0" w:color="auto"/>
        <w:bottom w:val="none" w:sz="0" w:space="0" w:color="auto"/>
        <w:right w:val="none" w:sz="0" w:space="0" w:color="auto"/>
      </w:divBdr>
      <w:divsChild>
        <w:div w:id="1051032371">
          <w:marLeft w:val="0"/>
          <w:marRight w:val="0"/>
          <w:marTop w:val="0"/>
          <w:marBottom w:val="0"/>
          <w:divBdr>
            <w:top w:val="none" w:sz="0" w:space="0" w:color="auto"/>
            <w:left w:val="none" w:sz="0" w:space="0" w:color="auto"/>
            <w:bottom w:val="none" w:sz="0" w:space="0" w:color="auto"/>
            <w:right w:val="none" w:sz="0" w:space="0" w:color="auto"/>
          </w:divBdr>
          <w:divsChild>
            <w:div w:id="1524830207">
              <w:marLeft w:val="0"/>
              <w:marRight w:val="0"/>
              <w:marTop w:val="0"/>
              <w:marBottom w:val="0"/>
              <w:divBdr>
                <w:top w:val="none" w:sz="0" w:space="0" w:color="auto"/>
                <w:left w:val="none" w:sz="0" w:space="0" w:color="auto"/>
                <w:bottom w:val="none" w:sz="0" w:space="0" w:color="auto"/>
                <w:right w:val="none" w:sz="0" w:space="0" w:color="auto"/>
              </w:divBdr>
              <w:divsChild>
                <w:div w:id="363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30865">
      <w:bodyDiv w:val="1"/>
      <w:marLeft w:val="0"/>
      <w:marRight w:val="0"/>
      <w:marTop w:val="0"/>
      <w:marBottom w:val="0"/>
      <w:divBdr>
        <w:top w:val="none" w:sz="0" w:space="0" w:color="auto"/>
        <w:left w:val="none" w:sz="0" w:space="0" w:color="auto"/>
        <w:bottom w:val="none" w:sz="0" w:space="0" w:color="auto"/>
        <w:right w:val="none" w:sz="0" w:space="0" w:color="auto"/>
      </w:divBdr>
    </w:div>
    <w:div w:id="2136216287">
      <w:bodyDiv w:val="1"/>
      <w:marLeft w:val="0"/>
      <w:marRight w:val="0"/>
      <w:marTop w:val="0"/>
      <w:marBottom w:val="0"/>
      <w:divBdr>
        <w:top w:val="none" w:sz="0" w:space="0" w:color="auto"/>
        <w:left w:val="none" w:sz="0" w:space="0" w:color="auto"/>
        <w:bottom w:val="none" w:sz="0" w:space="0" w:color="auto"/>
        <w:right w:val="none" w:sz="0" w:space="0" w:color="auto"/>
      </w:divBdr>
      <w:divsChild>
        <w:div w:id="1877889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en/news/press-release/2023/05/23/record-high-revenues-from-global-carbon-pricing-near-100-billion"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mf.org/en/Publications/Staff-Country-Reports/Issues/2023/01/19/Chile-Technical-Assistance-Report-An-Evaluation-of-Improved-Green-Tax-Options-460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3C96A-AC2B-9248-B2D8-FF2E0D0F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Adjei-Annan, Nii Adjetey</dc:creator>
  <cp:keywords/>
  <dc:description/>
  <cp:lastModifiedBy>Adjetey Adjei-Annan</cp:lastModifiedBy>
  <cp:revision>2</cp:revision>
  <dcterms:created xsi:type="dcterms:W3CDTF">2024-05-01T00:01:00Z</dcterms:created>
  <dcterms:modified xsi:type="dcterms:W3CDTF">2024-05-01T00:01:00Z</dcterms:modified>
</cp:coreProperties>
</file>