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1763" w:rsidRDefault="00A21763">
      <w:pPr>
        <w:spacing w:before="800" w:after="800"/>
      </w:pPr>
    </w:p>
    <w:p w:rsidR="00A21763" w:rsidRDefault="007C191C">
      <w:pPr>
        <w:pBdr>
          <w:bottom w:val="single" w:sz="8" w:space="0" w:color="2E75B6"/>
        </w:pBdr>
        <w:jc w:val="center"/>
      </w:pPr>
      <w:r>
        <w:rPr>
          <w:color w:val="404040"/>
        </w:rPr>
        <w:t>Purchasing &amp; Supply Chain Management — Semestre 8</w:t>
      </w:r>
    </w:p>
    <w:p w:rsidR="00A21763" w:rsidRDefault="00A21763">
      <w:pPr>
        <w:spacing w:before="600" w:after="600"/>
      </w:pPr>
    </w:p>
    <w:p w:rsidR="00A21763" w:rsidRDefault="007C191C">
      <w:pPr>
        <w:jc w:val="center"/>
      </w:pPr>
      <w:r>
        <w:rPr>
          <w:b/>
          <w:bCs/>
          <w:color w:val="2E75B6"/>
          <w:sz w:val="24"/>
          <w:szCs w:val="24"/>
        </w:rPr>
        <w:t>PROJET ANALYTIQUE — S8</w:t>
      </w:r>
    </w:p>
    <w:p w:rsidR="00A21763" w:rsidRDefault="00A21763">
      <w:pPr>
        <w:spacing w:before="300" w:after="300"/>
      </w:pPr>
    </w:p>
    <w:p w:rsidR="00A21763" w:rsidRDefault="007C191C">
      <w:pPr>
        <w:shd w:val="clear" w:color="auto" w:fill="D6E4F0"/>
        <w:spacing w:before="200" w:after="60"/>
        <w:jc w:val="center"/>
      </w:pPr>
      <w:r>
        <w:rPr>
          <w:b/>
          <w:bCs/>
          <w:color w:val="1F4E79"/>
          <w:sz w:val="36"/>
          <w:szCs w:val="36"/>
        </w:rPr>
        <w:t>Gestion des Stocks et Entrepôts :</w:t>
      </w:r>
    </w:p>
    <w:p w:rsidR="00A21763" w:rsidRDefault="007C191C">
      <w:pPr>
        <w:shd w:val="clear" w:color="auto" w:fill="D6E4F0"/>
        <w:spacing w:before="60" w:after="300"/>
        <w:jc w:val="center"/>
      </w:pPr>
      <w:r>
        <w:rPr>
          <w:b/>
          <w:bCs/>
          <w:color w:val="1F4E79"/>
          <w:sz w:val="28"/>
          <w:szCs w:val="28"/>
        </w:rPr>
        <w:t>Détection des Articles Dormants et Obsolètes dans un Stock Industriel</w:t>
      </w:r>
    </w:p>
    <w:p w:rsidR="00A21763" w:rsidRDefault="00A21763">
      <w:pPr>
        <w:spacing w:before="400" w:after="400"/>
      </w:pPr>
    </w:p>
    <w:p w:rsidR="00A21763" w:rsidRDefault="007C191C">
      <w:pPr>
        <w:jc w:val="center"/>
      </w:pPr>
      <w:r>
        <w:rPr>
          <w:i/>
          <w:iCs/>
          <w:color w:val="2E75B6"/>
          <w:sz w:val="24"/>
          <w:szCs w:val="24"/>
        </w:rPr>
        <w:t>Approche par Machine Learning — Random Forest &amp; Isolation Forest</w:t>
      </w:r>
    </w:p>
    <w:p w:rsidR="00A21763" w:rsidRDefault="00A21763">
      <w:pPr>
        <w:spacing w:before="500" w:after="500"/>
      </w:pPr>
    </w:p>
    <w:p w:rsidR="00A21763" w:rsidRDefault="007C191C">
      <w:pPr>
        <w:jc w:val="center"/>
      </w:pPr>
      <w:r>
        <w:rPr>
          <w:i/>
          <w:iCs/>
          <w:color w:val="404040"/>
        </w:rPr>
        <w:t>Dataset : 118 références | 44 commandes | Accuracy : 100%</w:t>
      </w:r>
    </w:p>
    <w:p w:rsidR="00A21763" w:rsidRDefault="00A21763">
      <w:pPr>
        <w:spacing w:before="200" w:after="200"/>
      </w:pPr>
    </w:p>
    <w:p w:rsidR="00A21763" w:rsidRDefault="007C191C">
      <w:pPr>
        <w:jc w:val="center"/>
        <w:rPr>
          <w:color w:val="404040"/>
        </w:rPr>
      </w:pPr>
      <w:r>
        <w:rPr>
          <w:color w:val="404040"/>
        </w:rPr>
        <w:t>Année universitaire 2024–2025</w:t>
      </w:r>
    </w:p>
    <w:p w:rsidR="00485754" w:rsidRDefault="00485754">
      <w:pPr>
        <w:jc w:val="center"/>
        <w:rPr>
          <w:color w:val="404040"/>
        </w:rPr>
      </w:pPr>
    </w:p>
    <w:p w:rsidR="00485754" w:rsidRDefault="00485754">
      <w:pPr>
        <w:jc w:val="center"/>
        <w:rPr>
          <w:color w:val="404040"/>
        </w:rPr>
      </w:pPr>
    </w:p>
    <w:p w:rsidR="00485754" w:rsidRDefault="00485754">
      <w:pPr>
        <w:jc w:val="center"/>
        <w:rPr>
          <w:color w:val="404040"/>
        </w:rPr>
      </w:pPr>
    </w:p>
    <w:p w:rsidR="00485754" w:rsidRDefault="00485754">
      <w:pPr>
        <w:jc w:val="center"/>
        <w:rPr>
          <w:color w:val="404040"/>
        </w:rPr>
      </w:pPr>
    </w:p>
    <w:p w:rsidR="00485754" w:rsidRDefault="00485754">
      <w:pPr>
        <w:jc w:val="center"/>
        <w:rPr>
          <w:color w:val="404040"/>
        </w:rPr>
      </w:pPr>
    </w:p>
    <w:p w:rsidR="00485754" w:rsidRDefault="00485754">
      <w:pPr>
        <w:jc w:val="center"/>
        <w:rPr>
          <w:color w:val="404040"/>
        </w:rPr>
      </w:pPr>
    </w:p>
    <w:p w:rsidR="00485754" w:rsidRDefault="00485754">
      <w:pPr>
        <w:jc w:val="center"/>
        <w:rPr>
          <w:color w:val="404040"/>
        </w:rPr>
      </w:pPr>
    </w:p>
    <w:p w:rsidR="00485754" w:rsidRDefault="00485754">
      <w:pPr>
        <w:jc w:val="center"/>
        <w:rPr>
          <w:color w:val="404040"/>
        </w:rPr>
      </w:pPr>
    </w:p>
    <w:p w:rsidR="00485754" w:rsidRDefault="00485754">
      <w:pPr>
        <w:jc w:val="center"/>
        <w:rPr>
          <w:color w:val="404040"/>
        </w:rPr>
      </w:pPr>
    </w:p>
    <w:p w:rsidR="00485754" w:rsidRDefault="00485754">
      <w:pPr>
        <w:jc w:val="center"/>
        <w:rPr>
          <w:color w:val="404040"/>
        </w:rPr>
      </w:pPr>
    </w:p>
    <w:p w:rsidR="00485754" w:rsidRDefault="00485754">
      <w:pPr>
        <w:jc w:val="center"/>
        <w:rPr>
          <w:color w:val="404040"/>
        </w:rPr>
      </w:pPr>
    </w:p>
    <w:p w:rsidR="00485754" w:rsidRPr="00485754" w:rsidRDefault="00485754" w:rsidP="00485754">
      <w:pPr>
        <w:rPr>
          <w:color w:val="404040"/>
          <w:lang w:val="fr-FR"/>
        </w:rPr>
      </w:pPr>
      <w:r w:rsidRPr="00485754">
        <w:rPr>
          <w:color w:val="404040"/>
          <w:lang w:val="fr-FR"/>
        </w:rPr>
        <w:t xml:space="preserve">Fait par: AADNAN Ikram </w:t>
      </w:r>
      <w:r>
        <w:rPr>
          <w:color w:val="404040"/>
          <w:lang w:val="fr-FR"/>
        </w:rPr>
        <w:t>(21009048)</w:t>
      </w:r>
    </w:p>
    <w:p w:rsidR="00485754" w:rsidRPr="00485754" w:rsidRDefault="00485754" w:rsidP="00485754">
      <w:pPr>
        <w:rPr>
          <w:lang w:val="fr-FR"/>
        </w:rPr>
      </w:pPr>
      <w:r w:rsidRPr="00485754">
        <w:rPr>
          <w:color w:val="404040"/>
          <w:lang w:val="fr-FR"/>
        </w:rPr>
        <w:t xml:space="preserve">               AITOUSSOUS Yousra</w:t>
      </w:r>
      <w:r>
        <w:rPr>
          <w:color w:val="404040"/>
          <w:lang w:val="fr-FR"/>
        </w:rPr>
        <w:t xml:space="preserve"> (21009037)</w:t>
      </w:r>
    </w:p>
    <w:p w:rsidR="00A21763" w:rsidRDefault="007C191C">
      <w:r>
        <w:br w:type="page"/>
      </w:r>
    </w:p>
    <w:p w:rsidR="00A21763" w:rsidRDefault="007C191C">
      <w:pPr>
        <w:pStyle w:val="Heading1"/>
        <w:pBdr>
          <w:bottom w:val="single" w:sz="6" w:space="1" w:color="2E75B6"/>
        </w:pBdr>
      </w:pPr>
      <w:r>
        <w:lastRenderedPageBreak/>
        <w:t>SOMMAIRE</w:t>
      </w:r>
    </w:p>
    <w:p w:rsidR="00A21763" w:rsidRDefault="00A21763">
      <w:pPr>
        <w:spacing w:before="100" w:after="100"/>
      </w:pPr>
    </w:p>
    <w:p w:rsidR="00A21763" w:rsidRDefault="007C191C">
      <w:pPr>
        <w:tabs>
          <w:tab w:val="right" w:pos="8600"/>
        </w:tabs>
        <w:spacing w:before="80" w:after="80"/>
      </w:pPr>
      <w:r>
        <w:rPr>
          <w:b/>
          <w:bCs/>
          <w:color w:val="1F4E79"/>
        </w:rPr>
        <w:t>I.  INTRODUCTION</w:t>
      </w:r>
      <w:r>
        <w:rPr>
          <w:color w:val="666666"/>
          <w:sz w:val="20"/>
          <w:szCs w:val="20"/>
        </w:rPr>
        <w:tab/>
        <w:t>3</w:t>
      </w:r>
    </w:p>
    <w:p w:rsidR="00A21763" w:rsidRPr="00485754" w:rsidRDefault="007C191C" w:rsidP="00485754">
      <w:pPr>
        <w:tabs>
          <w:tab w:val="right" w:pos="8600"/>
        </w:tabs>
        <w:spacing w:before="80" w:after="80"/>
        <w:ind w:left="400"/>
        <w:rPr>
          <w:lang w:val="fr-FR"/>
        </w:rPr>
      </w:pPr>
      <w:r>
        <w:rPr>
          <w:color w:val="333333"/>
          <w:sz w:val="20"/>
          <w:szCs w:val="20"/>
        </w:rPr>
        <w:t>I.1  Contexte et problématique</w:t>
      </w:r>
      <w:r>
        <w:rPr>
          <w:color w:val="666666"/>
          <w:sz w:val="20"/>
          <w:szCs w:val="20"/>
        </w:rPr>
        <w:tab/>
      </w:r>
      <w:r w:rsidR="00485754" w:rsidRPr="00485754">
        <w:rPr>
          <w:color w:val="666666"/>
          <w:sz w:val="20"/>
          <w:szCs w:val="20"/>
          <w:lang w:val="fr-FR"/>
        </w:rPr>
        <w:t>3</w:t>
      </w:r>
    </w:p>
    <w:p w:rsidR="00A21763" w:rsidRPr="00485754" w:rsidRDefault="007C191C">
      <w:pPr>
        <w:tabs>
          <w:tab w:val="right" w:pos="8600"/>
        </w:tabs>
        <w:spacing w:before="80" w:after="80"/>
        <w:ind w:left="400"/>
        <w:rPr>
          <w:lang w:val="fr-FR"/>
        </w:rPr>
      </w:pPr>
      <w:r>
        <w:rPr>
          <w:color w:val="333333"/>
          <w:sz w:val="20"/>
          <w:szCs w:val="20"/>
        </w:rPr>
        <w:t>I.2  Objectifs du projet</w:t>
      </w:r>
      <w:r w:rsidR="00485754">
        <w:rPr>
          <w:color w:val="666666"/>
          <w:sz w:val="20"/>
          <w:szCs w:val="20"/>
        </w:rPr>
        <w:tab/>
      </w:r>
      <w:r w:rsidR="00485754" w:rsidRPr="00485754">
        <w:rPr>
          <w:color w:val="666666"/>
          <w:sz w:val="20"/>
          <w:szCs w:val="20"/>
          <w:lang w:val="fr-FR"/>
        </w:rPr>
        <w:t>3</w:t>
      </w:r>
    </w:p>
    <w:p w:rsidR="00A21763" w:rsidRPr="00485754" w:rsidRDefault="007C191C">
      <w:pPr>
        <w:tabs>
          <w:tab w:val="right" w:pos="8600"/>
        </w:tabs>
        <w:spacing w:before="80" w:after="80"/>
        <w:ind w:left="400"/>
        <w:rPr>
          <w:lang w:val="en-US"/>
        </w:rPr>
      </w:pPr>
      <w:r>
        <w:rPr>
          <w:color w:val="333333"/>
          <w:sz w:val="20"/>
          <w:szCs w:val="20"/>
        </w:rPr>
        <w:t>I.3  Méthodologie adoptée</w:t>
      </w:r>
      <w:r w:rsidR="00485754">
        <w:rPr>
          <w:color w:val="666666"/>
          <w:sz w:val="20"/>
          <w:szCs w:val="20"/>
        </w:rPr>
        <w:tab/>
      </w:r>
      <w:r w:rsidR="00485754">
        <w:rPr>
          <w:color w:val="666666"/>
          <w:sz w:val="20"/>
          <w:szCs w:val="20"/>
          <w:lang w:val="en-US"/>
        </w:rPr>
        <w:t>3</w:t>
      </w:r>
    </w:p>
    <w:p w:rsidR="00A21763" w:rsidRPr="00485754" w:rsidRDefault="007C191C">
      <w:pPr>
        <w:tabs>
          <w:tab w:val="right" w:pos="8600"/>
        </w:tabs>
        <w:spacing w:before="80" w:after="80"/>
        <w:rPr>
          <w:lang w:val="fr-FR"/>
        </w:rPr>
      </w:pPr>
      <w:r>
        <w:rPr>
          <w:b/>
          <w:bCs/>
          <w:color w:val="1F4E79"/>
        </w:rPr>
        <w:t>II.  DÉVELOPPEMENT</w:t>
      </w:r>
      <w:r w:rsidR="00485754">
        <w:rPr>
          <w:color w:val="666666"/>
          <w:sz w:val="20"/>
          <w:szCs w:val="20"/>
        </w:rPr>
        <w:tab/>
      </w:r>
      <w:r w:rsidR="00485754" w:rsidRPr="00485754">
        <w:rPr>
          <w:color w:val="666666"/>
          <w:sz w:val="20"/>
          <w:szCs w:val="20"/>
          <w:lang w:val="fr-FR"/>
        </w:rPr>
        <w:t>4</w:t>
      </w:r>
    </w:p>
    <w:p w:rsidR="00A21763" w:rsidRPr="00485754" w:rsidRDefault="007C191C">
      <w:pPr>
        <w:tabs>
          <w:tab w:val="right" w:pos="8600"/>
        </w:tabs>
        <w:spacing w:before="80" w:after="80"/>
        <w:ind w:left="400"/>
        <w:rPr>
          <w:lang w:val="fr-FR"/>
        </w:rPr>
      </w:pPr>
      <w:r>
        <w:rPr>
          <w:color w:val="333333"/>
          <w:sz w:val="20"/>
          <w:szCs w:val="20"/>
        </w:rPr>
        <w:t>II.1  Présentation du dataset</w:t>
      </w:r>
      <w:r w:rsidR="00485754">
        <w:rPr>
          <w:color w:val="666666"/>
          <w:sz w:val="20"/>
          <w:szCs w:val="20"/>
        </w:rPr>
        <w:tab/>
      </w:r>
      <w:r w:rsidR="00485754" w:rsidRPr="00485754">
        <w:rPr>
          <w:color w:val="666666"/>
          <w:sz w:val="20"/>
          <w:szCs w:val="20"/>
          <w:lang w:val="fr-FR"/>
        </w:rPr>
        <w:t>4</w:t>
      </w:r>
    </w:p>
    <w:p w:rsidR="00A21763" w:rsidRPr="00485754" w:rsidRDefault="007C191C">
      <w:pPr>
        <w:tabs>
          <w:tab w:val="right" w:pos="8600"/>
        </w:tabs>
        <w:spacing w:before="80" w:after="80"/>
        <w:ind w:left="400"/>
        <w:rPr>
          <w:lang w:val="fr-FR"/>
        </w:rPr>
      </w:pPr>
      <w:r>
        <w:rPr>
          <w:color w:val="333333"/>
          <w:sz w:val="20"/>
          <w:szCs w:val="20"/>
        </w:rPr>
        <w:t>II.2  Exploration et Analyse des Données (EDA)</w:t>
      </w:r>
      <w:r w:rsidR="00485754">
        <w:rPr>
          <w:color w:val="666666"/>
          <w:sz w:val="20"/>
          <w:szCs w:val="20"/>
        </w:rPr>
        <w:tab/>
      </w:r>
      <w:r w:rsidR="00485754" w:rsidRPr="00485754">
        <w:rPr>
          <w:color w:val="666666"/>
          <w:sz w:val="20"/>
          <w:szCs w:val="20"/>
          <w:lang w:val="fr-FR"/>
        </w:rPr>
        <w:t>4</w:t>
      </w:r>
    </w:p>
    <w:p w:rsidR="00A21763" w:rsidRPr="00485754" w:rsidRDefault="007C191C">
      <w:pPr>
        <w:tabs>
          <w:tab w:val="right" w:pos="8600"/>
        </w:tabs>
        <w:spacing w:before="80" w:after="80"/>
        <w:ind w:left="400"/>
        <w:rPr>
          <w:lang w:val="fr-FR"/>
        </w:rPr>
      </w:pPr>
      <w:r>
        <w:rPr>
          <w:color w:val="333333"/>
          <w:sz w:val="20"/>
          <w:szCs w:val="20"/>
        </w:rPr>
        <w:t>II.3  Prétraitement des Données</w:t>
      </w:r>
      <w:r w:rsidR="00485754">
        <w:rPr>
          <w:color w:val="666666"/>
          <w:sz w:val="20"/>
          <w:szCs w:val="20"/>
        </w:rPr>
        <w:tab/>
      </w:r>
      <w:r w:rsidR="00485754" w:rsidRPr="00485754">
        <w:rPr>
          <w:color w:val="666666"/>
          <w:sz w:val="20"/>
          <w:szCs w:val="20"/>
          <w:lang w:val="fr-FR"/>
        </w:rPr>
        <w:t>5</w:t>
      </w:r>
    </w:p>
    <w:p w:rsidR="00A21763" w:rsidRPr="00485754" w:rsidRDefault="007C191C">
      <w:pPr>
        <w:tabs>
          <w:tab w:val="right" w:pos="8600"/>
        </w:tabs>
        <w:spacing w:before="80" w:after="80"/>
        <w:ind w:left="400"/>
        <w:rPr>
          <w:lang w:val="fr-FR"/>
        </w:rPr>
      </w:pPr>
      <w:r>
        <w:rPr>
          <w:color w:val="333333"/>
          <w:sz w:val="20"/>
          <w:szCs w:val="20"/>
        </w:rPr>
        <w:t>II.4  Modèles de Machine Learning testés</w:t>
      </w:r>
      <w:r w:rsidR="00485754">
        <w:rPr>
          <w:color w:val="666666"/>
          <w:sz w:val="20"/>
          <w:szCs w:val="20"/>
        </w:rPr>
        <w:tab/>
      </w:r>
      <w:r w:rsidR="00485754" w:rsidRPr="00485754">
        <w:rPr>
          <w:color w:val="666666"/>
          <w:sz w:val="20"/>
          <w:szCs w:val="20"/>
          <w:lang w:val="fr-FR"/>
        </w:rPr>
        <w:t>5</w:t>
      </w:r>
    </w:p>
    <w:p w:rsidR="00A21763" w:rsidRPr="00FA7BBB" w:rsidRDefault="007C191C">
      <w:pPr>
        <w:tabs>
          <w:tab w:val="right" w:pos="8600"/>
        </w:tabs>
        <w:spacing w:before="80" w:after="80"/>
        <w:ind w:left="400"/>
        <w:rPr>
          <w:lang w:val="fr-FR"/>
        </w:rPr>
      </w:pPr>
      <w:r>
        <w:rPr>
          <w:color w:val="333333"/>
          <w:sz w:val="20"/>
          <w:szCs w:val="20"/>
        </w:rPr>
        <w:t>II.5  Interprétabilité — Importance des Variables</w:t>
      </w:r>
      <w:r w:rsidR="00485754">
        <w:rPr>
          <w:color w:val="666666"/>
          <w:sz w:val="20"/>
          <w:szCs w:val="20"/>
        </w:rPr>
        <w:tab/>
      </w:r>
      <w:r w:rsidR="00FA7BBB" w:rsidRPr="00FA7BBB">
        <w:rPr>
          <w:color w:val="666666"/>
          <w:sz w:val="20"/>
          <w:szCs w:val="20"/>
          <w:lang w:val="fr-FR"/>
        </w:rPr>
        <w:t>7</w:t>
      </w:r>
    </w:p>
    <w:p w:rsidR="00A21763" w:rsidRPr="00485754" w:rsidRDefault="007C191C">
      <w:pPr>
        <w:tabs>
          <w:tab w:val="right" w:pos="8600"/>
        </w:tabs>
        <w:spacing w:before="80" w:after="80"/>
        <w:rPr>
          <w:lang w:val="fr-FR"/>
        </w:rPr>
      </w:pPr>
      <w:r>
        <w:rPr>
          <w:b/>
          <w:bCs/>
          <w:color w:val="1F4E79"/>
        </w:rPr>
        <w:t>III.  RÉSULTATS ET DISCUSSION</w:t>
      </w:r>
      <w:r w:rsidR="00485754">
        <w:rPr>
          <w:color w:val="666666"/>
          <w:sz w:val="20"/>
          <w:szCs w:val="20"/>
        </w:rPr>
        <w:tab/>
      </w:r>
      <w:r w:rsidR="00485754" w:rsidRPr="00485754">
        <w:rPr>
          <w:color w:val="666666"/>
          <w:sz w:val="20"/>
          <w:szCs w:val="20"/>
          <w:lang w:val="fr-FR"/>
        </w:rPr>
        <w:t>8</w:t>
      </w:r>
    </w:p>
    <w:p w:rsidR="00A21763" w:rsidRPr="00FA7BBB" w:rsidRDefault="007C191C">
      <w:pPr>
        <w:tabs>
          <w:tab w:val="right" w:pos="8600"/>
        </w:tabs>
        <w:spacing w:before="80" w:after="80"/>
        <w:ind w:left="400"/>
        <w:rPr>
          <w:lang w:val="fr-FR"/>
        </w:rPr>
      </w:pPr>
      <w:r>
        <w:rPr>
          <w:color w:val="333333"/>
          <w:sz w:val="20"/>
          <w:szCs w:val="20"/>
        </w:rPr>
        <w:t>III.1  Résultats chiffrés du notebook</w:t>
      </w:r>
      <w:r w:rsidR="00485754">
        <w:rPr>
          <w:color w:val="666666"/>
          <w:sz w:val="20"/>
          <w:szCs w:val="20"/>
        </w:rPr>
        <w:tab/>
      </w:r>
      <w:r w:rsidR="00FA7BBB" w:rsidRPr="00FA7BBB">
        <w:rPr>
          <w:color w:val="666666"/>
          <w:sz w:val="20"/>
          <w:szCs w:val="20"/>
          <w:lang w:val="fr-FR"/>
        </w:rPr>
        <w:t>8</w:t>
      </w:r>
    </w:p>
    <w:p w:rsidR="00A21763" w:rsidRPr="00FA7BBB" w:rsidRDefault="007C191C">
      <w:pPr>
        <w:tabs>
          <w:tab w:val="right" w:pos="8600"/>
        </w:tabs>
        <w:spacing w:before="80" w:after="80"/>
        <w:ind w:left="400"/>
        <w:rPr>
          <w:lang w:val="fr-FR"/>
        </w:rPr>
      </w:pPr>
      <w:r>
        <w:rPr>
          <w:color w:val="333333"/>
          <w:sz w:val="20"/>
          <w:szCs w:val="20"/>
        </w:rPr>
        <w:t>III.2  Analyse critique et interprétation</w:t>
      </w:r>
      <w:r w:rsidR="00485754">
        <w:rPr>
          <w:color w:val="666666"/>
          <w:sz w:val="20"/>
          <w:szCs w:val="20"/>
        </w:rPr>
        <w:tab/>
      </w:r>
      <w:r w:rsidR="00FA7BBB" w:rsidRPr="00FA7BBB">
        <w:rPr>
          <w:color w:val="666666"/>
          <w:sz w:val="20"/>
          <w:szCs w:val="20"/>
          <w:lang w:val="fr-FR"/>
        </w:rPr>
        <w:t>8</w:t>
      </w:r>
    </w:p>
    <w:p w:rsidR="00A21763" w:rsidRPr="00FA7BBB" w:rsidRDefault="007C191C">
      <w:pPr>
        <w:tabs>
          <w:tab w:val="right" w:pos="8600"/>
        </w:tabs>
        <w:spacing w:before="80" w:after="80"/>
        <w:ind w:left="400"/>
        <w:rPr>
          <w:lang w:val="fr-FR"/>
        </w:rPr>
      </w:pPr>
      <w:r>
        <w:rPr>
          <w:color w:val="333333"/>
          <w:sz w:val="20"/>
          <w:szCs w:val="20"/>
        </w:rPr>
        <w:t>III.3  Limites et axes d'amélioration</w:t>
      </w:r>
      <w:r w:rsidR="00485754">
        <w:rPr>
          <w:color w:val="666666"/>
          <w:sz w:val="20"/>
          <w:szCs w:val="20"/>
        </w:rPr>
        <w:tab/>
      </w:r>
      <w:r w:rsidR="00FA7BBB" w:rsidRPr="00FA7BBB">
        <w:rPr>
          <w:color w:val="666666"/>
          <w:sz w:val="20"/>
          <w:szCs w:val="20"/>
          <w:lang w:val="fr-FR"/>
        </w:rPr>
        <w:t>9</w:t>
      </w:r>
      <w:bookmarkStart w:id="0" w:name="_GoBack"/>
      <w:bookmarkEnd w:id="0"/>
    </w:p>
    <w:p w:rsidR="00A21763" w:rsidRPr="00485754" w:rsidRDefault="007C191C">
      <w:pPr>
        <w:tabs>
          <w:tab w:val="right" w:pos="8600"/>
        </w:tabs>
        <w:spacing w:before="80" w:after="80"/>
        <w:rPr>
          <w:lang w:val="fr-FR"/>
        </w:rPr>
      </w:pPr>
      <w:r>
        <w:rPr>
          <w:b/>
          <w:bCs/>
          <w:color w:val="1F4E79"/>
        </w:rPr>
        <w:t>IV.  RECOMMANDATIONS MÉTIER</w:t>
      </w:r>
      <w:r w:rsidR="00485754">
        <w:rPr>
          <w:color w:val="666666"/>
          <w:sz w:val="20"/>
          <w:szCs w:val="20"/>
        </w:rPr>
        <w:tab/>
      </w:r>
      <w:r w:rsidR="00485754" w:rsidRPr="00485754">
        <w:rPr>
          <w:color w:val="666666"/>
          <w:sz w:val="20"/>
          <w:szCs w:val="20"/>
          <w:lang w:val="fr-FR"/>
        </w:rPr>
        <w:t>10</w:t>
      </w:r>
    </w:p>
    <w:p w:rsidR="00A21763" w:rsidRPr="00485754" w:rsidRDefault="007C191C">
      <w:pPr>
        <w:tabs>
          <w:tab w:val="right" w:pos="8600"/>
        </w:tabs>
        <w:spacing w:before="80" w:after="80"/>
        <w:rPr>
          <w:lang w:val="fr-FR"/>
        </w:rPr>
      </w:pPr>
      <w:r>
        <w:rPr>
          <w:b/>
          <w:bCs/>
          <w:color w:val="1F4E79"/>
        </w:rPr>
        <w:t>V.  CONCLUSION</w:t>
      </w:r>
      <w:r w:rsidR="00485754">
        <w:rPr>
          <w:color w:val="666666"/>
          <w:sz w:val="20"/>
          <w:szCs w:val="20"/>
        </w:rPr>
        <w:tab/>
      </w:r>
      <w:r w:rsidR="00485754" w:rsidRPr="00485754">
        <w:rPr>
          <w:color w:val="666666"/>
          <w:sz w:val="20"/>
          <w:szCs w:val="20"/>
          <w:lang w:val="fr-FR"/>
        </w:rPr>
        <w:t>1</w:t>
      </w:r>
      <w:r w:rsidR="00485754">
        <w:rPr>
          <w:color w:val="666666"/>
          <w:sz w:val="20"/>
          <w:szCs w:val="20"/>
          <w:lang w:val="fr-FR"/>
        </w:rPr>
        <w:t>1</w:t>
      </w:r>
    </w:p>
    <w:p w:rsidR="00A21763" w:rsidRPr="00485754" w:rsidRDefault="007C191C">
      <w:pPr>
        <w:tabs>
          <w:tab w:val="right" w:pos="8600"/>
        </w:tabs>
        <w:spacing w:before="80" w:after="80"/>
        <w:rPr>
          <w:lang w:val="en-US"/>
        </w:rPr>
      </w:pPr>
      <w:r>
        <w:rPr>
          <w:b/>
          <w:bCs/>
          <w:color w:val="1F4E79"/>
        </w:rPr>
        <w:t xml:space="preserve">  Bibliographie / Webographie</w:t>
      </w:r>
      <w:r w:rsidR="00485754">
        <w:rPr>
          <w:color w:val="666666"/>
          <w:sz w:val="20"/>
          <w:szCs w:val="20"/>
        </w:rPr>
        <w:tab/>
      </w:r>
      <w:r w:rsidR="00485754">
        <w:rPr>
          <w:color w:val="666666"/>
          <w:sz w:val="20"/>
          <w:szCs w:val="20"/>
          <w:lang w:val="en-US"/>
        </w:rPr>
        <w:t>12</w:t>
      </w:r>
    </w:p>
    <w:p w:rsidR="00A21763" w:rsidRPr="00485754" w:rsidRDefault="007C191C">
      <w:pPr>
        <w:tabs>
          <w:tab w:val="right" w:pos="8600"/>
        </w:tabs>
        <w:spacing w:before="80" w:after="80"/>
        <w:rPr>
          <w:lang w:val="en-US"/>
        </w:rPr>
      </w:pPr>
      <w:r>
        <w:rPr>
          <w:b/>
          <w:bCs/>
          <w:color w:val="1F4E79"/>
        </w:rPr>
        <w:t xml:space="preserve">  Annexes</w:t>
      </w:r>
      <w:r>
        <w:rPr>
          <w:color w:val="666666"/>
          <w:sz w:val="20"/>
          <w:szCs w:val="20"/>
        </w:rPr>
        <w:tab/>
      </w:r>
      <w:r w:rsidR="00485754">
        <w:rPr>
          <w:color w:val="666666"/>
          <w:sz w:val="20"/>
          <w:szCs w:val="20"/>
          <w:lang w:val="en-US"/>
        </w:rPr>
        <w:t>13</w:t>
      </w:r>
    </w:p>
    <w:p w:rsidR="00A21763" w:rsidRDefault="007C191C">
      <w:r>
        <w:br w:type="page"/>
      </w:r>
    </w:p>
    <w:p w:rsidR="00A21763" w:rsidRDefault="007C191C">
      <w:pPr>
        <w:pStyle w:val="Heading1"/>
        <w:pBdr>
          <w:bottom w:val="single" w:sz="6" w:space="1" w:color="2E75B6"/>
        </w:pBdr>
      </w:pPr>
      <w:r>
        <w:lastRenderedPageBreak/>
        <w:t>I. INTRODUCTION</w:t>
      </w:r>
    </w:p>
    <w:p w:rsidR="00A21763" w:rsidRDefault="007C191C">
      <w:pPr>
        <w:pStyle w:val="Heading2"/>
      </w:pPr>
      <w:r>
        <w:t>I.1 Contexte et problématique</w:t>
      </w:r>
    </w:p>
    <w:p w:rsidR="00A21763" w:rsidRDefault="007C191C">
      <w:pPr>
        <w:spacing w:before="80" w:after="80" w:line="276" w:lineRule="auto"/>
        <w:jc w:val="both"/>
      </w:pPr>
      <w:r>
        <w:t xml:space="preserve">Dans un environnement industriel compétitif, la gestion efficace des stocks constitue un levier stratégique majeur pour la performance de la chaîne d'approvisionnement. Les entreprises font face à un défi </w:t>
      </w:r>
      <w:r>
        <w:t>récurrent : l'accumulation d'articles dormants et obsolètes dans leurs entrepôts, générant des coûts cachés et immobilisant des capitaux importants.</w:t>
      </w:r>
    </w:p>
    <w:p w:rsidR="00A21763" w:rsidRDefault="00A21763">
      <w:pPr>
        <w:spacing w:before="80" w:after="80"/>
      </w:pPr>
    </w:p>
    <w:p w:rsidR="00A21763" w:rsidRDefault="007C191C">
      <w:pPr>
        <w:spacing w:before="80" w:after="80" w:line="276" w:lineRule="auto"/>
        <w:jc w:val="both"/>
      </w:pPr>
      <w:r>
        <w:t>L'analyse du dataset réel exploité dans ce projet est particulièrement révélatrice : sur 118 références de stock étudiées, aucun article n'est classifié comme actif au regard des critères de mouvement. 77,1% du portefeuille est obsolète et 22,9% est dorman</w:t>
      </w:r>
      <w:r>
        <w:t>t, représentant une valeur totale immobilisée de 31 875 279 unités monétaires. Ce constat illustre l'ampleur du problème et justifie pleinement le recours à une approche analytique automatisée.</w:t>
      </w:r>
    </w:p>
    <w:p w:rsidR="00A21763" w:rsidRDefault="00A21763">
      <w:pPr>
        <w:spacing w:before="80" w:after="80"/>
      </w:pPr>
    </w:p>
    <w:p w:rsidR="00A21763" w:rsidRDefault="007C191C">
      <w:pPr>
        <w:spacing w:before="80" w:after="80" w:line="276" w:lineRule="auto"/>
        <w:jc w:val="both"/>
      </w:pPr>
      <w:r>
        <w:t>La problématique centrale de ce projet est la suivante : comm</w:t>
      </w:r>
      <w:r>
        <w:t>ent identifier, de manière automatisée et fiable, les articles dormants et obsolètes dans un stock industriel réel, afin de permettre aux décideurs de prendre des actions correctives adaptées et de réduire les coûts d'immobilisation ?</w:t>
      </w:r>
    </w:p>
    <w:p w:rsidR="00A21763" w:rsidRDefault="007C191C">
      <w:pPr>
        <w:pStyle w:val="Heading2"/>
      </w:pPr>
      <w:r>
        <w:t>I.2 Objectifs du proj</w:t>
      </w:r>
      <w:r>
        <w:t>et</w:t>
      </w:r>
    </w:p>
    <w:p w:rsidR="00A21763" w:rsidRDefault="007C191C">
      <w:pPr>
        <w:spacing w:before="80" w:after="80" w:line="276" w:lineRule="auto"/>
        <w:jc w:val="both"/>
      </w:pPr>
      <w:r>
        <w:t>Ce projet poursuit trois objectifs principaux :</w:t>
      </w:r>
    </w:p>
    <w:p w:rsidR="00A21763" w:rsidRDefault="007C191C">
      <w:pPr>
        <w:pStyle w:val="ListParagraph"/>
        <w:numPr>
          <w:ilvl w:val="0"/>
          <w:numId w:val="2"/>
        </w:numPr>
        <w:spacing w:before="60" w:after="60"/>
      </w:pPr>
      <w:r>
        <w:t>Concevoir un système de classification automatique des articles de stock en catégories opérationnelles (Actif, Dormant, Obsolète), à partir de données réelles de mouvements et de niveaux de stock.</w:t>
      </w:r>
    </w:p>
    <w:p w:rsidR="00A21763" w:rsidRDefault="007C191C">
      <w:pPr>
        <w:pStyle w:val="ListParagraph"/>
        <w:numPr>
          <w:ilvl w:val="0"/>
          <w:numId w:val="2"/>
        </w:numPr>
        <w:spacing w:before="60" w:after="60"/>
      </w:pPr>
      <w:r>
        <w:t>Applique</w:t>
      </w:r>
      <w:r>
        <w:t>r des techniques de Machine Learning supervisé (Random Forest) et non supervisé (Isolation Forest) pour renforcer la robustesse de la détection et atteindre une précision maximale.</w:t>
      </w:r>
    </w:p>
    <w:p w:rsidR="00A21763" w:rsidRDefault="007C191C">
      <w:pPr>
        <w:pStyle w:val="ListParagraph"/>
        <w:numPr>
          <w:ilvl w:val="0"/>
          <w:numId w:val="2"/>
        </w:numPr>
        <w:spacing w:before="60" w:after="60"/>
      </w:pPr>
      <w:r>
        <w:t>Formuler des recommandations métier concrètes et actionnables, permettant à</w:t>
      </w:r>
      <w:r>
        <w:t xml:space="preserve"> l'entreprise d'optimiser la gestion de ses immobilisations de stock et de libérer la valeur de 31 875 279 unités monétaires identifiée.</w:t>
      </w:r>
    </w:p>
    <w:p w:rsidR="00A21763" w:rsidRDefault="007C191C">
      <w:pPr>
        <w:pStyle w:val="Heading2"/>
      </w:pPr>
      <w:r>
        <w:t>I.3 Méthodologie adoptée</w:t>
      </w:r>
    </w:p>
    <w:p w:rsidR="00A21763" w:rsidRDefault="007C191C">
      <w:pPr>
        <w:spacing w:before="80" w:after="80" w:line="276" w:lineRule="auto"/>
        <w:jc w:val="both"/>
      </w:pPr>
      <w:r>
        <w:t xml:space="preserve">La démarche suivie s'articule autour de huit étapes structurées, inspirées de la méthodologie </w:t>
      </w:r>
      <w:r>
        <w:t>CRISP-DM :</w:t>
      </w:r>
    </w:p>
    <w:p w:rsidR="00A21763" w:rsidRDefault="007C191C">
      <w:pPr>
        <w:pStyle w:val="ListParagraph"/>
        <w:numPr>
          <w:ilvl w:val="0"/>
          <w:numId w:val="2"/>
        </w:numPr>
        <w:spacing w:before="60" w:after="60"/>
      </w:pPr>
      <w:r>
        <w:t>Étape 1 — Chargement des données : intégration de deux tables (commandes et stock) couvrant 118 références et 44 lignes de commandes.</w:t>
      </w:r>
    </w:p>
    <w:p w:rsidR="00A21763" w:rsidRDefault="007C191C">
      <w:pPr>
        <w:pStyle w:val="ListParagraph"/>
        <w:numPr>
          <w:ilvl w:val="0"/>
          <w:numId w:val="2"/>
        </w:numPr>
        <w:spacing w:before="60" w:after="60"/>
      </w:pPr>
      <w:r>
        <w:t>Étape 2 — Enrichissement : calcul de variables dérivées clés (Jours_Sans_Commande, Valeur_Stock, Taux_Rotation,</w:t>
      </w:r>
      <w:r>
        <w:t xml:space="preserve"> Ratio_LT).</w:t>
      </w:r>
    </w:p>
    <w:p w:rsidR="00A21763" w:rsidRDefault="007C191C">
      <w:pPr>
        <w:pStyle w:val="ListParagraph"/>
        <w:numPr>
          <w:ilvl w:val="0"/>
          <w:numId w:val="2"/>
        </w:numPr>
        <w:spacing w:before="60" w:after="60"/>
      </w:pPr>
      <w:r>
        <w:t>Étape 3 — Classification métier : application de seuils à 180 jours (dormant) et 365 jours (obsolète) sans mouvement.</w:t>
      </w:r>
    </w:p>
    <w:p w:rsidR="00A21763" w:rsidRDefault="007C191C">
      <w:pPr>
        <w:pStyle w:val="ListParagraph"/>
        <w:numPr>
          <w:ilvl w:val="0"/>
          <w:numId w:val="2"/>
        </w:numPr>
        <w:spacing w:before="60" w:after="60"/>
      </w:pPr>
      <w:r>
        <w:t>Étape 4 — EDA : analyse exploratoire visuelle avec 4 graphiques (répartition, valeur par statut, top 10 à risque, distribution</w:t>
      </w:r>
      <w:r>
        <w:t xml:space="preserve"> stock).</w:t>
      </w:r>
    </w:p>
    <w:p w:rsidR="00A21763" w:rsidRDefault="007C191C">
      <w:pPr>
        <w:pStyle w:val="ListParagraph"/>
        <w:numPr>
          <w:ilvl w:val="0"/>
          <w:numId w:val="2"/>
        </w:numPr>
        <w:spacing w:before="60" w:after="60"/>
      </w:pPr>
      <w:r>
        <w:t>Étape 5 — Random Forest : modèle supervisé avec accuracy de 100% sur l'ensemble de test.</w:t>
      </w:r>
    </w:p>
    <w:p w:rsidR="00A21763" w:rsidRDefault="007C191C">
      <w:pPr>
        <w:pStyle w:val="ListParagraph"/>
        <w:numPr>
          <w:ilvl w:val="0"/>
          <w:numId w:val="2"/>
        </w:numPr>
        <w:spacing w:before="60" w:after="60"/>
      </w:pPr>
      <w:r>
        <w:t>Étape 6 — Isolation Forest : détection de 10 anomalies sur 118 articles (contamination=8%).</w:t>
      </w:r>
    </w:p>
    <w:p w:rsidR="00A21763" w:rsidRDefault="007C191C">
      <w:pPr>
        <w:pStyle w:val="ListParagraph"/>
        <w:numPr>
          <w:ilvl w:val="0"/>
          <w:numId w:val="2"/>
        </w:numPr>
        <w:spacing w:before="60" w:after="60"/>
      </w:pPr>
      <w:r>
        <w:t>Étape 7 — Export CSV : génération de deux fichiers de résultats ex</w:t>
      </w:r>
      <w:r>
        <w:t>ploitables.</w:t>
      </w:r>
    </w:p>
    <w:p w:rsidR="00A21763" w:rsidRDefault="007C191C">
      <w:pPr>
        <w:pStyle w:val="ListParagraph"/>
        <w:numPr>
          <w:ilvl w:val="0"/>
          <w:numId w:val="2"/>
        </w:numPr>
        <w:spacing w:before="60" w:after="60"/>
      </w:pPr>
      <w:r>
        <w:t>Étape 8 — Recommandations : synthèse des actions à engager par ordre de priorité.</w:t>
      </w:r>
    </w:p>
    <w:p w:rsidR="00A21763" w:rsidRDefault="007C191C">
      <w:r>
        <w:br w:type="page"/>
      </w:r>
    </w:p>
    <w:p w:rsidR="00A21763" w:rsidRDefault="007C191C">
      <w:pPr>
        <w:pStyle w:val="Heading1"/>
        <w:pBdr>
          <w:bottom w:val="single" w:sz="6" w:space="1" w:color="2E75B6"/>
        </w:pBdr>
      </w:pPr>
      <w:r>
        <w:lastRenderedPageBreak/>
        <w:t>II. DÉVELOPPEMENT</w:t>
      </w:r>
    </w:p>
    <w:p w:rsidR="00A21763" w:rsidRDefault="007C191C">
      <w:pPr>
        <w:pStyle w:val="Heading2"/>
      </w:pPr>
      <w:r>
        <w:t>II.1 Présentation du dataset</w:t>
      </w:r>
    </w:p>
    <w:p w:rsidR="00A21763" w:rsidRDefault="007C191C">
      <w:pPr>
        <w:spacing w:before="80" w:after="80" w:line="276" w:lineRule="auto"/>
        <w:jc w:val="both"/>
      </w:pPr>
      <w:r>
        <w:t xml:space="preserve">Le dataset utilisé est un dataset industriel réel composé de deux tables complémentaires, chargées et jointes en </w:t>
      </w:r>
      <w:r>
        <w:t>Python via la clé SKU_ID :</w:t>
      </w:r>
    </w:p>
    <w:p w:rsidR="00A21763" w:rsidRDefault="00A2176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026"/>
      </w:tblGrid>
      <w:tr w:rsidR="00A2176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7C191C">
            <w:pPr>
              <w:jc w:val="center"/>
            </w:pPr>
            <w:r>
              <w:rPr>
                <w:b/>
                <w:bCs/>
                <w:color w:val="FFFFFF"/>
                <w:sz w:val="20"/>
                <w:szCs w:val="20"/>
              </w:rPr>
              <w:t>Table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7C191C">
            <w:pPr>
              <w:jc w:val="center"/>
            </w:pPr>
            <w:r>
              <w:rPr>
                <w:b/>
                <w:bCs/>
                <w:color w:val="FFFFFF"/>
                <w:sz w:val="20"/>
                <w:szCs w:val="20"/>
              </w:rPr>
              <w:t>Variables clés</w:t>
            </w:r>
          </w:p>
        </w:tc>
        <w:tc>
          <w:tcPr>
            <w:tcW w:w="5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7C191C">
            <w:pPr>
              <w:jc w:val="center"/>
            </w:pPr>
            <w:r>
              <w:rPr>
                <w:b/>
                <w:bCs/>
                <w:color w:val="FFFFFF"/>
                <w:sz w:val="20"/>
                <w:szCs w:val="20"/>
              </w:rPr>
              <w:t>Contenu</w:t>
            </w:r>
          </w:p>
        </w:tc>
      </w:tr>
      <w:tr w:rsidR="00A2176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r>
              <w:rPr>
                <w:sz w:val="20"/>
                <w:szCs w:val="20"/>
              </w:rPr>
              <w:t>Orders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r>
              <w:rPr>
                <w:sz w:val="20"/>
                <w:szCs w:val="20"/>
              </w:rPr>
              <w:t>Order_Date, SKU_ID, Order_Quantity</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r>
              <w:rPr>
                <w:sz w:val="20"/>
                <w:szCs w:val="20"/>
              </w:rPr>
              <w:t>44 lignes de commandes, toutes datées du 23/05/2022, couvrant 40 SKU distincts sur un seul jour de transaction</w:t>
            </w:r>
          </w:p>
        </w:tc>
      </w:tr>
      <w:tr w:rsidR="00A2176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r>
              <w:rPr>
                <w:sz w:val="20"/>
                <w:szCs w:val="20"/>
              </w:rPr>
              <w:t>Stock</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r>
              <w:rPr>
                <w:sz w:val="20"/>
                <w:szCs w:val="20"/>
              </w:rPr>
              <w:t>Stock_Actuel, Lead_Time_Moyen, Lead_Time_Max, Prix_Unitaire</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r>
              <w:rPr>
                <w:sz w:val="20"/>
                <w:szCs w:val="20"/>
              </w:rPr>
              <w:t>118 références uniques (après dédoublonnage), avec niveaux de stock, délais fournisseurs et prix unitaires hétérogènes</w:t>
            </w:r>
          </w:p>
        </w:tc>
      </w:tr>
    </w:tbl>
    <w:p w:rsidR="00A21763" w:rsidRDefault="00A21763">
      <w:pPr>
        <w:spacing w:before="120" w:after="120"/>
      </w:pPr>
    </w:p>
    <w:p w:rsidR="00A21763" w:rsidRDefault="007C191C">
      <w:pPr>
        <w:spacing w:before="80" w:after="80" w:line="276" w:lineRule="auto"/>
        <w:jc w:val="both"/>
      </w:pPr>
      <w:r>
        <w:t xml:space="preserve">Après chargement, le dataset présente les caractéristiques suivantes : 118 références en stock, 44 lignes de commandes, 91 articles sans aucune commande enregistrée (soit 77,1% du portefeuille), et 10 articles avec un stock actuel nul. La valeur totale du </w:t>
      </w:r>
      <w:r>
        <w:t>stock s'élève à 31 875 279 unités monétaires, avec une forte concentration sur quelques références à prix unitaire élevé.</w:t>
      </w:r>
    </w:p>
    <w:p w:rsidR="00A21763" w:rsidRDefault="007C191C">
      <w:pPr>
        <w:pStyle w:val="Heading2"/>
      </w:pPr>
      <w:r>
        <w:t>II.2 Exploration et Analyse des Données (EDA)</w:t>
      </w:r>
    </w:p>
    <w:p w:rsidR="00A21763" w:rsidRDefault="007C191C">
      <w:pPr>
        <w:spacing w:before="80" w:after="80" w:line="276" w:lineRule="auto"/>
        <w:jc w:val="both"/>
      </w:pPr>
      <w:r>
        <w:t>L'analyse exploratoire a été conduite en quatre visualisations complémentaires, générées automatiquement par le script Python.</w:t>
      </w:r>
    </w:p>
    <w:p w:rsidR="00A21763" w:rsidRDefault="00A21763">
      <w:pPr>
        <w:spacing w:before="80" w:after="80"/>
      </w:pPr>
    </w:p>
    <w:p w:rsidR="00A21763" w:rsidRDefault="007C191C">
      <w:pPr>
        <w:pStyle w:val="Heading3"/>
      </w:pPr>
      <w:r>
        <w:t>Répartition des statuts</w:t>
      </w:r>
    </w:p>
    <w:p w:rsidR="00A21763" w:rsidRDefault="007C191C">
      <w:pPr>
        <w:spacing w:before="80" w:after="80" w:line="276" w:lineRule="auto"/>
        <w:jc w:val="both"/>
      </w:pPr>
      <w:r>
        <w:t>Le graphique en secteurs révèle la structure du portefeuille : 77,1% des articles sont classifiés Obsolè</w:t>
      </w:r>
      <w:r>
        <w:t>tes (91 références) et 22,9% sont Dormants (27 références). Aucun article n'est classifié Actif, ce qui s'explique par la fenêtre temporelle limitée du dataset : l'unique journée de commandes (23/05/2022) se situe à plus de 588 jours de la date de référenc</w:t>
      </w:r>
      <w:r>
        <w:t>e (01/01/2023), ce qui dépasse le seuil de 365 jours définissant l'obsolescence.</w:t>
      </w:r>
    </w:p>
    <w:p w:rsidR="00A21763" w:rsidRDefault="007C191C">
      <w:pPr>
        <w:pStyle w:val="Heading3"/>
      </w:pPr>
      <w:r>
        <w:t>Valeur du stock par statut</w:t>
      </w:r>
    </w:p>
    <w:p w:rsidR="00A21763" w:rsidRDefault="007C191C">
      <w:pPr>
        <w:spacing w:before="80" w:after="80" w:line="276" w:lineRule="auto"/>
        <w:jc w:val="both"/>
      </w:pPr>
      <w:r>
        <w:t>La répartition de la valeur immobilisée confirme la gravité de la situation : les articles Obsolètes représentent 22 966 614 unités monétaires (72,1</w:t>
      </w:r>
      <w:r>
        <w:t>% de la valeur totale) et les articles Dormants 8 908 665 unités monétaires (27,9%). L'intégralité des 31 875 279 unités monétaires de stock est donc immobilisée dans des articles sans activité récente.</w:t>
      </w:r>
    </w:p>
    <w:p w:rsidR="00A21763" w:rsidRDefault="007C191C">
      <w:pPr>
        <w:pStyle w:val="Heading3"/>
      </w:pPr>
      <w:r>
        <w:t>Top 10 articles à risque</w:t>
      </w:r>
    </w:p>
    <w:p w:rsidR="00A21763" w:rsidRDefault="007C191C">
      <w:pPr>
        <w:spacing w:before="80" w:after="80" w:line="276" w:lineRule="auto"/>
        <w:jc w:val="both"/>
      </w:pPr>
      <w:r>
        <w:t>L'analyse des 10 articles do</w:t>
      </w:r>
      <w:r>
        <w:t xml:space="preserve">rmants et obsolètes à plus forte valeur identifie les priorités d'action. Les références à prix unitaire élevé comme 1295CA (175 000 × 5 = 875 000), 1281BA (139 500 × 3 = 418 500), et 1266CA (118 900 × 5 = 594 500) concentrent une valeur significative sur </w:t>
      </w:r>
      <w:r>
        <w:t>des quantités très faibles, caractéristique d'articles spécialisés à forte valeur unitaire sans rotation.</w:t>
      </w:r>
    </w:p>
    <w:p w:rsidR="00A21763" w:rsidRDefault="007C191C">
      <w:pPr>
        <w:pStyle w:val="Heading3"/>
      </w:pPr>
      <w:r>
        <w:t>Distribution des stocks</w:t>
      </w:r>
    </w:p>
    <w:p w:rsidR="00A21763" w:rsidRDefault="007C191C">
      <w:pPr>
        <w:spacing w:before="80" w:after="80" w:line="276" w:lineRule="auto"/>
        <w:jc w:val="both"/>
      </w:pPr>
      <w:r>
        <w:t xml:space="preserve">La distribution des stocks actifs (articles à stock &gt; 0) montre une forte asymétrie : la majorité des références ont des stocks inférieurs à 5 000 unités, mais quelques articles présentent des stocks </w:t>
      </w:r>
      <w:r>
        <w:lastRenderedPageBreak/>
        <w:t>considérables (2429BA : 342 553 kg, 2396CA : 124 908 kg,</w:t>
      </w:r>
      <w:r>
        <w:t xml:space="preserve"> 2371CA : 78 462 kg). Ces grands volumes à faible prix unitaire contribuent massivement à la valeur immobilisée.</w:t>
      </w:r>
    </w:p>
    <w:p w:rsidR="00A21763" w:rsidRDefault="007C191C">
      <w:pPr>
        <w:pStyle w:val="Heading2"/>
      </w:pPr>
      <w:r>
        <w:t>II.3 Prétraitement des Données</w:t>
      </w:r>
    </w:p>
    <w:p w:rsidR="00A21763" w:rsidRDefault="007C191C">
      <w:pPr>
        <w:spacing w:before="80" w:after="80" w:line="276" w:lineRule="auto"/>
        <w:jc w:val="both"/>
      </w:pPr>
      <w:r>
        <w:t>Le prétraitement a consisté en plusieurs opérations successives sur les données brutes :</w:t>
      </w:r>
    </w:p>
    <w:p w:rsidR="00A21763" w:rsidRDefault="00A21763">
      <w:pPr>
        <w:spacing w:before="80" w:after="80"/>
      </w:pPr>
    </w:p>
    <w:p w:rsidR="00A21763" w:rsidRDefault="007C191C">
      <w:pPr>
        <w:pStyle w:val="Heading3"/>
      </w:pPr>
      <w:r>
        <w:t>Agrégation des command</w:t>
      </w:r>
      <w:r>
        <w:t>es</w:t>
      </w:r>
    </w:p>
    <w:p w:rsidR="00A21763" w:rsidRDefault="007C191C">
      <w:pPr>
        <w:spacing w:before="80" w:after="80" w:line="276" w:lineRule="auto"/>
        <w:jc w:val="both"/>
      </w:pPr>
      <w:r>
        <w:t>Les 44 lignes de commandes ont été agrégées par SKU_ID pour calculer trois variables synthétiques : Nb_Commandes (nombre de commandes par référence), Qte_Totale_Commandee (quantité totale commandée) et Derniere_Commande (date de la dernière commande). C</w:t>
      </w:r>
      <w:r>
        <w:t>ette agrégation a été fusionnée avec la table stock via un left merge, préservant l'ensemble des 118 références.</w:t>
      </w:r>
    </w:p>
    <w:p w:rsidR="00A21763" w:rsidRDefault="007C191C">
      <w:pPr>
        <w:pStyle w:val="Heading3"/>
      </w:pPr>
      <w:r>
        <w:t>Imputation des valeurs manquantes</w:t>
      </w:r>
    </w:p>
    <w:p w:rsidR="00A21763" w:rsidRDefault="007C191C">
      <w:pPr>
        <w:spacing w:before="80" w:after="80" w:line="276" w:lineRule="auto"/>
        <w:jc w:val="both"/>
      </w:pPr>
      <w:r>
        <w:t>Les 91 articles sans historique de commande (77,1% du portefeuille) ont reçu les valeurs suivantes par imputa</w:t>
      </w:r>
      <w:r>
        <w:t>tion : Nb_Commandes = 0, Qte_Totale_Commandee = 0, Derniere_Commande = 01/01/2020. Cette date de référence fictive garantit que Jours_Sans_Commande dépasse 1 000 jours pour ces articles, assurant leur classification correcte en Obsolète.</w:t>
      </w:r>
    </w:p>
    <w:p w:rsidR="00A21763" w:rsidRDefault="007C191C">
      <w:pPr>
        <w:pStyle w:val="Heading3"/>
      </w:pPr>
      <w:r>
        <w:t>Variables dérivées</w:t>
      </w:r>
      <w:r>
        <w:t xml:space="preserve"> calculées</w:t>
      </w:r>
    </w:p>
    <w:p w:rsidR="00A21763" w:rsidRDefault="007C191C">
      <w:pPr>
        <w:pStyle w:val="ListParagraph"/>
        <w:numPr>
          <w:ilvl w:val="0"/>
          <w:numId w:val="2"/>
        </w:numPr>
        <w:spacing w:before="60" w:after="60"/>
      </w:pPr>
      <w:r>
        <w:t>Jours_Sans_Commande : (01/01/2023 − Derniere_Commande).days. Les articles avec commande le 23/05/2022 obtiennent 588 jours, ceux sans commande obtiennent 1 096 jours.</w:t>
      </w:r>
    </w:p>
    <w:p w:rsidR="00A21763" w:rsidRDefault="007C191C">
      <w:pPr>
        <w:pStyle w:val="ListParagraph"/>
        <w:numPr>
          <w:ilvl w:val="0"/>
          <w:numId w:val="2"/>
        </w:numPr>
        <w:spacing w:before="60" w:after="60"/>
      </w:pPr>
      <w:r>
        <w:t xml:space="preserve">Valeur_Stock : Stock_Actuel × Prix_Unitaire. Somme totale : 31 875 279 unités </w:t>
      </w:r>
      <w:r>
        <w:t>monétaires.</w:t>
      </w:r>
    </w:p>
    <w:p w:rsidR="00A21763" w:rsidRDefault="007C191C">
      <w:pPr>
        <w:pStyle w:val="ListParagraph"/>
        <w:numPr>
          <w:ilvl w:val="0"/>
          <w:numId w:val="2"/>
        </w:numPr>
        <w:spacing w:before="60" w:after="60"/>
      </w:pPr>
      <w:r>
        <w:t>Taux_Rotation : Qte_Totale_Commandee / (Stock_Actuel + 1). Indicateur de l'intensité d'utilisation relative du stock.</w:t>
      </w:r>
    </w:p>
    <w:p w:rsidR="00A21763" w:rsidRDefault="007C191C">
      <w:pPr>
        <w:pStyle w:val="ListParagraph"/>
        <w:numPr>
          <w:ilvl w:val="0"/>
          <w:numId w:val="2"/>
        </w:numPr>
        <w:spacing w:before="60" w:after="60"/>
      </w:pPr>
      <w:r>
        <w:t>Ratio_LT : Lead_Time_Max / Lead_Time_Moyen. Mesure de la variabilité des délais fournisseurs (valeurs de 1,4 à 1,8).</w:t>
      </w:r>
    </w:p>
    <w:p w:rsidR="00A21763" w:rsidRDefault="007C191C">
      <w:pPr>
        <w:pStyle w:val="ListParagraph"/>
        <w:numPr>
          <w:ilvl w:val="0"/>
          <w:numId w:val="2"/>
        </w:numPr>
        <w:spacing w:before="60" w:after="60"/>
      </w:pPr>
      <w:r>
        <w:t>Famille :</w:t>
      </w:r>
      <w:r>
        <w:t xml:space="preserve"> extraction des deux derniers caractères du SKU_ID (AA, BA, CA), encodés numériquement via LabelEncoder.</w:t>
      </w:r>
    </w:p>
    <w:p w:rsidR="00A21763" w:rsidRDefault="007C191C">
      <w:pPr>
        <w:pStyle w:val="Heading2"/>
      </w:pPr>
      <w:r>
        <w:t>II.4 Modèles de Machine Learning testés</w:t>
      </w:r>
    </w:p>
    <w:p w:rsidR="00A21763" w:rsidRDefault="007C191C">
      <w:pPr>
        <w:pStyle w:val="Heading3"/>
      </w:pPr>
      <w:r>
        <w:t>Modèle 1 : Random Forest (Classification Supervisée)</w:t>
      </w:r>
    </w:p>
    <w:p w:rsidR="00A21763" w:rsidRDefault="007C191C">
      <w:pPr>
        <w:spacing w:before="80" w:after="80" w:line="276" w:lineRule="auto"/>
        <w:jc w:val="both"/>
      </w:pPr>
      <w:r>
        <w:t>Le modèle principal retenu est le RandomForestClassifier d</w:t>
      </w:r>
      <w:r>
        <w:t>e scikit-learn. Configuration exacte utilisée dans le notebook : n_estimators=100, random_state=42, class_weight='balanced', split train/test 75%/25% avec stratification.</w:t>
      </w:r>
    </w:p>
    <w:p w:rsidR="00A21763" w:rsidRDefault="00A21763">
      <w:pPr>
        <w:spacing w:before="80" w:after="80"/>
      </w:pPr>
    </w:p>
    <w:p w:rsidR="00A21763" w:rsidRDefault="007C191C">
      <w:pPr>
        <w:spacing w:before="80" w:after="80" w:line="276" w:lineRule="auto"/>
        <w:jc w:val="both"/>
      </w:pPr>
      <w:r>
        <w:t>Les 11 features d'entrée sont : Stock_Actuel, Prix_Unitaire, Lead_Time_Moyen, Lead_T</w:t>
      </w:r>
      <w:r>
        <w:t>ime_Max, Nb_Commandes, Qte_Totale_Commandee, Jours_Sans_Commande, Valeur_Stock, Taux_Rotation, Ratio_LT, Famille_enc. Toutes les features ont été standardisées via StandardScaler avant l'entraînement.</w:t>
      </w:r>
    </w:p>
    <w:p w:rsidR="00A21763" w:rsidRDefault="00A21763">
      <w:pPr>
        <w:spacing w:before="80" w:after="80"/>
      </w:pPr>
    </w:p>
    <w:p w:rsidR="00A21763" w:rsidRDefault="007C191C">
      <w:pPr>
        <w:spacing w:before="80" w:after="80" w:line="276" w:lineRule="auto"/>
        <w:jc w:val="both"/>
      </w:pPr>
      <w:r>
        <w:t>Remarque importante sur l'accuracy de 100% : ce résult</w:t>
      </w:r>
      <w:r>
        <w:t>at s'explique par la nature des données. Les labels ont été générés par des règles déterministes basées sur Jours_Sans_Commande et Stock_Actuel. Le modèle apprend parfaitement ces règles à partir des mêmes features, ce qui produit une classification parfai</w:t>
      </w:r>
      <w:r>
        <w:t>te sur l'ensemble de test. L'ensemble de test contient 30 articles (7 Dormants + 23 Obsolètes, aucun Actif).</w:t>
      </w:r>
    </w:p>
    <w:p w:rsidR="00A21763" w:rsidRDefault="007C191C">
      <w:pPr>
        <w:pStyle w:val="Heading3"/>
      </w:pPr>
      <w:r>
        <w:lastRenderedPageBreak/>
        <w:t>Modèle 2 : Isolation Forest (Détection d'Anomalies)</w:t>
      </w:r>
    </w:p>
    <w:p w:rsidR="00A21763" w:rsidRDefault="007C191C">
      <w:pPr>
        <w:spacing w:before="80" w:after="80" w:line="276" w:lineRule="auto"/>
        <w:jc w:val="both"/>
      </w:pPr>
      <w:r>
        <w:t>En complément, un IsolationForest a été appliqué sur les mêmes 11 features avec contamination=0</w:t>
      </w:r>
      <w:r>
        <w:t>.08 et random_state=42. Ce modèle non supervisé identifie les articles dont le comportement est statistiquement atypique indépendamment des labels. Résultat : 10 anomalies détectées sur 118 articles (8,5% du portefeuille), cohérent avec le taux de contamin</w:t>
      </w:r>
      <w:r>
        <w:t>ation paramétré.</w:t>
      </w:r>
    </w:p>
    <w:p w:rsidR="00A21763" w:rsidRDefault="007C191C">
      <w:r>
        <w:br w:type="page"/>
      </w:r>
    </w:p>
    <w:p w:rsidR="00A21763" w:rsidRDefault="007C191C">
      <w:pPr>
        <w:pStyle w:val="Heading2"/>
      </w:pPr>
      <w:r>
        <w:lastRenderedPageBreak/>
        <w:t>II.5 Interprétabilité — Importance des Variables</w:t>
      </w:r>
    </w:p>
    <w:p w:rsidR="00A21763" w:rsidRDefault="007C191C">
      <w:pPr>
        <w:spacing w:before="80" w:after="80" w:line="276" w:lineRule="auto"/>
        <w:jc w:val="both"/>
      </w:pPr>
      <w:r>
        <w:t>L'analyse des importances de variables (feature_importances_) du Random Forest permet d'identifier les dimensions les plus discriminantes pour la classification. Les résultats du notebook indiquent que les variables les plus importantes sont :</w:t>
      </w:r>
    </w:p>
    <w:p w:rsidR="00A21763" w:rsidRDefault="007C191C">
      <w:pPr>
        <w:pStyle w:val="ListParagraph"/>
        <w:numPr>
          <w:ilvl w:val="0"/>
          <w:numId w:val="2"/>
        </w:numPr>
        <w:spacing w:before="60" w:after="60"/>
      </w:pPr>
      <w:r>
        <w:t>Jours_Sans_C</w:t>
      </w:r>
      <w:r>
        <w:t>ommande : variable la plus discriminante, directement liée à la règle de classification métier. Sa valeur (588 jours pour les articles commandés, 1 096 jours pour les autres) sépare parfaitement les classes.</w:t>
      </w:r>
    </w:p>
    <w:p w:rsidR="00A21763" w:rsidRDefault="007C191C">
      <w:pPr>
        <w:pStyle w:val="ListParagraph"/>
        <w:numPr>
          <w:ilvl w:val="0"/>
          <w:numId w:val="2"/>
        </w:numPr>
        <w:spacing w:before="60" w:after="60"/>
      </w:pPr>
      <w:r>
        <w:t>Nb_Commandes et Qte_Totale_Commandee : indicateu</w:t>
      </w:r>
      <w:r>
        <w:t>rs binaires dans ce dataset (0 ou valeur positive), fortement corrélés à Jours_Sans_Commande.</w:t>
      </w:r>
    </w:p>
    <w:p w:rsidR="00A21763" w:rsidRDefault="007C191C">
      <w:pPr>
        <w:pStyle w:val="ListParagraph"/>
        <w:numPr>
          <w:ilvl w:val="0"/>
          <w:numId w:val="2"/>
        </w:numPr>
        <w:spacing w:before="60" w:after="60"/>
      </w:pPr>
      <w:r>
        <w:t>Stock_Actuel : permet d'isoler les 10 articles à stock nul, directement classifiés Obsolètes.</w:t>
      </w:r>
    </w:p>
    <w:p w:rsidR="00A21763" w:rsidRDefault="007C191C">
      <w:pPr>
        <w:pStyle w:val="ListParagraph"/>
        <w:numPr>
          <w:ilvl w:val="0"/>
          <w:numId w:val="2"/>
        </w:numPr>
        <w:spacing w:before="60" w:after="60"/>
      </w:pPr>
      <w:r>
        <w:t>Valeur_Stock et Taux_Rotation : variables dérivées apportant une inf</w:t>
      </w:r>
      <w:r>
        <w:t>ormation synthétique supplémentaire pour les cas ambigus.</w:t>
      </w:r>
    </w:p>
    <w:p w:rsidR="00A21763" w:rsidRDefault="007C191C">
      <w:r>
        <w:br w:type="page"/>
      </w:r>
    </w:p>
    <w:p w:rsidR="00A21763" w:rsidRDefault="007C191C">
      <w:pPr>
        <w:pStyle w:val="Heading1"/>
        <w:pBdr>
          <w:bottom w:val="single" w:sz="6" w:space="1" w:color="2E75B6"/>
        </w:pBdr>
      </w:pPr>
      <w:r>
        <w:lastRenderedPageBreak/>
        <w:t>III. RÉSULTATS ET DISCUSSION</w:t>
      </w:r>
    </w:p>
    <w:p w:rsidR="00A21763" w:rsidRDefault="007C191C">
      <w:pPr>
        <w:pStyle w:val="Heading2"/>
      </w:pPr>
      <w:r>
        <w:t>III.1 Résultats chiffrés du notebook</w:t>
      </w:r>
    </w:p>
    <w:p w:rsidR="00A21763" w:rsidRDefault="007C191C">
      <w:pPr>
        <w:spacing w:before="80" w:after="80" w:line="276" w:lineRule="auto"/>
        <w:jc w:val="both"/>
      </w:pPr>
      <w:r>
        <w:t>Les résultats suivants sont issus de l'exécution effective du notebook Python sur le dataset réel :</w:t>
      </w:r>
    </w:p>
    <w:p w:rsidR="00A21763" w:rsidRDefault="00A21763">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3000"/>
        <w:gridCol w:w="3000"/>
      </w:tblGrid>
      <w:tr w:rsidR="00A21763">
        <w:tblPrEx>
          <w:tblCellMar>
            <w:top w:w="0" w:type="dxa"/>
            <w:bottom w:w="0" w:type="dxa"/>
          </w:tblCellMar>
        </w:tblPrEx>
        <w:tc>
          <w:tcPr>
            <w:tcW w:w="3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7C191C">
            <w:pPr>
              <w:jc w:val="center"/>
            </w:pPr>
            <w:r>
              <w:rPr>
                <w:b/>
                <w:bCs/>
                <w:color w:val="FFFFFF"/>
                <w:sz w:val="20"/>
                <w:szCs w:val="20"/>
              </w:rPr>
              <w:t>Indicateur</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7C191C">
            <w:pPr>
              <w:jc w:val="center"/>
            </w:pPr>
            <w:r>
              <w:rPr>
                <w:b/>
                <w:bCs/>
                <w:color w:val="FFFFFF"/>
                <w:sz w:val="20"/>
                <w:szCs w:val="20"/>
              </w:rPr>
              <w:t>Valeur</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7C191C">
            <w:pPr>
              <w:jc w:val="center"/>
            </w:pPr>
            <w:r>
              <w:rPr>
                <w:b/>
                <w:bCs/>
                <w:color w:val="FFFFFF"/>
                <w:sz w:val="20"/>
                <w:szCs w:val="20"/>
              </w:rPr>
              <w:t>Part du total</w:t>
            </w:r>
          </w:p>
        </w:tc>
      </w:tr>
      <w:tr w:rsidR="00A21763">
        <w:tblPrEx>
          <w:tblCellMar>
            <w:top w:w="0" w:type="dxa"/>
            <w:bottom w:w="0" w:type="dxa"/>
          </w:tblCellMar>
        </w:tblPrEx>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r>
              <w:rPr>
                <w:sz w:val="20"/>
                <w:szCs w:val="20"/>
              </w:rPr>
              <w:t>Nombre total de références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pPr>
              <w:jc w:val="center"/>
            </w:pPr>
            <w:r>
              <w:rPr>
                <w:sz w:val="20"/>
                <w:szCs w:val="20"/>
              </w:rPr>
              <w:t>118 articles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pPr>
              <w:jc w:val="center"/>
            </w:pPr>
            <w:r>
              <w:rPr>
                <w:sz w:val="20"/>
                <w:szCs w:val="20"/>
              </w:rPr>
              <w:t>100%</w:t>
            </w:r>
          </w:p>
        </w:tc>
      </w:tr>
      <w:tr w:rsidR="00A21763">
        <w:tblPrEx>
          <w:tblCellMar>
            <w:top w:w="0" w:type="dxa"/>
            <w:bottom w:w="0" w:type="dxa"/>
          </w:tblCellMar>
        </w:tblPrEx>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r>
              <w:rPr>
                <w:sz w:val="20"/>
                <w:szCs w:val="20"/>
              </w:rPr>
              <w:t>Valeur totale du stock</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pPr>
              <w:jc w:val="center"/>
            </w:pPr>
            <w:r>
              <w:rPr>
                <w:sz w:val="20"/>
                <w:szCs w:val="20"/>
              </w:rPr>
              <w:t>31 875 279</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pPr>
              <w:jc w:val="center"/>
            </w:pPr>
            <w:r>
              <w:rPr>
                <w:sz w:val="20"/>
                <w:szCs w:val="20"/>
              </w:rPr>
              <w:t>100%</w:t>
            </w:r>
          </w:p>
        </w:tc>
      </w:tr>
      <w:tr w:rsidR="00A21763">
        <w:tblPrEx>
          <w:tblCellMar>
            <w:top w:w="0" w:type="dxa"/>
            <w:bottom w:w="0" w:type="dxa"/>
          </w:tblCellMar>
        </w:tblPrEx>
        <w:tc>
          <w:tcPr>
            <w:tcW w:w="3026" w:type="dxa"/>
            <w:tcBorders>
              <w:top w:val="single" w:sz="1" w:space="0" w:color="CCCCCC"/>
              <w:left w:val="single" w:sz="1" w:space="0" w:color="CCCCCC"/>
              <w:bottom w:val="single" w:sz="1" w:space="0" w:color="CCCCCC"/>
              <w:right w:val="single" w:sz="1" w:space="0" w:color="CCCCCC"/>
            </w:tcBorders>
            <w:shd w:val="clear" w:color="auto" w:fill="E0F0E0"/>
            <w:tcMar>
              <w:top w:w="80" w:type="dxa"/>
              <w:left w:w="120" w:type="dxa"/>
              <w:bottom w:w="80" w:type="dxa"/>
              <w:right w:w="120" w:type="dxa"/>
            </w:tcMar>
          </w:tcPr>
          <w:p w:rsidR="00A21763" w:rsidRDefault="007C191C">
            <w:r>
              <w:rPr>
                <w:b/>
                <w:bCs/>
                <w:color w:val="1E7E34"/>
                <w:sz w:val="20"/>
                <w:szCs w:val="20"/>
              </w:rPr>
              <w:t>Articles ACTIFS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pPr>
              <w:jc w:val="center"/>
            </w:pPr>
            <w:r>
              <w:rPr>
                <w:sz w:val="20"/>
                <w:szCs w:val="20"/>
              </w:rPr>
              <w:t>0 article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pPr>
              <w:jc w:val="center"/>
            </w:pPr>
            <w:r>
              <w:rPr>
                <w:sz w:val="20"/>
                <w:szCs w:val="20"/>
              </w:rPr>
              <w:t>0,0%</w:t>
            </w:r>
          </w:p>
        </w:tc>
      </w:tr>
      <w:tr w:rsidR="00A21763">
        <w:tblPrEx>
          <w:tblCellMar>
            <w:top w:w="0" w:type="dxa"/>
            <w:bottom w:w="0" w:type="dxa"/>
          </w:tblCellMar>
        </w:tblPrEx>
        <w:tc>
          <w:tcPr>
            <w:tcW w:w="3026" w:type="dxa"/>
            <w:tcBorders>
              <w:top w:val="single" w:sz="1" w:space="0" w:color="CCCCCC"/>
              <w:left w:val="single" w:sz="1" w:space="0" w:color="CCCCCC"/>
              <w:bottom w:val="single" w:sz="1" w:space="0" w:color="CCCCCC"/>
              <w:right w:val="single" w:sz="1" w:space="0" w:color="CCCCCC"/>
            </w:tcBorders>
            <w:shd w:val="clear" w:color="auto" w:fill="FFF0D0"/>
            <w:tcMar>
              <w:top w:w="80" w:type="dxa"/>
              <w:left w:w="120" w:type="dxa"/>
              <w:bottom w:w="80" w:type="dxa"/>
              <w:right w:w="120" w:type="dxa"/>
            </w:tcMar>
          </w:tcPr>
          <w:p w:rsidR="00A21763" w:rsidRDefault="007C191C">
            <w:r>
              <w:rPr>
                <w:b/>
                <w:bCs/>
                <w:color w:val="C55A11"/>
                <w:sz w:val="20"/>
                <w:szCs w:val="20"/>
              </w:rPr>
              <w:t>Articles DORMANTS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pPr>
              <w:jc w:val="center"/>
            </w:pPr>
            <w:r>
              <w:rPr>
                <w:sz w:val="20"/>
                <w:szCs w:val="20"/>
              </w:rPr>
              <w:t>27 articles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pPr>
              <w:jc w:val="center"/>
            </w:pPr>
            <w:r>
              <w:rPr>
                <w:sz w:val="20"/>
                <w:szCs w:val="20"/>
              </w:rPr>
              <w:t>22,9% — 8 908 665</w:t>
            </w:r>
          </w:p>
        </w:tc>
      </w:tr>
      <w:tr w:rsidR="00A21763">
        <w:tblPrEx>
          <w:tblCellMar>
            <w:top w:w="0" w:type="dxa"/>
            <w:bottom w:w="0" w:type="dxa"/>
          </w:tblCellMar>
        </w:tblPrEx>
        <w:tc>
          <w:tcPr>
            <w:tcW w:w="3026"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rsidR="00A21763" w:rsidRDefault="007C191C">
            <w:r>
              <w:rPr>
                <w:b/>
                <w:bCs/>
                <w:color w:val="C00000"/>
                <w:sz w:val="20"/>
                <w:szCs w:val="20"/>
              </w:rPr>
              <w:t>Articles OBSOLÈTES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pPr>
              <w:jc w:val="center"/>
            </w:pPr>
            <w:r>
              <w:rPr>
                <w:sz w:val="20"/>
                <w:szCs w:val="20"/>
              </w:rPr>
              <w:t>91 articles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pPr>
              <w:jc w:val="center"/>
            </w:pPr>
            <w:r>
              <w:rPr>
                <w:sz w:val="20"/>
                <w:szCs w:val="20"/>
              </w:rPr>
              <w:t>77,1% — 22 966 614</w:t>
            </w:r>
          </w:p>
        </w:tc>
      </w:tr>
      <w:tr w:rsidR="00A21763">
        <w:tblPrEx>
          <w:tblCellMar>
            <w:top w:w="0" w:type="dxa"/>
            <w:bottom w:w="0" w:type="dxa"/>
          </w:tblCellMar>
        </w:tblPrEx>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r>
              <w:rPr>
                <w:sz w:val="20"/>
                <w:szCs w:val="20"/>
              </w:rPr>
              <w:t>Anomalies détectées (Isolation Forest)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pPr>
              <w:jc w:val="center"/>
            </w:pPr>
            <w:r>
              <w:rPr>
                <w:sz w:val="20"/>
                <w:szCs w:val="20"/>
              </w:rPr>
              <w:t>10 articles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pPr>
              <w:jc w:val="center"/>
            </w:pPr>
            <w:r>
              <w:rPr>
                <w:sz w:val="20"/>
                <w:szCs w:val="20"/>
              </w:rPr>
              <w:t>8,5%</w:t>
            </w:r>
          </w:p>
        </w:tc>
      </w:tr>
      <w:tr w:rsidR="00A21763">
        <w:tblPrEx>
          <w:tblCellMar>
            <w:top w:w="0" w:type="dxa"/>
            <w:bottom w:w="0" w:type="dxa"/>
          </w:tblCellMar>
        </w:tblPrEx>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r>
              <w:rPr>
                <w:sz w:val="20"/>
                <w:szCs w:val="20"/>
              </w:rPr>
              <w:t>Accuracy Random Forest</w:t>
            </w:r>
          </w:p>
        </w:tc>
        <w:tc>
          <w:tcPr>
            <w:tcW w:w="6000" w:type="dxa"/>
            <w:gridSpan w:val="2"/>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A21763" w:rsidRDefault="007C191C">
            <w:pPr>
              <w:jc w:val="center"/>
            </w:pPr>
            <w:r>
              <w:rPr>
                <w:b/>
                <w:bCs/>
                <w:color w:val="1F4E79"/>
                <w:sz w:val="20"/>
                <w:szCs w:val="20"/>
              </w:rPr>
              <w:t>100,0% (30/30 bien classifiés)</w:t>
            </w:r>
          </w:p>
        </w:tc>
      </w:tr>
    </w:tbl>
    <w:p w:rsidR="00A21763" w:rsidRDefault="00A21763">
      <w:pPr>
        <w:spacing w:before="120" w:after="120"/>
      </w:pPr>
    </w:p>
    <w:p w:rsidR="00A21763" w:rsidRDefault="007C191C">
      <w:pPr>
        <w:spacing w:before="80" w:after="80" w:line="276" w:lineRule="auto"/>
        <w:jc w:val="both"/>
      </w:pPr>
      <w:r>
        <w:t>Détail du classification report (ensemble de test — 30 articles) :</w:t>
      </w:r>
    </w:p>
    <w:p w:rsidR="00A21763" w:rsidRDefault="00A2176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56"/>
        <w:gridCol w:w="1757"/>
        <w:gridCol w:w="1757"/>
        <w:gridCol w:w="1756"/>
      </w:tblGrid>
      <w:tr w:rsidR="00A2176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7C191C">
            <w:pPr>
              <w:jc w:val="center"/>
            </w:pPr>
            <w:r>
              <w:rPr>
                <w:b/>
                <w:bCs/>
                <w:color w:val="FFFFFF"/>
                <w:sz w:val="20"/>
                <w:szCs w:val="20"/>
              </w:rPr>
              <w:t>Classe</w:t>
            </w:r>
          </w:p>
        </w:tc>
        <w:tc>
          <w:tcPr>
            <w:tcW w:w="175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7C191C">
            <w:pPr>
              <w:jc w:val="center"/>
            </w:pPr>
            <w:r>
              <w:rPr>
                <w:b/>
                <w:bCs/>
                <w:color w:val="FFFFFF"/>
                <w:sz w:val="20"/>
                <w:szCs w:val="20"/>
              </w:rPr>
              <w:t>Précision</w:t>
            </w:r>
          </w:p>
        </w:tc>
        <w:tc>
          <w:tcPr>
            <w:tcW w:w="175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7C191C">
            <w:pPr>
              <w:jc w:val="center"/>
            </w:pPr>
            <w:r>
              <w:rPr>
                <w:b/>
                <w:bCs/>
                <w:color w:val="FFFFFF"/>
                <w:sz w:val="20"/>
                <w:szCs w:val="20"/>
              </w:rPr>
              <w:t>Rappel</w:t>
            </w:r>
          </w:p>
        </w:tc>
        <w:tc>
          <w:tcPr>
            <w:tcW w:w="175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7C191C">
            <w:pPr>
              <w:jc w:val="center"/>
            </w:pPr>
            <w:r>
              <w:rPr>
                <w:b/>
                <w:bCs/>
                <w:color w:val="FFFFFF"/>
                <w:sz w:val="20"/>
                <w:szCs w:val="20"/>
              </w:rPr>
              <w:t>F1-Score</w:t>
            </w:r>
          </w:p>
        </w:tc>
        <w:tc>
          <w:tcPr>
            <w:tcW w:w="175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7C191C">
            <w:pPr>
              <w:jc w:val="center"/>
            </w:pPr>
            <w:r>
              <w:rPr>
                <w:b/>
                <w:bCs/>
                <w:color w:val="FFFFFF"/>
                <w:sz w:val="20"/>
                <w:szCs w:val="20"/>
              </w:rPr>
              <w:t>Support</w:t>
            </w:r>
          </w:p>
        </w:tc>
      </w:tr>
      <w:tr w:rsidR="00A2176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r>
              <w:rPr>
                <w:sz w:val="20"/>
                <w:szCs w:val="20"/>
              </w:rPr>
              <w:t>Dormant</w:t>
            </w:r>
          </w:p>
        </w:tc>
        <w:tc>
          <w:tcPr>
            <w:tcW w:w="17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pPr>
              <w:jc w:val="center"/>
            </w:pPr>
            <w:r>
              <w:rPr>
                <w:sz w:val="20"/>
                <w:szCs w:val="20"/>
              </w:rPr>
              <w:t>1.00</w:t>
            </w:r>
          </w:p>
        </w:tc>
        <w:tc>
          <w:tcPr>
            <w:tcW w:w="17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pPr>
              <w:jc w:val="center"/>
            </w:pPr>
            <w:r>
              <w:rPr>
                <w:sz w:val="20"/>
                <w:szCs w:val="20"/>
              </w:rPr>
              <w:t>1.00</w:t>
            </w:r>
          </w:p>
        </w:tc>
        <w:tc>
          <w:tcPr>
            <w:tcW w:w="17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pPr>
              <w:jc w:val="center"/>
            </w:pPr>
            <w:r>
              <w:rPr>
                <w:sz w:val="20"/>
                <w:szCs w:val="20"/>
              </w:rPr>
              <w:t>1.00</w:t>
            </w:r>
          </w:p>
        </w:tc>
        <w:tc>
          <w:tcPr>
            <w:tcW w:w="17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pPr>
              <w:jc w:val="center"/>
            </w:pPr>
            <w:r>
              <w:rPr>
                <w:sz w:val="20"/>
                <w:szCs w:val="20"/>
              </w:rPr>
              <w:t>7</w:t>
            </w:r>
          </w:p>
        </w:tc>
      </w:tr>
      <w:tr w:rsidR="00A2176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r>
              <w:rPr>
                <w:sz w:val="20"/>
                <w:szCs w:val="20"/>
              </w:rPr>
              <w:t>Obsolète</w:t>
            </w:r>
          </w:p>
        </w:tc>
        <w:tc>
          <w:tcPr>
            <w:tcW w:w="17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pPr>
              <w:jc w:val="center"/>
            </w:pPr>
            <w:r>
              <w:rPr>
                <w:sz w:val="20"/>
                <w:szCs w:val="20"/>
              </w:rPr>
              <w:t>1.00</w:t>
            </w:r>
          </w:p>
        </w:tc>
        <w:tc>
          <w:tcPr>
            <w:tcW w:w="17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pPr>
              <w:jc w:val="center"/>
            </w:pPr>
            <w:r>
              <w:rPr>
                <w:sz w:val="20"/>
                <w:szCs w:val="20"/>
              </w:rPr>
              <w:t>1.00</w:t>
            </w:r>
          </w:p>
        </w:tc>
        <w:tc>
          <w:tcPr>
            <w:tcW w:w="17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pPr>
              <w:jc w:val="center"/>
            </w:pPr>
            <w:r>
              <w:rPr>
                <w:sz w:val="20"/>
                <w:szCs w:val="20"/>
              </w:rPr>
              <w:t>1.00</w:t>
            </w:r>
          </w:p>
        </w:tc>
        <w:tc>
          <w:tcPr>
            <w:tcW w:w="17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pPr>
              <w:jc w:val="center"/>
            </w:pPr>
            <w:r>
              <w:rPr>
                <w:sz w:val="20"/>
                <w:szCs w:val="20"/>
              </w:rPr>
              <w:t>23</w:t>
            </w:r>
          </w:p>
        </w:tc>
      </w:tr>
      <w:tr w:rsidR="00A21763">
        <w:tblPrEx>
          <w:tblCellMar>
            <w:top w:w="0" w:type="dxa"/>
            <w:bottom w:w="0" w:type="dxa"/>
          </w:tblCellMar>
        </w:tblPrEx>
        <w:tc>
          <w:tcPr>
            <w:tcW w:w="7270" w:type="dxa"/>
            <w:gridSpan w:val="4"/>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A21763" w:rsidRDefault="007C191C">
            <w:r>
              <w:rPr>
                <w:b/>
                <w:bCs/>
                <w:color w:val="1F4E79"/>
                <w:sz w:val="20"/>
                <w:szCs w:val="20"/>
              </w:rPr>
              <w:t>Accuracy globale / Macro avg</w:t>
            </w:r>
          </w:p>
        </w:tc>
        <w:tc>
          <w:tcPr>
            <w:tcW w:w="17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pPr>
              <w:jc w:val="center"/>
            </w:pPr>
            <w:r>
              <w:rPr>
                <w:sz w:val="20"/>
                <w:szCs w:val="20"/>
              </w:rPr>
              <w:t>1.00</w:t>
            </w:r>
          </w:p>
        </w:tc>
      </w:tr>
    </w:tbl>
    <w:p w:rsidR="00A21763" w:rsidRDefault="00A21763">
      <w:pPr>
        <w:spacing w:before="120" w:after="120"/>
      </w:pPr>
    </w:p>
    <w:p w:rsidR="00A21763" w:rsidRDefault="007C191C">
      <w:pPr>
        <w:pStyle w:val="Heading2"/>
      </w:pPr>
      <w:r>
        <w:t>III.2 Analyse critique et interprétation</w:t>
      </w:r>
    </w:p>
    <w:p w:rsidR="00A21763" w:rsidRDefault="007C191C">
      <w:pPr>
        <w:pStyle w:val="Heading3"/>
      </w:pPr>
      <w:r>
        <w:t>Interprétation de l'accuracy 100%</w:t>
      </w:r>
    </w:p>
    <w:p w:rsidR="00A21763" w:rsidRDefault="007C191C">
      <w:pPr>
        <w:spacing w:before="80" w:after="80" w:line="276" w:lineRule="auto"/>
        <w:jc w:val="both"/>
      </w:pPr>
      <w:r>
        <w:t>L'accuracy de 100% obtenue par le Random Forest s'explique par la construction même du problème : les labels (Dormant/Obsolète) ont été générés par des règles déterministes basées sur Jours_Sans_Commande et Stock_Actuel, qui sont elles-mêmes des features d</w:t>
      </w:r>
      <w:r>
        <w:t>u modèle. Le modèle apprend donc à reproduire parfaitement ces règles. Bien que ce score soit mathématiquement correct, il ne témoigne pas d'une généralisation à des données externes, mais de la cohérence interne du système de classification.</w:t>
      </w:r>
    </w:p>
    <w:p w:rsidR="00A21763" w:rsidRDefault="00A21763">
      <w:pPr>
        <w:spacing w:before="80" w:after="80"/>
      </w:pPr>
    </w:p>
    <w:p w:rsidR="00A21763" w:rsidRDefault="007C191C">
      <w:pPr>
        <w:spacing w:before="80" w:after="80" w:line="276" w:lineRule="auto"/>
        <w:jc w:val="both"/>
      </w:pPr>
      <w:r>
        <w:t>L'absence d'</w:t>
      </w:r>
      <w:r>
        <w:t>articles Actifs dans le dataset est un résultat cohérent avec la structure des données : la date de référence (01/01/2023) est à 588 jours de la dernière commande enregistrée (23/05/2022), ce qui dépasse le seuil de 365 jours définissant l'obsolescence. Da</w:t>
      </w:r>
      <w:r>
        <w:t>ns un dataset avec un historique complet sur 12-24 mois, des articles actifs seraient naturellement présents.</w:t>
      </w:r>
    </w:p>
    <w:p w:rsidR="00A21763" w:rsidRDefault="007C191C">
      <w:pPr>
        <w:pStyle w:val="Heading3"/>
      </w:pPr>
      <w:r>
        <w:t>Structure du portefeuille</w:t>
      </w:r>
    </w:p>
    <w:p w:rsidR="00A21763" w:rsidRDefault="007C191C">
      <w:pPr>
        <w:spacing w:before="80" w:after="80" w:line="276" w:lineRule="auto"/>
        <w:jc w:val="both"/>
      </w:pPr>
      <w:r>
        <w:t>La segmentation obtenue — 77,1% obsolètes, 22,9% dormants, 0% actifs — constitue un signal d'alarme fort pour le gestion</w:t>
      </w:r>
      <w:r>
        <w:t>naire de stock. La valeur de 22 966 614 unités monétaires immobilisée dans les seuls articles obsolètes représente une charge financière considérable, justifiant des actions de déstockage urgentes.</w:t>
      </w:r>
    </w:p>
    <w:p w:rsidR="00A21763" w:rsidRDefault="007C191C">
      <w:pPr>
        <w:pStyle w:val="Heading3"/>
      </w:pPr>
      <w:r>
        <w:lastRenderedPageBreak/>
        <w:t>Détection d'anomalies</w:t>
      </w:r>
    </w:p>
    <w:p w:rsidR="00A21763" w:rsidRDefault="007C191C">
      <w:pPr>
        <w:spacing w:before="80" w:after="80" w:line="276" w:lineRule="auto"/>
        <w:jc w:val="both"/>
      </w:pPr>
      <w:r>
        <w:t>Les 10 anomalies détectées par l'Isolation Forest (8,5% du portefeuille) correspondent vraisemblablement aux articles présentant des combinaisons atypiques : prix unitaire très élevé avec stock minimal (ex : 1295CA à 175 000 par unité), stocks exceptionnel</w:t>
      </w:r>
      <w:r>
        <w:t>lement élevés (ex : 2429BA à 342 553 kg), ou quantités commandées disproportionnées par rapport au stock (ex : 3512AA avec 70 141 kg en stock et 1 221 kg commandés).</w:t>
      </w:r>
    </w:p>
    <w:p w:rsidR="00A21763" w:rsidRDefault="007C191C">
      <w:pPr>
        <w:pStyle w:val="Heading2"/>
      </w:pPr>
      <w:r>
        <w:t>III.3 Limites et axes d'amélioration</w:t>
      </w:r>
    </w:p>
    <w:p w:rsidR="00A21763" w:rsidRDefault="007C191C">
      <w:pPr>
        <w:pStyle w:val="ListParagraph"/>
        <w:numPr>
          <w:ilvl w:val="0"/>
          <w:numId w:val="2"/>
        </w:numPr>
        <w:spacing w:before="60" w:after="60"/>
      </w:pPr>
      <w:r>
        <w:t>Fenêtre temporelle : une seule journée de commandes (</w:t>
      </w:r>
      <w:r>
        <w:t>23/05/2022) ne permet pas de calculer des taux de rotation annuels représentatifs. Un historique de 12 à 24 mois permettrait une analyse beaucoup plus fine et l'émergence d'articles actifs.</w:t>
      </w:r>
    </w:p>
    <w:p w:rsidR="00A21763" w:rsidRDefault="007C191C">
      <w:pPr>
        <w:pStyle w:val="ListParagraph"/>
        <w:numPr>
          <w:ilvl w:val="0"/>
          <w:numId w:val="2"/>
        </w:numPr>
        <w:spacing w:before="60" w:after="60"/>
      </w:pPr>
      <w:r>
        <w:t>Circularité labels/features : les labels sont générés par les mêmes variables utilisées comme features ML, ce qui explique l'accuracy parfaite mais limite la valeur prédictive du modèle sur données nouvelles.</w:t>
      </w:r>
    </w:p>
    <w:p w:rsidR="00A21763" w:rsidRDefault="007C191C">
      <w:pPr>
        <w:pStyle w:val="ListParagraph"/>
        <w:numPr>
          <w:ilvl w:val="0"/>
          <w:numId w:val="2"/>
        </w:numPr>
        <w:spacing w:before="60" w:after="60"/>
      </w:pPr>
      <w:r>
        <w:t>Données de sortie absentes : les mouvements enr</w:t>
      </w:r>
      <w:r>
        <w:t>egistrés sont des commandes (entrées fournisseurs), non des sorties entrepôt. L'analyse des consommations réelles donnerait une image plus fidèle de l'activité.</w:t>
      </w:r>
    </w:p>
    <w:p w:rsidR="00A21763" w:rsidRDefault="007C191C">
      <w:pPr>
        <w:pStyle w:val="ListParagraph"/>
        <w:numPr>
          <w:ilvl w:val="0"/>
          <w:numId w:val="2"/>
        </w:numPr>
        <w:spacing w:before="60" w:after="60"/>
      </w:pPr>
      <w:r>
        <w:t>Axes d'amélioration : intégration de données de sorties, application d'une segmentation ABC-XYZ</w:t>
      </w:r>
      <w:r>
        <w:t>, enrichissement avec données de durée de vie produit, et déploiement dans un WMS pour surveillance temps réel.</w:t>
      </w:r>
    </w:p>
    <w:p w:rsidR="00A21763" w:rsidRDefault="007C191C">
      <w:r>
        <w:br w:type="page"/>
      </w:r>
    </w:p>
    <w:p w:rsidR="00A21763" w:rsidRDefault="007C191C">
      <w:pPr>
        <w:pStyle w:val="Heading1"/>
        <w:pBdr>
          <w:bottom w:val="single" w:sz="6" w:space="1" w:color="2E75B6"/>
        </w:pBdr>
      </w:pPr>
      <w:r>
        <w:lastRenderedPageBreak/>
        <w:t>IV. RECOMMANDATIONS MÉTIER</w:t>
      </w:r>
    </w:p>
    <w:p w:rsidR="00A21763" w:rsidRDefault="007C191C">
      <w:pPr>
        <w:spacing w:before="80" w:after="80" w:line="276" w:lineRule="auto"/>
        <w:jc w:val="both"/>
      </w:pPr>
      <w:r>
        <w:t>Sur la base des résultats issus du notebook, quatre axes de recommandations sont proposés, classés par ordre de pri</w:t>
      </w:r>
      <w:r>
        <w:t>orité :</w:t>
      </w:r>
    </w:p>
    <w:p w:rsidR="00A21763" w:rsidRDefault="00A21763">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
        <w:gridCol w:w="2370"/>
        <w:gridCol w:w="4223"/>
        <w:gridCol w:w="1968"/>
      </w:tblGrid>
      <w:tr w:rsidR="00A21763">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7C191C">
            <w:pPr>
              <w:jc w:val="center"/>
            </w:pPr>
            <w:r>
              <w:rPr>
                <w:b/>
                <w:bCs/>
                <w:color w:val="FFFFFF"/>
                <w:sz w:val="20"/>
                <w:szCs w:val="20"/>
              </w:rPr>
              <w:t>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7C191C">
            <w:pPr>
              <w:jc w:val="center"/>
            </w:pPr>
            <w:r>
              <w:rPr>
                <w:b/>
                <w:bCs/>
                <w:color w:val="FFFFFF"/>
                <w:sz w:val="20"/>
                <w:szCs w:val="20"/>
              </w:rPr>
              <w:t>Axe</w:t>
            </w:r>
          </w:p>
        </w:tc>
        <w:tc>
          <w:tcPr>
            <w:tcW w:w="43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7C191C">
            <w:pPr>
              <w:jc w:val="center"/>
            </w:pPr>
            <w:r>
              <w:rPr>
                <w:b/>
                <w:bCs/>
                <w:color w:val="FFFFFF"/>
                <w:sz w:val="20"/>
                <w:szCs w:val="20"/>
              </w:rPr>
              <w:t>Actions recommandées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7C191C">
            <w:pPr>
              <w:jc w:val="center"/>
            </w:pPr>
            <w:r>
              <w:rPr>
                <w:b/>
                <w:bCs/>
                <w:color w:val="FFFFFF"/>
                <w:sz w:val="20"/>
                <w:szCs w:val="20"/>
              </w:rPr>
              <w:t>Priorité</w:t>
            </w:r>
          </w:p>
        </w:tc>
      </w:tr>
      <w:tr w:rsidR="00A21763">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pPr>
              <w:jc w:val="center"/>
            </w:pPr>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21763" w:rsidRDefault="007C191C">
            <w:r>
              <w:rPr>
                <w:b/>
                <w:bCs/>
                <w:color w:val="C00000"/>
                <w:sz w:val="20"/>
                <w:szCs w:val="20"/>
              </w:rPr>
              <w:t>Déstockage des articles obsolètes (91 réf. — 22 966 614)</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r>
              <w:rPr>
                <w:sz w:val="20"/>
                <w:szCs w:val="20"/>
              </w:rPr>
              <w:t>Lancer une procédure formelle de déclassement. Identifier les articles récupérables (négociation reprise fournisseur). Déprécier comptablement les 91 références. Priorité absolue sur les références à forte valeur : 1295CA, 1266CA, 1281BA, 1964BA.</w:t>
            </w:r>
          </w:p>
        </w:tc>
        <w:tc>
          <w:tcPr>
            <w:tcW w:w="2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rsidR="00A21763" w:rsidRDefault="007C191C">
            <w:pPr>
              <w:jc w:val="center"/>
            </w:pPr>
            <w:r>
              <w:rPr>
                <w:b/>
                <w:bCs/>
                <w:color w:val="C00000"/>
                <w:sz w:val="20"/>
                <w:szCs w:val="20"/>
              </w:rPr>
              <w:t>URGENTE</w:t>
            </w:r>
          </w:p>
        </w:tc>
      </w:tr>
      <w:tr w:rsidR="00A21763">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pPr>
              <w:jc w:val="center"/>
            </w:pPr>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r>
              <w:rPr>
                <w:b/>
                <w:bCs/>
                <w:color w:val="C55A11"/>
                <w:sz w:val="20"/>
                <w:szCs w:val="20"/>
              </w:rPr>
              <w:t>Surveillance des articles dormants (27 réf. — 8 908 665)</w:t>
            </w:r>
          </w:p>
        </w:tc>
        <w:tc>
          <w:tcPr>
            <w:tcW w:w="4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r>
              <w:rPr>
                <w:sz w:val="20"/>
                <w:szCs w:val="20"/>
              </w:rPr>
              <w:t>Geler tout nouvel approvisionnement sur les 27 références dormantes. Analyser les causes de non-rotation. Identifier des usages alternatifs internes ou des possibilités de transfert inter-sites. Mettre en alerte si aucun mouvement dans les 30 prochains jou</w:t>
            </w:r>
            <w:r>
              <w:rPr>
                <w:sz w:val="20"/>
                <w:szCs w:val="20"/>
              </w:rPr>
              <w:t>rs.</w:t>
            </w:r>
          </w:p>
        </w:tc>
        <w:tc>
          <w:tcPr>
            <w:tcW w:w="2000" w:type="dxa"/>
            <w:tcBorders>
              <w:top w:val="single" w:sz="1" w:space="0" w:color="CCCCCC"/>
              <w:left w:val="single" w:sz="1" w:space="0" w:color="CCCCCC"/>
              <w:bottom w:val="single" w:sz="1" w:space="0" w:color="CCCCCC"/>
              <w:right w:val="single" w:sz="1" w:space="0" w:color="CCCCCC"/>
            </w:tcBorders>
            <w:shd w:val="clear" w:color="auto" w:fill="FFF0D0"/>
            <w:tcMar>
              <w:top w:w="80" w:type="dxa"/>
              <w:left w:w="120" w:type="dxa"/>
              <w:bottom w:w="80" w:type="dxa"/>
              <w:right w:w="120" w:type="dxa"/>
            </w:tcMar>
          </w:tcPr>
          <w:p w:rsidR="00A21763" w:rsidRDefault="007C191C">
            <w:pPr>
              <w:jc w:val="center"/>
            </w:pPr>
            <w:r>
              <w:rPr>
                <w:b/>
                <w:bCs/>
                <w:color w:val="C55A11"/>
                <w:sz w:val="20"/>
                <w:szCs w:val="20"/>
              </w:rPr>
              <w:t>HAUTE</w:t>
            </w:r>
          </w:p>
        </w:tc>
      </w:tr>
      <w:tr w:rsidR="00A21763">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pPr>
              <w:jc w:val="center"/>
            </w:pPr>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21763" w:rsidRDefault="007C191C">
            <w:r>
              <w:rPr>
                <w:b/>
                <w:bCs/>
                <w:color w:val="2E75B6"/>
                <w:sz w:val="20"/>
                <w:szCs w:val="20"/>
              </w:rPr>
              <w:t>Investigation des 10 anomalies (Isolation Forest)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r>
              <w:rPr>
                <w:sz w:val="20"/>
                <w:szCs w:val="20"/>
              </w:rPr>
              <w:t>Analyser manuellement les 10 articles détectés comme anomalies. Vérifier la cohérence des données (erreurs de saisie, articles dupliqués, prix erronés). Corriger les données sources si nécessaire avant tout déstockage.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A21763" w:rsidRDefault="007C191C">
            <w:pPr>
              <w:jc w:val="center"/>
            </w:pPr>
            <w:r>
              <w:rPr>
                <w:b/>
                <w:bCs/>
                <w:color w:val="1F4E79"/>
                <w:sz w:val="20"/>
                <w:szCs w:val="20"/>
              </w:rPr>
              <w:t>NORMALE</w:t>
            </w:r>
          </w:p>
        </w:tc>
      </w:tr>
      <w:tr w:rsidR="00A21763">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pPr>
              <w:jc w:val="center"/>
            </w:pPr>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r>
              <w:rPr>
                <w:b/>
                <w:bCs/>
                <w:color w:val="1E7E34"/>
                <w:sz w:val="20"/>
                <w:szCs w:val="20"/>
              </w:rPr>
              <w:t>Digitalisation &amp; enrichissement des données</w:t>
            </w:r>
          </w:p>
        </w:tc>
        <w:tc>
          <w:tcPr>
            <w:tcW w:w="4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r>
              <w:rPr>
                <w:sz w:val="20"/>
                <w:szCs w:val="20"/>
              </w:rPr>
              <w:t>Enrichir le dataset avec 12-24 mois d'historique de mouvements réels. Intégrer le modèle ML dans le WMS. Mettre en place des alertes automatiques à 180j et 365j. Appliquer une segmentation ABC-XYZ sur le portefeu</w:t>
            </w:r>
            <w:r>
              <w:rPr>
                <w:sz w:val="20"/>
                <w:szCs w:val="20"/>
              </w:rPr>
              <w:t>ille actif.</w:t>
            </w:r>
          </w:p>
        </w:tc>
        <w:tc>
          <w:tcPr>
            <w:tcW w:w="2000" w:type="dxa"/>
            <w:tcBorders>
              <w:top w:val="single" w:sz="1" w:space="0" w:color="CCCCCC"/>
              <w:left w:val="single" w:sz="1" w:space="0" w:color="CCCCCC"/>
              <w:bottom w:val="single" w:sz="1" w:space="0" w:color="CCCCCC"/>
              <w:right w:val="single" w:sz="1" w:space="0" w:color="CCCCCC"/>
            </w:tcBorders>
            <w:shd w:val="clear" w:color="auto" w:fill="E0F0E0"/>
            <w:tcMar>
              <w:top w:w="80" w:type="dxa"/>
              <w:left w:w="120" w:type="dxa"/>
              <w:bottom w:w="80" w:type="dxa"/>
              <w:right w:w="120" w:type="dxa"/>
            </w:tcMar>
          </w:tcPr>
          <w:p w:rsidR="00A21763" w:rsidRDefault="007C191C">
            <w:pPr>
              <w:jc w:val="center"/>
            </w:pPr>
            <w:r>
              <w:rPr>
                <w:b/>
                <w:bCs/>
                <w:color w:val="1E7E34"/>
                <w:sz w:val="20"/>
                <w:szCs w:val="20"/>
              </w:rPr>
              <w:t>LONG TERME</w:t>
            </w:r>
          </w:p>
        </w:tc>
      </w:tr>
    </w:tbl>
    <w:p w:rsidR="00A21763" w:rsidRDefault="00A21763">
      <w:pPr>
        <w:spacing w:before="200" w:after="200"/>
      </w:pPr>
    </w:p>
    <w:p w:rsidR="00A21763" w:rsidRDefault="007C191C">
      <w:pPr>
        <w:spacing w:before="80" w:after="80" w:line="276" w:lineRule="auto"/>
        <w:jc w:val="both"/>
      </w:pPr>
      <w:r>
        <w:t>La mise en oeuvre de ces recommandations permettrait de libérer une part significative des 31 875 279 unités monétaires actuellement immobilisées, d'optimiser l'utilisation de l'espace d'entreposage, et de réduire les coûts de possession de stock.</w:t>
      </w:r>
    </w:p>
    <w:p w:rsidR="00A21763" w:rsidRDefault="007C191C">
      <w:r>
        <w:br w:type="page"/>
      </w:r>
    </w:p>
    <w:p w:rsidR="00A21763" w:rsidRDefault="007C191C">
      <w:pPr>
        <w:pStyle w:val="Heading1"/>
        <w:pBdr>
          <w:bottom w:val="single" w:sz="6" w:space="1" w:color="2E75B6"/>
        </w:pBdr>
      </w:pPr>
      <w:r>
        <w:lastRenderedPageBreak/>
        <w:t>V. CON</w:t>
      </w:r>
      <w:r>
        <w:t>CLUSION</w:t>
      </w:r>
    </w:p>
    <w:p w:rsidR="00A21763" w:rsidRDefault="007C191C">
      <w:pPr>
        <w:spacing w:before="80" w:after="80" w:line="276" w:lineRule="auto"/>
        <w:jc w:val="both"/>
      </w:pPr>
      <w:r>
        <w:t>Ce projet a permis de mettre en oeuvre une approche analytique complète pour la détection automatisée des articles dormants et obsolètes dans un stock industriel réel. En combinant des règles de gestion métier avec des algorithmes de Machine Learni</w:t>
      </w:r>
      <w:r>
        <w:t>ng, un système de classification opérationnel a été développé et validé sur 118 références réelles.</w:t>
      </w:r>
    </w:p>
    <w:p w:rsidR="00A21763" w:rsidRDefault="00A21763">
      <w:pPr>
        <w:spacing w:before="80" w:after="80"/>
      </w:pPr>
    </w:p>
    <w:p w:rsidR="00A21763" w:rsidRDefault="007C191C">
      <w:pPr>
        <w:spacing w:before="80" w:after="80" w:line="276" w:lineRule="auto"/>
        <w:jc w:val="both"/>
      </w:pPr>
      <w:r>
        <w:t>Les résultats obtenus sont sans appel : sur l'intégralité du portefeuille analysé, aucun article n'est actif au sens des critères définis. 91 références (7</w:t>
      </w:r>
      <w:r>
        <w:t>7,1%) sont obsolètes et 27 (22,9%) sont dormantes, représentant une valeur totale immobilisée de 31 875 279 unités monétaires. Le modèle Random Forest atteint une accuracy de 100% sur l'ensemble de test (30 articles), confirmant la cohérence et la robustes</w:t>
      </w:r>
      <w:r>
        <w:t>se du système de classification. La détection d'anomalies par Isolation Forest identifie 10 articles nécessitant une attention particulière.</w:t>
      </w:r>
    </w:p>
    <w:p w:rsidR="00A21763" w:rsidRDefault="00A21763">
      <w:pPr>
        <w:spacing w:before="80" w:after="80"/>
      </w:pPr>
    </w:p>
    <w:p w:rsidR="00A21763" w:rsidRDefault="007C191C">
      <w:pPr>
        <w:spacing w:before="80" w:after="80" w:line="276" w:lineRule="auto"/>
        <w:jc w:val="both"/>
      </w:pPr>
      <w:r>
        <w:t>Sur le plan métier, ce travail fournit aux responsables logistiques un outil de décision concret, avec une liste d</w:t>
      </w:r>
      <w:r>
        <w:t>es articles à traiter en priorité, une valorisation financière précise de chaque catégorie, et un plan d'action structuré. La valeur de 22 966 614 unités monétaires d'articles obsolètes identifiée constitue un argument fort pour l'engagement immédiat d'une</w:t>
      </w:r>
      <w:r>
        <w:t xml:space="preserve"> procédure de déstockage.</w:t>
      </w:r>
    </w:p>
    <w:p w:rsidR="00A21763" w:rsidRDefault="00A21763">
      <w:pPr>
        <w:spacing w:before="80" w:after="80"/>
      </w:pPr>
    </w:p>
    <w:p w:rsidR="00A21763" w:rsidRDefault="007C191C">
      <w:pPr>
        <w:spacing w:before="80" w:after="80" w:line="276" w:lineRule="auto"/>
        <w:jc w:val="both"/>
      </w:pPr>
      <w:r>
        <w:t>En perspective, l'enrichissement du dataset avec un historique complet de mouvements sur 12 à 24 mois, couplé à l'intégration du modèle dans un WMS, permettrait de transformer ce projet en un outil de pilotage en temps réel, générant automatiquement des al</w:t>
      </w:r>
      <w:r>
        <w:t>ertes préventives dès qu'une référence approche du seuil de dormance. Ce projet illustre ainsi le potentiel de la data science appliquée à la Supply Chain pour transformer des données brutes en leviers de performance opérationnelle.</w:t>
      </w:r>
    </w:p>
    <w:p w:rsidR="00A21763" w:rsidRDefault="007C191C">
      <w:r>
        <w:br w:type="page"/>
      </w:r>
    </w:p>
    <w:p w:rsidR="00A21763" w:rsidRDefault="007C191C">
      <w:pPr>
        <w:pStyle w:val="Heading1"/>
        <w:pBdr>
          <w:bottom w:val="single" w:sz="6" w:space="1" w:color="2E75B6"/>
        </w:pBdr>
      </w:pPr>
      <w:r>
        <w:lastRenderedPageBreak/>
        <w:t>BIBLIOGRAPHIE / WEBOG</w:t>
      </w:r>
      <w:r>
        <w:t>RAPHIE</w:t>
      </w:r>
    </w:p>
    <w:p w:rsidR="00A21763" w:rsidRDefault="00A21763">
      <w:pPr>
        <w:spacing w:before="100" w:after="100"/>
      </w:pPr>
    </w:p>
    <w:p w:rsidR="00A21763" w:rsidRDefault="007C191C">
      <w:pPr>
        <w:spacing w:before="80" w:after="80" w:line="276" w:lineRule="auto"/>
        <w:jc w:val="both"/>
      </w:pPr>
      <w:r>
        <w:t>[1] CHOPRA, S., MEINDL, P. (2016). Supply Chain Management: Strategy, Planning, and Operation. Pearson. 6th ed.</w:t>
      </w:r>
    </w:p>
    <w:p w:rsidR="00A21763" w:rsidRDefault="00A21763">
      <w:pPr>
        <w:spacing w:before="60" w:after="60"/>
      </w:pPr>
    </w:p>
    <w:p w:rsidR="00A21763" w:rsidRDefault="007C191C">
      <w:pPr>
        <w:spacing w:before="80" w:after="80" w:line="276" w:lineRule="auto"/>
        <w:jc w:val="both"/>
      </w:pPr>
      <w:r>
        <w:t>[2] SILVER, E.A., PYKE, D.F., THOMAS, D.J. (2017). Inventory and Production Management in Supply Chains. CRC Press. 4th ed.</w:t>
      </w:r>
    </w:p>
    <w:p w:rsidR="00A21763" w:rsidRDefault="00A21763">
      <w:pPr>
        <w:spacing w:before="60" w:after="60"/>
      </w:pPr>
    </w:p>
    <w:p w:rsidR="00A21763" w:rsidRDefault="007C191C">
      <w:pPr>
        <w:spacing w:before="80" w:after="80" w:line="276" w:lineRule="auto"/>
        <w:jc w:val="both"/>
      </w:pPr>
      <w:r>
        <w:t>[3] BREIMA</w:t>
      </w:r>
      <w:r>
        <w:t>N, L. (2001). Random Forests. Machine Learning, 45(1), pp. 5-32.</w:t>
      </w:r>
    </w:p>
    <w:p w:rsidR="00A21763" w:rsidRDefault="00A21763">
      <w:pPr>
        <w:spacing w:before="60" w:after="60"/>
      </w:pPr>
    </w:p>
    <w:p w:rsidR="00A21763" w:rsidRDefault="007C191C">
      <w:pPr>
        <w:spacing w:before="80" w:after="80" w:line="276" w:lineRule="auto"/>
        <w:jc w:val="both"/>
      </w:pPr>
      <w:r>
        <w:t>[4] LIU, F.T., TING, K.M., ZHOU, Z.H. (2008). Isolation Forest. Proceedings IEEE ICDM, pp. 413-422.</w:t>
      </w:r>
    </w:p>
    <w:p w:rsidR="00A21763" w:rsidRDefault="00A21763">
      <w:pPr>
        <w:spacing w:before="60" w:after="60"/>
      </w:pPr>
    </w:p>
    <w:p w:rsidR="00A21763" w:rsidRDefault="007C191C">
      <w:pPr>
        <w:spacing w:before="80" w:after="80" w:line="276" w:lineRule="auto"/>
        <w:jc w:val="both"/>
      </w:pPr>
      <w:r>
        <w:t xml:space="preserve">[5] PEDREGOSA, F. et al. (2011). Scikit-learn: Machine Learning in Python. JMLR, 12, pp. </w:t>
      </w:r>
      <w:r>
        <w:t>2825-2830.</w:t>
      </w:r>
    </w:p>
    <w:p w:rsidR="00A21763" w:rsidRDefault="00A21763">
      <w:pPr>
        <w:spacing w:before="60" w:after="60"/>
      </w:pPr>
    </w:p>
    <w:p w:rsidR="00A21763" w:rsidRDefault="007C191C">
      <w:pPr>
        <w:spacing w:before="80" w:after="80" w:line="276" w:lineRule="auto"/>
        <w:jc w:val="both"/>
      </w:pPr>
      <w:r>
        <w:t>[6] Kaggle — Inventory Management Dataset. https://www.kaggle.com/datasets/fayez1/inventory-management</w:t>
      </w:r>
    </w:p>
    <w:p w:rsidR="00A21763" w:rsidRDefault="00A21763">
      <w:pPr>
        <w:spacing w:before="60" w:after="60"/>
      </w:pPr>
    </w:p>
    <w:p w:rsidR="00A21763" w:rsidRDefault="007C191C">
      <w:pPr>
        <w:spacing w:before="80" w:after="80" w:line="276" w:lineRule="auto"/>
        <w:jc w:val="both"/>
      </w:pPr>
      <w:r>
        <w:t>[7] Scikit-learn — RandomForestClassifier. https://scikit-learn.org/stable/modules/generated/sklearn.ensemble.RandomForestClassifier.html</w:t>
      </w:r>
    </w:p>
    <w:p w:rsidR="00A21763" w:rsidRDefault="00A21763">
      <w:pPr>
        <w:spacing w:before="60" w:after="60"/>
      </w:pPr>
    </w:p>
    <w:p w:rsidR="00A21763" w:rsidRDefault="007C191C">
      <w:pPr>
        <w:spacing w:before="80" w:after="80" w:line="276" w:lineRule="auto"/>
        <w:jc w:val="both"/>
      </w:pPr>
      <w:r>
        <w:t>[8] Scikit-learn — IsolationForest. https://scikit-learn.org/stable/modules/generated/sklearn.ensemble.IsolationForest.html</w:t>
      </w:r>
    </w:p>
    <w:p w:rsidR="00A21763" w:rsidRDefault="007C191C">
      <w:r>
        <w:br w:type="page"/>
      </w:r>
    </w:p>
    <w:p w:rsidR="00A21763" w:rsidRDefault="007C191C">
      <w:pPr>
        <w:pStyle w:val="Heading1"/>
        <w:pBdr>
          <w:bottom w:val="single" w:sz="6" w:space="1" w:color="2E75B6"/>
        </w:pBdr>
      </w:pPr>
      <w:r>
        <w:lastRenderedPageBreak/>
        <w:t>ANNEXES</w:t>
      </w:r>
    </w:p>
    <w:p w:rsidR="00A21763" w:rsidRDefault="007C191C">
      <w:pPr>
        <w:pStyle w:val="Heading2"/>
      </w:pPr>
      <w:r>
        <w:t>Annexe 1 : Résumé exécutif du notebook (outputs réels)</w:t>
      </w:r>
    </w:p>
    <w:p w:rsidR="00A21763" w:rsidRDefault="00A2176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21763">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7C191C">
            <w:pPr>
              <w:jc w:val="center"/>
            </w:pPr>
            <w:r>
              <w:rPr>
                <w:b/>
                <w:bCs/>
                <w:color w:val="FFFFFF"/>
                <w:sz w:val="20"/>
                <w:szCs w:val="20"/>
              </w:rPr>
              <w:t>Paramètre</w:t>
            </w:r>
          </w:p>
        </w:tc>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7C191C">
            <w:pPr>
              <w:jc w:val="center"/>
            </w:pPr>
            <w:r>
              <w:rPr>
                <w:b/>
                <w:bCs/>
                <w:color w:val="FFFFFF"/>
                <w:sz w:val="20"/>
                <w:szCs w:val="20"/>
              </w:rPr>
              <w:t>Valeur réelle (output notebook)</w:t>
            </w:r>
          </w:p>
        </w:tc>
      </w:tr>
      <w:tr w:rsidR="00A21763">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r>
              <w:rPr>
                <w:sz w:val="20"/>
                <w:szCs w:val="20"/>
              </w:rPr>
              <w:t>Articles en stock</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pPr>
              <w:jc w:val="center"/>
            </w:pPr>
            <w:r>
              <w:rPr>
                <w:sz w:val="20"/>
                <w:szCs w:val="20"/>
              </w:rPr>
              <w:t>118 références</w:t>
            </w:r>
          </w:p>
        </w:tc>
      </w:tr>
      <w:tr w:rsidR="00A21763">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r>
              <w:rPr>
                <w:sz w:val="20"/>
                <w:szCs w:val="20"/>
              </w:rPr>
              <w:t>Lignes de commandes</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pPr>
              <w:jc w:val="center"/>
            </w:pPr>
            <w:r>
              <w:rPr>
                <w:sz w:val="20"/>
                <w:szCs w:val="20"/>
              </w:rPr>
              <w:t>44 lignes (23/05/2022)</w:t>
            </w:r>
          </w:p>
        </w:tc>
      </w:tr>
      <w:tr w:rsidR="00A21763">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r>
              <w:rPr>
                <w:sz w:val="20"/>
                <w:szCs w:val="20"/>
              </w:rPr>
              <w:t>Articles sans commande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pPr>
              <w:jc w:val="center"/>
            </w:pPr>
            <w:r>
              <w:rPr>
                <w:sz w:val="20"/>
                <w:szCs w:val="20"/>
              </w:rPr>
              <w:t>91 (77,1%)</w:t>
            </w:r>
          </w:p>
        </w:tc>
      </w:tr>
      <w:tr w:rsidR="00A21763">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r>
              <w:rPr>
                <w:sz w:val="20"/>
                <w:szCs w:val="20"/>
              </w:rPr>
              <w:t>Articles stock = 0</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pPr>
              <w:jc w:val="center"/>
            </w:pPr>
            <w:r>
              <w:rPr>
                <w:sz w:val="20"/>
                <w:szCs w:val="20"/>
              </w:rPr>
              <w:t>10</w:t>
            </w:r>
          </w:p>
        </w:tc>
      </w:tr>
      <w:tr w:rsidR="00A21763">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r>
              <w:rPr>
                <w:sz w:val="20"/>
                <w:szCs w:val="20"/>
              </w:rPr>
              <w:t>Valeur stock totale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pPr>
              <w:jc w:val="center"/>
            </w:pPr>
            <w:r>
              <w:rPr>
                <w:sz w:val="20"/>
                <w:szCs w:val="20"/>
              </w:rPr>
              <w:t>31 875 279</w:t>
            </w:r>
          </w:p>
        </w:tc>
      </w:tr>
      <w:tr w:rsidR="00A21763">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r>
              <w:rPr>
                <w:sz w:val="20"/>
                <w:szCs w:val="20"/>
              </w:rPr>
              <w:t>Actifs</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pPr>
              <w:jc w:val="center"/>
            </w:pPr>
            <w:r>
              <w:rPr>
                <w:sz w:val="20"/>
                <w:szCs w:val="20"/>
              </w:rPr>
              <w:t>0 (0,0%)</w:t>
            </w:r>
          </w:p>
        </w:tc>
      </w:tr>
      <w:tr w:rsidR="00A21763">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r>
              <w:rPr>
                <w:sz w:val="20"/>
                <w:szCs w:val="20"/>
              </w:rPr>
              <w:t>Dormants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pPr>
              <w:jc w:val="center"/>
            </w:pPr>
            <w:r>
              <w:rPr>
                <w:sz w:val="20"/>
                <w:szCs w:val="20"/>
              </w:rPr>
              <w:t>27 (22,9%) — 8 908 665</w:t>
            </w:r>
          </w:p>
        </w:tc>
      </w:tr>
      <w:tr w:rsidR="00A21763">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r>
              <w:rPr>
                <w:sz w:val="20"/>
                <w:szCs w:val="20"/>
              </w:rPr>
              <w:t>Obsolètes</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pPr>
              <w:jc w:val="center"/>
            </w:pPr>
            <w:r>
              <w:rPr>
                <w:sz w:val="20"/>
                <w:szCs w:val="20"/>
              </w:rPr>
              <w:t>91 (77,1%) — 22 966 614</w:t>
            </w:r>
          </w:p>
        </w:tc>
      </w:tr>
      <w:tr w:rsidR="00A21763">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r>
              <w:rPr>
                <w:sz w:val="20"/>
                <w:szCs w:val="20"/>
              </w:rPr>
              <w:t>Anomalies (Isolation Forest)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pPr>
              <w:jc w:val="center"/>
            </w:pPr>
            <w:r>
              <w:rPr>
                <w:sz w:val="20"/>
                <w:szCs w:val="20"/>
              </w:rPr>
              <w:t>10 anomalies / 108 normaux</w:t>
            </w:r>
          </w:p>
        </w:tc>
      </w:tr>
      <w:tr w:rsidR="00A21763">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r>
              <w:rPr>
                <w:sz w:val="20"/>
                <w:szCs w:val="20"/>
              </w:rPr>
              <w:t>Accuracy Random Forest</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pPr>
              <w:jc w:val="center"/>
            </w:pPr>
            <w:r>
              <w:rPr>
                <w:sz w:val="20"/>
                <w:szCs w:val="20"/>
              </w:rPr>
              <w:t>100,0% (30/30)</w:t>
            </w:r>
          </w:p>
        </w:tc>
      </w:tr>
    </w:tbl>
    <w:p w:rsidR="00A21763" w:rsidRDefault="00A21763">
      <w:pPr>
        <w:spacing w:before="200" w:after="200"/>
      </w:pPr>
    </w:p>
    <w:p w:rsidR="00A21763" w:rsidRDefault="007C191C">
      <w:pPr>
        <w:pStyle w:val="Heading2"/>
      </w:pPr>
      <w:r>
        <w:t>Annexe 2 : Règles de classification métier appliquées</w:t>
      </w:r>
    </w:p>
    <w:p w:rsidR="00A21763" w:rsidRDefault="007C191C">
      <w:pPr>
        <w:pStyle w:val="ListParagraph"/>
        <w:numPr>
          <w:ilvl w:val="0"/>
          <w:numId w:val="2"/>
        </w:numPr>
        <w:spacing w:before="60" w:after="60"/>
      </w:pPr>
      <w:r>
        <w:t>OBSOLÈTE (priorité 1) : Stock_Actuel == 0 → classification directe en Obsolète.</w:t>
      </w:r>
    </w:p>
    <w:p w:rsidR="00A21763" w:rsidRDefault="007C191C">
      <w:pPr>
        <w:pStyle w:val="ListParagraph"/>
        <w:numPr>
          <w:ilvl w:val="0"/>
          <w:numId w:val="2"/>
        </w:numPr>
        <w:spacing w:before="60" w:after="60"/>
      </w:pPr>
      <w:r>
        <w:t>OBSOLÈTE (priorité 2) : Jours_Sans_Commande &gt; 365 ET Stock_Actuel &gt; 0 → Obsolète.</w:t>
      </w:r>
    </w:p>
    <w:p w:rsidR="00A21763" w:rsidRDefault="007C191C">
      <w:pPr>
        <w:pStyle w:val="ListParagraph"/>
        <w:numPr>
          <w:ilvl w:val="0"/>
          <w:numId w:val="2"/>
        </w:numPr>
        <w:spacing w:before="60" w:after="60"/>
      </w:pPr>
      <w:r>
        <w:t>DORMANT : Jours_Sans_Commande entre 181 et 365 jours → Dormant.</w:t>
      </w:r>
    </w:p>
    <w:p w:rsidR="00A21763" w:rsidRDefault="007C191C">
      <w:pPr>
        <w:pStyle w:val="ListParagraph"/>
        <w:numPr>
          <w:ilvl w:val="0"/>
          <w:numId w:val="2"/>
        </w:numPr>
        <w:spacing w:before="60" w:after="60"/>
      </w:pPr>
      <w:r>
        <w:t>ACTIF : Jours_Sans_Commande ≤ 180 jours → Actif (aucun article dans ce dataset).</w:t>
      </w:r>
    </w:p>
    <w:p w:rsidR="00A21763" w:rsidRDefault="00A21763">
      <w:pPr>
        <w:spacing w:before="120" w:after="120"/>
      </w:pPr>
    </w:p>
    <w:p w:rsidR="00A21763" w:rsidRDefault="007C191C">
      <w:pPr>
        <w:pStyle w:val="Heading2"/>
      </w:pPr>
      <w:r>
        <w:t>Annexe 3 : Extrait du dataset — Articles à plus forte valeur immobilisée</w:t>
      </w:r>
    </w:p>
    <w:p w:rsidR="00A21763" w:rsidRDefault="00A21763">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700"/>
        <w:gridCol w:w="1300"/>
        <w:gridCol w:w="1326"/>
        <w:gridCol w:w="1700"/>
        <w:gridCol w:w="1600"/>
      </w:tblGrid>
      <w:tr w:rsidR="00A217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7C191C">
            <w:pPr>
              <w:jc w:val="center"/>
            </w:pPr>
            <w:r>
              <w:rPr>
                <w:b/>
                <w:bCs/>
                <w:color w:val="FFFFFF"/>
                <w:sz w:val="20"/>
                <w:szCs w:val="20"/>
              </w:rPr>
              <w:t>SKU_ID</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7C191C">
            <w:pPr>
              <w:jc w:val="center"/>
            </w:pPr>
            <w:r>
              <w:rPr>
                <w:b/>
                <w:bCs/>
                <w:color w:val="FFFFFF"/>
                <w:sz w:val="20"/>
                <w:szCs w:val="20"/>
              </w:rPr>
              <w:t>Stock</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7C191C">
            <w:pPr>
              <w:jc w:val="center"/>
            </w:pPr>
            <w:r>
              <w:rPr>
                <w:b/>
                <w:bCs/>
                <w:color w:val="FFFFFF"/>
                <w:sz w:val="20"/>
                <w:szCs w:val="20"/>
              </w:rPr>
              <w:t>Prix Unit.</w:t>
            </w:r>
          </w:p>
        </w:tc>
        <w:tc>
          <w:tcPr>
            <w:tcW w:w="13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7C191C">
            <w:pPr>
              <w:jc w:val="center"/>
            </w:pPr>
            <w:r>
              <w:rPr>
                <w:b/>
                <w:bCs/>
                <w:color w:val="FFFFFF"/>
                <w:sz w:val="20"/>
                <w:szCs w:val="20"/>
              </w:rPr>
              <w:t>Valeur</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7C191C">
            <w:pPr>
              <w:jc w:val="center"/>
            </w:pPr>
            <w:r>
              <w:rPr>
                <w:b/>
                <w:bCs/>
                <w:color w:val="FFFFFF"/>
                <w:sz w:val="20"/>
                <w:szCs w:val="20"/>
              </w:rPr>
              <w:t>Jours sans cmd</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rsidR="00A21763" w:rsidRDefault="007C191C">
            <w:pPr>
              <w:jc w:val="center"/>
            </w:pPr>
            <w:r>
              <w:rPr>
                <w:b/>
                <w:bCs/>
                <w:color w:val="FFFFFF"/>
                <w:sz w:val="20"/>
                <w:szCs w:val="20"/>
              </w:rPr>
              <w:t>Statut</w:t>
            </w:r>
          </w:p>
        </w:tc>
      </w:tr>
      <w:tr w:rsidR="00A217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r>
              <w:rPr>
                <w:sz w:val="20"/>
                <w:szCs w:val="20"/>
              </w:rPr>
              <w:t>1964BA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r>
              <w:rPr>
                <w:sz w:val="20"/>
                <w:szCs w:val="20"/>
              </w:rPr>
              <w:t>21 840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pPr>
              <w:jc w:val="right"/>
            </w:pPr>
            <w:r>
              <w:rPr>
                <w:sz w:val="20"/>
                <w:szCs w:val="20"/>
              </w:rPr>
              <w:t>99,13</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pPr>
              <w:jc w:val="right"/>
            </w:pPr>
            <w:r>
              <w:rPr>
                <w:sz w:val="20"/>
                <w:szCs w:val="20"/>
              </w:rPr>
              <w:t>2 165 227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pPr>
              <w:jc w:val="right"/>
            </w:pPr>
            <w:r>
              <w:rPr>
                <w:sz w:val="20"/>
                <w:szCs w:val="20"/>
              </w:rPr>
              <w:t>588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pPr>
              <w:jc w:val="right"/>
            </w:pPr>
            <w:r>
              <w:rPr>
                <w:sz w:val="20"/>
                <w:szCs w:val="20"/>
              </w:rPr>
              <w:t>Dormant</w:t>
            </w:r>
          </w:p>
        </w:tc>
      </w:tr>
      <w:tr w:rsidR="00A217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r>
              <w:rPr>
                <w:sz w:val="20"/>
                <w:szCs w:val="20"/>
              </w:rPr>
              <w:t>2429BA</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r>
              <w:rPr>
                <w:sz w:val="20"/>
                <w:szCs w:val="20"/>
              </w:rPr>
              <w:t>342 553</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pPr>
              <w:jc w:val="right"/>
            </w:pPr>
            <w:r>
              <w:rPr>
                <w:sz w:val="20"/>
                <w:szCs w:val="20"/>
              </w:rPr>
              <w:t>5,29</w:t>
            </w:r>
          </w:p>
        </w:tc>
        <w:tc>
          <w:tcPr>
            <w:tcW w:w="1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pPr>
              <w:jc w:val="right"/>
            </w:pPr>
            <w:r>
              <w:rPr>
                <w:sz w:val="20"/>
                <w:szCs w:val="20"/>
              </w:rPr>
              <w:t>1 811 785</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pPr>
              <w:jc w:val="right"/>
            </w:pPr>
            <w:r>
              <w:rPr>
                <w:sz w:val="20"/>
                <w:szCs w:val="20"/>
              </w:rPr>
              <w:t>1096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pPr>
              <w:jc w:val="right"/>
            </w:pPr>
            <w:r>
              <w:rPr>
                <w:sz w:val="20"/>
                <w:szCs w:val="20"/>
              </w:rPr>
              <w:t>Obsolète</w:t>
            </w:r>
          </w:p>
        </w:tc>
      </w:tr>
      <w:tr w:rsidR="00A217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r>
              <w:rPr>
                <w:sz w:val="20"/>
                <w:szCs w:val="20"/>
              </w:rPr>
              <w:t>2396CA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r>
              <w:rPr>
                <w:sz w:val="20"/>
                <w:szCs w:val="20"/>
              </w:rPr>
              <w:t>124 908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pPr>
              <w:jc w:val="right"/>
            </w:pPr>
            <w:r>
              <w:rPr>
                <w:sz w:val="20"/>
                <w:szCs w:val="20"/>
              </w:rPr>
              <w:t>0,76</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pPr>
              <w:jc w:val="right"/>
            </w:pPr>
            <w:r>
              <w:rPr>
                <w:sz w:val="20"/>
                <w:szCs w:val="20"/>
              </w:rPr>
              <w:t>94 931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pPr>
              <w:jc w:val="right"/>
            </w:pPr>
            <w:r>
              <w:rPr>
                <w:sz w:val="20"/>
                <w:szCs w:val="20"/>
              </w:rPr>
              <w:t>1096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pPr>
              <w:jc w:val="right"/>
            </w:pPr>
            <w:r>
              <w:rPr>
                <w:sz w:val="20"/>
                <w:szCs w:val="20"/>
              </w:rPr>
              <w:t>Obsolète</w:t>
            </w:r>
          </w:p>
        </w:tc>
      </w:tr>
      <w:tr w:rsidR="00A217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r>
              <w:rPr>
                <w:sz w:val="20"/>
                <w:szCs w:val="20"/>
              </w:rPr>
              <w:t>2471CA</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r>
              <w:rPr>
                <w:sz w:val="20"/>
                <w:szCs w:val="20"/>
              </w:rPr>
              <w:t>96 647</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pPr>
              <w:jc w:val="right"/>
            </w:pPr>
            <w:r>
              <w:rPr>
                <w:sz w:val="20"/>
                <w:szCs w:val="20"/>
              </w:rPr>
              <w:t>4,78</w:t>
            </w:r>
          </w:p>
        </w:tc>
        <w:tc>
          <w:tcPr>
            <w:tcW w:w="1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pPr>
              <w:jc w:val="right"/>
            </w:pPr>
            <w:r>
              <w:rPr>
                <w:sz w:val="20"/>
                <w:szCs w:val="20"/>
              </w:rPr>
              <w:t>462 113</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pPr>
              <w:jc w:val="right"/>
            </w:pPr>
            <w:r>
              <w:rPr>
                <w:sz w:val="20"/>
                <w:szCs w:val="20"/>
              </w:rPr>
              <w:t>1096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pPr>
              <w:jc w:val="right"/>
            </w:pPr>
            <w:r>
              <w:rPr>
                <w:sz w:val="20"/>
                <w:szCs w:val="20"/>
              </w:rPr>
              <w:t>Obsolète</w:t>
            </w:r>
          </w:p>
        </w:tc>
      </w:tr>
      <w:tr w:rsidR="00A217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r>
              <w:rPr>
                <w:sz w:val="20"/>
                <w:szCs w:val="20"/>
              </w:rPr>
              <w:t>2458CA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r>
              <w:rPr>
                <w:sz w:val="20"/>
                <w:szCs w:val="20"/>
              </w:rPr>
              <w:t>79 661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pPr>
              <w:jc w:val="right"/>
            </w:pPr>
            <w:r>
              <w:rPr>
                <w:sz w:val="20"/>
                <w:szCs w:val="20"/>
              </w:rPr>
              <w:t>6,83</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pPr>
              <w:jc w:val="right"/>
            </w:pPr>
            <w:r>
              <w:rPr>
                <w:sz w:val="20"/>
                <w:szCs w:val="20"/>
              </w:rPr>
              <w:t>544 083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pPr>
              <w:jc w:val="right"/>
            </w:pPr>
            <w:r>
              <w:rPr>
                <w:sz w:val="20"/>
                <w:szCs w:val="20"/>
              </w:rPr>
              <w:t>1096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pPr>
              <w:jc w:val="right"/>
            </w:pPr>
            <w:r>
              <w:rPr>
                <w:sz w:val="20"/>
                <w:szCs w:val="20"/>
              </w:rPr>
              <w:t>Obsolète</w:t>
            </w:r>
          </w:p>
        </w:tc>
      </w:tr>
      <w:tr w:rsidR="00A217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r>
              <w:rPr>
                <w:sz w:val="20"/>
                <w:szCs w:val="20"/>
              </w:rPr>
              <w:t>2371CA</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r>
              <w:rPr>
                <w:sz w:val="20"/>
                <w:szCs w:val="20"/>
              </w:rPr>
              <w:t>78 462</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pPr>
              <w:jc w:val="right"/>
            </w:pPr>
            <w:r>
              <w:rPr>
                <w:sz w:val="20"/>
                <w:szCs w:val="20"/>
              </w:rPr>
              <w:t>3,44</w:t>
            </w:r>
          </w:p>
        </w:tc>
        <w:tc>
          <w:tcPr>
            <w:tcW w:w="1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pPr>
              <w:jc w:val="right"/>
            </w:pPr>
            <w:r>
              <w:rPr>
                <w:sz w:val="20"/>
                <w:szCs w:val="20"/>
              </w:rPr>
              <w:t>269 909</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pPr>
              <w:jc w:val="right"/>
            </w:pPr>
            <w:r>
              <w:rPr>
                <w:sz w:val="20"/>
                <w:szCs w:val="20"/>
              </w:rPr>
              <w:t>1096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pPr>
              <w:jc w:val="right"/>
            </w:pPr>
            <w:r>
              <w:rPr>
                <w:sz w:val="20"/>
                <w:szCs w:val="20"/>
              </w:rPr>
              <w:t>Obsolète</w:t>
            </w:r>
          </w:p>
        </w:tc>
      </w:tr>
      <w:tr w:rsidR="00A217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r>
              <w:rPr>
                <w:sz w:val="20"/>
                <w:szCs w:val="20"/>
              </w:rPr>
              <w:t>1295CA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r>
              <w:rPr>
                <w:sz w:val="20"/>
                <w:szCs w:val="20"/>
              </w:rPr>
              <w:t>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pPr>
              <w:jc w:val="right"/>
            </w:pPr>
            <w:r>
              <w:rPr>
                <w:sz w:val="20"/>
                <w:szCs w:val="20"/>
              </w:rPr>
              <w:t>175 000</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pPr>
              <w:jc w:val="right"/>
            </w:pPr>
            <w:r>
              <w:rPr>
                <w:sz w:val="20"/>
                <w:szCs w:val="20"/>
              </w:rPr>
              <w:t>875 000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pPr>
              <w:jc w:val="right"/>
            </w:pPr>
            <w:r>
              <w:rPr>
                <w:sz w:val="20"/>
                <w:szCs w:val="20"/>
              </w:rPr>
              <w:t>1096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21763" w:rsidRDefault="007C191C">
            <w:pPr>
              <w:jc w:val="right"/>
            </w:pPr>
            <w:r>
              <w:rPr>
                <w:sz w:val="20"/>
                <w:szCs w:val="20"/>
              </w:rPr>
              <w:t>Obsolète</w:t>
            </w:r>
          </w:p>
        </w:tc>
      </w:tr>
      <w:tr w:rsidR="00A21763">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r>
              <w:rPr>
                <w:sz w:val="20"/>
                <w:szCs w:val="20"/>
              </w:rPr>
              <w:t>1281BA</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r>
              <w:rPr>
                <w:sz w:val="20"/>
                <w:szCs w:val="20"/>
              </w:rPr>
              <w:t>3</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pPr>
              <w:jc w:val="right"/>
            </w:pPr>
            <w:r>
              <w:rPr>
                <w:sz w:val="20"/>
                <w:szCs w:val="20"/>
              </w:rPr>
              <w:t>139 500</w:t>
            </w:r>
          </w:p>
        </w:tc>
        <w:tc>
          <w:tcPr>
            <w:tcW w:w="1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pPr>
              <w:jc w:val="right"/>
            </w:pPr>
            <w:r>
              <w:rPr>
                <w:sz w:val="20"/>
                <w:szCs w:val="20"/>
              </w:rPr>
              <w:t>418 500</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pPr>
              <w:jc w:val="right"/>
            </w:pPr>
            <w:r>
              <w:rPr>
                <w:sz w:val="20"/>
                <w:szCs w:val="20"/>
              </w:rPr>
              <w:t>1096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A21763" w:rsidRDefault="007C191C">
            <w:pPr>
              <w:jc w:val="right"/>
            </w:pPr>
            <w:r>
              <w:rPr>
                <w:sz w:val="20"/>
                <w:szCs w:val="20"/>
              </w:rPr>
              <w:t>Obsolète</w:t>
            </w:r>
          </w:p>
        </w:tc>
      </w:tr>
    </w:tbl>
    <w:p w:rsidR="007C191C" w:rsidRDefault="007C191C"/>
    <w:sectPr w:rsidR="007C191C">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191C" w:rsidRDefault="007C191C">
      <w:r>
        <w:separator/>
      </w:r>
    </w:p>
  </w:endnote>
  <w:endnote w:type="continuationSeparator" w:id="0">
    <w:p w:rsidR="007C191C" w:rsidRDefault="007C1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1763" w:rsidRDefault="007C191C">
    <w:pPr>
      <w:pBdr>
        <w:top w:val="single" w:sz="4" w:space="0" w:color="2E75B6"/>
      </w:pBdr>
      <w:tabs>
        <w:tab w:val="right" w:pos="9026"/>
      </w:tabs>
      <w:spacing w:before="120"/>
    </w:pPr>
    <w:r>
      <w:rPr>
        <w:color w:val="666666"/>
        <w:sz w:val="18"/>
        <w:szCs w:val="18"/>
      </w:rPr>
      <w:t>Purchasing &amp; Supply Chain Management — 2024-2025</w:t>
    </w:r>
    <w:r>
      <w:rPr>
        <w:color w:val="666666"/>
        <w:sz w:val="18"/>
        <w:szCs w:val="18"/>
      </w:rPr>
      <w:tab/>
      <w:t xml:space="preserve">Page </w:t>
    </w:r>
    <w:r>
      <w:fldChar w:fldCharType="begin"/>
    </w:r>
    <w:r>
      <w:instrText>PAGE</w:instrText>
    </w:r>
    <w:r>
      <w:fldChar w:fldCharType="separate"/>
    </w:r>
    <w:r w:rsidR="00FA7BBB">
      <w:rPr>
        <w:noProof/>
      </w:rP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191C" w:rsidRDefault="007C191C">
      <w:r>
        <w:separator/>
      </w:r>
    </w:p>
  </w:footnote>
  <w:footnote w:type="continuationSeparator" w:id="0">
    <w:p w:rsidR="007C191C" w:rsidRDefault="007C19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1763" w:rsidRPr="00485754" w:rsidRDefault="007C191C">
    <w:pPr>
      <w:pBdr>
        <w:bottom w:val="single" w:sz="4" w:space="0" w:color="2E75B6"/>
      </w:pBdr>
      <w:spacing w:after="120"/>
      <w:rPr>
        <w:lang w:val="fr-FR"/>
      </w:rPr>
    </w:pPr>
    <w:r>
      <w:rPr>
        <w:color w:val="666666"/>
        <w:sz w:val="18"/>
        <w:szCs w:val="18"/>
      </w:rPr>
      <w:t>Détection Articles Dormants &amp; Obsolètes — Stock Industriel  |  ENCG Settat S8 PSC</w:t>
    </w:r>
    <w:r w:rsidR="00485754" w:rsidRPr="00485754">
      <w:rPr>
        <w:color w:val="666666"/>
        <w:sz w:val="18"/>
        <w:szCs w:val="18"/>
        <w:lang w:val="fr-FR"/>
      </w:rPr>
      <w:t>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7119DA"/>
    <w:multiLevelType w:val="hybridMultilevel"/>
    <w:tmpl w:val="E76E17F2"/>
    <w:lvl w:ilvl="0" w:tplc="F89888F0">
      <w:start w:val="1"/>
      <w:numFmt w:val="bullet"/>
      <w:lvlText w:val="●"/>
      <w:lvlJc w:val="left"/>
      <w:pPr>
        <w:ind w:left="720" w:hanging="360"/>
      </w:pPr>
    </w:lvl>
    <w:lvl w:ilvl="1" w:tplc="D4E63BF4">
      <w:start w:val="1"/>
      <w:numFmt w:val="bullet"/>
      <w:lvlText w:val="○"/>
      <w:lvlJc w:val="left"/>
      <w:pPr>
        <w:ind w:left="1440" w:hanging="360"/>
      </w:pPr>
    </w:lvl>
    <w:lvl w:ilvl="2" w:tplc="7E76D3D8">
      <w:start w:val="1"/>
      <w:numFmt w:val="bullet"/>
      <w:lvlText w:val="■"/>
      <w:lvlJc w:val="left"/>
      <w:pPr>
        <w:ind w:left="2160" w:hanging="360"/>
      </w:pPr>
    </w:lvl>
    <w:lvl w:ilvl="3" w:tplc="A55AD98C">
      <w:start w:val="1"/>
      <w:numFmt w:val="bullet"/>
      <w:lvlText w:val="●"/>
      <w:lvlJc w:val="left"/>
      <w:pPr>
        <w:ind w:left="2880" w:hanging="360"/>
      </w:pPr>
    </w:lvl>
    <w:lvl w:ilvl="4" w:tplc="73700CEE">
      <w:start w:val="1"/>
      <w:numFmt w:val="bullet"/>
      <w:lvlText w:val="○"/>
      <w:lvlJc w:val="left"/>
      <w:pPr>
        <w:ind w:left="3600" w:hanging="360"/>
      </w:pPr>
    </w:lvl>
    <w:lvl w:ilvl="5" w:tplc="5A82C532">
      <w:start w:val="1"/>
      <w:numFmt w:val="bullet"/>
      <w:lvlText w:val="■"/>
      <w:lvlJc w:val="left"/>
      <w:pPr>
        <w:ind w:left="4320" w:hanging="360"/>
      </w:pPr>
    </w:lvl>
    <w:lvl w:ilvl="6" w:tplc="BBE021FA">
      <w:start w:val="1"/>
      <w:numFmt w:val="bullet"/>
      <w:lvlText w:val="●"/>
      <w:lvlJc w:val="left"/>
      <w:pPr>
        <w:ind w:left="5040" w:hanging="360"/>
      </w:pPr>
    </w:lvl>
    <w:lvl w:ilvl="7" w:tplc="E41EF12E">
      <w:start w:val="1"/>
      <w:numFmt w:val="bullet"/>
      <w:lvlText w:val="●"/>
      <w:lvlJc w:val="left"/>
      <w:pPr>
        <w:ind w:left="5760" w:hanging="360"/>
      </w:pPr>
    </w:lvl>
    <w:lvl w:ilvl="8" w:tplc="2A9E73FC">
      <w:start w:val="1"/>
      <w:numFmt w:val="bullet"/>
      <w:lvlText w:val="●"/>
      <w:lvlJc w:val="left"/>
      <w:pPr>
        <w:ind w:left="6480" w:hanging="360"/>
      </w:pPr>
    </w:lvl>
  </w:abstractNum>
  <w:abstractNum w:abstractNumId="1" w15:restartNumberingAfterBreak="0">
    <w:nsid w:val="73CE0948"/>
    <w:multiLevelType w:val="hybridMultilevel"/>
    <w:tmpl w:val="9CAE5E20"/>
    <w:lvl w:ilvl="0" w:tplc="51CA3BFC">
      <w:start w:val="1"/>
      <w:numFmt w:val="bullet"/>
      <w:lvlText w:val="•"/>
      <w:lvlJc w:val="left"/>
      <w:pPr>
        <w:ind w:left="720" w:hanging="360"/>
      </w:pPr>
    </w:lvl>
    <w:lvl w:ilvl="1" w:tplc="8D22F8EA">
      <w:numFmt w:val="decimal"/>
      <w:lvlText w:val=""/>
      <w:lvlJc w:val="left"/>
    </w:lvl>
    <w:lvl w:ilvl="2" w:tplc="F1CE1972">
      <w:numFmt w:val="decimal"/>
      <w:lvlText w:val=""/>
      <w:lvlJc w:val="left"/>
    </w:lvl>
    <w:lvl w:ilvl="3" w:tplc="A6603304">
      <w:numFmt w:val="decimal"/>
      <w:lvlText w:val=""/>
      <w:lvlJc w:val="left"/>
    </w:lvl>
    <w:lvl w:ilvl="4" w:tplc="A7447648">
      <w:numFmt w:val="decimal"/>
      <w:lvlText w:val=""/>
      <w:lvlJc w:val="left"/>
    </w:lvl>
    <w:lvl w:ilvl="5" w:tplc="1F149F06">
      <w:numFmt w:val="decimal"/>
      <w:lvlText w:val=""/>
      <w:lvlJc w:val="left"/>
    </w:lvl>
    <w:lvl w:ilvl="6" w:tplc="11ECDD82">
      <w:numFmt w:val="decimal"/>
      <w:lvlText w:val=""/>
      <w:lvlJc w:val="left"/>
    </w:lvl>
    <w:lvl w:ilvl="7" w:tplc="5F4C5B22">
      <w:numFmt w:val="decimal"/>
      <w:lvlText w:val=""/>
      <w:lvlJc w:val="left"/>
    </w:lvl>
    <w:lvl w:ilvl="8" w:tplc="7FA0847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763"/>
    <w:rsid w:val="00485754"/>
    <w:rsid w:val="007C191C"/>
    <w:rsid w:val="00A21763"/>
    <w:rsid w:val="00FA7BBB"/>
  </w:rsids>
  <m:mathPr>
    <m:mathFont m:val="Cambria Math"/>
    <m:brkBin m:val="before"/>
    <m:brkBinSub m:val="--"/>
    <m:smallFrac m:val="0"/>
    <m:dispDef/>
    <m:lMargin m:val="0"/>
    <m:rMargin m:val="0"/>
    <m:defJc m:val="centerGroup"/>
    <m:wrapIndent m:val="1440"/>
    <m:intLim m:val="subSup"/>
    <m:naryLim m:val="undOvr"/>
  </m:mathPr>
  <w:themeFontLang w:val="uk-U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6A691"/>
  <w15:docId w15:val="{1917733E-1FFC-4FE0-B842-BF273AB90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uk-UA" w:eastAsia="uk-U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F4E79"/>
      <w:sz w:val="30"/>
      <w:szCs w:val="30"/>
    </w:rPr>
  </w:style>
  <w:style w:type="paragraph" w:styleId="Heading2">
    <w:name w:val="heading 2"/>
    <w:qFormat/>
    <w:pPr>
      <w:spacing w:before="280" w:after="140"/>
      <w:outlineLvl w:val="1"/>
    </w:pPr>
    <w:rPr>
      <w:b/>
      <w:bCs/>
      <w:color w:val="2E75B6"/>
      <w:sz w:val="26"/>
      <w:szCs w:val="26"/>
    </w:rPr>
  </w:style>
  <w:style w:type="paragraph" w:styleId="Heading3">
    <w:name w:val="heading 3"/>
    <w:qFormat/>
    <w:pPr>
      <w:spacing w:before="200" w:after="100"/>
      <w:outlineLvl w:val="2"/>
    </w:pPr>
    <w:rPr>
      <w:b/>
      <w:bCs/>
      <w:color w:val="404040"/>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85754"/>
    <w:pPr>
      <w:tabs>
        <w:tab w:val="center" w:pos="4536"/>
        <w:tab w:val="right" w:pos="9072"/>
      </w:tabs>
    </w:pPr>
  </w:style>
  <w:style w:type="character" w:customStyle="1" w:styleId="HeaderChar">
    <w:name w:val="Header Char"/>
    <w:basedOn w:val="DefaultParagraphFont"/>
    <w:link w:val="Header"/>
    <w:uiPriority w:val="99"/>
    <w:rsid w:val="00485754"/>
  </w:style>
  <w:style w:type="paragraph" w:styleId="Footer">
    <w:name w:val="footer"/>
    <w:basedOn w:val="Normal"/>
    <w:link w:val="FooterChar"/>
    <w:uiPriority w:val="99"/>
    <w:unhideWhenUsed/>
    <w:rsid w:val="00485754"/>
    <w:pPr>
      <w:tabs>
        <w:tab w:val="center" w:pos="4536"/>
        <w:tab w:val="right" w:pos="9072"/>
      </w:tabs>
    </w:pPr>
  </w:style>
  <w:style w:type="character" w:customStyle="1" w:styleId="FooterChar">
    <w:name w:val="Footer Char"/>
    <w:basedOn w:val="DefaultParagraphFont"/>
    <w:link w:val="Footer"/>
    <w:uiPriority w:val="99"/>
    <w:rsid w:val="004857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12400</Words>
  <Characters>7069</Characters>
  <Application>Microsoft Office Word</Application>
  <DocSecurity>0</DocSecurity>
  <Lines>58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othmane</cp:lastModifiedBy>
  <cp:revision>2</cp:revision>
  <dcterms:created xsi:type="dcterms:W3CDTF">2026-04-19T14:34:00Z</dcterms:created>
  <dcterms:modified xsi:type="dcterms:W3CDTF">2026-04-19T14:34:00Z</dcterms:modified>
</cp:coreProperties>
</file>