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A8A"/>
          <w:sz w:val="52"/>
          <w:szCs w:val="52"/>
        </w:rPr>
        <w:t xml:space="preserve">TN CMV Crash Dashboard</w:t>
      </w:r>
    </w:p>
    <w:p>
      <w:pPr>
        <w:spacing w:after="60"/>
      </w:pPr>
      <w:r>
        <w:rPr>
          <w:rFonts w:ascii="Calibri" w:cs="Calibri" w:eastAsia="Calibri" w:hAnsi="Calibri"/>
          <w:color w:val="27324A"/>
          <w:sz w:val="32"/>
          <w:szCs w:val="32"/>
        </w:rPr>
        <w:t xml:space="preserve">Tab-by-tab guide</w:t>
      </w:r>
    </w:p>
    <w:p>
      <w:pPr>
        <w:spacing w:after="120"/>
        <w:rPr>
          <w:color w:val="5B6577"/>
          <w:sz w:val="20"/>
          <w:szCs w:val="20"/>
        </w:rPr>
      </w:pPr>
      <w:r>
        <w:rPr>
          <w:rFonts w:ascii="Calibri" w:cs="Calibri" w:eastAsia="Calibri" w:hAnsi="Calibri"/>
          <w:color w:val="5B6577"/>
          <w:sz w:val="20"/>
          <w:szCs w:val="20"/>
        </w:rPr>
        <w:t xml:space="preserve">FMCSA research project, Center for Transportation Research, University of Tennessee, Knoxville. Live dashboard: https://aadyash24.github.io/FMCSA/</w:t>
      </w:r>
    </w:p>
    <w:p>
      <w:pPr>
        <w:pStyle w:val="Heading1"/>
        <w:spacing w:after="160" w:before="360"/>
      </w:pPr>
      <w:r>
        <w:rPr>
          <w:rFonts w:ascii="Calibri" w:cs="Calibri" w:eastAsia="Calibri" w:hAnsi="Calibri"/>
          <w:b/>
          <w:bCs/>
          <w:color w:val="1F3A8A"/>
          <w:sz w:val="34"/>
          <w:szCs w:val="34"/>
        </w:rPr>
        <w:t xml:space="preserve">1. What the dashboard is</w:t>
      </w:r>
    </w:p>
    <w:p>
      <w:pPr>
        <w:spacing w:after="120"/>
      </w:pPr>
      <w:r>
        <w:rPr>
          <w:rFonts w:ascii="Calibri" w:cs="Calibri" w:eastAsia="Calibri" w:hAnsi="Calibri"/>
          <w:sz w:val="22"/>
          <w:szCs w:val="22"/>
        </w:rPr>
        <w:t xml:space="preserve">The dashboard is an interactive view of 45,650 Tennessee crashes that involved a commercial motor vehicle (CMV), from 2015 to 2025, built from the TITAN police crash database. It has five tabs. A single set of filters applies to the map and every chart on every tab, so all tabs always describe the same slice of crashes.</w:t>
      </w:r>
    </w:p>
    <w:p>
      <w:pPr>
        <w:spacing w:after="120"/>
      </w:pPr>
      <w:r>
        <w:rPr>
          <w:rFonts w:ascii="Calibri" w:cs="Calibri" w:eastAsia="Calibri" w:hAnsi="Calibri"/>
          <w:b/>
          <w:bCs/>
          <w:sz w:val="22"/>
          <w:szCs w:val="22"/>
        </w:rPr>
        <w:t xml:space="preserve">Commercial motor vehicle (CMV): </w:t>
      </w:r>
      <w:r>
        <w:rPr>
          <w:rFonts w:ascii="Calibri" w:cs="Calibri" w:eastAsia="Calibri" w:hAnsi="Calibri"/>
          <w:b w:val="false"/>
          <w:bCs w:val="false"/>
          <w:sz w:val="22"/>
          <w:szCs w:val="22"/>
        </w:rPr>
        <w:t xml:space="preserve">a vehicle over 10,000 lb gross weight rating used to carry property, a vehicle designed to carry more than eight people including the driver, or any vehicle displaying a hazardous materials placard.</w:t>
      </w:r>
    </w:p>
    <w:p>
      <w:pPr>
        <w:spacing w:after="120"/>
      </w:pPr>
      <w:r>
        <w:rPr>
          <w:rFonts w:ascii="Calibri" w:cs="Calibri" w:eastAsia="Calibri" w:hAnsi="Calibri"/>
          <w:b/>
          <w:bCs/>
          <w:sz w:val="22"/>
          <w:szCs w:val="22"/>
        </w:rPr>
        <w:t xml:space="preserve">FMCSA reportable crash: </w:t>
      </w:r>
      <w:r>
        <w:rPr>
          <w:rFonts w:ascii="Calibri" w:cs="Calibri" w:eastAsia="Calibri" w:hAnsi="Calibri"/>
          <w:b w:val="false"/>
          <w:bCs w:val="false"/>
          <w:sz w:val="22"/>
          <w:szCs w:val="22"/>
        </w:rPr>
        <w:t xml:space="preserve">a CMV crash that results in a fatality, an injured person transported for immediate medical treatment, or a vehicle towed from the scene.</w:t>
      </w:r>
    </w:p>
    <w:p>
      <w:pPr>
        <w:spacing w:after="120"/>
      </w:pPr>
      <w:r>
        <w:rPr>
          <w:rFonts w:ascii="Calibri" w:cs="Calibri" w:eastAsia="Calibri" w:hAnsi="Calibri"/>
          <w:b/>
          <w:bCs/>
          <w:sz w:val="22"/>
          <w:szCs w:val="22"/>
        </w:rPr>
        <w:t xml:space="preserve">Severity: </w:t>
      </w:r>
      <w:r>
        <w:rPr>
          <w:rFonts w:ascii="Calibri" w:cs="Calibri" w:eastAsia="Calibri" w:hAnsi="Calibri"/>
          <w:b w:val="false"/>
          <w:bCs w:val="false"/>
          <w:sz w:val="22"/>
          <w:szCs w:val="22"/>
        </w:rPr>
        <w:t xml:space="preserve">the most severe injury in the crash, on the KABCO scale (Fatal, Incapacitating, Non-incapacitating, Possible injury, Property damage).</w:t>
      </w:r>
    </w:p>
    <w:p>
      <w:pPr>
        <w:pStyle w:val="Heading2"/>
        <w:spacing w:after="100" w:before="240"/>
      </w:pPr>
      <w:r>
        <w:rPr>
          <w:rFonts w:ascii="Calibri" w:cs="Calibri" w:eastAsia="Calibri" w:hAnsi="Calibri"/>
          <w:b/>
          <w:bCs/>
          <w:color w:val="27324A"/>
          <w:sz w:val="26"/>
          <w:szCs w:val="26"/>
        </w:rPr>
        <w:t xml:space="preserve">The five tabs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2900"/>
        <w:gridCol w:w="1560"/>
      </w:tblGrid>
      <w:tr>
        <w:trPr>
          <w:tblHeader/>
        </w:trPr>
        <w:tc>
          <w:tcPr>
            <w:tcW w:type="dxa" w:w="1900"/>
            <w:tcBorders>
              <w:top w:val="single" w:color="C9CFDA" w:sz="4"/>
              <w:left w:val="single" w:color="C9CFDA" w:sz="4"/>
              <w:bottom w:val="single" w:color="C9CFDA" w:sz="4"/>
              <w:right w:val="single" w:color="C9CFDA" w:sz="4"/>
            </w:tcBorders>
            <w:shd w:fill="E7ECF8" w:color="auto" w:val="clear"/>
            <w:tcMar>
              <w:top w:type="dxa" w:w="70"/>
              <w:left w:type="dxa" w:w="110"/>
              <w:bottom w:type="dxa" w:w="70"/>
              <w:right w:type="dxa" w:w="110"/>
            </w:tcMar>
          </w:tcPr>
          <w:p>
            <w:r>
              <w:rPr>
                <w:rFonts w:ascii="Calibri" w:cs="Calibri" w:eastAsia="Calibri" w:hAnsi="Calibri"/>
                <w:b/>
                <w:bCs/>
                <w:sz w:val="20"/>
                <w:szCs w:val="20"/>
              </w:rPr>
              <w:t xml:space="preserve">Tab</w:t>
            </w:r>
          </w:p>
        </w:tc>
        <w:tc>
          <w:tcPr>
            <w:tcW w:type="dxa" w:w="3000"/>
            <w:tcBorders>
              <w:top w:val="single" w:color="C9CFDA" w:sz="4"/>
              <w:left w:val="single" w:color="C9CFDA" w:sz="4"/>
              <w:bottom w:val="single" w:color="C9CFDA" w:sz="4"/>
              <w:right w:val="single" w:color="C9CFDA" w:sz="4"/>
            </w:tcBorders>
            <w:shd w:fill="E7ECF8" w:color="auto" w:val="clear"/>
            <w:tcMar>
              <w:top w:type="dxa" w:w="70"/>
              <w:left w:type="dxa" w:w="110"/>
              <w:bottom w:type="dxa" w:w="70"/>
              <w:right w:type="dxa" w:w="110"/>
            </w:tcMar>
          </w:tcPr>
          <w:p>
            <w:r>
              <w:rPr>
                <w:rFonts w:ascii="Calibri" w:cs="Calibri" w:eastAsia="Calibri" w:hAnsi="Calibri"/>
                <w:b/>
                <w:bCs/>
                <w:sz w:val="20"/>
                <w:szCs w:val="20"/>
              </w:rPr>
              <w:t xml:space="preserve">Question it answers</w:t>
            </w:r>
          </w:p>
        </w:tc>
        <w:tc>
          <w:tcPr>
            <w:tcW w:type="dxa" w:w="2900"/>
            <w:tcBorders>
              <w:top w:val="single" w:color="C9CFDA" w:sz="4"/>
              <w:left w:val="single" w:color="C9CFDA" w:sz="4"/>
              <w:bottom w:val="single" w:color="C9CFDA" w:sz="4"/>
              <w:right w:val="single" w:color="C9CFDA" w:sz="4"/>
            </w:tcBorders>
            <w:shd w:fill="E7ECF8" w:color="auto" w:val="clear"/>
            <w:tcMar>
              <w:top w:type="dxa" w:w="70"/>
              <w:left w:type="dxa" w:w="110"/>
              <w:bottom w:type="dxa" w:w="70"/>
              <w:right w:type="dxa" w:w="110"/>
            </w:tcMar>
          </w:tcPr>
          <w:p>
            <w:r>
              <w:rPr>
                <w:rFonts w:ascii="Calibri" w:cs="Calibri" w:eastAsia="Calibri" w:hAnsi="Calibri"/>
                <w:b/>
                <w:bCs/>
                <w:sz w:val="20"/>
                <w:szCs w:val="20"/>
              </w:rPr>
              <w:t xml:space="preserve">Main outputs</w:t>
            </w:r>
          </w:p>
        </w:tc>
        <w:tc>
          <w:tcPr>
            <w:tcW w:type="dxa" w:w="1560"/>
            <w:tcBorders>
              <w:top w:val="single" w:color="C9CFDA" w:sz="4"/>
              <w:left w:val="single" w:color="C9CFDA" w:sz="4"/>
              <w:bottom w:val="single" w:color="C9CFDA" w:sz="4"/>
              <w:right w:val="single" w:color="C9CFDA" w:sz="4"/>
            </w:tcBorders>
            <w:shd w:fill="E7ECF8" w:color="auto" w:val="clear"/>
            <w:tcMar>
              <w:top w:type="dxa" w:w="70"/>
              <w:left w:type="dxa" w:w="110"/>
              <w:bottom w:type="dxa" w:w="70"/>
              <w:right w:type="dxa" w:w="110"/>
            </w:tcMar>
          </w:tcPr>
          <w:p>
            <w:r>
              <w:rPr>
                <w:rFonts w:ascii="Calibri" w:cs="Calibri" w:eastAsia="Calibri" w:hAnsi="Calibri"/>
                <w:b/>
                <w:bCs/>
                <w:sz w:val="20"/>
                <w:szCs w:val="20"/>
              </w:rPr>
              <w:t xml:space="preserve">Status</w:t>
            </w:r>
          </w:p>
        </w:tc>
      </w:tr>
      <w:tr>
        <w:tc>
          <w:tcPr>
            <w:tcW w:type="dxa" w:w="1900"/>
            <w:tcBorders>
              <w:top w:val="single" w:color="C9CFDA" w:sz="4"/>
              <w:left w:val="single" w:color="C9CFDA" w:sz="4"/>
              <w:bottom w:val="single" w:color="C9CFDA" w:sz="4"/>
              <w:right w:val="single" w:color="C9CFDA" w:sz="4"/>
            </w:tcBorders>
            <w:tcMar>
              <w:top w:type="dxa" w:w="70"/>
              <w:left w:type="dxa" w:w="110"/>
              <w:bottom w:type="dxa" w:w="70"/>
              <w:right w:type="dxa" w:w="110"/>
            </w:tcMar>
          </w:tcPr>
          <w:p>
            <w:r>
              <w:rPr>
                <w:rFonts w:ascii="Calibri" w:cs="Calibri" w:eastAsia="Calibri" w:hAnsi="Calibri"/>
                <w:b w:val="false"/>
                <w:bCs w:val="false"/>
                <w:sz w:val="20"/>
                <w:szCs w:val="20"/>
              </w:rPr>
              <w:t xml:space="preserve">Overview</w:t>
            </w:r>
          </w:p>
        </w:tc>
        <w:tc>
          <w:tcPr>
            <w:tcW w:type="dxa" w:w="3000"/>
            <w:tcBorders>
              <w:top w:val="single" w:color="C9CFDA" w:sz="4"/>
              <w:left w:val="single" w:color="C9CFDA" w:sz="4"/>
              <w:bottom w:val="single" w:color="C9CFDA" w:sz="4"/>
              <w:right w:val="single" w:color="C9CFDA" w:sz="4"/>
            </w:tcBorders>
            <w:tcMar>
              <w:top w:type="dxa" w:w="70"/>
              <w:left w:type="dxa" w:w="110"/>
              <w:bottom w:type="dxa" w:w="70"/>
              <w:right w:type="dxa" w:w="110"/>
            </w:tcMar>
          </w:tcPr>
          <w:p>
            <w:r>
              <w:rPr>
                <w:rFonts w:ascii="Calibri" w:cs="Calibri" w:eastAsia="Calibri" w:hAnsi="Calibri"/>
                <w:b w:val="false"/>
                <w:bCs w:val="false"/>
                <w:sz w:val="20"/>
                <w:szCs w:val="20"/>
              </w:rPr>
              <w:t xml:space="preserve">What is this project, who is on it, and how complete is the data?</w:t>
            </w:r>
          </w:p>
        </w:tc>
        <w:tc>
          <w:tcPr>
            <w:tcW w:type="dxa" w:w="2900"/>
            <w:tcBorders>
              <w:top w:val="single" w:color="C9CFDA" w:sz="4"/>
              <w:left w:val="single" w:color="C9CFDA" w:sz="4"/>
              <w:bottom w:val="single" w:color="C9CFDA" w:sz="4"/>
              <w:right w:val="single" w:color="C9CFDA" w:sz="4"/>
            </w:tcBorders>
            <w:tcMar>
              <w:top w:type="dxa" w:w="70"/>
              <w:left w:type="dxa" w:w="110"/>
              <w:bottom w:type="dxa" w:w="70"/>
              <w:right w:type="dxa" w:w="110"/>
            </w:tcMar>
          </w:tcPr>
          <w:p>
            <w:r>
              <w:rPr>
                <w:rFonts w:ascii="Calibri" w:cs="Calibri" w:eastAsia="Calibri" w:hAnsi="Calibri"/>
                <w:b w:val="false"/>
                <w:bCs w:val="false"/>
                <w:sz w:val="20"/>
                <w:szCs w:val="20"/>
              </w:rPr>
              <w:t xml:space="preserve">Headline totals, tab cards, team, data coverage by year</w:t>
            </w:r>
          </w:p>
        </w:tc>
        <w:tc>
          <w:tcPr>
            <w:tcW w:type="dxa" w:w="1560"/>
            <w:tcBorders>
              <w:top w:val="single" w:color="C9CFDA" w:sz="4"/>
              <w:left w:val="single" w:color="C9CFDA" w:sz="4"/>
              <w:bottom w:val="single" w:color="C9CFDA" w:sz="4"/>
              <w:right w:val="single" w:color="C9CFDA" w:sz="4"/>
            </w:tcBorders>
            <w:tcMar>
              <w:top w:type="dxa" w:w="70"/>
              <w:left w:type="dxa" w:w="110"/>
              <w:bottom w:type="dxa" w:w="70"/>
              <w:right w:type="dxa" w:w="110"/>
            </w:tcMar>
          </w:tcPr>
          <w:p>
            <w:r>
              <w:rPr>
                <w:rFonts w:ascii="Calibri" w:cs="Calibri" w:eastAsia="Calibri" w:hAnsi="Calibri"/>
                <w:b w:val="false"/>
                <w:bCs w:val="false"/>
                <w:sz w:val="20"/>
                <w:szCs w:val="20"/>
              </w:rPr>
              <w:t xml:space="preserve">Ready</w:t>
            </w:r>
          </w:p>
        </w:tc>
      </w:tr>
      <w:tr>
        <w:tc>
          <w:tcPr>
            <w:tcW w:type="dxa" w:w="1900"/>
            <w:tcBorders>
              <w:top w:val="single" w:color="C9CFDA" w:sz="4"/>
              <w:left w:val="single" w:color="C9CFDA" w:sz="4"/>
              <w:bottom w:val="single" w:color="C9CFDA" w:sz="4"/>
              <w:right w:val="single" w:color="C9CFDA" w:sz="4"/>
            </w:tcBorders>
            <w:tcMar>
              <w:top w:type="dxa" w:w="70"/>
              <w:left w:type="dxa" w:w="110"/>
              <w:bottom w:type="dxa" w:w="70"/>
              <w:right w:type="dxa" w:w="110"/>
            </w:tcMar>
          </w:tcPr>
          <w:p>
            <w:r>
              <w:rPr>
                <w:rFonts w:ascii="Calibri" w:cs="Calibri" w:eastAsia="Calibri" w:hAnsi="Calibri"/>
                <w:b w:val="false"/>
                <w:bCs w:val="false"/>
                <w:sz w:val="20"/>
                <w:szCs w:val="20"/>
              </w:rPr>
              <w:t xml:space="preserve">Exploratory Analysis</w:t>
            </w:r>
          </w:p>
        </w:tc>
        <w:tc>
          <w:tcPr>
            <w:tcW w:type="dxa" w:w="3000"/>
            <w:tcBorders>
              <w:top w:val="single" w:color="C9CFDA" w:sz="4"/>
              <w:left w:val="single" w:color="C9CFDA" w:sz="4"/>
              <w:bottom w:val="single" w:color="C9CFDA" w:sz="4"/>
              <w:right w:val="single" w:color="C9CFDA" w:sz="4"/>
            </w:tcBorders>
            <w:tcMar>
              <w:top w:type="dxa" w:w="70"/>
              <w:left w:type="dxa" w:w="110"/>
              <w:bottom w:type="dxa" w:w="70"/>
              <w:right w:type="dxa" w:w="110"/>
            </w:tcMar>
          </w:tcPr>
          <w:p>
            <w:r>
              <w:rPr>
                <w:rFonts w:ascii="Calibri" w:cs="Calibri" w:eastAsia="Calibri" w:hAnsi="Calibri"/>
                <w:b w:val="false"/>
                <w:bCs w:val="false"/>
                <w:sz w:val="20"/>
                <w:szCs w:val="20"/>
              </w:rPr>
              <w:t xml:space="preserve">How many CMV crashes happen, when, where, and how severe?</w:t>
            </w:r>
          </w:p>
        </w:tc>
        <w:tc>
          <w:tcPr>
            <w:tcW w:type="dxa" w:w="2900"/>
            <w:tcBorders>
              <w:top w:val="single" w:color="C9CFDA" w:sz="4"/>
              <w:left w:val="single" w:color="C9CFDA" w:sz="4"/>
              <w:bottom w:val="single" w:color="C9CFDA" w:sz="4"/>
              <w:right w:val="single" w:color="C9CFDA" w:sz="4"/>
            </w:tcBorders>
            <w:tcMar>
              <w:top w:type="dxa" w:w="70"/>
              <w:left w:type="dxa" w:w="110"/>
              <w:bottom w:type="dxa" w:w="70"/>
              <w:right w:type="dxa" w:w="110"/>
            </w:tcMar>
          </w:tcPr>
          <w:p>
            <w:r>
              <w:rPr>
                <w:rFonts w:ascii="Calibri" w:cs="Calibri" w:eastAsia="Calibri" w:hAnsi="Calibri"/>
                <w:b w:val="false"/>
                <w:bCs w:val="false"/>
                <w:sz w:val="20"/>
                <w:szCs w:val="20"/>
              </w:rPr>
              <w:t xml:space="preserve">Count tiles, crash map, trend and timing charts, severity breakdowns</w:t>
            </w:r>
          </w:p>
        </w:tc>
        <w:tc>
          <w:tcPr>
            <w:tcW w:type="dxa" w:w="1560"/>
            <w:tcBorders>
              <w:top w:val="single" w:color="C9CFDA" w:sz="4"/>
              <w:left w:val="single" w:color="C9CFDA" w:sz="4"/>
              <w:bottom w:val="single" w:color="C9CFDA" w:sz="4"/>
              <w:right w:val="single" w:color="C9CFDA" w:sz="4"/>
            </w:tcBorders>
            <w:tcMar>
              <w:top w:type="dxa" w:w="70"/>
              <w:left w:type="dxa" w:w="110"/>
              <w:bottom w:type="dxa" w:w="70"/>
              <w:right w:type="dxa" w:w="110"/>
            </w:tcMar>
          </w:tcPr>
          <w:p>
            <w:r>
              <w:rPr>
                <w:rFonts w:ascii="Calibri" w:cs="Calibri" w:eastAsia="Calibri" w:hAnsi="Calibri"/>
                <w:b w:val="false"/>
                <w:bCs w:val="false"/>
                <w:sz w:val="20"/>
                <w:szCs w:val="20"/>
              </w:rPr>
              <w:t xml:space="preserve">Ready</w:t>
            </w:r>
          </w:p>
        </w:tc>
      </w:tr>
      <w:tr>
        <w:tc>
          <w:tcPr>
            <w:tcW w:type="dxa" w:w="1900"/>
            <w:tcBorders>
              <w:top w:val="single" w:color="C9CFDA" w:sz="4"/>
              <w:left w:val="single" w:color="C9CFDA" w:sz="4"/>
              <w:bottom w:val="single" w:color="C9CFDA" w:sz="4"/>
              <w:right w:val="single" w:color="C9CFDA" w:sz="4"/>
            </w:tcBorders>
            <w:tcMar>
              <w:top w:type="dxa" w:w="70"/>
              <w:left w:type="dxa" w:w="110"/>
              <w:bottom w:type="dxa" w:w="70"/>
              <w:right w:type="dxa" w:w="110"/>
            </w:tcMar>
          </w:tcPr>
          <w:p>
            <w:r>
              <w:rPr>
                <w:rFonts w:ascii="Calibri" w:cs="Calibri" w:eastAsia="Calibri" w:hAnsi="Calibri"/>
                <w:b w:val="false"/>
                <w:bCs w:val="false"/>
                <w:sz w:val="20"/>
                <w:szCs w:val="20"/>
              </w:rPr>
              <w:t xml:space="preserve">Manner of Collision</w:t>
            </w:r>
          </w:p>
        </w:tc>
        <w:tc>
          <w:tcPr>
            <w:tcW w:type="dxa" w:w="3000"/>
            <w:tcBorders>
              <w:top w:val="single" w:color="C9CFDA" w:sz="4"/>
              <w:left w:val="single" w:color="C9CFDA" w:sz="4"/>
              <w:bottom w:val="single" w:color="C9CFDA" w:sz="4"/>
              <w:right w:val="single" w:color="C9CFDA" w:sz="4"/>
            </w:tcBorders>
            <w:tcMar>
              <w:top w:type="dxa" w:w="70"/>
              <w:left w:type="dxa" w:w="110"/>
              <w:bottom w:type="dxa" w:w="70"/>
              <w:right w:type="dxa" w:w="110"/>
            </w:tcMar>
          </w:tcPr>
          <w:p>
            <w:r>
              <w:rPr>
                <w:rFonts w:ascii="Calibri" w:cs="Calibri" w:eastAsia="Calibri" w:hAnsi="Calibri"/>
                <w:b w:val="false"/>
                <w:bCs w:val="false"/>
                <w:sz w:val="20"/>
                <w:szCs w:val="20"/>
              </w:rPr>
              <w:t xml:space="preserve">How do CMVs collide, and which collision types are deadliest?</w:t>
            </w:r>
          </w:p>
        </w:tc>
        <w:tc>
          <w:tcPr>
            <w:tcW w:type="dxa" w:w="2900"/>
            <w:tcBorders>
              <w:top w:val="single" w:color="C9CFDA" w:sz="4"/>
              <w:left w:val="single" w:color="C9CFDA" w:sz="4"/>
              <w:bottom w:val="single" w:color="C9CFDA" w:sz="4"/>
              <w:right w:val="single" w:color="C9CFDA" w:sz="4"/>
            </w:tcBorders>
            <w:tcMar>
              <w:top w:type="dxa" w:w="70"/>
              <w:left w:type="dxa" w:w="110"/>
              <w:bottom w:type="dxa" w:w="70"/>
              <w:right w:type="dxa" w:w="110"/>
            </w:tcMar>
          </w:tcPr>
          <w:p>
            <w:r>
              <w:rPr>
                <w:rFonts w:ascii="Calibri" w:cs="Calibri" w:eastAsia="Calibri" w:hAnsi="Calibri"/>
                <w:b w:val="false"/>
                <w:bCs w:val="false"/>
                <w:sz w:val="20"/>
                <w:szCs w:val="20"/>
              </w:rPr>
              <w:t xml:space="preserve">Manner picker, severity chart, lethality table</w:t>
            </w:r>
          </w:p>
        </w:tc>
        <w:tc>
          <w:tcPr>
            <w:tcW w:type="dxa" w:w="1560"/>
            <w:tcBorders>
              <w:top w:val="single" w:color="C9CFDA" w:sz="4"/>
              <w:left w:val="single" w:color="C9CFDA" w:sz="4"/>
              <w:bottom w:val="single" w:color="C9CFDA" w:sz="4"/>
              <w:right w:val="single" w:color="C9CFDA" w:sz="4"/>
            </w:tcBorders>
            <w:tcMar>
              <w:top w:type="dxa" w:w="70"/>
              <w:left w:type="dxa" w:w="110"/>
              <w:bottom w:type="dxa" w:w="70"/>
              <w:right w:type="dxa" w:w="110"/>
            </w:tcMar>
          </w:tcPr>
          <w:p>
            <w:r>
              <w:rPr>
                <w:rFonts w:ascii="Calibri" w:cs="Calibri" w:eastAsia="Calibri" w:hAnsi="Calibri"/>
                <w:b w:val="false"/>
                <w:bCs w:val="false"/>
                <w:sz w:val="20"/>
                <w:szCs w:val="20"/>
              </w:rPr>
              <w:t xml:space="preserve">Ready</w:t>
            </w:r>
          </w:p>
        </w:tc>
      </w:tr>
      <w:tr>
        <w:tc>
          <w:tcPr>
            <w:tcW w:type="dxa" w:w="1900"/>
            <w:tcBorders>
              <w:top w:val="single" w:color="C9CFDA" w:sz="4"/>
              <w:left w:val="single" w:color="C9CFDA" w:sz="4"/>
              <w:bottom w:val="single" w:color="C9CFDA" w:sz="4"/>
              <w:right w:val="single" w:color="C9CFDA" w:sz="4"/>
            </w:tcBorders>
            <w:tcMar>
              <w:top w:type="dxa" w:w="70"/>
              <w:left w:type="dxa" w:w="110"/>
              <w:bottom w:type="dxa" w:w="70"/>
              <w:right w:type="dxa" w:w="110"/>
            </w:tcMar>
          </w:tcPr>
          <w:p>
            <w:r>
              <w:rPr>
                <w:rFonts w:ascii="Calibri" w:cs="Calibri" w:eastAsia="Calibri" w:hAnsi="Calibri"/>
                <w:b w:val="false"/>
                <w:bCs w:val="false"/>
                <w:sz w:val="20"/>
                <w:szCs w:val="20"/>
              </w:rPr>
              <w:t xml:space="preserve">Corridor Analysis</w:t>
            </w:r>
          </w:p>
        </w:tc>
        <w:tc>
          <w:tcPr>
            <w:tcW w:type="dxa" w:w="3000"/>
            <w:tcBorders>
              <w:top w:val="single" w:color="C9CFDA" w:sz="4"/>
              <w:left w:val="single" w:color="C9CFDA" w:sz="4"/>
              <w:bottom w:val="single" w:color="C9CFDA" w:sz="4"/>
              <w:right w:val="single" w:color="C9CFDA" w:sz="4"/>
            </w:tcBorders>
            <w:tcMar>
              <w:top w:type="dxa" w:w="70"/>
              <w:left w:type="dxa" w:w="110"/>
              <w:bottom w:type="dxa" w:w="70"/>
              <w:right w:type="dxa" w:w="110"/>
            </w:tcMar>
          </w:tcPr>
          <w:p>
            <w:r>
              <w:rPr>
                <w:rFonts w:ascii="Calibri" w:cs="Calibri" w:eastAsia="Calibri" w:hAnsi="Calibri"/>
                <w:b w:val="false"/>
                <w:bCs w:val="false"/>
                <w:sz w:val="20"/>
                <w:szCs w:val="20"/>
              </w:rPr>
              <w:t xml:space="preserve">Which highways have the most crashes, mile by mile?</w:t>
            </w:r>
          </w:p>
        </w:tc>
        <w:tc>
          <w:tcPr>
            <w:tcW w:type="dxa" w:w="2900"/>
            <w:tcBorders>
              <w:top w:val="single" w:color="C9CFDA" w:sz="4"/>
              <w:left w:val="single" w:color="C9CFDA" w:sz="4"/>
              <w:bottom w:val="single" w:color="C9CFDA" w:sz="4"/>
              <w:right w:val="single" w:color="C9CFDA" w:sz="4"/>
            </w:tcBorders>
            <w:tcMar>
              <w:top w:type="dxa" w:w="70"/>
              <w:left w:type="dxa" w:w="110"/>
              <w:bottom w:type="dxa" w:w="70"/>
              <w:right w:type="dxa" w:w="110"/>
            </w:tcMar>
          </w:tcPr>
          <w:p>
            <w:r>
              <w:rPr>
                <w:rFonts w:ascii="Calibri" w:cs="Calibri" w:eastAsia="Calibri" w:hAnsi="Calibri"/>
                <w:b w:val="false"/>
                <w:bCs w:val="false"/>
                <w:sz w:val="20"/>
                <w:szCs w:val="20"/>
              </w:rPr>
              <w:t xml:space="preserve">Route picker, crashes per mile ranking, mile-by-mile profile</w:t>
            </w:r>
          </w:p>
        </w:tc>
        <w:tc>
          <w:tcPr>
            <w:tcW w:type="dxa" w:w="1560"/>
            <w:tcBorders>
              <w:top w:val="single" w:color="C9CFDA" w:sz="4"/>
              <w:left w:val="single" w:color="C9CFDA" w:sz="4"/>
              <w:bottom w:val="single" w:color="C9CFDA" w:sz="4"/>
              <w:right w:val="single" w:color="C9CFDA" w:sz="4"/>
            </w:tcBorders>
            <w:tcMar>
              <w:top w:type="dxa" w:w="70"/>
              <w:left w:type="dxa" w:w="110"/>
              <w:bottom w:type="dxa" w:w="70"/>
              <w:right w:type="dxa" w:w="110"/>
            </w:tcMar>
          </w:tcPr>
          <w:p>
            <w:r>
              <w:rPr>
                <w:rFonts w:ascii="Calibri" w:cs="Calibri" w:eastAsia="Calibri" w:hAnsi="Calibri"/>
                <w:b w:val="false"/>
                <w:bCs w:val="false"/>
                <w:sz w:val="20"/>
                <w:szCs w:val="20"/>
              </w:rPr>
              <w:t xml:space="preserve">Preliminary (placeholder highway lines)</w:t>
            </w:r>
          </w:p>
        </w:tc>
      </w:tr>
      <w:tr>
        <w:tc>
          <w:tcPr>
            <w:tcW w:type="dxa" w:w="1900"/>
            <w:tcBorders>
              <w:top w:val="single" w:color="C9CFDA" w:sz="4"/>
              <w:left w:val="single" w:color="C9CFDA" w:sz="4"/>
              <w:bottom w:val="single" w:color="C9CFDA" w:sz="4"/>
              <w:right w:val="single" w:color="C9CFDA" w:sz="4"/>
            </w:tcBorders>
            <w:tcMar>
              <w:top w:type="dxa" w:w="70"/>
              <w:left w:type="dxa" w:w="110"/>
              <w:bottom w:type="dxa" w:w="70"/>
              <w:right w:type="dxa" w:w="110"/>
            </w:tcMar>
          </w:tcPr>
          <w:p>
            <w:r>
              <w:rPr>
                <w:rFonts w:ascii="Calibri" w:cs="Calibri" w:eastAsia="Calibri" w:hAnsi="Calibri"/>
                <w:b w:val="false"/>
                <w:bCs w:val="false"/>
                <w:sz w:val="20"/>
                <w:szCs w:val="20"/>
              </w:rPr>
              <w:t xml:space="preserve">Contributing Factors</w:t>
            </w:r>
          </w:p>
        </w:tc>
        <w:tc>
          <w:tcPr>
            <w:tcW w:type="dxa" w:w="3000"/>
            <w:tcBorders>
              <w:top w:val="single" w:color="C9CFDA" w:sz="4"/>
              <w:left w:val="single" w:color="C9CFDA" w:sz="4"/>
              <w:bottom w:val="single" w:color="C9CFDA" w:sz="4"/>
              <w:right w:val="single" w:color="C9CFDA" w:sz="4"/>
            </w:tcBorders>
            <w:tcMar>
              <w:top w:type="dxa" w:w="70"/>
              <w:left w:type="dxa" w:w="110"/>
              <w:bottom w:type="dxa" w:w="70"/>
              <w:right w:type="dxa" w:w="110"/>
            </w:tcMar>
          </w:tcPr>
          <w:p>
            <w:r>
              <w:rPr>
                <w:rFonts w:ascii="Calibri" w:cs="Calibri" w:eastAsia="Calibri" w:hAnsi="Calibri"/>
                <w:b w:val="false"/>
                <w:bCs w:val="false"/>
                <w:sz w:val="20"/>
                <w:szCs w:val="20"/>
              </w:rPr>
              <w:t xml:space="preserve">Which driver behaviors were coded, and for whom?</w:t>
            </w:r>
          </w:p>
        </w:tc>
        <w:tc>
          <w:tcPr>
            <w:tcW w:type="dxa" w:w="2900"/>
            <w:tcBorders>
              <w:top w:val="single" w:color="C9CFDA" w:sz="4"/>
              <w:left w:val="single" w:color="C9CFDA" w:sz="4"/>
              <w:bottom w:val="single" w:color="C9CFDA" w:sz="4"/>
              <w:right w:val="single" w:color="C9CFDA" w:sz="4"/>
            </w:tcBorders>
            <w:tcMar>
              <w:top w:type="dxa" w:w="70"/>
              <w:left w:type="dxa" w:w="110"/>
              <w:bottom w:type="dxa" w:w="70"/>
              <w:right w:type="dxa" w:w="110"/>
            </w:tcMar>
          </w:tcPr>
          <w:p>
            <w:r>
              <w:rPr>
                <w:rFonts w:ascii="Calibri" w:cs="Calibri" w:eastAsia="Calibri" w:hAnsi="Calibri"/>
                <w:b w:val="false"/>
                <w:bCs w:val="false"/>
                <w:sz w:val="20"/>
                <w:szCs w:val="20"/>
              </w:rPr>
              <w:t xml:space="preserve">Behavior ranking, whose factors were coded, CMV versus other driver</w:t>
            </w:r>
          </w:p>
        </w:tc>
        <w:tc>
          <w:tcPr>
            <w:tcW w:type="dxa" w:w="1560"/>
            <w:tcBorders>
              <w:top w:val="single" w:color="C9CFDA" w:sz="4"/>
              <w:left w:val="single" w:color="C9CFDA" w:sz="4"/>
              <w:bottom w:val="single" w:color="C9CFDA" w:sz="4"/>
              <w:right w:val="single" w:color="C9CFDA" w:sz="4"/>
            </w:tcBorders>
            <w:tcMar>
              <w:top w:type="dxa" w:w="70"/>
              <w:left w:type="dxa" w:w="110"/>
              <w:bottom w:type="dxa" w:w="70"/>
              <w:right w:type="dxa" w:w="110"/>
            </w:tcMar>
          </w:tcPr>
          <w:p>
            <w:r>
              <w:rPr>
                <w:rFonts w:ascii="Calibri" w:cs="Calibri" w:eastAsia="Calibri" w:hAnsi="Calibri"/>
                <w:b w:val="false"/>
                <w:bCs w:val="false"/>
                <w:sz w:val="20"/>
                <w:szCs w:val="20"/>
              </w:rPr>
              <w:t xml:space="preserve">In progress (driver records incomplete)</w:t>
            </w:r>
          </w:p>
        </w:tc>
      </w:tr>
    </w:tbl>
    <w:p>
      <w:pPr>
        <w:pStyle w:val="Heading1"/>
        <w:spacing w:after="160" w:before="360"/>
      </w:pPr>
      <w:r>
        <w:rPr>
          <w:rFonts w:ascii="Calibri" w:cs="Calibri" w:eastAsia="Calibri" w:hAnsi="Calibri"/>
          <w:b/>
          <w:bCs/>
          <w:color w:val="1F3A8A"/>
          <w:sz w:val="34"/>
          <w:szCs w:val="34"/>
        </w:rPr>
        <w:t xml:space="preserve">2. Features shared by every tab</w:t>
      </w:r>
    </w:p>
    <w:p>
      <w:pPr>
        <w:pStyle w:val="Heading2"/>
        <w:spacing w:after="100" w:before="240"/>
      </w:pPr>
      <w:r>
        <w:rPr>
          <w:rFonts w:ascii="Calibri" w:cs="Calibri" w:eastAsia="Calibri" w:hAnsi="Calibri"/>
          <w:b/>
          <w:bCs/>
          <w:color w:val="27324A"/>
          <w:sz w:val="26"/>
          <w:szCs w:val="26"/>
        </w:rPr>
        <w:t xml:space="preserve">Filters</w:t>
      </w:r>
    </w:p>
    <w:p>
      <w:pPr>
        <w:spacing w:after="120"/>
      </w:pPr>
      <w:r>
        <w:rPr>
          <w:rFonts w:ascii="Calibri" w:cs="Calibri" w:eastAsia="Calibri" w:hAnsi="Calibri"/>
          <w:sz w:val="22"/>
          <w:szCs w:val="22"/>
        </w:rPr>
        <w:t xml:space="preserve">The Filters button in the header opens a slide-out panel. Active filters change the map, tiles, charts and tables together. The year range also sits in the header on every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CFDA" w:sz="4"/>
              <w:left w:val="single" w:color="C9CFDA" w:sz="4"/>
              <w:bottom w:val="single" w:color="C9CFDA" w:sz="4"/>
              <w:right w:val="single" w:color="C9CFDA" w:sz="4"/>
            </w:tcBorders>
            <w:shd w:fill="E7ECF8" w:color="auto" w:val="clear"/>
            <w:tcMar>
              <w:top w:type="dxa" w:w="70"/>
              <w:left w:type="dxa" w:w="110"/>
              <w:bottom w:type="dxa" w:w="70"/>
              <w:right w:type="dxa" w:w="110"/>
            </w:tcMar>
          </w:tcPr>
          <w:p>
            <w:r>
              <w:rPr>
                <w:rFonts w:ascii="Calibri" w:cs="Calibri" w:eastAsia="Calibri" w:hAnsi="Calibri"/>
                <w:b/>
                <w:bCs/>
                <w:sz w:val="20"/>
                <w:szCs w:val="20"/>
              </w:rPr>
              <w:t xml:space="preserve">Filter</w:t>
            </w:r>
          </w:p>
        </w:tc>
        <w:tc>
          <w:tcPr>
            <w:tcW w:type="dxa" w:w="6360"/>
            <w:tcBorders>
              <w:top w:val="single" w:color="C9CFDA" w:sz="4"/>
              <w:left w:val="single" w:color="C9CFDA" w:sz="4"/>
              <w:bottom w:val="single" w:color="C9CFDA" w:sz="4"/>
              <w:right w:val="single" w:color="C9CFDA" w:sz="4"/>
            </w:tcBorders>
            <w:shd w:fill="E7ECF8" w:color="auto" w:val="clear"/>
            <w:tcMar>
              <w:top w:type="dxa" w:w="70"/>
              <w:left w:type="dxa" w:w="110"/>
              <w:bottom w:type="dxa" w:w="70"/>
              <w:right w:type="dxa" w:w="110"/>
            </w:tcMar>
          </w:tcPr>
          <w:p>
            <w:r>
              <w:rPr>
                <w:rFonts w:ascii="Calibri" w:cs="Calibri" w:eastAsia="Calibri" w:hAnsi="Calibri"/>
                <w:b/>
                <w:bCs/>
                <w:sz w:val="20"/>
                <w:szCs w:val="20"/>
              </w:rPr>
              <w:t xml:space="preserve">What it does</w:t>
            </w:r>
          </w:p>
        </w:tc>
      </w:tr>
      <w:tr>
        <w:tc>
          <w:tcPr>
            <w:tcW w:type="dxa" w:w="3000"/>
            <w:tcBorders>
              <w:top w:val="single" w:color="C9CFDA" w:sz="4"/>
              <w:left w:val="single" w:color="C9CFDA" w:sz="4"/>
              <w:bottom w:val="single" w:color="C9CFDA" w:sz="4"/>
              <w:right w:val="single" w:color="C9CFDA" w:sz="4"/>
            </w:tcBorders>
            <w:tcMar>
              <w:top w:type="dxa" w:w="70"/>
              <w:left w:type="dxa" w:w="110"/>
              <w:bottom w:type="dxa" w:w="70"/>
              <w:right w:type="dxa" w:w="110"/>
            </w:tcMar>
          </w:tcPr>
          <w:p>
            <w:r>
              <w:rPr>
                <w:rFonts w:ascii="Calibri" w:cs="Calibri" w:eastAsia="Calibri" w:hAnsi="Calibri"/>
                <w:b w:val="false"/>
                <w:bCs w:val="false"/>
                <w:sz w:val="20"/>
                <w:szCs w:val="20"/>
              </w:rPr>
              <w:t xml:space="preserve">Date range and county</w:t>
            </w:r>
          </w:p>
        </w:tc>
        <w:tc>
          <w:tcPr>
            <w:tcW w:type="dxa" w:w="6360"/>
            <w:tcBorders>
              <w:top w:val="single" w:color="C9CFDA" w:sz="4"/>
              <w:left w:val="single" w:color="C9CFDA" w:sz="4"/>
              <w:bottom w:val="single" w:color="C9CFDA" w:sz="4"/>
              <w:right w:val="single" w:color="C9CFDA" w:sz="4"/>
            </w:tcBorders>
            <w:tcMar>
              <w:top w:type="dxa" w:w="70"/>
              <w:left w:type="dxa" w:w="110"/>
              <w:bottom w:type="dxa" w:w="70"/>
              <w:right w:type="dxa" w:w="110"/>
            </w:tcMar>
          </w:tcPr>
          <w:p>
            <w:r>
              <w:rPr>
                <w:rFonts w:ascii="Calibri" w:cs="Calibri" w:eastAsia="Calibri" w:hAnsi="Calibri"/>
                <w:b w:val="false"/>
                <w:bCs w:val="false"/>
                <w:sz w:val="20"/>
                <w:szCs w:val="20"/>
              </w:rPr>
              <w:t xml:space="preserve">Limits crashes to a span of years and to one or more counties.</w:t>
            </w:r>
          </w:p>
        </w:tc>
      </w:tr>
      <w:tr>
        <w:tc>
          <w:tcPr>
            <w:tcW w:type="dxa" w:w="3000"/>
            <w:tcBorders>
              <w:top w:val="single" w:color="C9CFDA" w:sz="4"/>
              <w:left w:val="single" w:color="C9CFDA" w:sz="4"/>
              <w:bottom w:val="single" w:color="C9CFDA" w:sz="4"/>
              <w:right w:val="single" w:color="C9CFDA" w:sz="4"/>
            </w:tcBorders>
            <w:tcMar>
              <w:top w:type="dxa" w:w="70"/>
              <w:left w:type="dxa" w:w="110"/>
              <w:bottom w:type="dxa" w:w="70"/>
              <w:right w:type="dxa" w:w="110"/>
            </w:tcMar>
          </w:tcPr>
          <w:p>
            <w:r>
              <w:rPr>
                <w:rFonts w:ascii="Calibri" w:cs="Calibri" w:eastAsia="Calibri" w:hAnsi="Calibri"/>
                <w:b w:val="false"/>
                <w:bCs w:val="false"/>
                <w:sz w:val="20"/>
                <w:szCs w:val="20"/>
              </w:rPr>
              <w:t xml:space="preserve">FMCSA reportable criteria</w:t>
            </w:r>
          </w:p>
        </w:tc>
        <w:tc>
          <w:tcPr>
            <w:tcW w:type="dxa" w:w="6360"/>
            <w:tcBorders>
              <w:top w:val="single" w:color="C9CFDA" w:sz="4"/>
              <w:left w:val="single" w:color="C9CFDA" w:sz="4"/>
              <w:bottom w:val="single" w:color="C9CFDA" w:sz="4"/>
              <w:right w:val="single" w:color="C9CFDA" w:sz="4"/>
            </w:tcBorders>
            <w:tcMar>
              <w:top w:type="dxa" w:w="70"/>
              <w:left w:type="dxa" w:w="110"/>
              <w:bottom w:type="dxa" w:w="70"/>
              <w:right w:type="dxa" w:w="110"/>
            </w:tcMar>
          </w:tcPr>
          <w:p>
            <w:r>
              <w:rPr>
                <w:rFonts w:ascii="Calibri" w:cs="Calibri" w:eastAsia="Calibri" w:hAnsi="Calibri"/>
                <w:b w:val="false"/>
                <w:bCs w:val="false"/>
                <w:sz w:val="20"/>
                <w:szCs w:val="20"/>
              </w:rPr>
              <w:t xml:space="preserve">Fatal, Vehicle towed, Injured and transported. Limits to crashes meeting the chosen criteria.</w:t>
            </w:r>
          </w:p>
        </w:tc>
      </w:tr>
      <w:tr>
        <w:tc>
          <w:tcPr>
            <w:tcW w:type="dxa" w:w="3000"/>
            <w:tcBorders>
              <w:top w:val="single" w:color="C9CFDA" w:sz="4"/>
              <w:left w:val="single" w:color="C9CFDA" w:sz="4"/>
              <w:bottom w:val="single" w:color="C9CFDA" w:sz="4"/>
              <w:right w:val="single" w:color="C9CFDA" w:sz="4"/>
            </w:tcBorders>
            <w:tcMar>
              <w:top w:type="dxa" w:w="70"/>
              <w:left w:type="dxa" w:w="110"/>
              <w:bottom w:type="dxa" w:w="70"/>
              <w:right w:type="dxa" w:w="110"/>
            </w:tcMar>
          </w:tcPr>
          <w:p>
            <w:r>
              <w:rPr>
                <w:rFonts w:ascii="Calibri" w:cs="Calibri" w:eastAsia="Calibri" w:hAnsi="Calibri"/>
                <w:b w:val="false"/>
                <w:bCs w:val="false"/>
                <w:sz w:val="20"/>
                <w:szCs w:val="20"/>
              </w:rPr>
              <w:t xml:space="preserve">Most severe injury</w:t>
            </w:r>
          </w:p>
        </w:tc>
        <w:tc>
          <w:tcPr>
            <w:tcW w:type="dxa" w:w="6360"/>
            <w:tcBorders>
              <w:top w:val="single" w:color="C9CFDA" w:sz="4"/>
              <w:left w:val="single" w:color="C9CFDA" w:sz="4"/>
              <w:bottom w:val="single" w:color="C9CFDA" w:sz="4"/>
              <w:right w:val="single" w:color="C9CFDA" w:sz="4"/>
            </w:tcBorders>
            <w:tcMar>
              <w:top w:type="dxa" w:w="70"/>
              <w:left w:type="dxa" w:w="110"/>
              <w:bottom w:type="dxa" w:w="70"/>
              <w:right w:type="dxa" w:w="110"/>
            </w:tcMar>
          </w:tcPr>
          <w:p>
            <w:r>
              <w:rPr>
                <w:rFonts w:ascii="Calibri" w:cs="Calibri" w:eastAsia="Calibri" w:hAnsi="Calibri"/>
                <w:b w:val="false"/>
                <w:bCs w:val="false"/>
                <w:sz w:val="20"/>
                <w:szCs w:val="20"/>
              </w:rPr>
              <w:t xml:space="preserve">Limits to chosen severity levels (Fatal through Property damage).</w:t>
            </w:r>
          </w:p>
        </w:tc>
      </w:tr>
      <w:tr>
        <w:tc>
          <w:tcPr>
            <w:tcW w:type="dxa" w:w="3000"/>
            <w:tcBorders>
              <w:top w:val="single" w:color="C9CFDA" w:sz="4"/>
              <w:left w:val="single" w:color="C9CFDA" w:sz="4"/>
              <w:bottom w:val="single" w:color="C9CFDA" w:sz="4"/>
              <w:right w:val="single" w:color="C9CFDA" w:sz="4"/>
            </w:tcBorders>
            <w:tcMar>
              <w:top w:type="dxa" w:w="70"/>
              <w:left w:type="dxa" w:w="110"/>
              <w:bottom w:type="dxa" w:w="70"/>
              <w:right w:type="dxa" w:w="110"/>
            </w:tcMar>
          </w:tcPr>
          <w:p>
            <w:r>
              <w:rPr>
                <w:rFonts w:ascii="Calibri" w:cs="Calibri" w:eastAsia="Calibri" w:hAnsi="Calibri"/>
                <w:b w:val="false"/>
                <w:bCs w:val="false"/>
                <w:sz w:val="20"/>
                <w:szCs w:val="20"/>
              </w:rPr>
              <w:t xml:space="preserve">Vehicles involved</w:t>
            </w:r>
          </w:p>
        </w:tc>
        <w:tc>
          <w:tcPr>
            <w:tcW w:type="dxa" w:w="6360"/>
            <w:tcBorders>
              <w:top w:val="single" w:color="C9CFDA" w:sz="4"/>
              <w:left w:val="single" w:color="C9CFDA" w:sz="4"/>
              <w:bottom w:val="single" w:color="C9CFDA" w:sz="4"/>
              <w:right w:val="single" w:color="C9CFDA" w:sz="4"/>
            </w:tcBorders>
            <w:tcMar>
              <w:top w:type="dxa" w:w="70"/>
              <w:left w:type="dxa" w:w="110"/>
              <w:bottom w:type="dxa" w:w="70"/>
              <w:right w:type="dxa" w:w="110"/>
            </w:tcMar>
          </w:tcPr>
          <w:p>
            <w:r>
              <w:rPr>
                <w:rFonts w:ascii="Calibri" w:cs="Calibri" w:eastAsia="Calibri" w:hAnsi="Calibri"/>
                <w:b w:val="false"/>
                <w:bCs w:val="false"/>
                <w:sz w:val="20"/>
                <w:szCs w:val="20"/>
              </w:rPr>
              <w:t xml:space="preserve">Limits by number of vehicles in the crash.</w:t>
            </w:r>
          </w:p>
        </w:tc>
      </w:tr>
      <w:tr>
        <w:tc>
          <w:tcPr>
            <w:tcW w:type="dxa" w:w="3000"/>
            <w:tcBorders>
              <w:top w:val="single" w:color="C9CFDA" w:sz="4"/>
              <w:left w:val="single" w:color="C9CFDA" w:sz="4"/>
              <w:bottom w:val="single" w:color="C9CFDA" w:sz="4"/>
              <w:right w:val="single" w:color="C9CFDA" w:sz="4"/>
            </w:tcBorders>
            <w:tcMar>
              <w:top w:type="dxa" w:w="70"/>
              <w:left w:type="dxa" w:w="110"/>
              <w:bottom w:type="dxa" w:w="70"/>
              <w:right w:type="dxa" w:w="110"/>
            </w:tcMar>
          </w:tcPr>
          <w:p>
            <w:r>
              <w:rPr>
                <w:rFonts w:ascii="Calibri" w:cs="Calibri" w:eastAsia="Calibri" w:hAnsi="Calibri"/>
                <w:b w:val="false"/>
                <w:bCs w:val="false"/>
                <w:sz w:val="20"/>
                <w:szCs w:val="20"/>
              </w:rPr>
              <w:t xml:space="preserve">Manner of collision, Route class, Road surface condition, Weather, Light condition</w:t>
            </w:r>
          </w:p>
        </w:tc>
        <w:tc>
          <w:tcPr>
            <w:tcW w:type="dxa" w:w="6360"/>
            <w:tcBorders>
              <w:top w:val="single" w:color="C9CFDA" w:sz="4"/>
              <w:left w:val="single" w:color="C9CFDA" w:sz="4"/>
              <w:bottom w:val="single" w:color="C9CFDA" w:sz="4"/>
              <w:right w:val="single" w:color="C9CFDA" w:sz="4"/>
            </w:tcBorders>
            <w:tcMar>
              <w:top w:type="dxa" w:w="70"/>
              <w:left w:type="dxa" w:w="110"/>
              <w:bottom w:type="dxa" w:w="70"/>
              <w:right w:type="dxa" w:w="110"/>
            </w:tcMar>
          </w:tcPr>
          <w:p>
            <w:r>
              <w:rPr>
                <w:rFonts w:ascii="Calibri" w:cs="Calibri" w:eastAsia="Calibri" w:hAnsi="Calibri"/>
                <w:b w:val="false"/>
                <w:bCs w:val="false"/>
                <w:sz w:val="20"/>
                <w:szCs w:val="20"/>
              </w:rPr>
              <w:t xml:space="preserve">Pick lists that limit to the chosen values.</w:t>
            </w:r>
          </w:p>
        </w:tc>
      </w:tr>
      <w:tr>
        <w:tc>
          <w:tcPr>
            <w:tcW w:type="dxa" w:w="3000"/>
            <w:tcBorders>
              <w:top w:val="single" w:color="C9CFDA" w:sz="4"/>
              <w:left w:val="single" w:color="C9CFDA" w:sz="4"/>
              <w:bottom w:val="single" w:color="C9CFDA" w:sz="4"/>
              <w:right w:val="single" w:color="C9CFDA" w:sz="4"/>
            </w:tcBorders>
            <w:tcMar>
              <w:top w:type="dxa" w:w="70"/>
              <w:left w:type="dxa" w:w="110"/>
              <w:bottom w:type="dxa" w:w="70"/>
              <w:right w:type="dxa" w:w="110"/>
            </w:tcMar>
          </w:tcPr>
          <w:p>
            <w:r>
              <w:rPr>
                <w:rFonts w:ascii="Calibri" w:cs="Calibri" w:eastAsia="Calibri" w:hAnsi="Calibri"/>
                <w:b w:val="false"/>
                <w:bCs w:val="false"/>
                <w:sz w:val="20"/>
                <w:szCs w:val="20"/>
              </w:rPr>
              <w:t xml:space="preserve">Work zone, Intersection, School bus related</w:t>
            </w:r>
          </w:p>
        </w:tc>
        <w:tc>
          <w:tcPr>
            <w:tcW w:type="dxa" w:w="6360"/>
            <w:tcBorders>
              <w:top w:val="single" w:color="C9CFDA" w:sz="4"/>
              <w:left w:val="single" w:color="C9CFDA" w:sz="4"/>
              <w:bottom w:val="single" w:color="C9CFDA" w:sz="4"/>
              <w:right w:val="single" w:color="C9CFDA" w:sz="4"/>
            </w:tcBorders>
            <w:tcMar>
              <w:top w:type="dxa" w:w="70"/>
              <w:left w:type="dxa" w:w="110"/>
              <w:bottom w:type="dxa" w:w="70"/>
              <w:right w:type="dxa" w:w="110"/>
            </w:tcMar>
          </w:tcPr>
          <w:p>
            <w:r>
              <w:rPr>
                <w:rFonts w:ascii="Calibri" w:cs="Calibri" w:eastAsia="Calibri" w:hAnsi="Calibri"/>
                <w:b w:val="false"/>
                <w:bCs w:val="false"/>
                <w:sz w:val="20"/>
                <w:szCs w:val="20"/>
              </w:rPr>
              <w:t xml:space="preserve">Limits to crashes flagged for those circumstances.</w:t>
            </w:r>
          </w:p>
        </w:tc>
      </w:tr>
      <w:tr>
        <w:tc>
          <w:tcPr>
            <w:tcW w:type="dxa" w:w="3000"/>
            <w:tcBorders>
              <w:top w:val="single" w:color="C9CFDA" w:sz="4"/>
              <w:left w:val="single" w:color="C9CFDA" w:sz="4"/>
              <w:bottom w:val="single" w:color="C9CFDA" w:sz="4"/>
              <w:right w:val="single" w:color="C9CFDA" w:sz="4"/>
            </w:tcBorders>
            <w:tcMar>
              <w:top w:type="dxa" w:w="70"/>
              <w:left w:type="dxa" w:w="110"/>
              <w:bottom w:type="dxa" w:w="70"/>
              <w:right w:type="dxa" w:w="110"/>
            </w:tcMar>
          </w:tcPr>
          <w:p>
            <w:r>
              <w:rPr>
                <w:rFonts w:ascii="Calibri" w:cs="Calibri" w:eastAsia="Calibri" w:hAnsi="Calibri"/>
                <w:b w:val="false"/>
                <w:bCs w:val="false"/>
                <w:sz w:val="20"/>
                <w:szCs w:val="20"/>
              </w:rPr>
              <w:t xml:space="preserve">Law enforcement agency</w:t>
            </w:r>
          </w:p>
        </w:tc>
        <w:tc>
          <w:tcPr>
            <w:tcW w:type="dxa" w:w="6360"/>
            <w:tcBorders>
              <w:top w:val="single" w:color="C9CFDA" w:sz="4"/>
              <w:left w:val="single" w:color="C9CFDA" w:sz="4"/>
              <w:bottom w:val="single" w:color="C9CFDA" w:sz="4"/>
              <w:right w:val="single" w:color="C9CFDA" w:sz="4"/>
            </w:tcBorders>
            <w:tcMar>
              <w:top w:type="dxa" w:w="70"/>
              <w:left w:type="dxa" w:w="110"/>
              <w:bottom w:type="dxa" w:w="70"/>
              <w:right w:type="dxa" w:w="110"/>
            </w:tcMar>
          </w:tcPr>
          <w:p>
            <w:r>
              <w:rPr>
                <w:rFonts w:ascii="Calibri" w:cs="Calibri" w:eastAsia="Calibri" w:hAnsi="Calibri"/>
                <w:b w:val="false"/>
                <w:bCs w:val="false"/>
                <w:sz w:val="20"/>
                <w:szCs w:val="20"/>
              </w:rPr>
              <w:t xml:space="preserve">Searchable list of reporting agencies.</w:t>
            </w:r>
          </w:p>
        </w:tc>
      </w:tr>
    </w:tbl>
    <w:p>
      <w:pPr>
        <w:spacing w:after="80"/>
      </w:pPr>
    </w:p>
    <w:p>
      <w:pPr>
        <w:pStyle w:val="Heading2"/>
        <w:spacing w:after="100" w:before="240"/>
      </w:pPr>
      <w:r>
        <w:rPr>
          <w:rFonts w:ascii="Calibri" w:cs="Calibri" w:eastAsia="Calibri" w:hAnsi="Calibri"/>
          <w:b/>
          <w:bCs/>
          <w:color w:val="27324A"/>
          <w:sz w:val="26"/>
          <w:szCs w:val="26"/>
        </w:rPr>
        <w:t xml:space="preserve">The map</w:t>
      </w:r>
    </w:p>
    <w:p>
      <w:pPr>
        <w:pStyle w:val="ListParagraph"/>
        <w:numPr>
          <w:ilvl w:val="0"/>
          <w:numId w:val="2"/>
        </w:numPr>
        <w:spacing w:after="70"/>
      </w:pPr>
      <w:r>
        <w:rPr>
          <w:rFonts w:ascii="Calibri" w:cs="Calibri" w:eastAsia="Calibri" w:hAnsi="Calibri"/>
          <w:sz w:val="22"/>
          <w:szCs w:val="22"/>
        </w:rPr>
        <w:t xml:space="preserve">Each crash is a point, colored by severity (or by the tab's own coloring, such as whose factors were coded).</w:t>
      </w:r>
    </w:p>
    <w:p>
      <w:pPr>
        <w:pStyle w:val="ListParagraph"/>
        <w:numPr>
          <w:ilvl w:val="0"/>
          <w:numId w:val="2"/>
        </w:numPr>
        <w:spacing w:after="70"/>
      </w:pPr>
      <w:r>
        <w:rPr>
          <w:rFonts w:ascii="Calibri" w:cs="Calibri" w:eastAsia="Calibri" w:hAnsi="Calibri"/>
          <w:sz w:val="22"/>
          <w:szCs w:val="22"/>
        </w:rPr>
        <w:t xml:space="preserve">The legend turns categories on and off and states how many crashes are drawn. When the statewide view is thinned for speed, it says so; zoom in to see every point.</w:t>
      </w:r>
    </w:p>
    <w:p>
      <w:pPr>
        <w:pStyle w:val="ListParagraph"/>
        <w:numPr>
          <w:ilvl w:val="0"/>
          <w:numId w:val="2"/>
        </w:numPr>
        <w:spacing w:after="70"/>
      </w:pPr>
      <w:r>
        <w:rPr>
          <w:rFonts w:ascii="Calibri" w:cs="Calibri" w:eastAsia="Calibri" w:hAnsi="Calibri"/>
          <w:sz w:val="22"/>
          <w:szCs w:val="22"/>
        </w:rPr>
        <w:t xml:space="preserve">Click a county to focus every chart on it. Interstates and US or state routes are drawn as lines.</w:t>
      </w:r>
    </w:p>
    <w:p>
      <w:pPr>
        <w:pStyle w:val="ListParagraph"/>
        <w:numPr>
          <w:ilvl w:val="0"/>
          <w:numId w:val="2"/>
        </w:numPr>
        <w:spacing w:after="70"/>
      </w:pPr>
      <w:r>
        <w:rPr>
          <w:rFonts w:ascii="Calibri" w:cs="Calibri" w:eastAsia="Calibri" w:hAnsi="Calibri"/>
          <w:sz w:val="22"/>
          <w:szCs w:val="22"/>
        </w:rPr>
        <w:t xml:space="preserve">The highway lines are a public placeholder until the TDOT Road Geometrics shapefile is loaded.</w:t>
      </w:r>
    </w:p>
    <w:p>
      <w:pPr>
        <w:pStyle w:val="Heading2"/>
        <w:spacing w:after="100" w:before="240"/>
      </w:pPr>
      <w:r>
        <w:rPr>
          <w:rFonts w:ascii="Calibri" w:cs="Calibri" w:eastAsia="Calibri" w:hAnsi="Calibri"/>
          <w:b/>
          <w:bCs/>
          <w:color w:val="27324A"/>
          <w:sz w:val="26"/>
          <w:szCs w:val="26"/>
        </w:rPr>
        <w:t xml:space="preserve">Links and presentation mode</w:t>
      </w:r>
    </w:p>
    <w:p>
      <w:pPr>
        <w:pStyle w:val="ListParagraph"/>
        <w:numPr>
          <w:ilvl w:val="0"/>
          <w:numId w:val="2"/>
        </w:numPr>
        <w:spacing w:after="70"/>
      </w:pPr>
      <w:r>
        <w:rPr>
          <w:rFonts w:ascii="Calibri" w:cs="Calibri" w:eastAsia="Calibri" w:hAnsi="Calibri"/>
          <w:sz w:val="22"/>
          <w:szCs w:val="22"/>
        </w:rPr>
        <w:t xml:space="preserve">Add ?tab=explore, manner, corridor or factors to the web address to open a tab directly.</w:t>
      </w:r>
    </w:p>
    <w:p>
      <w:pPr>
        <w:pStyle w:val="ListParagraph"/>
        <w:numPr>
          <w:ilvl w:val="0"/>
          <w:numId w:val="2"/>
        </w:numPr>
        <w:spacing w:after="70"/>
      </w:pPr>
      <w:r>
        <w:rPr>
          <w:rFonts w:ascii="Calibri" w:cs="Calibri" w:eastAsia="Calibri" w:hAnsi="Calibri"/>
          <w:sz w:val="22"/>
          <w:szCs w:val="22"/>
        </w:rPr>
        <w:t xml:space="preserve">Add ?present to hide the tabs still under construction (shows Overview, Exploratory Analysis and Corridor Analysis). Add ?present=0 to turn it off.</w:t>
      </w:r>
    </w:p>
    <w:p>
      <w:pPr>
        <w:pStyle w:val="ListParagraph"/>
        <w:numPr>
          <w:ilvl w:val="0"/>
          <w:numId w:val="2"/>
        </w:numPr>
        <w:spacing w:after="70"/>
      </w:pPr>
      <w:r>
        <w:rPr>
          <w:rFonts w:ascii="Calibri" w:cs="Calibri" w:eastAsia="Calibri" w:hAnsi="Calibri"/>
          <w:sz w:val="22"/>
          <w:szCs w:val="22"/>
        </w:rPr>
        <w:t xml:space="preserve">The Light, Dark and Auto buttons switch the color theme.</w:t>
      </w:r>
    </w:p>
    <w:p>
      <w:r>
        <w:br w:type="page"/>
      </w:r>
    </w:p>
    <w:p>
      <w:pPr>
        <w:pStyle w:val="Heading1"/>
        <w:spacing w:after="160" w:before="360"/>
      </w:pPr>
      <w:r>
        <w:rPr>
          <w:rFonts w:ascii="Calibri" w:cs="Calibri" w:eastAsia="Calibri" w:hAnsi="Calibri"/>
          <w:b/>
          <w:bCs/>
          <w:color w:val="1F3A8A"/>
          <w:sz w:val="34"/>
          <w:szCs w:val="34"/>
        </w:rPr>
        <w:t xml:space="preserve">3. Overview</w:t>
      </w:r>
    </w:p>
    <w:p>
      <w:pPr>
        <w:spacing w:after="120"/>
      </w:pPr>
      <w:r>
        <w:rPr>
          <w:rFonts w:ascii="Calibri" w:cs="Calibri" w:eastAsia="Calibri" w:hAnsi="Calibri"/>
          <w:sz w:val="22"/>
          <w:szCs w:val="22"/>
        </w:rPr>
        <w:t xml:space="preserve">The landing page. It frames the project and shows how complete the underlying data is.</w:t>
      </w:r>
    </w:p>
    <w:p>
      <w:pPr>
        <w:pStyle w:val="Heading2"/>
        <w:spacing w:after="100" w:before="240"/>
      </w:pPr>
      <w:r>
        <w:rPr>
          <w:rFonts w:ascii="Calibri" w:cs="Calibri" w:eastAsia="Calibri" w:hAnsi="Calibri"/>
          <w:b/>
          <w:bCs/>
          <w:color w:val="27324A"/>
          <w:sz w:val="26"/>
          <w:szCs w:val="26"/>
        </w:rPr>
        <w:t xml:space="preserve">What is on the page</w:t>
      </w:r>
    </w:p>
    <w:p>
      <w:pPr>
        <w:pStyle w:val="ListParagraph"/>
        <w:numPr>
          <w:ilvl w:val="0"/>
          <w:numId w:val="2"/>
        </w:numPr>
        <w:spacing w:after="70"/>
      </w:pPr>
      <w:r>
        <w:rPr>
          <w:rFonts w:ascii="Calibri" w:cs="Calibri" w:eastAsia="Calibri" w:hAnsi="Calibri"/>
          <w:b/>
          <w:bCs/>
          <w:sz w:val="22"/>
          <w:szCs w:val="22"/>
        </w:rPr>
        <w:t xml:space="preserve">Headline tiles: </w:t>
      </w:r>
      <w:r>
        <w:rPr>
          <w:rFonts w:ascii="Calibri" w:cs="Calibri" w:eastAsia="Calibri" w:hAnsi="Calibri"/>
          <w:b w:val="false"/>
          <w:bCs w:val="false"/>
          <w:sz w:val="22"/>
          <w:szCs w:val="22"/>
        </w:rPr>
        <w:t xml:space="preserve">CMV crashes, people killed, people injured, and years covered (2015 to 2025).</w:t>
      </w:r>
    </w:p>
    <w:p>
      <w:pPr>
        <w:pStyle w:val="ListParagraph"/>
        <w:numPr>
          <w:ilvl w:val="0"/>
          <w:numId w:val="2"/>
        </w:numPr>
        <w:spacing w:after="70"/>
      </w:pPr>
      <w:r>
        <w:rPr>
          <w:rFonts w:ascii="Calibri" w:cs="Calibri" w:eastAsia="Calibri" w:hAnsi="Calibri"/>
          <w:b/>
          <w:bCs/>
          <w:sz w:val="22"/>
          <w:szCs w:val="22"/>
        </w:rPr>
        <w:t xml:space="preserve">What's inside: </w:t>
      </w:r>
      <w:r>
        <w:rPr>
          <w:rFonts w:ascii="Calibri" w:cs="Calibri" w:eastAsia="Calibri" w:hAnsi="Calibri"/>
          <w:b w:val="false"/>
          <w:bCs w:val="false"/>
          <w:sz w:val="22"/>
          <w:szCs w:val="22"/>
        </w:rPr>
        <w:t xml:space="preserve">a card for each analysis tab with a short description and an Open link.</w:t>
      </w:r>
    </w:p>
    <w:p>
      <w:pPr>
        <w:pStyle w:val="ListParagraph"/>
        <w:numPr>
          <w:ilvl w:val="0"/>
          <w:numId w:val="2"/>
        </w:numPr>
        <w:spacing w:after="70"/>
      </w:pPr>
      <w:r>
        <w:rPr>
          <w:rFonts w:ascii="Calibri" w:cs="Calibri" w:eastAsia="Calibri" w:hAnsi="Calibri"/>
          <w:b/>
          <w:bCs/>
          <w:sz w:val="22"/>
          <w:szCs w:val="22"/>
        </w:rPr>
        <w:t xml:space="preserve">The team: </w:t>
      </w:r>
      <w:r>
        <w:rPr>
          <w:rFonts w:ascii="Calibri" w:cs="Calibri" w:eastAsia="Calibri" w:hAnsi="Calibri"/>
          <w:b w:val="false"/>
          <w:bCs w:val="false"/>
          <w:sz w:val="22"/>
          <w:szCs w:val="22"/>
        </w:rPr>
        <w:t xml:space="preserve">photo, role, title and affiliation for the principal investigator, the co-principal investigators and the research assistants, with email where provided.</w:t>
      </w:r>
    </w:p>
    <w:p>
      <w:pPr>
        <w:pStyle w:val="ListParagraph"/>
        <w:numPr>
          <w:ilvl w:val="0"/>
          <w:numId w:val="2"/>
        </w:numPr>
        <w:spacing w:after="70"/>
      </w:pPr>
      <w:r>
        <w:rPr>
          <w:rFonts w:ascii="Calibri" w:cs="Calibri" w:eastAsia="Calibri" w:hAnsi="Calibri"/>
          <w:b/>
          <w:bCs/>
          <w:sz w:val="22"/>
          <w:szCs w:val="22"/>
        </w:rPr>
        <w:t xml:space="preserve">What the data covers: </w:t>
      </w:r>
      <w:r>
        <w:rPr>
          <w:rFonts w:ascii="Calibri" w:cs="Calibri" w:eastAsia="Calibri" w:hAnsi="Calibri"/>
          <w:b w:val="false"/>
          <w:bCs w:val="false"/>
          <w:sz w:val="22"/>
          <w:szCs w:val="22"/>
        </w:rPr>
        <w:t xml:space="preserve">tiles for crashes, vehicles on record (92,381) and people on record (7,531), and a chart of the share of crashes per year that have vehicle records and person records.</w:t>
      </w:r>
    </w:p>
    <w:p>
      <w:pPr>
        <w:pStyle w:val="ListParagraph"/>
        <w:numPr>
          <w:ilvl w:val="0"/>
          <w:numId w:val="2"/>
        </w:numPr>
        <w:spacing w:after="70"/>
      </w:pPr>
      <w:r>
        <w:rPr>
          <w:rFonts w:ascii="Calibri" w:cs="Calibri" w:eastAsia="Calibri" w:hAnsi="Calibri"/>
          <w:b/>
          <w:bCs/>
          <w:sz w:val="22"/>
          <w:szCs w:val="22"/>
        </w:rPr>
        <w:t xml:space="preserve">About the data: </w:t>
      </w:r>
      <w:r>
        <w:rPr>
          <w:rFonts w:ascii="Calibri" w:cs="Calibri" w:eastAsia="Calibri" w:hAnsi="Calibri"/>
          <w:b w:val="false"/>
          <w:bCs w:val="false"/>
          <w:sz w:val="22"/>
          <w:szCs w:val="22"/>
        </w:rPr>
        <w:t xml:space="preserve">sources and caveats (TITAN codes, placeholder highways, county boundaries from the US Census).</w:t>
      </w:r>
    </w:p>
    <w:p>
      <w:pPr>
        <w:pStyle w:val="Heading2"/>
        <w:spacing w:after="100" w:before="240"/>
      </w:pPr>
      <w:r>
        <w:rPr>
          <w:rFonts w:ascii="Calibri" w:cs="Calibri" w:eastAsia="Calibri" w:hAnsi="Calibri"/>
          <w:b/>
          <w:bCs/>
          <w:color w:val="27324A"/>
          <w:sz w:val="26"/>
          <w:szCs w:val="26"/>
        </w:rPr>
        <w:t xml:space="preserve">How to read it</w:t>
      </w:r>
    </w:p>
    <w:p>
      <w:pPr>
        <w:spacing w:after="120"/>
      </w:pPr>
      <w:r>
        <w:rPr>
          <w:rFonts w:ascii="Calibri" w:cs="Calibri" w:eastAsia="Calibri" w:hAnsi="Calibri"/>
          <w:sz w:val="22"/>
          <w:szCs w:val="22"/>
        </w:rPr>
        <w:t xml:space="preserve">Vehicle records cover every crash from 2017 on. Person records exist for only a small share of crashes, mostly 2023 to 2025. Analyses that depend on drivers, such as Contributing Factors, can only use crashes with person records.</w:t>
      </w:r>
    </w:p>
    <w:p>
      <w:pPr>
        <w:pStyle w:val="Heading1"/>
        <w:spacing w:after="160" w:before="360"/>
      </w:pPr>
      <w:r>
        <w:rPr>
          <w:rFonts w:ascii="Calibri" w:cs="Calibri" w:eastAsia="Calibri" w:hAnsi="Calibri"/>
          <w:b/>
          <w:bCs/>
          <w:color w:val="1F3A8A"/>
          <w:sz w:val="34"/>
          <w:szCs w:val="34"/>
        </w:rPr>
        <w:t xml:space="preserve">4. Exploratory Analysis</w:t>
      </w:r>
    </w:p>
    <w:p>
      <w:pPr>
        <w:spacing w:after="120"/>
      </w:pPr>
      <w:r>
        <w:rPr>
          <w:rFonts w:ascii="Calibri" w:cs="Calibri" w:eastAsia="Calibri" w:hAnsi="Calibri"/>
          <w:sz w:val="22"/>
          <w:szCs w:val="22"/>
        </w:rPr>
        <w:t xml:space="preserve">A broad look at CMV crash counts and patterns across the state.</w:t>
      </w:r>
    </w:p>
    <w:p>
      <w:pPr>
        <w:pStyle w:val="Heading2"/>
        <w:spacing w:after="100" w:before="240"/>
      </w:pPr>
      <w:r>
        <w:rPr>
          <w:rFonts w:ascii="Calibri" w:cs="Calibri" w:eastAsia="Calibri" w:hAnsi="Calibri"/>
          <w:b/>
          <w:bCs/>
          <w:color w:val="27324A"/>
          <w:sz w:val="26"/>
          <w:szCs w:val="26"/>
        </w:rPr>
        <w:t xml:space="preserve">What is on the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9CFDA" w:sz="4"/>
              <w:left w:val="single" w:color="C9CFDA" w:sz="4"/>
              <w:bottom w:val="single" w:color="C9CFDA" w:sz="4"/>
              <w:right w:val="single" w:color="C9CFDA" w:sz="4"/>
            </w:tcBorders>
            <w:shd w:fill="E7ECF8" w:color="auto" w:val="clear"/>
            <w:tcMar>
              <w:top w:type="dxa" w:w="70"/>
              <w:left w:type="dxa" w:w="110"/>
              <w:bottom w:type="dxa" w:w="70"/>
              <w:right w:type="dxa" w:w="110"/>
            </w:tcMar>
          </w:tcPr>
          <w:p>
            <w:r>
              <w:rPr>
                <w:rFonts w:ascii="Calibri" w:cs="Calibri" w:eastAsia="Calibri" w:hAnsi="Calibri"/>
                <w:b/>
                <w:bCs/>
                <w:sz w:val="20"/>
                <w:szCs w:val="20"/>
              </w:rPr>
              <w:t xml:space="preserve">Element</w:t>
            </w:r>
          </w:p>
        </w:tc>
        <w:tc>
          <w:tcPr>
            <w:tcW w:type="dxa" w:w="6460"/>
            <w:tcBorders>
              <w:top w:val="single" w:color="C9CFDA" w:sz="4"/>
              <w:left w:val="single" w:color="C9CFDA" w:sz="4"/>
              <w:bottom w:val="single" w:color="C9CFDA" w:sz="4"/>
              <w:right w:val="single" w:color="C9CFDA" w:sz="4"/>
            </w:tcBorders>
            <w:shd w:fill="E7ECF8" w:color="auto" w:val="clear"/>
            <w:tcMar>
              <w:top w:type="dxa" w:w="70"/>
              <w:left w:type="dxa" w:w="110"/>
              <w:bottom w:type="dxa" w:w="70"/>
              <w:right w:type="dxa" w:w="110"/>
            </w:tcMar>
          </w:tcPr>
          <w:p>
            <w:r>
              <w:rPr>
                <w:rFonts w:ascii="Calibri" w:cs="Calibri" w:eastAsia="Calibri" w:hAnsi="Calibri"/>
                <w:b/>
                <w:bCs/>
                <w:sz w:val="20"/>
                <w:szCs w:val="20"/>
              </w:rPr>
              <w:t xml:space="preserve">What it shows</w:t>
            </w:r>
          </w:p>
        </w:tc>
      </w:tr>
      <w:tr>
        <w:tc>
          <w:tcPr>
            <w:tcW w:type="dxa" w:w="2900"/>
            <w:tcBorders>
              <w:top w:val="single" w:color="C9CFDA" w:sz="4"/>
              <w:left w:val="single" w:color="C9CFDA" w:sz="4"/>
              <w:bottom w:val="single" w:color="C9CFDA" w:sz="4"/>
              <w:right w:val="single" w:color="C9CFDA" w:sz="4"/>
            </w:tcBorders>
            <w:tcMar>
              <w:top w:type="dxa" w:w="70"/>
              <w:left w:type="dxa" w:w="110"/>
              <w:bottom w:type="dxa" w:w="70"/>
              <w:right w:type="dxa" w:w="110"/>
            </w:tcMar>
          </w:tcPr>
          <w:p>
            <w:r>
              <w:rPr>
                <w:rFonts w:ascii="Calibri" w:cs="Calibri" w:eastAsia="Calibri" w:hAnsi="Calibri"/>
                <w:b w:val="false"/>
                <w:bCs w:val="false"/>
                <w:sz w:val="20"/>
                <w:szCs w:val="20"/>
              </w:rPr>
              <w:t xml:space="preserve">Count tiles</w:t>
            </w:r>
          </w:p>
        </w:tc>
        <w:tc>
          <w:tcPr>
            <w:tcW w:type="dxa" w:w="6460"/>
            <w:tcBorders>
              <w:top w:val="single" w:color="C9CFDA" w:sz="4"/>
              <w:left w:val="single" w:color="C9CFDA" w:sz="4"/>
              <w:bottom w:val="single" w:color="C9CFDA" w:sz="4"/>
              <w:right w:val="single" w:color="C9CFDA" w:sz="4"/>
            </w:tcBorders>
            <w:tcMar>
              <w:top w:type="dxa" w:w="70"/>
              <w:left w:type="dxa" w:w="110"/>
              <w:bottom w:type="dxa" w:w="70"/>
              <w:right w:type="dxa" w:w="110"/>
            </w:tcMar>
          </w:tcPr>
          <w:p>
            <w:r>
              <w:rPr>
                <w:rFonts w:ascii="Calibri" w:cs="Calibri" w:eastAsia="Calibri" w:hAnsi="Calibri"/>
                <w:b w:val="false"/>
                <w:bCs w:val="false"/>
                <w:sz w:val="20"/>
                <w:szCs w:val="20"/>
              </w:rPr>
              <w:t xml:space="preserve">CMV crashes; work zone, intersection and school bus related crashes with their share of all crashes; people injured; fatalities.</w:t>
            </w:r>
          </w:p>
        </w:tc>
      </w:tr>
      <w:tr>
        <w:tc>
          <w:tcPr>
            <w:tcW w:type="dxa" w:w="2900"/>
            <w:tcBorders>
              <w:top w:val="single" w:color="C9CFDA" w:sz="4"/>
              <w:left w:val="single" w:color="C9CFDA" w:sz="4"/>
              <w:bottom w:val="single" w:color="C9CFDA" w:sz="4"/>
              <w:right w:val="single" w:color="C9CFDA" w:sz="4"/>
            </w:tcBorders>
            <w:tcMar>
              <w:top w:type="dxa" w:w="70"/>
              <w:left w:type="dxa" w:w="110"/>
              <w:bottom w:type="dxa" w:w="70"/>
              <w:right w:type="dxa" w:w="110"/>
            </w:tcMar>
          </w:tcPr>
          <w:p>
            <w:r>
              <w:rPr>
                <w:rFonts w:ascii="Calibri" w:cs="Calibri" w:eastAsia="Calibri" w:hAnsi="Calibri"/>
                <w:b w:val="false"/>
                <w:bCs w:val="false"/>
                <w:sz w:val="20"/>
                <w:szCs w:val="20"/>
              </w:rPr>
              <w:t xml:space="preserve">Gauges</w:t>
            </w:r>
          </w:p>
        </w:tc>
        <w:tc>
          <w:tcPr>
            <w:tcW w:type="dxa" w:w="6460"/>
            <w:tcBorders>
              <w:top w:val="single" w:color="C9CFDA" w:sz="4"/>
              <w:left w:val="single" w:color="C9CFDA" w:sz="4"/>
              <w:bottom w:val="single" w:color="C9CFDA" w:sz="4"/>
              <w:right w:val="single" w:color="C9CFDA" w:sz="4"/>
            </w:tcBorders>
            <w:tcMar>
              <w:top w:type="dxa" w:w="70"/>
              <w:left w:type="dxa" w:w="110"/>
              <w:bottom w:type="dxa" w:w="70"/>
              <w:right w:type="dxa" w:w="110"/>
            </w:tcMar>
          </w:tcPr>
          <w:p>
            <w:r>
              <w:rPr>
                <w:rFonts w:ascii="Calibri" w:cs="Calibri" w:eastAsia="Calibri" w:hAnsi="Calibri"/>
                <w:b w:val="false"/>
                <w:bCs w:val="false"/>
                <w:sz w:val="20"/>
                <w:szCs w:val="20"/>
              </w:rPr>
              <w:t xml:space="preserve">Fatal crash share and serious injury crash share, each with the crash count (scale 0 to 10%).</w:t>
            </w:r>
          </w:p>
        </w:tc>
      </w:tr>
      <w:tr>
        <w:tc>
          <w:tcPr>
            <w:tcW w:type="dxa" w:w="2900"/>
            <w:tcBorders>
              <w:top w:val="single" w:color="C9CFDA" w:sz="4"/>
              <w:left w:val="single" w:color="C9CFDA" w:sz="4"/>
              <w:bottom w:val="single" w:color="C9CFDA" w:sz="4"/>
              <w:right w:val="single" w:color="C9CFDA" w:sz="4"/>
            </w:tcBorders>
            <w:tcMar>
              <w:top w:type="dxa" w:w="70"/>
              <w:left w:type="dxa" w:w="110"/>
              <w:bottom w:type="dxa" w:w="70"/>
              <w:right w:type="dxa" w:w="110"/>
            </w:tcMar>
          </w:tcPr>
          <w:p>
            <w:r>
              <w:rPr>
                <w:rFonts w:ascii="Calibri" w:cs="Calibri" w:eastAsia="Calibri" w:hAnsi="Calibri"/>
                <w:b w:val="false"/>
                <w:bCs w:val="false"/>
                <w:sz w:val="20"/>
                <w:szCs w:val="20"/>
              </w:rPr>
              <w:t xml:space="preserve">Crash map</w:t>
            </w:r>
          </w:p>
        </w:tc>
        <w:tc>
          <w:tcPr>
            <w:tcW w:type="dxa" w:w="6460"/>
            <w:tcBorders>
              <w:top w:val="single" w:color="C9CFDA" w:sz="4"/>
              <w:left w:val="single" w:color="C9CFDA" w:sz="4"/>
              <w:bottom w:val="single" w:color="C9CFDA" w:sz="4"/>
              <w:right w:val="single" w:color="C9CFDA" w:sz="4"/>
            </w:tcBorders>
            <w:tcMar>
              <w:top w:type="dxa" w:w="70"/>
              <w:left w:type="dxa" w:w="110"/>
              <w:bottom w:type="dxa" w:w="70"/>
              <w:right w:type="dxa" w:w="110"/>
            </w:tcMar>
          </w:tcPr>
          <w:p>
            <w:r>
              <w:rPr>
                <w:rFonts w:ascii="Calibri" w:cs="Calibri" w:eastAsia="Calibri" w:hAnsi="Calibri"/>
                <w:b w:val="false"/>
                <w:bCs w:val="false"/>
                <w:sz w:val="20"/>
                <w:szCs w:val="20"/>
              </w:rPr>
              <w:t xml:space="preserve">Every crash as a point colored by severity, with a legend that toggles severities.</w:t>
            </w:r>
          </w:p>
        </w:tc>
      </w:tr>
      <w:tr>
        <w:tc>
          <w:tcPr>
            <w:tcW w:type="dxa" w:w="2900"/>
            <w:tcBorders>
              <w:top w:val="single" w:color="C9CFDA" w:sz="4"/>
              <w:left w:val="single" w:color="C9CFDA" w:sz="4"/>
              <w:bottom w:val="single" w:color="C9CFDA" w:sz="4"/>
              <w:right w:val="single" w:color="C9CFDA" w:sz="4"/>
            </w:tcBorders>
            <w:tcMar>
              <w:top w:type="dxa" w:w="70"/>
              <w:left w:type="dxa" w:w="110"/>
              <w:bottom w:type="dxa" w:w="70"/>
              <w:right w:type="dxa" w:w="110"/>
            </w:tcMar>
          </w:tcPr>
          <w:p>
            <w:r>
              <w:rPr>
                <w:rFonts w:ascii="Calibri" w:cs="Calibri" w:eastAsia="Calibri" w:hAnsi="Calibri"/>
                <w:b w:val="false"/>
                <w:bCs w:val="false"/>
                <w:sz w:val="20"/>
                <w:szCs w:val="20"/>
              </w:rPr>
              <w:t xml:space="preserve">Fatal and serious injury crashes by year</w:t>
            </w:r>
          </w:p>
        </w:tc>
        <w:tc>
          <w:tcPr>
            <w:tcW w:type="dxa" w:w="6460"/>
            <w:tcBorders>
              <w:top w:val="single" w:color="C9CFDA" w:sz="4"/>
              <w:left w:val="single" w:color="C9CFDA" w:sz="4"/>
              <w:bottom w:val="single" w:color="C9CFDA" w:sz="4"/>
              <w:right w:val="single" w:color="C9CFDA" w:sz="4"/>
            </w:tcBorders>
            <w:tcMar>
              <w:top w:type="dxa" w:w="70"/>
              <w:left w:type="dxa" w:w="110"/>
              <w:bottom w:type="dxa" w:w="70"/>
              <w:right w:type="dxa" w:w="110"/>
            </w:tcMar>
          </w:tcPr>
          <w:p>
            <w:r>
              <w:rPr>
                <w:rFonts w:ascii="Calibri" w:cs="Calibri" w:eastAsia="Calibri" w:hAnsi="Calibri"/>
                <w:b w:val="false"/>
                <w:bCs w:val="false"/>
                <w:sz w:val="20"/>
                <w:szCs w:val="20"/>
              </w:rPr>
              <w:t xml:space="preserve">Stacked bars for fatal and serious injury crashes, with a line for all crashes on the right axis. 2025 covers January to March only, so it looks low.</w:t>
            </w:r>
          </w:p>
        </w:tc>
      </w:tr>
      <w:tr>
        <w:tc>
          <w:tcPr>
            <w:tcW w:type="dxa" w:w="2900"/>
            <w:tcBorders>
              <w:top w:val="single" w:color="C9CFDA" w:sz="4"/>
              <w:left w:val="single" w:color="C9CFDA" w:sz="4"/>
              <w:bottom w:val="single" w:color="C9CFDA" w:sz="4"/>
              <w:right w:val="single" w:color="C9CFDA" w:sz="4"/>
            </w:tcBorders>
            <w:tcMar>
              <w:top w:type="dxa" w:w="70"/>
              <w:left w:type="dxa" w:w="110"/>
              <w:bottom w:type="dxa" w:w="70"/>
              <w:right w:type="dxa" w:w="110"/>
            </w:tcMar>
          </w:tcPr>
          <w:p>
            <w:r>
              <w:rPr>
                <w:rFonts w:ascii="Calibri" w:cs="Calibri" w:eastAsia="Calibri" w:hAnsi="Calibri"/>
                <w:b w:val="false"/>
                <w:bCs w:val="false"/>
                <w:sz w:val="20"/>
                <w:szCs w:val="20"/>
              </w:rPr>
              <w:t xml:space="preserve">Hour of day, Day of week, Month</w:t>
            </w:r>
          </w:p>
        </w:tc>
        <w:tc>
          <w:tcPr>
            <w:tcW w:type="dxa" w:w="6460"/>
            <w:tcBorders>
              <w:top w:val="single" w:color="C9CFDA" w:sz="4"/>
              <w:left w:val="single" w:color="C9CFDA" w:sz="4"/>
              <w:bottom w:val="single" w:color="C9CFDA" w:sz="4"/>
              <w:right w:val="single" w:color="C9CFDA" w:sz="4"/>
            </w:tcBorders>
            <w:tcMar>
              <w:top w:type="dxa" w:w="70"/>
              <w:left w:type="dxa" w:w="110"/>
              <w:bottom w:type="dxa" w:w="70"/>
              <w:right w:type="dxa" w:w="110"/>
            </w:tcMar>
          </w:tcPr>
          <w:p>
            <w:r>
              <w:rPr>
                <w:rFonts w:ascii="Calibri" w:cs="Calibri" w:eastAsia="Calibri" w:hAnsi="Calibri"/>
                <w:b w:val="false"/>
                <w:bCs w:val="false"/>
                <w:sz w:val="20"/>
                <w:szCs w:val="20"/>
              </w:rPr>
              <w:t xml:space="preserve">Tabs showing when crashes occur.</w:t>
            </w:r>
          </w:p>
        </w:tc>
      </w:tr>
      <w:tr>
        <w:tc>
          <w:tcPr>
            <w:tcW w:type="dxa" w:w="2900"/>
            <w:tcBorders>
              <w:top w:val="single" w:color="C9CFDA" w:sz="4"/>
              <w:left w:val="single" w:color="C9CFDA" w:sz="4"/>
              <w:bottom w:val="single" w:color="C9CFDA" w:sz="4"/>
              <w:right w:val="single" w:color="C9CFDA" w:sz="4"/>
            </w:tcBorders>
            <w:tcMar>
              <w:top w:type="dxa" w:w="70"/>
              <w:left w:type="dxa" w:w="110"/>
              <w:bottom w:type="dxa" w:w="70"/>
              <w:right w:type="dxa" w:w="110"/>
            </w:tcMar>
          </w:tcPr>
          <w:p>
            <w:r>
              <w:rPr>
                <w:rFonts w:ascii="Calibri" w:cs="Calibri" w:eastAsia="Calibri" w:hAnsi="Calibri"/>
                <w:b w:val="false"/>
                <w:bCs w:val="false"/>
                <w:sz w:val="20"/>
                <w:szCs w:val="20"/>
              </w:rPr>
              <w:t xml:space="preserve">Severity tabs</w:t>
            </w:r>
          </w:p>
        </w:tc>
        <w:tc>
          <w:tcPr>
            <w:tcW w:type="dxa" w:w="6460"/>
            <w:tcBorders>
              <w:top w:val="single" w:color="C9CFDA" w:sz="4"/>
              <w:left w:val="single" w:color="C9CFDA" w:sz="4"/>
              <w:bottom w:val="single" w:color="C9CFDA" w:sz="4"/>
              <w:right w:val="single" w:color="C9CFDA" w:sz="4"/>
            </w:tcBorders>
            <w:tcMar>
              <w:top w:type="dxa" w:w="70"/>
              <w:left w:type="dxa" w:w="110"/>
              <w:bottom w:type="dxa" w:w="70"/>
              <w:right w:type="dxa" w:w="110"/>
            </w:tcMar>
          </w:tcPr>
          <w:p>
            <w:r>
              <w:rPr>
                <w:rFonts w:ascii="Calibri" w:cs="Calibri" w:eastAsia="Calibri" w:hAnsi="Calibri"/>
                <w:b w:val="false"/>
                <w:bCs w:val="false"/>
                <w:sz w:val="20"/>
                <w:szCs w:val="20"/>
              </w:rPr>
              <w:t xml:space="preserve">Severity by manner of collision, severity by route class, FMCSA criteria, weather, and counties.</w:t>
            </w:r>
          </w:p>
        </w:tc>
      </w:tr>
      <w:tr>
        <w:tc>
          <w:tcPr>
            <w:tcW w:type="dxa" w:w="2900"/>
            <w:tcBorders>
              <w:top w:val="single" w:color="C9CFDA" w:sz="4"/>
              <w:left w:val="single" w:color="C9CFDA" w:sz="4"/>
              <w:bottom w:val="single" w:color="C9CFDA" w:sz="4"/>
              <w:right w:val="single" w:color="C9CFDA" w:sz="4"/>
            </w:tcBorders>
            <w:tcMar>
              <w:top w:type="dxa" w:w="70"/>
              <w:left w:type="dxa" w:w="110"/>
              <w:bottom w:type="dxa" w:w="70"/>
              <w:right w:type="dxa" w:w="110"/>
            </w:tcMar>
          </w:tcPr>
          <w:p>
            <w:r>
              <w:rPr>
                <w:rFonts w:ascii="Calibri" w:cs="Calibri" w:eastAsia="Calibri" w:hAnsi="Calibri"/>
                <w:b w:val="false"/>
                <w:bCs w:val="false"/>
                <w:sz w:val="20"/>
                <w:szCs w:val="20"/>
              </w:rPr>
              <w:t xml:space="preserve">Road surface condition</w:t>
            </w:r>
          </w:p>
        </w:tc>
        <w:tc>
          <w:tcPr>
            <w:tcW w:type="dxa" w:w="6460"/>
            <w:tcBorders>
              <w:top w:val="single" w:color="C9CFDA" w:sz="4"/>
              <w:left w:val="single" w:color="C9CFDA" w:sz="4"/>
              <w:bottom w:val="single" w:color="C9CFDA" w:sz="4"/>
              <w:right w:val="single" w:color="C9CFDA" w:sz="4"/>
            </w:tcBorders>
            <w:tcMar>
              <w:top w:type="dxa" w:w="70"/>
              <w:left w:type="dxa" w:w="110"/>
              <w:bottom w:type="dxa" w:w="70"/>
              <w:right w:type="dxa" w:w="110"/>
            </w:tcMar>
          </w:tcPr>
          <w:p>
            <w:r>
              <w:rPr>
                <w:rFonts w:ascii="Calibri" w:cs="Calibri" w:eastAsia="Calibri" w:hAnsi="Calibri"/>
                <w:b w:val="false"/>
                <w:bCs w:val="false"/>
                <w:sz w:val="20"/>
                <w:szCs w:val="20"/>
              </w:rPr>
              <w:t xml:space="preserve">Donut chart of surface condition at the time of the crash.</w:t>
            </w:r>
          </w:p>
        </w:tc>
      </w:tr>
    </w:tbl>
    <w:p>
      <w:pPr>
        <w:pStyle w:val="Heading2"/>
        <w:spacing w:after="100" w:before="240"/>
      </w:pPr>
      <w:r>
        <w:rPr>
          <w:rFonts w:ascii="Calibri" w:cs="Calibri" w:eastAsia="Calibri" w:hAnsi="Calibri"/>
          <w:b/>
          <w:bCs/>
          <w:color w:val="27324A"/>
          <w:sz w:val="26"/>
          <w:szCs w:val="26"/>
        </w:rPr>
        <w:t xml:space="preserve">How to use it</w:t>
      </w:r>
    </w:p>
    <w:p>
      <w:pPr>
        <w:pStyle w:val="ListParagraph"/>
        <w:numPr>
          <w:ilvl w:val="0"/>
          <w:numId w:val="2"/>
        </w:numPr>
        <w:spacing w:after="70"/>
      </w:pPr>
      <w:r>
        <w:rPr>
          <w:rFonts w:ascii="Calibri" w:cs="Calibri" w:eastAsia="Calibri" w:hAnsi="Calibri"/>
          <w:sz w:val="22"/>
          <w:szCs w:val="22"/>
        </w:rPr>
        <w:t xml:space="preserve">Open Filters to narrow by year, county, severity or other criteria; every element updates together.</w:t>
      </w:r>
    </w:p>
    <w:p>
      <w:pPr>
        <w:pStyle w:val="ListParagraph"/>
        <w:numPr>
          <w:ilvl w:val="0"/>
          <w:numId w:val="2"/>
        </w:numPr>
        <w:spacing w:after="70"/>
      </w:pPr>
      <w:r>
        <w:rPr>
          <w:rFonts w:ascii="Calibri" w:cs="Calibri" w:eastAsia="Calibri" w:hAnsi="Calibri"/>
          <w:sz w:val="22"/>
          <w:szCs w:val="22"/>
        </w:rPr>
        <w:t xml:space="preserve">Click a county on the map to focus every chart on it.</w:t>
      </w:r>
    </w:p>
    <w:p>
      <w:pPr>
        <w:pStyle w:val="Heading2"/>
        <w:spacing w:after="100" w:before="240"/>
      </w:pPr>
      <w:r>
        <w:rPr>
          <w:rFonts w:ascii="Calibri" w:cs="Calibri" w:eastAsia="Calibri" w:hAnsi="Calibri"/>
          <w:b/>
          <w:bCs/>
          <w:color w:val="27324A"/>
          <w:sz w:val="26"/>
          <w:szCs w:val="26"/>
        </w:rPr>
        <w:t xml:space="preserve">Data notes</w:t>
      </w:r>
    </w:p>
    <w:p>
      <w:pPr>
        <w:pStyle w:val="ListParagraph"/>
        <w:numPr>
          <w:ilvl w:val="0"/>
          <w:numId w:val="2"/>
        </w:numPr>
        <w:spacing w:after="70"/>
      </w:pPr>
      <w:r>
        <w:rPr>
          <w:rFonts w:ascii="Calibri" w:cs="Calibri" w:eastAsia="Calibri" w:hAnsi="Calibri"/>
          <w:sz w:val="22"/>
          <w:szCs w:val="22"/>
        </w:rPr>
        <w:t xml:space="preserve">Road surface comes from unit records, which are missing for most of 2015 and half of 2016.</w:t>
      </w:r>
    </w:p>
    <w:p>
      <w:pPr>
        <w:pStyle w:val="ListParagraph"/>
        <w:numPr>
          <w:ilvl w:val="0"/>
          <w:numId w:val="2"/>
        </w:numPr>
        <w:spacing w:after="70"/>
      </w:pPr>
      <w:r>
        <w:rPr>
          <w:rFonts w:ascii="Calibri" w:cs="Calibri" w:eastAsia="Calibri" w:hAnsi="Calibri"/>
          <w:sz w:val="22"/>
          <w:szCs w:val="22"/>
        </w:rPr>
        <w:t xml:space="preserve">The towed field is mostly blank from 2021 on, so the FMCSA towed criterion undercounts recent years.</w:t>
      </w:r>
    </w:p>
    <w:p>
      <w:pPr>
        <w:pStyle w:val="Heading1"/>
        <w:spacing w:after="160" w:before="360"/>
      </w:pPr>
      <w:r>
        <w:rPr>
          <w:rFonts w:ascii="Calibri" w:cs="Calibri" w:eastAsia="Calibri" w:hAnsi="Calibri"/>
          <w:b/>
          <w:bCs/>
          <w:color w:val="1F3A8A"/>
          <w:sz w:val="34"/>
          <w:szCs w:val="34"/>
        </w:rPr>
        <w:t xml:space="preserve">5. Manner of Collision</w:t>
      </w:r>
    </w:p>
    <w:p>
      <w:pPr>
        <w:spacing w:after="120"/>
      </w:pPr>
      <w:r>
        <w:rPr>
          <w:rFonts w:ascii="Calibri" w:cs="Calibri" w:eastAsia="Calibri" w:hAnsi="Calibri"/>
          <w:sz w:val="22"/>
          <w:szCs w:val="22"/>
        </w:rPr>
        <w:t xml:space="preserve">Shows how CMVs collide and which collision types do the most harm.</w:t>
      </w:r>
    </w:p>
    <w:p>
      <w:pPr>
        <w:pStyle w:val="Heading2"/>
        <w:spacing w:after="100" w:before="240"/>
      </w:pPr>
      <w:r>
        <w:rPr>
          <w:rFonts w:ascii="Calibri" w:cs="Calibri" w:eastAsia="Calibri" w:hAnsi="Calibri"/>
          <w:b/>
          <w:bCs/>
          <w:color w:val="27324A"/>
          <w:sz w:val="26"/>
          <w:szCs w:val="26"/>
        </w:rPr>
        <w:t xml:space="preserve">What is on the page</w:t>
      </w:r>
    </w:p>
    <w:p>
      <w:pPr>
        <w:pStyle w:val="ListParagraph"/>
        <w:numPr>
          <w:ilvl w:val="0"/>
          <w:numId w:val="2"/>
        </w:numPr>
        <w:spacing w:after="70"/>
      </w:pPr>
      <w:r>
        <w:rPr>
          <w:rFonts w:ascii="Calibri" w:cs="Calibri" w:eastAsia="Calibri" w:hAnsi="Calibri"/>
          <w:b/>
          <w:bCs/>
          <w:sz w:val="22"/>
          <w:szCs w:val="22"/>
        </w:rPr>
        <w:t xml:space="preserve">Summary callout: </w:t>
      </w:r>
      <w:r>
        <w:rPr>
          <w:rFonts w:ascii="Calibri" w:cs="Calibri" w:eastAsia="Calibri" w:hAnsi="Calibri"/>
          <w:b w:val="false"/>
          <w:bCs w:val="false"/>
          <w:sz w:val="22"/>
          <w:szCs w:val="22"/>
        </w:rPr>
        <w:t xml:space="preserve">names the most frequent manner, the manner causing the most injuries, and the manner with the most fatalities for the selected years and county.</w:t>
      </w:r>
    </w:p>
    <w:p>
      <w:pPr>
        <w:pStyle w:val="ListParagraph"/>
        <w:numPr>
          <w:ilvl w:val="0"/>
          <w:numId w:val="2"/>
        </w:numPr>
        <w:spacing w:after="70"/>
      </w:pPr>
      <w:r>
        <w:rPr>
          <w:rFonts w:ascii="Calibri" w:cs="Calibri" w:eastAsia="Calibri" w:hAnsi="Calibri"/>
          <w:b/>
          <w:bCs/>
          <w:sz w:val="22"/>
          <w:szCs w:val="22"/>
        </w:rPr>
        <w:t xml:space="preserve">Tiles and gauge: </w:t>
      </w:r>
      <w:r>
        <w:rPr>
          <w:rFonts w:ascii="Calibri" w:cs="Calibri" w:eastAsia="Calibri" w:hAnsi="Calibri"/>
          <w:b w:val="false"/>
          <w:bCs w:val="false"/>
          <w:sz w:val="22"/>
          <w:szCs w:val="22"/>
        </w:rPr>
        <w:t xml:space="preserve">crashes, fatal crashes with share, fatalities, and people injured.</w:t>
      </w:r>
    </w:p>
    <w:p>
      <w:pPr>
        <w:pStyle w:val="ListParagraph"/>
        <w:numPr>
          <w:ilvl w:val="0"/>
          <w:numId w:val="2"/>
        </w:numPr>
        <w:spacing w:after="70"/>
      </w:pPr>
      <w:r>
        <w:rPr>
          <w:rFonts w:ascii="Calibri" w:cs="Calibri" w:eastAsia="Calibri" w:hAnsi="Calibri"/>
          <w:b/>
          <w:bCs/>
          <w:sz w:val="22"/>
          <w:szCs w:val="22"/>
        </w:rPr>
        <w:t xml:space="preserve">Manner picker: </w:t>
      </w:r>
      <w:r>
        <w:rPr>
          <w:rFonts w:ascii="Calibri" w:cs="Calibri" w:eastAsia="Calibri" w:hAnsi="Calibri"/>
          <w:b w:val="false"/>
          <w:bCs w:val="false"/>
          <w:sz w:val="22"/>
          <w:szCs w:val="22"/>
        </w:rPr>
        <w:t xml:space="preserve">tick one or more manners (front to rear, angle, sideswipe, head-on, and others) with counts. None ticked means all manners. A Vehicle-to-vehicle only shortcut selects collisions between vehicles.</w:t>
      </w:r>
    </w:p>
    <w:p>
      <w:pPr>
        <w:pStyle w:val="ListParagraph"/>
        <w:numPr>
          <w:ilvl w:val="0"/>
          <w:numId w:val="2"/>
        </w:numPr>
        <w:spacing w:after="70"/>
      </w:pPr>
      <w:r>
        <w:rPr>
          <w:rFonts w:ascii="Calibri" w:cs="Calibri" w:eastAsia="Calibri" w:hAnsi="Calibri"/>
          <w:b/>
          <w:bCs/>
          <w:sz w:val="22"/>
          <w:szCs w:val="22"/>
        </w:rPr>
        <w:t xml:space="preserve">Severity distribution: </w:t>
      </w:r>
      <w:r>
        <w:rPr>
          <w:rFonts w:ascii="Calibri" w:cs="Calibri" w:eastAsia="Calibri" w:hAnsi="Calibri"/>
          <w:b w:val="false"/>
          <w:bCs w:val="false"/>
          <w:sz w:val="22"/>
          <w:szCs w:val="22"/>
        </w:rPr>
        <w:t xml:space="preserve">number of crashes at each severity for the selected manners, from least to most severe.</w:t>
      </w:r>
    </w:p>
    <w:p>
      <w:pPr>
        <w:pStyle w:val="ListParagraph"/>
        <w:numPr>
          <w:ilvl w:val="0"/>
          <w:numId w:val="2"/>
        </w:numPr>
        <w:spacing w:after="70"/>
      </w:pPr>
      <w:r>
        <w:rPr>
          <w:rFonts w:ascii="Calibri" w:cs="Calibri" w:eastAsia="Calibri" w:hAnsi="Calibri"/>
          <w:b/>
          <w:bCs/>
          <w:sz w:val="22"/>
          <w:szCs w:val="22"/>
        </w:rPr>
        <w:t xml:space="preserve">How dangerous is each manner?: </w:t>
      </w:r>
      <w:r>
        <w:rPr>
          <w:rFonts w:ascii="Calibri" w:cs="Calibri" w:eastAsia="Calibri" w:hAnsi="Calibri"/>
          <w:b w:val="false"/>
          <w:bCs w:val="false"/>
          <w:sz w:val="22"/>
          <w:szCs w:val="22"/>
        </w:rPr>
        <w:t xml:space="preserve">table of crashes, fatal crashes, fatal share, injured and fatalities for each manner. Fatal share shows lethality rather than volume.</w:t>
      </w:r>
    </w:p>
    <w:p>
      <w:pPr>
        <w:pStyle w:val="Heading2"/>
        <w:spacing w:after="100" w:before="240"/>
      </w:pPr>
      <w:r>
        <w:rPr>
          <w:rFonts w:ascii="Calibri" w:cs="Calibri" w:eastAsia="Calibri" w:hAnsi="Calibri"/>
          <w:b/>
          <w:bCs/>
          <w:color w:val="27324A"/>
          <w:sz w:val="26"/>
          <w:szCs w:val="26"/>
        </w:rPr>
        <w:t xml:space="preserve">How to read it</w:t>
      </w:r>
    </w:p>
    <w:p>
      <w:pPr>
        <w:spacing w:after="120"/>
      </w:pPr>
      <w:r>
        <w:rPr>
          <w:rFonts w:ascii="Calibri" w:cs="Calibri" w:eastAsia="Calibri" w:hAnsi="Calibri"/>
          <w:sz w:val="22"/>
          <w:szCs w:val="22"/>
        </w:rPr>
        <w:t xml:space="preserve">Volume and danger are different. Front to rear is the most common manner, but head-on crashes are far deadlier, with a much higher fatal share. The map follows the manner picker, so you can see where a given type clusters.</w:t>
      </w:r>
    </w:p>
    <w:p>
      <w:pPr>
        <w:pStyle w:val="Heading1"/>
        <w:spacing w:after="160" w:before="360"/>
      </w:pPr>
      <w:r>
        <w:rPr>
          <w:rFonts w:ascii="Calibri" w:cs="Calibri" w:eastAsia="Calibri" w:hAnsi="Calibri"/>
          <w:b/>
          <w:bCs/>
          <w:color w:val="1F3A8A"/>
          <w:sz w:val="34"/>
          <w:szCs w:val="34"/>
        </w:rPr>
        <w:t xml:space="preserve">6. Corridor Analysis</w:t>
      </w:r>
    </w:p>
    <w:p>
      <w:pPr>
        <w:spacing w:after="120"/>
      </w:pPr>
      <w:r>
        <w:rPr>
          <w:rFonts w:ascii="Calibri" w:cs="Calibri" w:eastAsia="Calibri" w:hAnsi="Calibri"/>
          <w:sz w:val="22"/>
          <w:szCs w:val="22"/>
        </w:rPr>
        <w:t xml:space="preserve">Ranks routes and follows crashes along a single route, mile by mile. This tab is preliminary: it uses placeholder highway lines until the TDOT Road Geometrics shapefile is loaded.</w:t>
      </w:r>
    </w:p>
    <w:p>
      <w:pPr>
        <w:pStyle w:val="Heading2"/>
        <w:spacing w:after="100" w:before="240"/>
      </w:pPr>
      <w:r>
        <w:rPr>
          <w:rFonts w:ascii="Calibri" w:cs="Calibri" w:eastAsia="Calibri" w:hAnsi="Calibri"/>
          <w:b/>
          <w:bCs/>
          <w:color w:val="27324A"/>
          <w:sz w:val="26"/>
          <w:szCs w:val="26"/>
        </w:rPr>
        <w:t xml:space="preserve">What is on the page</w:t>
      </w:r>
    </w:p>
    <w:p>
      <w:pPr>
        <w:pStyle w:val="ListParagraph"/>
        <w:numPr>
          <w:ilvl w:val="0"/>
          <w:numId w:val="2"/>
        </w:numPr>
        <w:spacing w:after="70"/>
      </w:pPr>
      <w:r>
        <w:rPr>
          <w:rFonts w:ascii="Calibri" w:cs="Calibri" w:eastAsia="Calibri" w:hAnsi="Calibri"/>
          <w:b/>
          <w:bCs/>
          <w:sz w:val="22"/>
          <w:szCs w:val="22"/>
        </w:rPr>
        <w:t xml:space="preserve">Tiles: </w:t>
      </w:r>
      <w:r>
        <w:rPr>
          <w:rFonts w:ascii="Calibri" w:cs="Calibri" w:eastAsia="Calibri" w:hAnsi="Calibri"/>
          <w:b w:val="false"/>
          <w:bCs w:val="false"/>
          <w:sz w:val="22"/>
          <w:szCs w:val="22"/>
        </w:rPr>
        <w:t xml:space="preserve">crashes placed on the chosen route class, number of routes, fatalities and people injured. A callout explains that only crashes coded as on that route class and within 0.35 miles of the line are counted.</w:t>
      </w:r>
    </w:p>
    <w:p>
      <w:pPr>
        <w:pStyle w:val="ListParagraph"/>
        <w:numPr>
          <w:ilvl w:val="0"/>
          <w:numId w:val="2"/>
        </w:numPr>
        <w:spacing w:after="70"/>
      </w:pPr>
      <w:r>
        <w:rPr>
          <w:rFonts w:ascii="Calibri" w:cs="Calibri" w:eastAsia="Calibri" w:hAnsi="Calibri"/>
          <w:b/>
          <w:bCs/>
          <w:sz w:val="22"/>
          <w:szCs w:val="22"/>
        </w:rPr>
        <w:t xml:space="preserve">Pick a route: </w:t>
      </w:r>
      <w:r>
        <w:rPr>
          <w:rFonts w:ascii="Calibri" w:cs="Calibri" w:eastAsia="Calibri" w:hAnsi="Calibri"/>
          <w:b w:val="false"/>
          <w:bCs w:val="false"/>
          <w:sz w:val="22"/>
          <w:szCs w:val="22"/>
        </w:rPr>
        <w:t xml:space="preserve">choose Interstates, US routes or State routes, type to search (for example I-40, US-70, SR-840), or click a route chip or the map. Chips show crash counts.</w:t>
      </w:r>
    </w:p>
    <w:p>
      <w:pPr>
        <w:pStyle w:val="ListParagraph"/>
        <w:numPr>
          <w:ilvl w:val="0"/>
          <w:numId w:val="2"/>
        </w:numPr>
        <w:spacing w:after="70"/>
      </w:pPr>
      <w:r>
        <w:rPr>
          <w:rFonts w:ascii="Calibri" w:cs="Calibri" w:eastAsia="Calibri" w:hAnsi="Calibri"/>
          <w:b/>
          <w:bCs/>
          <w:sz w:val="22"/>
          <w:szCs w:val="22"/>
        </w:rPr>
        <w:t xml:space="preserve">Ranking table: </w:t>
      </w:r>
      <w:r>
        <w:rPr>
          <w:rFonts w:ascii="Calibri" w:cs="Calibri" w:eastAsia="Calibri" w:hAnsi="Calibri"/>
          <w:b w:val="false"/>
          <w:bCs w:val="false"/>
          <w:sz w:val="22"/>
          <w:szCs w:val="22"/>
        </w:rPr>
        <w:t xml:space="preserve">route, miles in Tennessee, crashes, crashes per mile and fatal crashes, sorted by crashes per mile. Click a row to open that route.</w:t>
      </w:r>
    </w:p>
    <w:p>
      <w:pPr>
        <w:pStyle w:val="ListParagraph"/>
        <w:numPr>
          <w:ilvl w:val="0"/>
          <w:numId w:val="2"/>
        </w:numPr>
        <w:spacing w:after="70"/>
      </w:pPr>
      <w:r>
        <w:rPr>
          <w:rFonts w:ascii="Calibri" w:cs="Calibri" w:eastAsia="Calibri" w:hAnsi="Calibri"/>
          <w:b/>
          <w:bCs/>
          <w:sz w:val="22"/>
          <w:szCs w:val="22"/>
        </w:rPr>
        <w:t xml:space="preserve">Crashes per mile chart: </w:t>
      </w:r>
      <w:r>
        <w:rPr>
          <w:rFonts w:ascii="Calibri" w:cs="Calibri" w:eastAsia="Calibri" w:hAnsi="Calibri"/>
          <w:b w:val="false"/>
          <w:bCs w:val="false"/>
          <w:sz w:val="22"/>
          <w:szCs w:val="22"/>
        </w:rPr>
        <w:t xml:space="preserve">the same ranking as bars. Raw counts, not adjusted for traffic volume.</w:t>
      </w:r>
    </w:p>
    <w:p>
      <w:pPr>
        <w:pStyle w:val="ListParagraph"/>
        <w:numPr>
          <w:ilvl w:val="0"/>
          <w:numId w:val="2"/>
        </w:numPr>
        <w:spacing w:after="70"/>
      </w:pPr>
      <w:r>
        <w:rPr>
          <w:rFonts w:ascii="Calibri" w:cs="Calibri" w:eastAsia="Calibri" w:hAnsi="Calibri"/>
          <w:b/>
          <w:bCs/>
          <w:sz w:val="22"/>
          <w:szCs w:val="22"/>
        </w:rPr>
        <w:t xml:space="preserve">Route profile (after picking a route): </w:t>
      </w:r>
      <w:r>
        <w:rPr>
          <w:rFonts w:ascii="Calibri" w:cs="Calibri" w:eastAsia="Calibri" w:hAnsi="Calibri"/>
          <w:b w:val="false"/>
          <w:bCs w:val="false"/>
          <w:sz w:val="22"/>
          <w:szCs w:val="22"/>
        </w:rPr>
        <w:t xml:space="preserve">crashes per section along the route from one end (mile 0) to the other, with a section length selector and metro areas shaded; tabs for manner and busiest sections.</w:t>
      </w:r>
    </w:p>
    <w:p>
      <w:pPr>
        <w:pStyle w:val="Heading2"/>
        <w:spacing w:after="100" w:before="240"/>
      </w:pPr>
      <w:r>
        <w:rPr>
          <w:rFonts w:ascii="Calibri" w:cs="Calibri" w:eastAsia="Calibri" w:hAnsi="Calibri"/>
          <w:b/>
          <w:bCs/>
          <w:color w:val="27324A"/>
          <w:sz w:val="26"/>
          <w:szCs w:val="26"/>
        </w:rPr>
        <w:t xml:space="preserve">How to read it</w:t>
      </w:r>
    </w:p>
    <w:p>
      <w:pPr>
        <w:spacing w:after="120"/>
      </w:pPr>
      <w:r>
        <w:rPr>
          <w:rFonts w:ascii="Calibri" w:cs="Calibri" w:eastAsia="Calibri" w:hAnsi="Calibri"/>
          <w:sz w:val="22"/>
          <w:szCs w:val="22"/>
        </w:rPr>
        <w:t xml:space="preserve">Crashes per mile compares routes of different lengths, but it does not account for how much traffic each carries. A busy route will rank high partly because more vehicles use it. Traffic-adjusted rates need AADT or vehicle miles traveled data.</w:t>
      </w:r>
    </w:p>
    <w:p>
      <w:pPr>
        <w:pStyle w:val="Heading1"/>
        <w:spacing w:after="160" w:before="360"/>
      </w:pPr>
      <w:r>
        <w:rPr>
          <w:rFonts w:ascii="Calibri" w:cs="Calibri" w:eastAsia="Calibri" w:hAnsi="Calibri"/>
          <w:b/>
          <w:bCs/>
          <w:color w:val="1F3A8A"/>
          <w:sz w:val="34"/>
          <w:szCs w:val="34"/>
        </w:rPr>
        <w:t xml:space="preserve">7. Contributing Factors</w:t>
      </w:r>
    </w:p>
    <w:p>
      <w:pPr>
        <w:spacing w:after="120"/>
      </w:pPr>
      <w:r>
        <w:rPr>
          <w:rFonts w:ascii="Calibri" w:cs="Calibri" w:eastAsia="Calibri" w:hAnsi="Calibri"/>
          <w:sz w:val="22"/>
          <w:szCs w:val="22"/>
        </w:rPr>
        <w:t xml:space="preserve">Police no longer assign fault. For each driver they code contributing factors, and leave fault to insurers and courts. This tab follows that practice and reads in three steps. It is in progress, because driver records exist for only a small share of crashes so far.</w:t>
      </w:r>
    </w:p>
    <w:p>
      <w:pPr>
        <w:pStyle w:val="Heading2"/>
        <w:spacing w:after="100" w:before="240"/>
      </w:pPr>
      <w:r>
        <w:rPr>
          <w:rFonts w:ascii="Calibri" w:cs="Calibri" w:eastAsia="Calibri" w:hAnsi="Calibri"/>
          <w:b/>
          <w:bCs/>
          <w:color w:val="27324A"/>
          <w:sz w:val="26"/>
          <w:szCs w:val="26"/>
        </w:rPr>
        <w:t xml:space="preserve">What is on the page</w:t>
      </w:r>
    </w:p>
    <w:p>
      <w:pPr>
        <w:pStyle w:val="ListParagraph"/>
        <w:numPr>
          <w:ilvl w:val="0"/>
          <w:numId w:val="2"/>
        </w:numPr>
        <w:spacing w:after="70"/>
      </w:pPr>
      <w:r>
        <w:rPr>
          <w:rFonts w:ascii="Calibri" w:cs="Calibri" w:eastAsia="Calibri" w:hAnsi="Calibri"/>
          <w:b/>
          <w:bCs/>
          <w:sz w:val="22"/>
          <w:szCs w:val="22"/>
        </w:rPr>
        <w:t xml:space="preserve">Tiles: </w:t>
      </w:r>
      <w:r>
        <w:rPr>
          <w:rFonts w:ascii="Calibri" w:cs="Calibri" w:eastAsia="Calibri" w:hAnsi="Calibri"/>
          <w:b w:val="false"/>
          <w:bCs w:val="false"/>
          <w:sz w:val="22"/>
          <w:szCs w:val="22"/>
        </w:rPr>
        <w:t xml:space="preserve">crashes with driver records, the share where the CMV driver had a factor coded, only the other driver, both drivers, and nothing coded.</w:t>
      </w:r>
    </w:p>
    <w:p>
      <w:pPr>
        <w:pStyle w:val="ListParagraph"/>
        <w:numPr>
          <w:ilvl w:val="0"/>
          <w:numId w:val="2"/>
        </w:numPr>
        <w:spacing w:after="70"/>
      </w:pPr>
      <w:r>
        <w:rPr>
          <w:rFonts w:ascii="Calibri" w:cs="Calibri" w:eastAsia="Calibri" w:hAnsi="Calibri"/>
          <w:b/>
          <w:bCs/>
          <w:sz w:val="22"/>
          <w:szCs w:val="22"/>
        </w:rPr>
        <w:t xml:space="preserve">Callout: </w:t>
      </w:r>
      <w:r>
        <w:rPr>
          <w:rFonts w:ascii="Calibri" w:cs="Calibri" w:eastAsia="Calibri" w:hAnsi="Calibri"/>
          <w:b w:val="false"/>
          <w:bCs w:val="false"/>
          <w:sz w:val="22"/>
          <w:szCs w:val="22"/>
        </w:rPr>
        <w:t xml:space="preserve">when only one driver had a factor coded, how often it was the other (non-CMV) driver. This tests the assumption that most CMV versus non-CMV crashes are caused by the other driver.</w:t>
      </w:r>
    </w:p>
    <w:p>
      <w:pPr>
        <w:pStyle w:val="ListParagraph"/>
        <w:numPr>
          <w:ilvl w:val="0"/>
          <w:numId w:val="2"/>
        </w:numPr>
        <w:spacing w:after="70"/>
      </w:pPr>
      <w:r>
        <w:rPr>
          <w:rFonts w:ascii="Calibri" w:cs="Calibri" w:eastAsia="Calibri" w:hAnsi="Calibri"/>
          <w:b/>
          <w:bCs/>
          <w:sz w:val="22"/>
          <w:szCs w:val="22"/>
        </w:rPr>
        <w:t xml:space="preserve">Map: </w:t>
      </w:r>
      <w:r>
        <w:rPr>
          <w:rFonts w:ascii="Calibri" w:cs="Calibri" w:eastAsia="Calibri" w:hAnsi="Calibri"/>
          <w:b w:val="false"/>
          <w:bCs w:val="false"/>
          <w:sz w:val="22"/>
          <w:szCs w:val="22"/>
        </w:rPr>
        <w:t xml:space="preserve">crashes colored by whose factors were coded. Crashes with no driver record start hidden.</w:t>
      </w:r>
    </w:p>
    <w:p>
      <w:pPr>
        <w:pStyle w:val="ListParagraph"/>
        <w:numPr>
          <w:ilvl w:val="0"/>
          <w:numId w:val="2"/>
        </w:numPr>
        <w:spacing w:after="70"/>
      </w:pPr>
      <w:r>
        <w:rPr>
          <w:rFonts w:ascii="Calibri" w:cs="Calibri" w:eastAsia="Calibri" w:hAnsi="Calibri"/>
          <w:b/>
          <w:bCs/>
          <w:sz w:val="22"/>
          <w:szCs w:val="22"/>
        </w:rPr>
        <w:t xml:space="preserve">Step 1, Behaviors coded: </w:t>
      </w:r>
      <w:r>
        <w:rPr>
          <w:rFonts w:ascii="Calibri" w:cs="Calibri" w:eastAsia="Calibri" w:hAnsi="Calibri"/>
          <w:b w:val="false"/>
          <w:bCs w:val="false"/>
          <w:sz w:val="22"/>
          <w:szCs w:val="22"/>
        </w:rPr>
        <w:t xml:space="preserve">which behavior groups are coded most often.</w:t>
      </w:r>
    </w:p>
    <w:p>
      <w:pPr>
        <w:pStyle w:val="ListParagraph"/>
        <w:numPr>
          <w:ilvl w:val="0"/>
          <w:numId w:val="2"/>
        </w:numPr>
        <w:spacing w:after="70"/>
      </w:pPr>
      <w:r>
        <w:rPr>
          <w:rFonts w:ascii="Calibri" w:cs="Calibri" w:eastAsia="Calibri" w:hAnsi="Calibri"/>
          <w:b/>
          <w:bCs/>
          <w:sz w:val="22"/>
          <w:szCs w:val="22"/>
        </w:rPr>
        <w:t xml:space="preserve">Step 2, Whose factors were coded: </w:t>
      </w:r>
      <w:r>
        <w:rPr>
          <w:rFonts w:ascii="Calibri" w:cs="Calibri" w:eastAsia="Calibri" w:hAnsi="Calibri"/>
          <w:b w:val="false"/>
          <w:bCs w:val="false"/>
          <w:sz w:val="22"/>
          <w:szCs w:val="22"/>
        </w:rPr>
        <w:t xml:space="preserve">CMV driver only, other driver only, both drivers, or no factor coded.</w:t>
      </w:r>
    </w:p>
    <w:p>
      <w:pPr>
        <w:pStyle w:val="ListParagraph"/>
        <w:numPr>
          <w:ilvl w:val="0"/>
          <w:numId w:val="2"/>
        </w:numPr>
        <w:spacing w:after="70"/>
      </w:pPr>
      <w:r>
        <w:rPr>
          <w:rFonts w:ascii="Calibri" w:cs="Calibri" w:eastAsia="Calibri" w:hAnsi="Calibri"/>
          <w:b/>
          <w:bCs/>
          <w:sz w:val="22"/>
          <w:szCs w:val="22"/>
        </w:rPr>
        <w:t xml:space="preserve">Step 3, Does the ranking change?: </w:t>
      </w:r>
      <w:r>
        <w:rPr>
          <w:rFonts w:ascii="Calibri" w:cs="Calibri" w:eastAsia="Calibri" w:hAnsi="Calibri"/>
          <w:b w:val="false"/>
          <w:bCs w:val="false"/>
          <w:sz w:val="22"/>
          <w:szCs w:val="22"/>
        </w:rPr>
        <w:t xml:space="preserve">behavior shares for all drivers, CMV drivers and other drivers side by side, with a rank table. A behavior that ranks higher for one group than overall is a candidate for training or enforcement aimed at that group.</w:t>
      </w:r>
    </w:p>
    <w:p>
      <w:pPr>
        <w:pStyle w:val="ListParagraph"/>
        <w:numPr>
          <w:ilvl w:val="0"/>
          <w:numId w:val="2"/>
        </w:numPr>
        <w:spacing w:after="70"/>
      </w:pPr>
      <w:r>
        <w:rPr>
          <w:rFonts w:ascii="Calibri" w:cs="Calibri" w:eastAsia="Calibri" w:hAnsi="Calibri"/>
          <w:b/>
          <w:bCs/>
          <w:sz w:val="22"/>
          <w:szCs w:val="22"/>
        </w:rPr>
        <w:t xml:space="preserve">Preliminary scorer tab: </w:t>
      </w:r>
      <w:r>
        <w:rPr>
          <w:rFonts w:ascii="Calibri" w:cs="Calibri" w:eastAsia="Calibri" w:hAnsi="Calibri"/>
          <w:b w:val="false"/>
          <w:bCs w:val="false"/>
          <w:sz w:val="22"/>
          <w:szCs w:val="22"/>
        </w:rPr>
        <w:t xml:space="preserve">a rule-based cross-check that looks at each driver's maneuver and point of impact, for two-vehicle crashes. Severity is never an input. Weights are pending review.</w:t>
      </w:r>
    </w:p>
    <w:p>
      <w:pPr>
        <w:pStyle w:val="Heading2"/>
        <w:spacing w:after="100" w:before="240"/>
      </w:pPr>
      <w:r>
        <w:rPr>
          <w:rFonts w:ascii="Calibri" w:cs="Calibri" w:eastAsia="Calibri" w:hAnsi="Calibri"/>
          <w:b/>
          <w:bCs/>
          <w:color w:val="27324A"/>
          <w:sz w:val="26"/>
          <w:szCs w:val="26"/>
        </w:rPr>
        <w:t xml:space="preserve">Behavior groups</w:t>
      </w:r>
    </w:p>
    <w:p>
      <w:pPr>
        <w:spacing w:after="120"/>
      </w:pPr>
      <w:r>
        <w:rPr>
          <w:rFonts w:ascii="Calibri" w:cs="Calibri" w:eastAsia="Calibri" w:hAnsi="Calibri"/>
          <w:sz w:val="22"/>
          <w:szCs w:val="22"/>
        </w:rPr>
        <w:t xml:space="preserve">Speeding; Distraction or inattention; Impairment (alcohol or drugs); Following too closely; Lane or position error; Failure to yield or obey controls; Reckless or careless driving; Improper turn or backing; Other coded action; Cited, other violation.</w:t>
      </w:r>
    </w:p>
    <w:p>
      <w:pPr>
        <w:pStyle w:val="Heading2"/>
        <w:spacing w:after="100" w:before="240"/>
      </w:pPr>
      <w:r>
        <w:rPr>
          <w:rFonts w:ascii="Calibri" w:cs="Calibri" w:eastAsia="Calibri" w:hAnsi="Calibri"/>
          <w:b/>
          <w:bCs/>
          <w:color w:val="27324A"/>
          <w:sz w:val="26"/>
          <w:szCs w:val="26"/>
        </w:rPr>
        <w:t xml:space="preserve">Data notes</w:t>
      </w:r>
    </w:p>
    <w:p>
      <w:pPr>
        <w:pStyle w:val="ListParagraph"/>
        <w:numPr>
          <w:ilvl w:val="0"/>
          <w:numId w:val="2"/>
        </w:numPr>
        <w:spacing w:after="70"/>
      </w:pPr>
      <w:r>
        <w:rPr>
          <w:rFonts w:ascii="Calibri" w:cs="Calibri" w:eastAsia="Calibri" w:hAnsi="Calibri"/>
          <w:sz w:val="22"/>
          <w:szCs w:val="22"/>
        </w:rPr>
        <w:t xml:space="preserve">Only crashes with driver records can be scored, so the percentages describe that subset, not all 45,650 crashes. Treat them as preliminary until the full TITAN driver records are loaded.</w:t>
      </w:r>
    </w:p>
    <w:p>
      <w:pPr>
        <w:pStyle w:val="ListParagraph"/>
        <w:numPr>
          <w:ilvl w:val="0"/>
          <w:numId w:val="2"/>
        </w:numPr>
        <w:spacing w:after="70"/>
      </w:pPr>
      <w:r>
        <w:rPr>
          <w:rFonts w:ascii="Calibri" w:cs="Calibri" w:eastAsia="Calibri" w:hAnsi="Calibri"/>
          <w:sz w:val="22"/>
          <w:szCs w:val="22"/>
        </w:rPr>
        <w:t xml:space="preserve">Single-vehicle crashes count too: the CMV driver either had a factor coded or did not.</w:t>
      </w:r>
    </w:p>
    <w:p>
      <w:pPr>
        <w:pStyle w:val="Heading1"/>
        <w:spacing w:after="160" w:before="360"/>
      </w:pPr>
      <w:r>
        <w:rPr>
          <w:rFonts w:ascii="Calibri" w:cs="Calibri" w:eastAsia="Calibri" w:hAnsi="Calibri"/>
          <w:b/>
          <w:bCs/>
          <w:color w:val="1F3A8A"/>
          <w:sz w:val="34"/>
          <w:szCs w:val="34"/>
        </w:rPr>
        <w:t xml:space="preserve">8. Data sources and caveats</w:t>
      </w:r>
    </w:p>
    <w:p>
      <w:pPr>
        <w:pStyle w:val="ListParagraph"/>
        <w:numPr>
          <w:ilvl w:val="0"/>
          <w:numId w:val="2"/>
        </w:numPr>
        <w:spacing w:after="70"/>
      </w:pPr>
      <w:r>
        <w:rPr>
          <w:rFonts w:ascii="Calibri" w:cs="Calibri" w:eastAsia="Calibri" w:hAnsi="Calibri"/>
          <w:sz w:val="22"/>
          <w:szCs w:val="22"/>
        </w:rPr>
        <w:t xml:space="preserve">Crashes: Tennessee TITAN crash reports involving a commercial motor vehicle, 2015 to 2025. Codes for severity, manner of collision, weather and light follow the TITAN data dictionary.</w:t>
      </w:r>
    </w:p>
    <w:p>
      <w:pPr>
        <w:pStyle w:val="ListParagraph"/>
        <w:numPr>
          <w:ilvl w:val="0"/>
          <w:numId w:val="2"/>
        </w:numPr>
        <w:spacing w:after="70"/>
      </w:pPr>
      <w:r>
        <w:rPr>
          <w:rFonts w:ascii="Calibri" w:cs="Calibri" w:eastAsia="Calibri" w:hAnsi="Calibri"/>
          <w:sz w:val="22"/>
          <w:szCs w:val="22"/>
        </w:rPr>
        <w:t xml:space="preserve">2025 is a partial year (January to March), so yearly trend charts drop at the right edge.</w:t>
      </w:r>
    </w:p>
    <w:p>
      <w:pPr>
        <w:pStyle w:val="ListParagraph"/>
        <w:numPr>
          <w:ilvl w:val="0"/>
          <w:numId w:val="2"/>
        </w:numPr>
        <w:spacing w:after="70"/>
      </w:pPr>
      <w:r>
        <w:rPr>
          <w:rFonts w:ascii="Calibri" w:cs="Calibri" w:eastAsia="Calibri" w:hAnsi="Calibri"/>
          <w:sz w:val="22"/>
          <w:szCs w:val="22"/>
        </w:rPr>
        <w:t xml:space="preserve">Geocoding improves over time: about 97.5% of 2015 crashes have usable coordinates, versus 100% from 2022 on.</w:t>
      </w:r>
    </w:p>
    <w:p>
      <w:pPr>
        <w:pStyle w:val="ListParagraph"/>
        <w:numPr>
          <w:ilvl w:val="0"/>
          <w:numId w:val="2"/>
        </w:numPr>
        <w:spacing w:after="70"/>
      </w:pPr>
      <w:r>
        <w:rPr>
          <w:rFonts w:ascii="Calibri" w:cs="Calibri" w:eastAsia="Calibri" w:hAnsi="Calibri"/>
          <w:sz w:val="22"/>
          <w:szCs w:val="22"/>
        </w:rPr>
        <w:t xml:space="preserve">Highways: placeholder public roads data until the TDOT Road Geometrics file is loaded.</w:t>
      </w:r>
    </w:p>
    <w:p>
      <w:pPr>
        <w:pStyle w:val="ListParagraph"/>
        <w:numPr>
          <w:ilvl w:val="0"/>
          <w:numId w:val="2"/>
        </w:numPr>
        <w:spacing w:after="70"/>
      </w:pPr>
      <w:r>
        <w:rPr>
          <w:rFonts w:ascii="Calibri" w:cs="Calibri" w:eastAsia="Calibri" w:hAnsi="Calibri"/>
          <w:sz w:val="22"/>
          <w:szCs w:val="22"/>
        </w:rPr>
        <w:t xml:space="preserve">County boundaries: US Census.</w:t>
      </w:r>
    </w:p>
    <w:p>
      <w:pPr>
        <w:pStyle w:val="ListParagraph"/>
        <w:numPr>
          <w:ilvl w:val="0"/>
          <w:numId w:val="2"/>
        </w:numPr>
        <w:spacing w:after="70"/>
      </w:pPr>
      <w:r>
        <w:rPr>
          <w:rFonts w:ascii="Calibri" w:cs="Calibri" w:eastAsia="Calibri" w:hAnsi="Calibri"/>
          <w:sz w:val="22"/>
          <w:szCs w:val="22"/>
        </w:rPr>
        <w:t xml:space="preserve">Person and unit records are not available for every crash, which limits driver-based analysis.</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TN CMV Crash Dashboard: Tab-by-tab guide</dc:title>
  <dc:creator>Aadya Sharma</dc:creator>
  <cp:lastModifiedBy>Un-named</cp:lastModifiedBy>
  <cp:revision>1</cp:revision>
  <dcterms:created xsi:type="dcterms:W3CDTF">2026-10-28T22:18:00.687Z</dcterms:created>
  <dcterms:modified xsi:type="dcterms:W3CDTF">2026-10-28T22:18:00.687Z</dcterms:modified>
</cp:coreProperties>
</file>

<file path=docProps/custom.xml><?xml version="1.0" encoding="utf-8"?>
<Properties xmlns="http://schemas.openxmlformats.org/officeDocument/2006/custom-properties" xmlns:vt="http://schemas.openxmlformats.org/officeDocument/2006/docPropsVTypes"/>
</file>