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jc w:val="center"/>
      </w:pPr>
      <w:r>
        <w:rPr>
          <w:b/>
          <w:bCs/>
          <w:caps/>
          <w:color w:val="595959"/>
          <w:sz w:val="26"/>
          <w:szCs w:val="26"/>
        </w:rPr>
        <w:t xml:space="preserve">PROTOCOLO DE INVESTIGACIÓN</w:t>
      </w:r>
    </w:p>
    <w:p>
      <w:pPr>
        <w:pBdr>
          <w:bottom w:val="single" w:color="C0392B" w:sz="12" w:space="8"/>
        </w:pBdr>
        <w:spacing w:after="0" w:before="40"/>
        <w:jc w:val="center"/>
      </w:pPr>
      <w:r>
        <w:rPr>
          <w:sz w:val="8"/>
          <w:szCs w:val="8"/>
        </w:rPr>
        <w:t xml:space="preserve"/>
      </w:r>
    </w:p>
    <w:p>
      <w:pPr>
        <w:spacing w:after="120" w:before="360"/>
        <w:jc w:val="center"/>
      </w:pPr>
      <w:r>
        <w:rPr>
          <w:b/>
          <w:bCs/>
          <w:color w:val="1F3864"/>
          <w:sz w:val="32"/>
          <w:szCs w:val="32"/>
        </w:rPr>
        <w:t xml:space="preserve">Estimación del volumen almacenado y predicción del comportamiento de la presa Vicente Guerrero (Las Adjuntas, Tamaulipas) mediante teledetección satelital Landsat y registros hidrológicos de CONAGUA</w:t>
      </w:r>
    </w:p>
    <w:p>
      <w:pPr>
        <w:spacing w:after="40" w:before="200"/>
        <w:jc w:val="center"/>
      </w:pPr>
      <w:r>
        <w:rPr>
          <w:i/>
          <w:iCs/>
          <w:color w:val="595959"/>
          <w:sz w:val="22"/>
          <w:szCs w:val="22"/>
        </w:rPr>
        <w:t xml:space="preserve">Un enfoque de ciencia de datos para la estimación volumétrica y el modelado predictivo de embalses</w:t>
      </w:r>
    </w:p>
    <w:p>
      <w:pPr>
        <w:spacing w:before="500"/>
      </w:pPr>
    </w:p>
    <w:tbl>
      <w:tblPr>
        <w:tblW w:type="dxa" w:w="6200"/>
        <w:tblBorders>
          <w:top w:val="single" w:color="B7C3D6" w:sz="4"/>
          <w:left w:val="single" w:color="B7C3D6" w:sz="4"/>
          <w:bottom w:val="single" w:color="B7C3D6" w:sz="4"/>
          <w:right w:val="single" w:color="B7C3D6" w:sz="4"/>
          <w:insideH w:val="single" w:color="B7C3D6" w:sz="4"/>
          <w:insideV w:val="single" w:color="B7C3D6" w:sz="4"/>
        </w:tblBorders>
      </w:tblPr>
      <w:tblGrid>
        <w:gridCol w:w="1800"/>
        <w:gridCol w:w="44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r>
              <w:rPr>
                <w:b/>
                <w:bCs/>
                <w:color w:val="1F3864"/>
                <w:sz w:val="21"/>
                <w:szCs w:val="21"/>
              </w:rPr>
              <w:t xml:space="preserve">Estudiante:</w:t>
            </w:r>
          </w:p>
        </w:tc>
        <w:tc>
          <w:tcPr>
            <w:tcW w:type="dxa" w:w="4400"/>
            <w:tcBorders>
              <w:top w:val="none" w:color="FFFFFF" w:sz="0"/>
              <w:left w:val="none" w:color="FFFFFF" w:sz="0"/>
              <w:bottom w:val="none" w:color="FFFFFF" w:sz="0"/>
              <w:right w:val="none" w:color="FFFFFF" w:sz="0"/>
            </w:tcBorders>
            <w:tcMar>
              <w:top w:type="dxa" w:w="40"/>
              <w:left w:type="dxa" w:w="0"/>
              <w:bottom w:type="dxa" w:w="40"/>
              <w:right w:type="dxa" w:w="0"/>
            </w:tcMar>
          </w:tcPr>
          <w:p>
            <w:r>
              <w:rPr>
                <w:sz w:val="21"/>
                <w:szCs w:val="21"/>
              </w:rPr>
              <w:t xml:space="preserve">[Nombre completo del estudiante]</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r>
              <w:rPr>
                <w:b/>
                <w:bCs/>
                <w:color w:val="1F3864"/>
                <w:sz w:val="21"/>
                <w:szCs w:val="21"/>
              </w:rPr>
              <w:t xml:space="preserve">Materia / Curso:</w:t>
            </w:r>
          </w:p>
        </w:tc>
        <w:tc>
          <w:tcPr>
            <w:tcW w:type="dxa" w:w="4400"/>
            <w:tcBorders>
              <w:top w:val="none" w:color="FFFFFF" w:sz="0"/>
              <w:left w:val="none" w:color="FFFFFF" w:sz="0"/>
              <w:bottom w:val="none" w:color="FFFFFF" w:sz="0"/>
              <w:right w:val="none" w:color="FFFFFF" w:sz="0"/>
            </w:tcBorders>
            <w:tcMar>
              <w:top w:type="dxa" w:w="40"/>
              <w:left w:type="dxa" w:w="0"/>
              <w:bottom w:type="dxa" w:w="40"/>
              <w:right w:type="dxa" w:w="0"/>
            </w:tcMar>
          </w:tcPr>
          <w:p>
            <w:r>
              <w:rPr>
                <w:sz w:val="21"/>
                <w:szCs w:val="21"/>
              </w:rPr>
              <w:t xml:space="preserve">[Nombre de la materia]</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r>
              <w:rPr>
                <w:b/>
                <w:bCs/>
                <w:color w:val="1F3864"/>
                <w:sz w:val="21"/>
                <w:szCs w:val="21"/>
              </w:rPr>
              <w:t xml:space="preserve">Profesor(a):</w:t>
            </w:r>
          </w:p>
        </w:tc>
        <w:tc>
          <w:tcPr>
            <w:tcW w:type="dxa" w:w="4400"/>
            <w:tcBorders>
              <w:top w:val="none" w:color="FFFFFF" w:sz="0"/>
              <w:left w:val="none" w:color="FFFFFF" w:sz="0"/>
              <w:bottom w:val="none" w:color="FFFFFF" w:sz="0"/>
              <w:right w:val="none" w:color="FFFFFF" w:sz="0"/>
            </w:tcBorders>
            <w:tcMar>
              <w:top w:type="dxa" w:w="40"/>
              <w:left w:type="dxa" w:w="0"/>
              <w:bottom w:type="dxa" w:w="40"/>
              <w:right w:type="dxa" w:w="0"/>
            </w:tcMar>
          </w:tcPr>
          <w:p>
            <w:r>
              <w:rPr>
                <w:sz w:val="21"/>
                <w:szCs w:val="21"/>
              </w:rPr>
              <w:t xml:space="preserve">[Nombre del profesor]</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r>
              <w:rPr>
                <w:b/>
                <w:bCs/>
                <w:color w:val="1F3864"/>
                <w:sz w:val="21"/>
                <w:szCs w:val="21"/>
              </w:rPr>
              <w:t xml:space="preserve">Institución:</w:t>
            </w:r>
          </w:p>
        </w:tc>
        <w:tc>
          <w:tcPr>
            <w:tcW w:type="dxa" w:w="4400"/>
            <w:tcBorders>
              <w:top w:val="none" w:color="FFFFFF" w:sz="0"/>
              <w:left w:val="none" w:color="FFFFFF" w:sz="0"/>
              <w:bottom w:val="none" w:color="FFFFFF" w:sz="0"/>
              <w:right w:val="none" w:color="FFFFFF" w:sz="0"/>
            </w:tcBorders>
            <w:tcMar>
              <w:top w:type="dxa" w:w="40"/>
              <w:left w:type="dxa" w:w="0"/>
              <w:bottom w:type="dxa" w:w="40"/>
              <w:right w:type="dxa" w:w="0"/>
            </w:tcMar>
          </w:tcPr>
          <w:p>
            <w:r>
              <w:rPr>
                <w:sz w:val="21"/>
                <w:szCs w:val="21"/>
              </w:rPr>
              <w:t xml:space="preserve">[Nombre de la institución]</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r>
              <w:rPr>
                <w:b/>
                <w:bCs/>
                <w:color w:val="1F3864"/>
                <w:sz w:val="21"/>
                <w:szCs w:val="21"/>
              </w:rPr>
              <w:t xml:space="preserve">Fecha:</w:t>
            </w:r>
          </w:p>
        </w:tc>
        <w:tc>
          <w:tcPr>
            <w:tcW w:type="dxa" w:w="4400"/>
            <w:tcBorders>
              <w:top w:val="none" w:color="FFFFFF" w:sz="0"/>
              <w:left w:val="none" w:color="FFFFFF" w:sz="0"/>
              <w:bottom w:val="none" w:color="FFFFFF" w:sz="0"/>
              <w:right w:val="none" w:color="FFFFFF" w:sz="0"/>
            </w:tcBorders>
            <w:tcMar>
              <w:top w:type="dxa" w:w="40"/>
              <w:left w:type="dxa" w:w="0"/>
              <w:bottom w:type="dxa" w:w="40"/>
              <w:right w:type="dxa" w:w="0"/>
            </w:tcMar>
          </w:tcPr>
          <w:p>
            <w:r>
              <w:rPr>
                <w:sz w:val="21"/>
                <w:szCs w:val="21"/>
              </w:rPr>
              <w:t xml:space="preserve">Agosto de 2026</w:t>
            </w:r>
          </w:p>
        </w:tc>
      </w:tr>
    </w:tbl>
    <w:p>
      <w:r>
        <w:br w:type="page"/>
      </w:r>
    </w:p>
    <w:p>
      <w:pPr>
        <w:pStyle w:val="Heading1"/>
        <w:spacing w:after="120"/>
      </w:pPr>
      <w:r>
        <w:rPr>
          <w:b/>
          <w:bCs/>
          <w:color w:val="1F3864"/>
        </w:rPr>
        <w:t xml:space="preserve">Índice</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80"/>
      </w:pPr>
      <w:r>
        <w:rPr>
          <w:b/>
          <w:bCs/>
          <w:color w:val="1F3864"/>
        </w:rPr>
        <w:t xml:space="preserve">1. Resumen</w:t>
      </w:r>
    </w:p>
    <w:p>
      <w:pPr>
        <w:spacing w:after="120" w:line="276"/>
        <w:jc w:val="both"/>
      </w:pPr>
      <w:r>
        <w:t xml:space="preserve">Este proyecto propone reconstruir y predecir el volumen de agua almacenado en la presa </w:t>
      </w:r>
      <w:r>
        <w:rPr>
          <w:b/>
          <w:bCs/>
        </w:rPr>
        <w:t xml:space="preserve">Vicente Guerrero</w:t>
      </w:r>
      <w:r>
        <w:t xml:space="preserve"> (conocida localmente como </w:t>
      </w:r>
      <w:r>
        <w:rPr>
          <w:b/>
          <w:bCs/>
        </w:rPr>
        <w:t xml:space="preserve">Las Adjuntas</w:t>
      </w:r>
      <w:r>
        <w:t xml:space="preserve">), ubicada en el municipio de Padilla, Tamaulipas, empleando técnicas de ciencia de datos. La estrategia combina dos fuentes de información: (i) la </w:t>
      </w:r>
      <w:r>
        <w:rPr>
          <w:b/>
          <w:bCs/>
        </w:rPr>
        <w:t xml:space="preserve">serie histórica de imágenes satelitales Landsat</w:t>
      </w:r>
      <w:r>
        <w:t xml:space="preserve">, de la cual se estima el área superficial del embalse mediante índices espectrales de agua, y (ii) los </w:t>
      </w:r>
      <w:r>
        <w:rPr>
          <w:b/>
          <w:bCs/>
        </w:rPr>
        <w:t xml:space="preserve">registros oficiales de almacenamiento de la Comisión Nacional del Agua (CONAGUA)</w:t>
      </w:r>
      <w:r>
        <w:t xml:space="preserve">, que sirven como referencia de validación. A partir de la relación empírica entre área satelital y volumen registrado se construye un estimador volumétrico, cuya exactitud se cuantifica con métricas de error. Finalmente, sobre la serie de volumen validada se entrena un modelo predictivo que proyecta el comportamiento futuro del embalse bajo incertidumbre. El producto final es un algoritmo reproducible y transferible a otros cuerpos de agua.</w:t>
      </w:r>
    </w:p>
    <w:p>
      <w:pPr>
        <w:pStyle w:val="Heading1"/>
        <w:spacing w:after="120" w:before="280"/>
      </w:pPr>
      <w:r>
        <w:rPr>
          <w:b/>
          <w:bCs/>
          <w:color w:val="1F3864"/>
        </w:rPr>
        <w:t xml:space="preserve">2. Introducción y antecedentes</w:t>
      </w:r>
    </w:p>
    <w:p>
      <w:pPr>
        <w:spacing w:after="120" w:line="276"/>
        <w:jc w:val="both"/>
      </w:pPr>
      <w:r>
        <w:t xml:space="preserve">La presa Vicente Guerrero es una de las obras hidráulicas más importantes del noreste de México, con una capacidad al Nivel de Aguas Máximas Ordinarias (NAMO) cercana a los </w:t>
      </w:r>
      <w:r>
        <w:rPr>
          <w:b/>
          <w:bCs/>
        </w:rPr>
        <w:t xml:space="preserve">3,910 millones de metros cúbicos (hm³)</w:t>
      </w:r>
      <w:r>
        <w:t xml:space="preserve">. Abastece agua para riego y uso público, por lo que conocer y anticipar su nivel de almacenamiento tiene implicaciones directas para la gestión hídrica regional.</w:t>
      </w:r>
    </w:p>
    <w:p>
      <w:pPr>
        <w:spacing w:after="120" w:line="276"/>
        <w:jc w:val="both"/>
      </w:pPr>
      <w:r>
        <w:t xml:space="preserve">En años recientes, el embalse ha experimentado una variabilidad extrema: de superar el 100 % de su capacidad ordinaria en periodos húmedos, a descender por debajo del </w:t>
      </w:r>
      <w:r>
        <w:rPr>
          <w:b/>
          <w:bCs/>
        </w:rPr>
        <w:t xml:space="preserve">8 % durante la sequía de 2024</w:t>
      </w:r>
      <w:r>
        <w:t xml:space="preserve">. Esta variabilidad, además de ser un reto para la planeación, constituye una oportunidad analítica: una serie de tiempo con oscilaciones tan marcadas contiene información suficiente para entrenar y evaluar modelos de estimación y predicción.</w:t>
      </w:r>
    </w:p>
    <w:p>
      <w:pPr>
        <w:spacing w:after="120" w:line="276"/>
        <w:jc w:val="both"/>
      </w:pPr>
      <w:r>
        <w:t xml:space="preserve">La </w:t>
      </w:r>
      <w:r>
        <w:rPr>
          <w:b/>
          <w:bCs/>
        </w:rPr>
        <w:t xml:space="preserve">teledetección</w:t>
      </w:r>
      <w:r>
        <w:t xml:space="preserve"> —la observación de la superficie terrestre desde satélites— permite medir de forma indirecta la extensión de los cuerpos de agua. El programa </w:t>
      </w:r>
      <w:r>
        <w:rPr>
          <w:b/>
          <w:bCs/>
        </w:rPr>
        <w:t xml:space="preserve">Landsat</w:t>
      </w:r>
      <w:r>
        <w:t xml:space="preserve"> (USGS/NASA) ofrece imágenes gratuitas desde la década de 1980, con una resolución espacial de 30 metros y revisita de aproximadamente 16 días. Combinando estas observaciones con los registros históricos de CONAGUA es posible desarrollar y validar un método de estimación volumétrica basado en datos abiertos.</w:t>
      </w:r>
    </w:p>
    <w:p>
      <w:pPr>
        <w:pStyle w:val="Heading1"/>
        <w:spacing w:after="120" w:before="280"/>
      </w:pPr>
      <w:r>
        <w:rPr>
          <w:b/>
          <w:bCs/>
          <w:color w:val="1F3864"/>
        </w:rPr>
        <w:t xml:space="preserve">3. Planteamiento del problema</w:t>
      </w:r>
    </w:p>
    <w:p>
      <w:pPr>
        <w:spacing w:after="120" w:line="276"/>
        <w:jc w:val="both"/>
      </w:pPr>
      <w:r>
        <w:t xml:space="preserve">El satélite </w:t>
      </w:r>
      <w:r>
        <w:rPr>
          <w:b/>
          <w:bCs/>
        </w:rPr>
        <w:t xml:space="preserve">no mide directamente el volumen ni la profundidad</w:t>
      </w:r>
      <w:r>
        <w:t xml:space="preserve"> de un embalse: únicamente observa, desde arriba, la </w:t>
      </w:r>
      <w:r>
        <w:rPr>
          <w:b/>
          <w:bCs/>
        </w:rPr>
        <w:t xml:space="preserve">superficie de agua</w:t>
      </w:r>
      <w:r>
        <w:t xml:space="preserve"> (área en dos dimensiones). El reto central del proyecto es, por tanto, doble:</w:t>
      </w:r>
    </w:p>
    <w:p>
      <w:pPr>
        <w:pStyle w:val="ListParagraph"/>
        <w:numPr>
          <w:ilvl w:val="0"/>
          <w:numId w:val="2"/>
        </w:numPr>
        <w:spacing w:after="70" w:line="270"/>
        <w:jc w:val="both"/>
      </w:pPr>
      <w:r>
        <w:rPr>
          <w:b/>
          <w:bCs/>
        </w:rPr>
        <w:t xml:space="preserve">Problema de estimación:</w:t>
      </w:r>
      <w:r>
        <w:t xml:space="preserve"> ¿cómo transformar el área superficial observada por el satélite en una estimación confiable del volumen tridimensional almacenado?</w:t>
      </w:r>
    </w:p>
    <w:p>
      <w:pPr>
        <w:pStyle w:val="ListParagraph"/>
        <w:numPr>
          <w:ilvl w:val="0"/>
          <w:numId w:val="2"/>
        </w:numPr>
        <w:spacing w:after="70" w:line="270"/>
        <w:jc w:val="both"/>
      </w:pPr>
      <w:r>
        <w:rPr>
          <w:b/>
          <w:bCs/>
        </w:rPr>
        <w:t xml:space="preserve">Problema de predicción:</w:t>
      </w:r>
      <w:r>
        <w:t xml:space="preserve"> una vez reconstruida la serie histórica de volumen, ¿cómo modelar su evolución futura para anticipar el comportamiento del embalse bajo incertidumbre climática?</w:t>
      </w:r>
    </w:p>
    <w:p>
      <w:pPr>
        <w:spacing w:after="120" w:line="276"/>
        <w:jc w:val="both"/>
      </w:pPr>
      <w:r>
        <w:t xml:space="preserve">El proyecto se acota deliberadamente a la modelación del agua (estimación y predicción del volumen), dejando fuera —en esta etapa— variables externas como aportaciones por lluvia o extracciones, con el fin de construir un producto mínimo viable sólido antes de incorporar mayor complejidad.</w:t>
      </w:r>
    </w:p>
    <w:p>
      <w:pPr>
        <w:pStyle w:val="Heading1"/>
        <w:spacing w:after="120" w:before="280"/>
      </w:pPr>
      <w:r>
        <w:rPr>
          <w:b/>
          <w:bCs/>
          <w:color w:val="1F3864"/>
        </w:rPr>
        <w:t xml:space="preserve">4. Justificación</w:t>
      </w:r>
    </w:p>
    <w:p>
      <w:pPr>
        <w:spacing w:after="120" w:line="276"/>
        <w:jc w:val="both"/>
      </w:pPr>
      <w:r>
        <w:t xml:space="preserve">Una pregunta legítima es: </w:t>
      </w:r>
      <w:r>
        <w:rPr>
          <w:b/>
          <w:bCs/>
        </w:rPr>
        <w:t xml:space="preserve">si CONAGUA ya mide continuamente el volumen del embalse, ¿por qué estimarlo con imágenes satelitales?</w:t>
      </w:r>
      <w:r>
        <w:t xml:space="preserve"> La justificación descansa en cuatro argumentos:</w:t>
      </w:r>
    </w:p>
    <w:p>
      <w:pPr>
        <w:pStyle w:val="Heading2"/>
        <w:spacing w:after="80" w:before="200"/>
      </w:pPr>
      <w:r>
        <w:rPr>
          <w:b/>
          <w:bCs/>
          <w:color w:val="2E5496"/>
        </w:rPr>
        <w:t xml:space="preserve">4.1 Detección de azolvamiento (sedimentación)</w:t>
      </w:r>
    </w:p>
    <w:p>
      <w:pPr>
        <w:spacing w:after="120" w:line="276"/>
        <w:jc w:val="both"/>
      </w:pPr>
      <w:r>
        <w:t xml:space="preserve">Las presas se </w:t>
      </w:r>
      <w:r>
        <w:rPr>
          <w:b/>
          <w:bCs/>
        </w:rPr>
        <w:t xml:space="preserve">azolvan</w:t>
      </w:r>
      <w:r>
        <w:t xml:space="preserve"> con el tiempo: el sedimento acumulado en el fondo reduce su capacidad real, de modo que una misma elevación del agua almacena hoy </w:t>
      </w:r>
      <w:r>
        <w:rPr>
          <w:b/>
          <w:bCs/>
        </w:rPr>
        <w:t xml:space="preserve">menos volumen</w:t>
      </w:r>
      <w:r>
        <w:t xml:space="preserve"> que hace décadas. La curva Elevación–Área–Capacidad (EAC) oficial, calculada al construir la obra, tiende a quedar obsoleta. Comparar el área satelital histórica contra el volumen esperado según la curva original permite </w:t>
      </w:r>
      <w:r>
        <w:rPr>
          <w:b/>
          <w:bCs/>
        </w:rPr>
        <w:t xml:space="preserve">detectar y cuantificar la pérdida de capacidad</w:t>
      </w:r>
      <w:r>
        <w:t xml:space="preserve">, algo que la escala instalada en la cortina no revela por sí sola.</w:t>
      </w:r>
    </w:p>
    <w:p>
      <w:pPr>
        <w:pStyle w:val="Heading2"/>
        <w:spacing w:after="80" w:before="200"/>
      </w:pPr>
      <w:r>
        <w:rPr>
          <w:b/>
          <w:bCs/>
          <w:color w:val="2E5496"/>
        </w:rPr>
        <w:t xml:space="preserve">4.2 Verificación independiente</w:t>
      </w:r>
    </w:p>
    <w:p>
      <w:pPr>
        <w:spacing w:after="120" w:line="276"/>
        <w:jc w:val="both"/>
      </w:pPr>
      <w:r>
        <w:t xml:space="preserve">Un método satelital constituye una </w:t>
      </w:r>
      <w:r>
        <w:rPr>
          <w:b/>
          <w:bCs/>
        </w:rPr>
        <w:t xml:space="preserve">fuente de medición independiente</w:t>
      </w:r>
      <w:r>
        <w:t xml:space="preserve"> que permite auditar y contrastar los registros oficiales, aportando robustez a la gestión del recurso.</w:t>
      </w:r>
    </w:p>
    <w:p>
      <w:pPr>
        <w:pStyle w:val="Heading2"/>
        <w:spacing w:after="80" w:before="200"/>
      </w:pPr>
      <w:r>
        <w:rPr>
          <w:b/>
          <w:bCs/>
          <w:color w:val="2E5496"/>
        </w:rPr>
        <w:t xml:space="preserve">4.3 Transferibilidad</w:t>
      </w:r>
    </w:p>
    <w:p>
      <w:pPr>
        <w:spacing w:after="120" w:line="276"/>
        <w:jc w:val="both"/>
      </w:pPr>
      <w:r>
        <w:t xml:space="preserve">La técnica desarrollada es </w:t>
      </w:r>
      <w:r>
        <w:rPr>
          <w:b/>
          <w:bCs/>
        </w:rPr>
        <w:t xml:space="preserve">generalizable</w:t>
      </w:r>
      <w:r>
        <w:t xml:space="preserve">: miles de cuerpos de agua en México y el mundo carecen de instrumentación continua. Un algoritmo validado sobre una presa bien monitoreada como Las Adjuntas puede replicarse en embalses sin registros.</w:t>
      </w:r>
    </w:p>
    <w:p>
      <w:pPr>
        <w:pStyle w:val="Heading2"/>
        <w:spacing w:after="80" w:before="200"/>
      </w:pPr>
      <w:r>
        <w:rPr>
          <w:b/>
          <w:bCs/>
          <w:color w:val="2E5496"/>
        </w:rPr>
        <w:t xml:space="preserve">4.4 Valor formativo y reproducibilidad</w:t>
      </w:r>
    </w:p>
    <w:p>
      <w:pPr>
        <w:spacing w:after="120" w:line="276"/>
        <w:jc w:val="both"/>
      </w:pPr>
      <w:r>
        <w:t xml:space="preserve">El proyecto integra teledetección, análisis numérico, modelado probabilístico y validación estadística sobre </w:t>
      </w:r>
      <w:r>
        <w:rPr>
          <w:b/>
          <w:bCs/>
        </w:rPr>
        <w:t xml:space="preserve">datos abiertos y gratuitos</w:t>
      </w:r>
      <w:r>
        <w:t xml:space="preserve">, produciendo un flujo de trabajo enteramente reproducible.</w:t>
      </w:r>
    </w:p>
    <w:p>
      <w:pPr>
        <w:pStyle w:val="Heading1"/>
        <w:spacing w:after="120" w:before="280"/>
      </w:pPr>
      <w:r>
        <w:rPr>
          <w:b/>
          <w:bCs/>
          <w:color w:val="1F3864"/>
        </w:rPr>
        <w:t xml:space="preserve">5. Objetivos</w:t>
      </w:r>
    </w:p>
    <w:p>
      <w:pPr>
        <w:pStyle w:val="Heading2"/>
        <w:spacing w:after="80" w:before="200"/>
      </w:pPr>
      <w:r>
        <w:rPr>
          <w:b/>
          <w:bCs/>
          <w:color w:val="2E5496"/>
        </w:rPr>
        <w:t xml:space="preserve">5.1 Objetivo general</w:t>
      </w:r>
    </w:p>
    <w:p>
      <w:pPr>
        <w:spacing w:after="120" w:line="276"/>
        <w:jc w:val="both"/>
      </w:pPr>
      <w:r>
        <w:t xml:space="preserve">Desarrollar un algoritmo reproducible que estime el volumen almacenado en la presa Vicente Guerrero a partir de imágenes satelitales Landsat, lo valide contra los registros de CONAGUA y prediga el comportamiento futuro del embalse bajo incertidumbre.</w:t>
      </w:r>
    </w:p>
    <w:p>
      <w:pPr>
        <w:pStyle w:val="Heading2"/>
        <w:spacing w:after="80" w:before="200"/>
      </w:pPr>
      <w:r>
        <w:rPr>
          <w:b/>
          <w:bCs/>
          <w:color w:val="2E5496"/>
        </w:rPr>
        <w:t xml:space="preserve">5.2 Objetivos específicos</w:t>
      </w:r>
    </w:p>
    <w:p>
      <w:pPr>
        <w:pStyle w:val="ListParagraph"/>
        <w:numPr>
          <w:ilvl w:val="0"/>
          <w:numId w:val="3"/>
        </w:numPr>
        <w:spacing w:after="70" w:line="270"/>
        <w:jc w:val="both"/>
      </w:pPr>
      <w:r>
        <w:t xml:space="preserve">Construir un flujo automatizado de extracción de imágenes Landsat 8/9 sobre el embalse, con enmascaramiento de nubes.</w:t>
      </w:r>
    </w:p>
    <w:p>
      <w:pPr>
        <w:pStyle w:val="ListParagraph"/>
        <w:numPr>
          <w:ilvl w:val="0"/>
          <w:numId w:val="3"/>
        </w:numPr>
        <w:spacing w:after="70" w:line="270"/>
        <w:jc w:val="both"/>
      </w:pPr>
      <w:r>
        <w:t xml:space="preserve">Estimar el área superficial de agua para cada fecha disponible mediante índices espectrales (NDWI/MNDWI) y umbralización.</w:t>
      </w:r>
    </w:p>
    <w:p>
      <w:pPr>
        <w:pStyle w:val="ListParagraph"/>
        <w:numPr>
          <w:ilvl w:val="0"/>
          <w:numId w:val="3"/>
        </w:numPr>
        <w:spacing w:after="70" w:line="270"/>
        <w:jc w:val="both"/>
      </w:pPr>
      <w:r>
        <w:t xml:space="preserve">Integrar la serie histórica de almacenamiento de CONAGUA como referencia de validación.</w:t>
      </w:r>
    </w:p>
    <w:p>
      <w:pPr>
        <w:pStyle w:val="ListParagraph"/>
        <w:numPr>
          <w:ilvl w:val="0"/>
          <w:numId w:val="3"/>
        </w:numPr>
        <w:spacing w:after="70" w:line="270"/>
        <w:jc w:val="both"/>
      </w:pPr>
      <w:r>
        <w:t xml:space="preserve">Establecer una relación empírica área–volumen y reconstruir la serie temporal de volumen estimado.</w:t>
      </w:r>
    </w:p>
    <w:p>
      <w:pPr>
        <w:pStyle w:val="ListParagraph"/>
        <w:numPr>
          <w:ilvl w:val="0"/>
          <w:numId w:val="3"/>
        </w:numPr>
        <w:spacing w:after="70" w:line="270"/>
        <w:jc w:val="both"/>
      </w:pPr>
      <w:r>
        <w:t xml:space="preserve">Validar la exactitud del estimador mediante métricas de error (RMSE, MAE, R²).</w:t>
      </w:r>
    </w:p>
    <w:p>
      <w:pPr>
        <w:pStyle w:val="ListParagraph"/>
        <w:numPr>
          <w:ilvl w:val="0"/>
          <w:numId w:val="3"/>
        </w:numPr>
        <w:spacing w:after="70" w:line="270"/>
        <w:jc w:val="both"/>
      </w:pPr>
      <w:r>
        <w:t xml:space="preserve">Entrenar un modelo predictivo del volumen futuro y cuantificar su incertidumbre.</w:t>
      </w:r>
    </w:p>
    <w:p>
      <w:pPr>
        <w:pStyle w:val="Heading1"/>
        <w:spacing w:after="120" w:before="280"/>
      </w:pPr>
      <w:r>
        <w:rPr>
          <w:b/>
          <w:bCs/>
          <w:color w:val="1F3864"/>
        </w:rPr>
        <w:t xml:space="preserve">6. Preguntas de investigación</w:t>
      </w:r>
    </w:p>
    <w:p>
      <w:pPr>
        <w:pStyle w:val="ListParagraph"/>
        <w:numPr>
          <w:ilvl w:val="0"/>
          <w:numId w:val="4"/>
        </w:numPr>
        <w:spacing w:after="70" w:line="270"/>
        <w:jc w:val="both"/>
      </w:pPr>
      <w:r>
        <w:t xml:space="preserve">¿Con qué exactitud puede estimarse el volumen del embalse a partir del área superficial derivada de Landsat?</w:t>
      </w:r>
    </w:p>
    <w:p>
      <w:pPr>
        <w:pStyle w:val="ListParagraph"/>
        <w:numPr>
          <w:ilvl w:val="0"/>
          <w:numId w:val="4"/>
        </w:numPr>
        <w:spacing w:after="70" w:line="270"/>
        <w:jc w:val="both"/>
      </w:pPr>
      <w:r>
        <w:t xml:space="preserve">¿Existe evidencia de pérdida de capacidad (azolvamiento) al comparar el área satelital con la curva EAC oficial?</w:t>
      </w:r>
    </w:p>
    <w:p>
      <w:pPr>
        <w:pStyle w:val="ListParagraph"/>
        <w:numPr>
          <w:ilvl w:val="0"/>
          <w:numId w:val="4"/>
        </w:numPr>
        <w:spacing w:after="70" w:line="270"/>
        <w:jc w:val="both"/>
      </w:pPr>
      <w:r>
        <w:t xml:space="preserve">¿Qué modelo predictivo describe mejor la evolución del volumen y qué horizonte de pronóstico es confiable?</w:t>
      </w:r>
    </w:p>
    <w:p>
      <w:pPr>
        <w:pStyle w:val="Heading1"/>
        <w:spacing w:after="120" w:before="280"/>
      </w:pPr>
      <w:r>
        <w:rPr>
          <w:b/>
          <w:bCs/>
          <w:color w:val="1F3864"/>
        </w:rPr>
        <w:t xml:space="preserve">7. Marco teórico (síntesis)</w:t>
      </w:r>
    </w:p>
    <w:p>
      <w:pPr>
        <w:pStyle w:val="Heading2"/>
        <w:spacing w:after="80" w:before="200"/>
      </w:pPr>
      <w:r>
        <w:rPr>
          <w:b/>
          <w:bCs/>
          <w:color w:val="2E5496"/>
        </w:rPr>
        <w:t xml:space="preserve">7.1 Índices espectrales de agua</w:t>
      </w:r>
    </w:p>
    <w:p>
      <w:pPr>
        <w:spacing w:after="120" w:line="276"/>
        <w:jc w:val="both"/>
      </w:pPr>
      <w:r>
        <w:t xml:space="preserve">El </w:t>
      </w:r>
      <w:r>
        <w:rPr>
          <w:b/>
          <w:bCs/>
        </w:rPr>
        <w:t xml:space="preserve">NDWI</w:t>
      </w:r>
      <w:r>
        <w:t xml:space="preserve"> (Normalized Difference Water Index, McFeeters 1996) y el </w:t>
      </w:r>
      <w:r>
        <w:rPr>
          <w:b/>
          <w:bCs/>
        </w:rPr>
        <w:t xml:space="preserve">MNDWI</w:t>
      </w:r>
      <w:r>
        <w:t xml:space="preserve"> (Xu 2006) combinan bandas del verde, infrarrojo cercano y infrarrojo de onda corta para realzar el agua y suprimir suelo y vegetación. Aplicando un umbral a estos índices se clasifica cada píxel como agua o no-agua; el conteo de píxeles de agua, multiplicado por la resolución (30 × 30 m = 900 m² por píxel), produce el área superficial.</w:t>
      </w:r>
    </w:p>
    <w:p>
      <w:pPr>
        <w:pStyle w:val="Heading2"/>
        <w:spacing w:after="80" w:before="200"/>
      </w:pPr>
      <w:r>
        <w:rPr>
          <w:b/>
          <w:bCs/>
          <w:color w:val="2E5496"/>
        </w:rPr>
        <w:t xml:space="preserve">7.2 Relación área–elevación–volumen</w:t>
      </w:r>
    </w:p>
    <w:p>
      <w:pPr>
        <w:spacing w:after="120" w:line="276"/>
        <w:jc w:val="both"/>
      </w:pPr>
      <w:r>
        <w:t xml:space="preserve">El volumen almacenado entre dos elevaciones equivale a la integral del área respecto a la altura, V = ∫ A(h) dh. En la práctica no se dispone de una función continua sino de puntos discretos, por lo que la integral se aproxima numéricamente (regla del trapecio o de Simpson). En este proyecto, dado que se cuenta con la serie de volumen de CONAGUA, la relación área↔volumen se estimará </w:t>
      </w:r>
      <w:r>
        <w:rPr>
          <w:b/>
          <w:bCs/>
        </w:rPr>
        <w:t xml:space="preserve">empíricamente por regresión</w:t>
      </w:r>
      <w:r>
        <w:t xml:space="preserve">, lo que evita depender de una curva batimétrica posiblemente desactualizada.</w:t>
      </w:r>
    </w:p>
    <w:p>
      <w:pPr>
        <w:pStyle w:val="Heading2"/>
        <w:spacing w:after="80" w:before="200"/>
      </w:pPr>
      <w:r>
        <w:rPr>
          <w:b/>
          <w:bCs/>
          <w:color w:val="2E5496"/>
        </w:rPr>
        <w:t xml:space="preserve">7.3 Modelado predictivo bajo incertidumbre</w:t>
      </w:r>
    </w:p>
    <w:p>
      <w:pPr>
        <w:spacing w:after="120" w:line="276"/>
        <w:jc w:val="both"/>
      </w:pPr>
      <w:r>
        <w:t xml:space="preserve">Para la predicción se contemplan y compararán enfoques como modelos de series de tiempo con estacionalidad (p. ej. SARIMA), cadenas de Markov sobre estados discretos del nivel del embalse, y simulaciones de Monte Carlo para generar trayectorias futuras con intervalos de confianza. La elección definitiva se justificará con base en el desempeño empírico.</w:t>
      </w:r>
    </w:p>
    <w:p>
      <w:pPr>
        <w:pStyle w:val="Heading1"/>
        <w:spacing w:after="120" w:before="280"/>
      </w:pPr>
      <w:r>
        <w:rPr>
          <w:b/>
          <w:bCs/>
          <w:color w:val="1F3864"/>
        </w:rPr>
        <w:t xml:space="preserve">8. Metodología por fases</w:t>
      </w:r>
    </w:p>
    <w:p>
      <w:pPr>
        <w:spacing w:after="120" w:line="276"/>
        <w:jc w:val="both"/>
      </w:pPr>
      <w:r>
        <w:t xml:space="preserve">El proyecto se organiza en cuatro fases secuenciales. Una decisión metodológica clave es situar la </w:t>
      </w:r>
      <w:r>
        <w:rPr>
          <w:b/>
          <w:bCs/>
        </w:rPr>
        <w:t xml:space="preserve">validación antes que la predicción</w:t>
      </w:r>
      <w:r>
        <w:t xml:space="preserve">: no tiene sentido proyectar el futuro a partir de una serie de volumen cuya exactitud aún no se ha comprobado.</w:t>
      </w:r>
    </w:p>
    <w:p>
      <w:pPr>
        <w:spacing w:after="120"/>
      </w:pPr>
    </w:p>
    <w:tbl>
      <w:tblPr>
        <w:tblW w:type="dxa" w:w="6200"/>
        <w:tblBorders>
          <w:top w:val="single" w:color="B7C3D6" w:sz="4"/>
          <w:left w:val="single" w:color="B7C3D6" w:sz="4"/>
          <w:bottom w:val="single" w:color="B7C3D6" w:sz="4"/>
          <w:right w:val="single" w:color="B7C3D6" w:sz="4"/>
          <w:insideH w:val="single" w:color="B7C3D6" w:sz="4"/>
          <w:insideV w:val="single" w:color="B7C3D6" w:sz="4"/>
        </w:tblBorders>
      </w:tblPr>
      <w:tblGrid>
        <w:gridCol w:w="760"/>
        <w:gridCol w:w="2100"/>
        <w:gridCol w:w="3340"/>
      </w:tblGrid>
      <w:tr>
        <w:trPr>
          <w:tblHeader/>
        </w:trPr>
        <w:tc>
          <w:tcPr>
            <w:tcW w:type="dxa" w:w="760"/>
            <w:shd w:fill="1F3864" w:color="auto" w:val="clear"/>
            <w:tcMar>
              <w:top w:type="dxa" w:w="60"/>
              <w:left w:type="dxa" w:w="90"/>
              <w:bottom w:type="dxa" w:w="60"/>
              <w:right w:type="dxa" w:w="90"/>
            </w:tcMar>
          </w:tcPr>
          <w:p>
            <w:pPr>
              <w:spacing w:after="0" w:line="260"/>
              <w:jc w:val="left"/>
            </w:pPr>
            <w:r>
              <w:rPr>
                <w:b/>
                <w:bCs/>
                <w:color w:val="FFFFFF"/>
                <w:sz w:val="19"/>
                <w:szCs w:val="19"/>
              </w:rPr>
              <w:t xml:space="preserve">Fase</w:t>
            </w:r>
          </w:p>
        </w:tc>
        <w:tc>
          <w:tcPr>
            <w:tcW w:type="dxa" w:w="2100"/>
            <w:shd w:fill="1F3864" w:color="auto" w:val="clear"/>
            <w:tcMar>
              <w:top w:type="dxa" w:w="60"/>
              <w:left w:type="dxa" w:w="90"/>
              <w:bottom w:type="dxa" w:w="60"/>
              <w:right w:type="dxa" w:w="90"/>
            </w:tcMar>
          </w:tcPr>
          <w:p>
            <w:pPr>
              <w:spacing w:after="0" w:line="260"/>
              <w:jc w:val="left"/>
            </w:pPr>
            <w:r>
              <w:rPr>
                <w:b/>
                <w:bCs/>
                <w:color w:val="FFFFFF"/>
                <w:sz w:val="19"/>
                <w:szCs w:val="19"/>
              </w:rPr>
              <w:t xml:space="preserve">Actividad</w:t>
            </w:r>
          </w:p>
        </w:tc>
        <w:tc>
          <w:tcPr>
            <w:tcW w:type="dxa" w:w="3340"/>
            <w:shd w:fill="1F3864" w:color="auto" w:val="clear"/>
            <w:tcMar>
              <w:top w:type="dxa" w:w="60"/>
              <w:left w:type="dxa" w:w="90"/>
              <w:bottom w:type="dxa" w:w="60"/>
              <w:right w:type="dxa" w:w="90"/>
            </w:tcMar>
          </w:tcPr>
          <w:p>
            <w:pPr>
              <w:spacing w:after="0" w:line="260"/>
              <w:jc w:val="left"/>
            </w:pPr>
            <w:r>
              <w:rPr>
                <w:b/>
                <w:bCs/>
                <w:color w:val="FFFFFF"/>
                <w:sz w:val="19"/>
                <w:szCs w:val="19"/>
              </w:rPr>
              <w:t xml:space="preserve">Entregable</w:t>
            </w:r>
          </w:p>
        </w:tc>
      </w:tr>
      <w:tr>
        <w:tc>
          <w:tcPr>
            <w:tcW w:type="dxa" w:w="760"/>
            <w:shd w:fill="EAEFF7" w:color="auto" w:val="clear"/>
            <w:tcMar>
              <w:top w:type="dxa" w:w="60"/>
              <w:left w:type="dxa" w:w="90"/>
              <w:bottom w:type="dxa" w:w="60"/>
              <w:right w:type="dxa" w:w="90"/>
            </w:tcMar>
          </w:tcPr>
          <w:p>
            <w:pPr>
              <w:spacing w:after="0" w:line="260"/>
              <w:jc w:val="center"/>
            </w:pPr>
            <w:r>
              <w:rPr>
                <w:b/>
                <w:bCs/>
                <w:color w:val="000000"/>
                <w:sz w:val="19"/>
                <w:szCs w:val="19"/>
              </w:rPr>
              <w:t xml:space="preserve">0</w:t>
            </w:r>
          </w:p>
        </w:tc>
        <w:tc>
          <w:tcPr>
            <w:tcW w:type="dxa" w:w="2100"/>
            <w:shd w:fill="EAEFF7" w:color="auto" w:val="clear"/>
            <w:tcMar>
              <w:top w:type="dxa" w:w="60"/>
              <w:left w:type="dxa" w:w="90"/>
              <w:bottom w:type="dxa" w:w="60"/>
              <w:right w:type="dxa" w:w="90"/>
            </w:tcMar>
          </w:tcPr>
          <w:p>
            <w:pPr>
              <w:spacing w:after="0" w:line="260"/>
              <w:jc w:val="left"/>
            </w:pPr>
            <w:r>
              <w:rPr>
                <w:b w:val="false"/>
                <w:bCs w:val="false"/>
                <w:color w:val="000000"/>
                <w:sz w:val="19"/>
                <w:szCs w:val="19"/>
              </w:rPr>
              <w:t xml:space="preserve">Factibilidad de datos: confirmar acceso a registros de CONAGUA y cobertura Landsat sobre el embalse.</w:t>
            </w:r>
          </w:p>
        </w:tc>
        <w:tc>
          <w:tcPr>
            <w:tcW w:type="dxa" w:w="3340"/>
            <w:shd w:fill="EAEFF7" w:color="auto" w:val="clear"/>
            <w:tcMar>
              <w:top w:type="dxa" w:w="60"/>
              <w:left w:type="dxa" w:w="90"/>
              <w:bottom w:type="dxa" w:w="60"/>
              <w:right w:type="dxa" w:w="90"/>
            </w:tcMar>
          </w:tcPr>
          <w:p>
            <w:pPr>
              <w:spacing w:after="0" w:line="260"/>
              <w:jc w:val="left"/>
            </w:pPr>
            <w:r>
              <w:rPr>
                <w:b w:val="false"/>
                <w:bCs w:val="false"/>
                <w:color w:val="000000"/>
                <w:sz w:val="19"/>
                <w:szCs w:val="19"/>
              </w:rPr>
              <w:t xml:space="preserve">Decisión de viabilidad (go/no-go) y elección de estrategia área→volumen.</w:t>
            </w:r>
          </w:p>
        </w:tc>
      </w:tr>
      <w:tr>
        <w:tc>
          <w:tcPr>
            <w:tcW w:type="dxa" w:w="760"/>
            <w:tcMar>
              <w:top w:type="dxa" w:w="60"/>
              <w:left w:type="dxa" w:w="90"/>
              <w:bottom w:type="dxa" w:w="60"/>
              <w:right w:type="dxa" w:w="90"/>
            </w:tcMar>
          </w:tcPr>
          <w:p>
            <w:pPr>
              <w:spacing w:after="0" w:line="260"/>
              <w:jc w:val="center"/>
            </w:pPr>
            <w:r>
              <w:rPr>
                <w:b/>
                <w:bCs/>
                <w:color w:val="000000"/>
                <w:sz w:val="19"/>
                <w:szCs w:val="19"/>
              </w:rPr>
              <w:t xml:space="preserve">1</w:t>
            </w:r>
          </w:p>
        </w:tc>
        <w:tc>
          <w:tcPr>
            <w:tcW w:type="dxa" w:w="2100"/>
            <w:tcMar>
              <w:top w:type="dxa" w:w="60"/>
              <w:left w:type="dxa" w:w="90"/>
              <w:bottom w:type="dxa" w:w="60"/>
              <w:right w:type="dxa" w:w="90"/>
            </w:tcMar>
          </w:tcPr>
          <w:p>
            <w:pPr>
              <w:spacing w:after="0" w:line="260"/>
              <w:jc w:val="left"/>
            </w:pPr>
            <w:r>
              <w:rPr>
                <w:b w:val="false"/>
                <w:bCs w:val="false"/>
                <w:color w:val="000000"/>
                <w:sz w:val="19"/>
                <w:szCs w:val="19"/>
              </w:rPr>
              <w:t xml:space="preserve">Extracción satelital (Google Earth Engine): filtrar Landsat 8/9, enmascarar nubes, calcular NDWI/MNDWI, umbralizar y contar píxeles de agua.</w:t>
            </w:r>
          </w:p>
        </w:tc>
        <w:tc>
          <w:tcPr>
            <w:tcW w:type="dxa" w:w="3340"/>
            <w:tcMar>
              <w:top w:type="dxa" w:w="60"/>
              <w:left w:type="dxa" w:w="90"/>
              <w:bottom w:type="dxa" w:w="60"/>
              <w:right w:type="dxa" w:w="90"/>
            </w:tcMar>
          </w:tcPr>
          <w:p>
            <w:pPr>
              <w:spacing w:after="0" w:line="260"/>
              <w:jc w:val="left"/>
            </w:pPr>
            <w:r>
              <w:rPr>
                <w:b w:val="false"/>
                <w:bCs w:val="false"/>
                <w:color w:val="000000"/>
                <w:sz w:val="19"/>
                <w:szCs w:val="19"/>
              </w:rPr>
              <w:t xml:space="preserve">Serie temporal de área superficial (km²) por fecha.</w:t>
            </w:r>
          </w:p>
        </w:tc>
      </w:tr>
      <w:tr>
        <w:tc>
          <w:tcPr>
            <w:tcW w:type="dxa" w:w="760"/>
            <w:shd w:fill="EAEFF7" w:color="auto" w:val="clear"/>
            <w:tcMar>
              <w:top w:type="dxa" w:w="60"/>
              <w:left w:type="dxa" w:w="90"/>
              <w:bottom w:type="dxa" w:w="60"/>
              <w:right w:type="dxa" w:w="90"/>
            </w:tcMar>
          </w:tcPr>
          <w:p>
            <w:pPr>
              <w:spacing w:after="0" w:line="260"/>
              <w:jc w:val="center"/>
            </w:pPr>
            <w:r>
              <w:rPr>
                <w:b/>
                <w:bCs/>
                <w:color w:val="000000"/>
                <w:sz w:val="19"/>
                <w:szCs w:val="19"/>
              </w:rPr>
              <w:t xml:space="preserve">2</w:t>
            </w:r>
          </w:p>
        </w:tc>
        <w:tc>
          <w:tcPr>
            <w:tcW w:type="dxa" w:w="2100"/>
            <w:shd w:fill="EAEFF7" w:color="auto" w:val="clear"/>
            <w:tcMar>
              <w:top w:type="dxa" w:w="60"/>
              <w:left w:type="dxa" w:w="90"/>
              <w:bottom w:type="dxa" w:w="60"/>
              <w:right w:type="dxa" w:w="90"/>
            </w:tcMar>
          </w:tcPr>
          <w:p>
            <w:pPr>
              <w:spacing w:after="0" w:line="260"/>
              <w:jc w:val="left"/>
            </w:pPr>
            <w:r>
              <w:rPr>
                <w:b w:val="false"/>
                <w:bCs w:val="false"/>
                <w:color w:val="000000"/>
                <w:sz w:val="19"/>
                <w:szCs w:val="19"/>
              </w:rPr>
              <w:t xml:space="preserve">Estimación volumétrica: anclar el área a volumen mediante la relación empírica con datos CONAGUA.</w:t>
            </w:r>
          </w:p>
        </w:tc>
        <w:tc>
          <w:tcPr>
            <w:tcW w:type="dxa" w:w="3340"/>
            <w:shd w:fill="EAEFF7" w:color="auto" w:val="clear"/>
            <w:tcMar>
              <w:top w:type="dxa" w:w="60"/>
              <w:left w:type="dxa" w:w="90"/>
              <w:bottom w:type="dxa" w:w="60"/>
              <w:right w:type="dxa" w:w="90"/>
            </w:tcMar>
          </w:tcPr>
          <w:p>
            <w:pPr>
              <w:spacing w:after="0" w:line="260"/>
              <w:jc w:val="left"/>
            </w:pPr>
            <w:r>
              <w:rPr>
                <w:b w:val="false"/>
                <w:bCs w:val="false"/>
                <w:color w:val="000000"/>
                <w:sz w:val="19"/>
                <w:szCs w:val="19"/>
              </w:rPr>
              <w:t xml:space="preserve">Serie temporal de volumen estimado (hm³).</w:t>
            </w:r>
          </w:p>
        </w:tc>
      </w:tr>
      <w:tr>
        <w:tc>
          <w:tcPr>
            <w:tcW w:type="dxa" w:w="760"/>
            <w:tcMar>
              <w:top w:type="dxa" w:w="60"/>
              <w:left w:type="dxa" w:w="90"/>
              <w:bottom w:type="dxa" w:w="60"/>
              <w:right w:type="dxa" w:w="90"/>
            </w:tcMar>
          </w:tcPr>
          <w:p>
            <w:pPr>
              <w:spacing w:after="0" w:line="260"/>
              <w:jc w:val="center"/>
            </w:pPr>
            <w:r>
              <w:rPr>
                <w:b/>
                <w:bCs/>
                <w:color w:val="000000"/>
                <w:sz w:val="19"/>
                <w:szCs w:val="19"/>
              </w:rPr>
              <w:t xml:space="preserve">3</w:t>
            </w:r>
          </w:p>
        </w:tc>
        <w:tc>
          <w:tcPr>
            <w:tcW w:type="dxa" w:w="2100"/>
            <w:tcMar>
              <w:top w:type="dxa" w:w="60"/>
              <w:left w:type="dxa" w:w="90"/>
              <w:bottom w:type="dxa" w:w="60"/>
              <w:right w:type="dxa" w:w="90"/>
            </w:tcMar>
          </w:tcPr>
          <w:p>
            <w:pPr>
              <w:spacing w:after="0" w:line="260"/>
              <w:jc w:val="left"/>
            </w:pPr>
            <w:r>
              <w:rPr>
                <w:b w:val="false"/>
                <w:bCs w:val="false"/>
                <w:color w:val="000000"/>
                <w:sz w:val="19"/>
                <w:szCs w:val="19"/>
              </w:rPr>
              <w:t xml:space="preserve">Validación y análisis de error: comparar volumen satelital vs. CONAGUA en fechas coincidentes.</w:t>
            </w:r>
          </w:p>
        </w:tc>
        <w:tc>
          <w:tcPr>
            <w:tcW w:type="dxa" w:w="3340"/>
            <w:tcMar>
              <w:top w:type="dxa" w:w="60"/>
              <w:left w:type="dxa" w:w="90"/>
              <w:bottom w:type="dxa" w:w="60"/>
              <w:right w:type="dxa" w:w="90"/>
            </w:tcMar>
          </w:tcPr>
          <w:p>
            <w:pPr>
              <w:spacing w:after="0" w:line="260"/>
              <w:jc w:val="left"/>
            </w:pPr>
            <w:r>
              <w:rPr>
                <w:b w:val="false"/>
                <w:bCs w:val="false"/>
                <w:color w:val="000000"/>
                <w:sz w:val="19"/>
                <w:szCs w:val="19"/>
              </w:rPr>
              <w:t xml:space="preserve">Métricas de exactitud (RMSE, MAE, R²) y análisis de azolvamiento.</w:t>
            </w:r>
          </w:p>
        </w:tc>
      </w:tr>
      <w:tr>
        <w:tc>
          <w:tcPr>
            <w:tcW w:type="dxa" w:w="760"/>
            <w:shd w:fill="EAEFF7" w:color="auto" w:val="clear"/>
            <w:tcMar>
              <w:top w:type="dxa" w:w="60"/>
              <w:left w:type="dxa" w:w="90"/>
              <w:bottom w:type="dxa" w:w="60"/>
              <w:right w:type="dxa" w:w="90"/>
            </w:tcMar>
          </w:tcPr>
          <w:p>
            <w:pPr>
              <w:spacing w:after="0" w:line="260"/>
              <w:jc w:val="center"/>
            </w:pPr>
            <w:r>
              <w:rPr>
                <w:b/>
                <w:bCs/>
                <w:color w:val="000000"/>
                <w:sz w:val="19"/>
                <w:szCs w:val="19"/>
              </w:rPr>
              <w:t xml:space="preserve">4</w:t>
            </w:r>
          </w:p>
        </w:tc>
        <w:tc>
          <w:tcPr>
            <w:tcW w:type="dxa" w:w="2100"/>
            <w:shd w:fill="EAEFF7" w:color="auto" w:val="clear"/>
            <w:tcMar>
              <w:top w:type="dxa" w:w="60"/>
              <w:left w:type="dxa" w:w="90"/>
              <w:bottom w:type="dxa" w:w="60"/>
              <w:right w:type="dxa" w:w="90"/>
            </w:tcMar>
          </w:tcPr>
          <w:p>
            <w:pPr>
              <w:spacing w:after="0" w:line="260"/>
              <w:jc w:val="left"/>
            </w:pPr>
            <w:r>
              <w:rPr>
                <w:b w:val="false"/>
                <w:bCs w:val="false"/>
                <w:color w:val="000000"/>
                <w:sz w:val="19"/>
                <w:szCs w:val="19"/>
              </w:rPr>
              <w:t xml:space="preserve">Predicción: modelar la evolución futura del volumen y cuantificar la incertidumbre.</w:t>
            </w:r>
          </w:p>
        </w:tc>
        <w:tc>
          <w:tcPr>
            <w:tcW w:type="dxa" w:w="3340"/>
            <w:shd w:fill="EAEFF7" w:color="auto" w:val="clear"/>
            <w:tcMar>
              <w:top w:type="dxa" w:w="60"/>
              <w:left w:type="dxa" w:w="90"/>
              <w:bottom w:type="dxa" w:w="60"/>
              <w:right w:type="dxa" w:w="90"/>
            </w:tcMar>
          </w:tcPr>
          <w:p>
            <w:pPr>
              <w:spacing w:after="0" w:line="260"/>
              <w:jc w:val="left"/>
            </w:pPr>
            <w:r>
              <w:rPr>
                <w:b w:val="false"/>
                <w:bCs w:val="false"/>
                <w:color w:val="000000"/>
                <w:sz w:val="19"/>
                <w:szCs w:val="19"/>
              </w:rPr>
              <w:t xml:space="preserve">Pronóstico con bandas de confianza y visualizaciones.</w:t>
            </w:r>
          </w:p>
        </w:tc>
      </w:tr>
    </w:tbl>
    <w:p>
      <w:pPr>
        <w:pStyle w:val="Heading1"/>
        <w:spacing w:after="120" w:before="280"/>
      </w:pPr>
      <w:r>
        <w:rPr>
          <w:b/>
          <w:bCs/>
          <w:color w:val="1F3864"/>
        </w:rPr>
        <w:t xml:space="preserve">9. Fuentes de datos</w:t>
      </w:r>
    </w:p>
    <w:p>
      <w:pPr>
        <w:spacing w:after="120" w:line="276"/>
        <w:jc w:val="both"/>
      </w:pPr>
      <w:r>
        <w:t xml:space="preserve">Ambas fuentes son de acceso abierto y ya fueron verificadas como disponibles para este embalse.</w:t>
      </w:r>
    </w:p>
    <w:p>
      <w:pPr>
        <w:pStyle w:val="Heading2"/>
        <w:spacing w:after="80" w:before="200"/>
      </w:pPr>
      <w:r>
        <w:rPr>
          <w:b/>
          <w:bCs/>
          <w:color w:val="2E5496"/>
        </w:rPr>
        <w:t xml:space="preserve">9.1 Registros oficiales (CONAGUA / SINA)</w:t>
      </w:r>
    </w:p>
    <w:p>
      <w:pPr>
        <w:spacing w:after="120" w:line="276"/>
        <w:jc w:val="both"/>
      </w:pPr>
      <w:r>
        <w:t xml:space="preserve">El Sistema Nacional de Información del Agua (SINA), a través de su módulo de Monitoreo de Presas, publica el volumen almacenado diario del embalse. Para este proyecto se recuperó la </w:t>
      </w:r>
      <w:r>
        <w:rPr>
          <w:b/>
          <w:bCs/>
        </w:rPr>
        <w:t xml:space="preserve">serie diaria completa de 2007 a 2025 (más de 6,600 registros)</w:t>
      </w:r>
      <w:r>
        <w:t xml:space="preserve">, que constituye la variable de referencia (verdad de campo). La ficha técnica del embalse es:</w:t>
      </w:r>
    </w:p>
    <w:p>
      <w:pPr>
        <w:spacing w:after="100"/>
      </w:pPr>
    </w:p>
    <w:tbl>
      <w:tblPr>
        <w:tblW w:type="dxa" w:w="6200"/>
        <w:tblBorders>
          <w:top w:val="single" w:color="B7C3D6" w:sz="4"/>
          <w:left w:val="single" w:color="B7C3D6" w:sz="4"/>
          <w:bottom w:val="single" w:color="B7C3D6" w:sz="4"/>
          <w:right w:val="single" w:color="B7C3D6" w:sz="4"/>
          <w:insideH w:val="single" w:color="B7C3D6" w:sz="4"/>
          <w:insideV w:val="single" w:color="B7C3D6" w:sz="4"/>
        </w:tblBorders>
      </w:tblPr>
      <w:tblGrid>
        <w:gridCol w:w="2400"/>
        <w:gridCol w:w="3800"/>
      </w:tblGrid>
      <w:tr>
        <w:tc>
          <w:tcPr>
            <w:tcW w:type="dxa" w:w="2400"/>
            <w:tcMar>
              <w:top w:type="dxa" w:w="60"/>
              <w:left w:type="dxa" w:w="90"/>
              <w:bottom w:type="dxa" w:w="60"/>
              <w:right w:type="dxa" w:w="90"/>
            </w:tcMar>
          </w:tcPr>
          <w:p>
            <w:pPr>
              <w:spacing w:after="0" w:line="260"/>
              <w:jc w:val="left"/>
            </w:pPr>
            <w:r>
              <w:rPr>
                <w:b/>
                <w:bCs/>
                <w:color w:val="000000"/>
                <w:sz w:val="19"/>
                <w:szCs w:val="19"/>
              </w:rPr>
              <w:t xml:space="preserve">Nombre oficial</w:t>
            </w:r>
          </w:p>
        </w:tc>
        <w:tc>
          <w:tcPr>
            <w:tcW w:type="dxa" w:w="3800"/>
            <w:tcMar>
              <w:top w:type="dxa" w:w="60"/>
              <w:left w:type="dxa" w:w="90"/>
              <w:bottom w:type="dxa" w:w="60"/>
              <w:right w:type="dxa" w:w="90"/>
            </w:tcMar>
          </w:tcPr>
          <w:p>
            <w:pPr>
              <w:spacing w:after="0" w:line="260"/>
              <w:jc w:val="left"/>
            </w:pPr>
            <w:r>
              <w:rPr>
                <w:b w:val="false"/>
                <w:bCs w:val="false"/>
                <w:color w:val="000000"/>
                <w:sz w:val="19"/>
                <w:szCs w:val="19"/>
              </w:rPr>
              <w:t xml:space="preserve">Vicente Guerrero, Tamps.</w:t>
            </w:r>
          </w:p>
        </w:tc>
      </w:tr>
      <w:tr>
        <w:tc>
          <w:tcPr>
            <w:tcW w:type="dxa" w:w="2400"/>
            <w:shd w:fill="EAEFF7" w:color="auto" w:val="clear"/>
            <w:tcMar>
              <w:top w:type="dxa" w:w="60"/>
              <w:left w:type="dxa" w:w="90"/>
              <w:bottom w:type="dxa" w:w="60"/>
              <w:right w:type="dxa" w:w="90"/>
            </w:tcMar>
          </w:tcPr>
          <w:p>
            <w:pPr>
              <w:spacing w:after="0" w:line="260"/>
              <w:jc w:val="left"/>
            </w:pPr>
            <w:r>
              <w:rPr>
                <w:b/>
                <w:bCs/>
                <w:color w:val="000000"/>
                <w:sz w:val="19"/>
                <w:szCs w:val="19"/>
              </w:rPr>
              <w:t xml:space="preserve">Nombre común</w:t>
            </w:r>
          </w:p>
        </w:tc>
        <w:tc>
          <w:tcPr>
            <w:tcW w:type="dxa" w:w="3800"/>
            <w:shd w:fill="EAEFF7" w:color="auto" w:val="clear"/>
            <w:tcMar>
              <w:top w:type="dxa" w:w="60"/>
              <w:left w:type="dxa" w:w="90"/>
              <w:bottom w:type="dxa" w:w="60"/>
              <w:right w:type="dxa" w:w="90"/>
            </w:tcMar>
          </w:tcPr>
          <w:p>
            <w:pPr>
              <w:spacing w:after="0" w:line="260"/>
              <w:jc w:val="left"/>
            </w:pPr>
            <w:r>
              <w:rPr>
                <w:b w:val="false"/>
                <w:bCs w:val="false"/>
                <w:color w:val="000000"/>
                <w:sz w:val="19"/>
                <w:szCs w:val="19"/>
              </w:rPr>
              <w:t xml:space="preserve">Las Adjuntas</w:t>
            </w:r>
          </w:p>
        </w:tc>
      </w:tr>
      <w:tr>
        <w:tc>
          <w:tcPr>
            <w:tcW w:type="dxa" w:w="2400"/>
            <w:tcMar>
              <w:top w:type="dxa" w:w="60"/>
              <w:left w:type="dxa" w:w="90"/>
              <w:bottom w:type="dxa" w:w="60"/>
              <w:right w:type="dxa" w:w="90"/>
            </w:tcMar>
          </w:tcPr>
          <w:p>
            <w:pPr>
              <w:spacing w:after="0" w:line="260"/>
              <w:jc w:val="left"/>
            </w:pPr>
            <w:r>
              <w:rPr>
                <w:b/>
                <w:bCs/>
                <w:color w:val="000000"/>
                <w:sz w:val="19"/>
                <w:szCs w:val="19"/>
              </w:rPr>
              <w:t xml:space="preserve">Clave SIH</w:t>
            </w:r>
          </w:p>
        </w:tc>
        <w:tc>
          <w:tcPr>
            <w:tcW w:type="dxa" w:w="3800"/>
            <w:tcMar>
              <w:top w:type="dxa" w:w="60"/>
              <w:left w:type="dxa" w:w="90"/>
              <w:bottom w:type="dxa" w:w="60"/>
              <w:right w:type="dxa" w:w="90"/>
            </w:tcMar>
          </w:tcPr>
          <w:p>
            <w:pPr>
              <w:spacing w:after="0" w:line="260"/>
              <w:jc w:val="left"/>
            </w:pPr>
            <w:r>
              <w:rPr>
                <w:b w:val="false"/>
                <w:bCs w:val="false"/>
                <w:color w:val="000000"/>
                <w:sz w:val="19"/>
                <w:szCs w:val="19"/>
              </w:rPr>
              <w:t xml:space="preserve">VGRTP</w:t>
            </w:r>
          </w:p>
        </w:tc>
      </w:tr>
      <w:tr>
        <w:tc>
          <w:tcPr>
            <w:tcW w:type="dxa" w:w="2400"/>
            <w:shd w:fill="EAEFF7" w:color="auto" w:val="clear"/>
            <w:tcMar>
              <w:top w:type="dxa" w:w="60"/>
              <w:left w:type="dxa" w:w="90"/>
              <w:bottom w:type="dxa" w:w="60"/>
              <w:right w:type="dxa" w:w="90"/>
            </w:tcMar>
          </w:tcPr>
          <w:p>
            <w:pPr>
              <w:spacing w:after="0" w:line="260"/>
              <w:jc w:val="left"/>
            </w:pPr>
            <w:r>
              <w:rPr>
                <w:b/>
                <w:bCs/>
                <w:color w:val="000000"/>
                <w:sz w:val="19"/>
                <w:szCs w:val="19"/>
              </w:rPr>
              <w:t xml:space="preserve">Ubicación</w:t>
            </w:r>
          </w:p>
        </w:tc>
        <w:tc>
          <w:tcPr>
            <w:tcW w:type="dxa" w:w="3800"/>
            <w:shd w:fill="EAEFF7" w:color="auto" w:val="clear"/>
            <w:tcMar>
              <w:top w:type="dxa" w:w="60"/>
              <w:left w:type="dxa" w:w="90"/>
              <w:bottom w:type="dxa" w:w="60"/>
              <w:right w:type="dxa" w:w="90"/>
            </w:tcMar>
          </w:tcPr>
          <w:p>
            <w:pPr>
              <w:spacing w:after="0" w:line="260"/>
              <w:jc w:val="left"/>
            </w:pPr>
            <w:r>
              <w:rPr>
                <w:b w:val="false"/>
                <w:bCs w:val="false"/>
                <w:color w:val="000000"/>
                <w:sz w:val="19"/>
                <w:szCs w:val="19"/>
              </w:rPr>
              <w:t xml:space="preserve">Padilla, Tamaulipas (lat 23.9594, lon −98.6664)</w:t>
            </w:r>
          </w:p>
        </w:tc>
      </w:tr>
      <w:tr>
        <w:tc>
          <w:tcPr>
            <w:tcW w:type="dxa" w:w="2400"/>
            <w:tcMar>
              <w:top w:type="dxa" w:w="60"/>
              <w:left w:type="dxa" w:w="90"/>
              <w:bottom w:type="dxa" w:w="60"/>
              <w:right w:type="dxa" w:w="90"/>
            </w:tcMar>
          </w:tcPr>
          <w:p>
            <w:pPr>
              <w:spacing w:after="0" w:line="260"/>
              <w:jc w:val="left"/>
            </w:pPr>
            <w:r>
              <w:rPr>
                <w:b/>
                <w:bCs/>
                <w:color w:val="000000"/>
                <w:sz w:val="19"/>
                <w:szCs w:val="19"/>
              </w:rPr>
              <w:t xml:space="preserve">Capacidad NAMO</w:t>
            </w:r>
          </w:p>
        </w:tc>
        <w:tc>
          <w:tcPr>
            <w:tcW w:type="dxa" w:w="3800"/>
            <w:tcMar>
              <w:top w:type="dxa" w:w="60"/>
              <w:left w:type="dxa" w:w="90"/>
              <w:bottom w:type="dxa" w:w="60"/>
              <w:right w:type="dxa" w:w="90"/>
            </w:tcMar>
          </w:tcPr>
          <w:p>
            <w:pPr>
              <w:spacing w:after="0" w:line="260"/>
              <w:jc w:val="left"/>
            </w:pPr>
            <w:r>
              <w:rPr>
                <w:b w:val="false"/>
                <w:bCs w:val="false"/>
                <w:color w:val="000000"/>
                <w:sz w:val="19"/>
                <w:szCs w:val="19"/>
              </w:rPr>
              <w:t xml:space="preserve">3,910.69 hm³</w:t>
            </w:r>
          </w:p>
        </w:tc>
      </w:tr>
      <w:tr>
        <w:tc>
          <w:tcPr>
            <w:tcW w:type="dxa" w:w="2400"/>
            <w:shd w:fill="EAEFF7" w:color="auto" w:val="clear"/>
            <w:tcMar>
              <w:top w:type="dxa" w:w="60"/>
              <w:left w:type="dxa" w:w="90"/>
              <w:bottom w:type="dxa" w:w="60"/>
              <w:right w:type="dxa" w:w="90"/>
            </w:tcMar>
          </w:tcPr>
          <w:p>
            <w:pPr>
              <w:spacing w:after="0" w:line="260"/>
              <w:jc w:val="left"/>
            </w:pPr>
            <w:r>
              <w:rPr>
                <w:b/>
                <w:bCs/>
                <w:color w:val="000000"/>
                <w:sz w:val="19"/>
                <w:szCs w:val="19"/>
              </w:rPr>
              <w:t xml:space="preserve">Rango histórico de llenado (2007–2025)</w:t>
            </w:r>
          </w:p>
        </w:tc>
        <w:tc>
          <w:tcPr>
            <w:tcW w:type="dxa" w:w="3800"/>
            <w:shd w:fill="EAEFF7" w:color="auto" w:val="clear"/>
            <w:tcMar>
              <w:top w:type="dxa" w:w="60"/>
              <w:left w:type="dxa" w:w="90"/>
              <w:bottom w:type="dxa" w:w="60"/>
              <w:right w:type="dxa" w:w="90"/>
            </w:tcMar>
          </w:tcPr>
          <w:p>
            <w:pPr>
              <w:spacing w:after="0" w:line="260"/>
              <w:jc w:val="left"/>
            </w:pPr>
            <w:r>
              <w:rPr>
                <w:b w:val="false"/>
                <w:bCs w:val="false"/>
                <w:color w:val="000000"/>
                <w:sz w:val="19"/>
                <w:szCs w:val="19"/>
              </w:rPr>
              <w:t xml:space="preserve">7.7 % (sequía 2024) a 109.8 % (por encima de NAMO)</w:t>
            </w:r>
          </w:p>
        </w:tc>
      </w:tr>
    </w:tbl>
    <w:p>
      <w:pPr>
        <w:pStyle w:val="Heading2"/>
        <w:spacing w:after="80" w:before="200"/>
      </w:pPr>
      <w:r>
        <w:rPr>
          <w:b/>
          <w:bCs/>
          <w:color w:val="2E5496"/>
        </w:rPr>
        <w:t xml:space="preserve">9.2 Imágenes satelitales (Landsat vía Google Earth Engine)</w:t>
      </w:r>
    </w:p>
    <w:p>
      <w:pPr>
        <w:spacing w:after="120" w:line="276"/>
        <w:jc w:val="both"/>
      </w:pPr>
      <w:r>
        <w:t xml:space="preserve">Las imágenes Landsat 8 (desde 2013) y Landsat 9 (desde 2021) se procesarán en la plataforma </w:t>
      </w:r>
      <w:r>
        <w:rPr>
          <w:b/>
          <w:bCs/>
        </w:rPr>
        <w:t xml:space="preserve">Google Earth Engine</w:t>
      </w:r>
      <w:r>
        <w:t xml:space="preserve">, que aloja el catálogo ya corregido y permite ejecutar el enmascaramiento de nubes y el cálculo de índices del lado del servidor, descargando únicamente la tabla final de áreas. El periodo de solapamiento útil con los registros de CONAGUA (2013 en adelante) es suficiente para entrenar y validar el estimador.</w:t>
      </w:r>
    </w:p>
    <w:p>
      <w:pPr>
        <w:pStyle w:val="Heading1"/>
        <w:spacing w:after="120" w:before="280"/>
      </w:pPr>
      <w:r>
        <w:rPr>
          <w:b/>
          <w:bCs/>
          <w:color w:val="1F3864"/>
        </w:rPr>
        <w:t xml:space="preserve">10. Cronograma tentativo (12 semanas)</w:t>
      </w:r>
    </w:p>
    <w:tbl>
      <w:tblPr>
        <w:tblW w:type="dxa" w:w="6200"/>
        <w:tblBorders>
          <w:top w:val="single" w:color="B7C3D6" w:sz="4"/>
          <w:left w:val="single" w:color="B7C3D6" w:sz="4"/>
          <w:bottom w:val="single" w:color="B7C3D6" w:sz="4"/>
          <w:right w:val="single" w:color="B7C3D6" w:sz="4"/>
          <w:insideH w:val="single" w:color="B7C3D6" w:sz="4"/>
          <w:insideV w:val="single" w:color="B7C3D6" w:sz="4"/>
        </w:tblBorders>
      </w:tblPr>
      <w:tblGrid>
        <w:gridCol w:w="1500"/>
        <w:gridCol w:w="3100"/>
        <w:gridCol w:w="1600"/>
      </w:tblGrid>
      <w:tr>
        <w:trPr>
          <w:tblHeader/>
        </w:trPr>
        <w:tc>
          <w:tcPr>
            <w:tcW w:type="dxa" w:w="1500"/>
            <w:shd w:fill="1F3864" w:color="auto" w:val="clear"/>
            <w:tcMar>
              <w:top w:type="dxa" w:w="60"/>
              <w:left w:type="dxa" w:w="90"/>
              <w:bottom w:type="dxa" w:w="60"/>
              <w:right w:type="dxa" w:w="90"/>
            </w:tcMar>
          </w:tcPr>
          <w:p>
            <w:pPr>
              <w:spacing w:after="0" w:line="260"/>
              <w:jc w:val="center"/>
            </w:pPr>
            <w:r>
              <w:rPr>
                <w:b/>
                <w:bCs/>
                <w:color w:val="FFFFFF"/>
                <w:sz w:val="19"/>
                <w:szCs w:val="19"/>
              </w:rPr>
              <w:t xml:space="preserve">Semanas</w:t>
            </w:r>
          </w:p>
        </w:tc>
        <w:tc>
          <w:tcPr>
            <w:tcW w:type="dxa" w:w="3100"/>
            <w:shd w:fill="1F3864" w:color="auto" w:val="clear"/>
            <w:tcMar>
              <w:top w:type="dxa" w:w="60"/>
              <w:left w:type="dxa" w:w="90"/>
              <w:bottom w:type="dxa" w:w="60"/>
              <w:right w:type="dxa" w:w="90"/>
            </w:tcMar>
          </w:tcPr>
          <w:p>
            <w:pPr>
              <w:spacing w:after="0" w:line="260"/>
              <w:jc w:val="left"/>
            </w:pPr>
            <w:r>
              <w:rPr>
                <w:b/>
                <w:bCs/>
                <w:color w:val="FFFFFF"/>
                <w:sz w:val="19"/>
                <w:szCs w:val="19"/>
              </w:rPr>
              <w:t xml:space="preserve">Actividad principal</w:t>
            </w:r>
          </w:p>
        </w:tc>
        <w:tc>
          <w:tcPr>
            <w:tcW w:type="dxa" w:w="1600"/>
            <w:shd w:fill="1F3864" w:color="auto" w:val="clear"/>
            <w:tcMar>
              <w:top w:type="dxa" w:w="60"/>
              <w:left w:type="dxa" w:w="90"/>
              <w:bottom w:type="dxa" w:w="60"/>
              <w:right w:type="dxa" w:w="90"/>
            </w:tcMar>
          </w:tcPr>
          <w:p>
            <w:pPr>
              <w:spacing w:after="0" w:line="260"/>
              <w:jc w:val="center"/>
            </w:pPr>
            <w:r>
              <w:rPr>
                <w:b/>
                <w:bCs/>
                <w:color w:val="FFFFFF"/>
                <w:sz w:val="19"/>
                <w:szCs w:val="19"/>
              </w:rPr>
              <w:t xml:space="preserve">Fase</w:t>
            </w:r>
          </w:p>
        </w:tc>
      </w:tr>
      <w:tr>
        <w:tc>
          <w:tcPr>
            <w:tcW w:type="dxa" w:w="1500"/>
            <w:tcMar>
              <w:top w:type="dxa" w:w="60"/>
              <w:left w:type="dxa" w:w="90"/>
              <w:bottom w:type="dxa" w:w="60"/>
              <w:right w:type="dxa" w:w="90"/>
            </w:tcMar>
          </w:tcPr>
          <w:p>
            <w:pPr>
              <w:spacing w:after="0" w:line="260"/>
              <w:jc w:val="center"/>
            </w:pPr>
            <w:r>
              <w:rPr>
                <w:b w:val="false"/>
                <w:bCs w:val="false"/>
                <w:color w:val="000000"/>
                <w:sz w:val="19"/>
                <w:szCs w:val="19"/>
              </w:rPr>
              <w:t xml:space="preserve">1</w:t>
            </w:r>
          </w:p>
        </w:tc>
        <w:tc>
          <w:tcPr>
            <w:tcW w:type="dxa" w:w="3100"/>
            <w:tcMar>
              <w:top w:type="dxa" w:w="60"/>
              <w:left w:type="dxa" w:w="90"/>
              <w:bottom w:type="dxa" w:w="60"/>
              <w:right w:type="dxa" w:w="90"/>
            </w:tcMar>
          </w:tcPr>
          <w:p>
            <w:pPr>
              <w:spacing w:after="0" w:line="260"/>
              <w:jc w:val="left"/>
            </w:pPr>
            <w:r>
              <w:rPr>
                <w:b w:val="false"/>
                <w:bCs w:val="false"/>
                <w:color w:val="000000"/>
                <w:sz w:val="19"/>
                <w:szCs w:val="19"/>
              </w:rPr>
              <w:t xml:space="preserve">Factibilidad de datos y preparación del entorno</w:t>
            </w:r>
          </w:p>
        </w:tc>
        <w:tc>
          <w:tcPr>
            <w:tcW w:type="dxa" w:w="1600"/>
            <w:tcMar>
              <w:top w:type="dxa" w:w="60"/>
              <w:left w:type="dxa" w:w="90"/>
              <w:bottom w:type="dxa" w:w="60"/>
              <w:right w:type="dxa" w:w="90"/>
            </w:tcMar>
          </w:tcPr>
          <w:p>
            <w:pPr>
              <w:spacing w:after="0" w:line="260"/>
              <w:jc w:val="center"/>
            </w:pPr>
            <w:r>
              <w:rPr>
                <w:b w:val="false"/>
                <w:bCs w:val="false"/>
                <w:color w:val="000000"/>
                <w:sz w:val="19"/>
                <w:szCs w:val="19"/>
              </w:rPr>
              <w:t xml:space="preserve">Fase 0</w:t>
            </w:r>
          </w:p>
        </w:tc>
      </w:tr>
      <w:tr>
        <w:tc>
          <w:tcPr>
            <w:tcW w:type="dxa" w:w="1500"/>
            <w:shd w:fill="EAEFF7" w:color="auto" w:val="clear"/>
            <w:tcMar>
              <w:top w:type="dxa" w:w="60"/>
              <w:left w:type="dxa" w:w="90"/>
              <w:bottom w:type="dxa" w:w="60"/>
              <w:right w:type="dxa" w:w="90"/>
            </w:tcMar>
          </w:tcPr>
          <w:p>
            <w:pPr>
              <w:spacing w:after="0" w:line="260"/>
              <w:jc w:val="center"/>
            </w:pPr>
            <w:r>
              <w:rPr>
                <w:b w:val="false"/>
                <w:bCs w:val="false"/>
                <w:color w:val="000000"/>
                <w:sz w:val="19"/>
                <w:szCs w:val="19"/>
              </w:rPr>
              <w:t xml:space="preserve">2 – 4</w:t>
            </w:r>
          </w:p>
        </w:tc>
        <w:tc>
          <w:tcPr>
            <w:tcW w:type="dxa" w:w="3100"/>
            <w:shd w:fill="EAEFF7" w:color="auto" w:val="clear"/>
            <w:tcMar>
              <w:top w:type="dxa" w:w="60"/>
              <w:left w:type="dxa" w:w="90"/>
              <w:bottom w:type="dxa" w:w="60"/>
              <w:right w:type="dxa" w:w="90"/>
            </w:tcMar>
          </w:tcPr>
          <w:p>
            <w:pPr>
              <w:spacing w:after="0" w:line="260"/>
              <w:jc w:val="left"/>
            </w:pPr>
            <w:r>
              <w:rPr>
                <w:b w:val="false"/>
                <w:bCs w:val="false"/>
                <w:color w:val="000000"/>
                <w:sz w:val="19"/>
                <w:szCs w:val="19"/>
              </w:rPr>
              <w:t xml:space="preserve">Pipeline satelital y serie de área (Landsat/GEE)</w:t>
            </w:r>
          </w:p>
        </w:tc>
        <w:tc>
          <w:tcPr>
            <w:tcW w:type="dxa" w:w="1600"/>
            <w:shd w:fill="EAEFF7" w:color="auto" w:val="clear"/>
            <w:tcMar>
              <w:top w:type="dxa" w:w="60"/>
              <w:left w:type="dxa" w:w="90"/>
              <w:bottom w:type="dxa" w:w="60"/>
              <w:right w:type="dxa" w:w="90"/>
            </w:tcMar>
          </w:tcPr>
          <w:p>
            <w:pPr>
              <w:spacing w:after="0" w:line="260"/>
              <w:jc w:val="center"/>
            </w:pPr>
            <w:r>
              <w:rPr>
                <w:b w:val="false"/>
                <w:bCs w:val="false"/>
                <w:color w:val="000000"/>
                <w:sz w:val="19"/>
                <w:szCs w:val="19"/>
              </w:rPr>
              <w:t xml:space="preserve">Fase 1</w:t>
            </w:r>
          </w:p>
        </w:tc>
      </w:tr>
      <w:tr>
        <w:tc>
          <w:tcPr>
            <w:tcW w:type="dxa" w:w="1500"/>
            <w:tcMar>
              <w:top w:type="dxa" w:w="60"/>
              <w:left w:type="dxa" w:w="90"/>
              <w:bottom w:type="dxa" w:w="60"/>
              <w:right w:type="dxa" w:w="90"/>
            </w:tcMar>
          </w:tcPr>
          <w:p>
            <w:pPr>
              <w:spacing w:after="0" w:line="260"/>
              <w:jc w:val="center"/>
            </w:pPr>
            <w:r>
              <w:rPr>
                <w:b w:val="false"/>
                <w:bCs w:val="false"/>
                <w:color w:val="000000"/>
                <w:sz w:val="19"/>
                <w:szCs w:val="19"/>
              </w:rPr>
              <w:t xml:space="preserve">5 – 6</w:t>
            </w:r>
          </w:p>
        </w:tc>
        <w:tc>
          <w:tcPr>
            <w:tcW w:type="dxa" w:w="3100"/>
            <w:tcMar>
              <w:top w:type="dxa" w:w="60"/>
              <w:left w:type="dxa" w:w="90"/>
              <w:bottom w:type="dxa" w:w="60"/>
              <w:right w:type="dxa" w:w="90"/>
            </w:tcMar>
          </w:tcPr>
          <w:p>
            <w:pPr>
              <w:spacing w:after="0" w:line="260"/>
              <w:jc w:val="left"/>
            </w:pPr>
            <w:r>
              <w:rPr>
                <w:b w:val="false"/>
                <w:bCs w:val="false"/>
                <w:color w:val="000000"/>
                <w:sz w:val="19"/>
                <w:szCs w:val="19"/>
              </w:rPr>
              <w:t xml:space="preserve">Estimación del volumen (relación área–volumen)</w:t>
            </w:r>
          </w:p>
        </w:tc>
        <w:tc>
          <w:tcPr>
            <w:tcW w:type="dxa" w:w="1600"/>
            <w:tcMar>
              <w:top w:type="dxa" w:w="60"/>
              <w:left w:type="dxa" w:w="90"/>
              <w:bottom w:type="dxa" w:w="60"/>
              <w:right w:type="dxa" w:w="90"/>
            </w:tcMar>
          </w:tcPr>
          <w:p>
            <w:pPr>
              <w:spacing w:after="0" w:line="260"/>
              <w:jc w:val="center"/>
            </w:pPr>
            <w:r>
              <w:rPr>
                <w:b w:val="false"/>
                <w:bCs w:val="false"/>
                <w:color w:val="000000"/>
                <w:sz w:val="19"/>
                <w:szCs w:val="19"/>
              </w:rPr>
              <w:t xml:space="preserve">Fase 2</w:t>
            </w:r>
          </w:p>
        </w:tc>
      </w:tr>
      <w:tr>
        <w:tc>
          <w:tcPr>
            <w:tcW w:type="dxa" w:w="1500"/>
            <w:shd w:fill="EAEFF7" w:color="auto" w:val="clear"/>
            <w:tcMar>
              <w:top w:type="dxa" w:w="60"/>
              <w:left w:type="dxa" w:w="90"/>
              <w:bottom w:type="dxa" w:w="60"/>
              <w:right w:type="dxa" w:w="90"/>
            </w:tcMar>
          </w:tcPr>
          <w:p>
            <w:pPr>
              <w:spacing w:after="0" w:line="260"/>
              <w:jc w:val="center"/>
            </w:pPr>
            <w:r>
              <w:rPr>
                <w:b w:val="false"/>
                <w:bCs w:val="false"/>
                <w:color w:val="000000"/>
                <w:sz w:val="19"/>
                <w:szCs w:val="19"/>
              </w:rPr>
              <w:t xml:space="preserve">7 – 8</w:t>
            </w:r>
          </w:p>
        </w:tc>
        <w:tc>
          <w:tcPr>
            <w:tcW w:type="dxa" w:w="3100"/>
            <w:shd w:fill="EAEFF7" w:color="auto" w:val="clear"/>
            <w:tcMar>
              <w:top w:type="dxa" w:w="60"/>
              <w:left w:type="dxa" w:w="90"/>
              <w:bottom w:type="dxa" w:w="60"/>
              <w:right w:type="dxa" w:w="90"/>
            </w:tcMar>
          </w:tcPr>
          <w:p>
            <w:pPr>
              <w:spacing w:after="0" w:line="260"/>
              <w:jc w:val="left"/>
            </w:pPr>
            <w:r>
              <w:rPr>
                <w:b w:val="false"/>
                <w:bCs w:val="false"/>
                <w:color w:val="000000"/>
                <w:sz w:val="19"/>
                <w:szCs w:val="19"/>
              </w:rPr>
              <w:t xml:space="preserve">Validación y análisis de error (RMSE, azolvamiento)</w:t>
            </w:r>
          </w:p>
        </w:tc>
        <w:tc>
          <w:tcPr>
            <w:tcW w:type="dxa" w:w="1600"/>
            <w:shd w:fill="EAEFF7" w:color="auto" w:val="clear"/>
            <w:tcMar>
              <w:top w:type="dxa" w:w="60"/>
              <w:left w:type="dxa" w:w="90"/>
              <w:bottom w:type="dxa" w:w="60"/>
              <w:right w:type="dxa" w:w="90"/>
            </w:tcMar>
          </w:tcPr>
          <w:p>
            <w:pPr>
              <w:spacing w:after="0" w:line="260"/>
              <w:jc w:val="center"/>
            </w:pPr>
            <w:r>
              <w:rPr>
                <w:b w:val="false"/>
                <w:bCs w:val="false"/>
                <w:color w:val="000000"/>
                <w:sz w:val="19"/>
                <w:szCs w:val="19"/>
              </w:rPr>
              <w:t xml:space="preserve">Fase 3</w:t>
            </w:r>
          </w:p>
        </w:tc>
      </w:tr>
      <w:tr>
        <w:tc>
          <w:tcPr>
            <w:tcW w:type="dxa" w:w="1500"/>
            <w:tcMar>
              <w:top w:type="dxa" w:w="60"/>
              <w:left w:type="dxa" w:w="90"/>
              <w:bottom w:type="dxa" w:w="60"/>
              <w:right w:type="dxa" w:w="90"/>
            </w:tcMar>
          </w:tcPr>
          <w:p>
            <w:pPr>
              <w:spacing w:after="0" w:line="260"/>
              <w:jc w:val="center"/>
            </w:pPr>
            <w:r>
              <w:rPr>
                <w:b w:val="false"/>
                <w:bCs w:val="false"/>
                <w:color w:val="000000"/>
                <w:sz w:val="19"/>
                <w:szCs w:val="19"/>
              </w:rPr>
              <w:t xml:space="preserve">9 – 11</w:t>
            </w:r>
          </w:p>
        </w:tc>
        <w:tc>
          <w:tcPr>
            <w:tcW w:type="dxa" w:w="3100"/>
            <w:tcMar>
              <w:top w:type="dxa" w:w="60"/>
              <w:left w:type="dxa" w:w="90"/>
              <w:bottom w:type="dxa" w:w="60"/>
              <w:right w:type="dxa" w:w="90"/>
            </w:tcMar>
          </w:tcPr>
          <w:p>
            <w:pPr>
              <w:spacing w:after="0" w:line="260"/>
              <w:jc w:val="left"/>
            </w:pPr>
            <w:r>
              <w:rPr>
                <w:b w:val="false"/>
                <w:bCs w:val="false"/>
                <w:color w:val="000000"/>
                <w:sz w:val="19"/>
                <w:szCs w:val="19"/>
              </w:rPr>
              <w:t xml:space="preserve">Modelo predictivo y simulación de incertidumbre</w:t>
            </w:r>
          </w:p>
        </w:tc>
        <w:tc>
          <w:tcPr>
            <w:tcW w:type="dxa" w:w="1600"/>
            <w:tcMar>
              <w:top w:type="dxa" w:w="60"/>
              <w:left w:type="dxa" w:w="90"/>
              <w:bottom w:type="dxa" w:w="60"/>
              <w:right w:type="dxa" w:w="90"/>
            </w:tcMar>
          </w:tcPr>
          <w:p>
            <w:pPr>
              <w:spacing w:after="0" w:line="260"/>
              <w:jc w:val="center"/>
            </w:pPr>
            <w:r>
              <w:rPr>
                <w:b w:val="false"/>
                <w:bCs w:val="false"/>
                <w:color w:val="000000"/>
                <w:sz w:val="19"/>
                <w:szCs w:val="19"/>
              </w:rPr>
              <w:t xml:space="preserve">Fase 4</w:t>
            </w:r>
          </w:p>
        </w:tc>
      </w:tr>
      <w:tr>
        <w:tc>
          <w:tcPr>
            <w:tcW w:type="dxa" w:w="1500"/>
            <w:shd w:fill="EAEFF7" w:color="auto" w:val="clear"/>
            <w:tcMar>
              <w:top w:type="dxa" w:w="60"/>
              <w:left w:type="dxa" w:w="90"/>
              <w:bottom w:type="dxa" w:w="60"/>
              <w:right w:type="dxa" w:w="90"/>
            </w:tcMar>
          </w:tcPr>
          <w:p>
            <w:pPr>
              <w:spacing w:after="0" w:line="260"/>
              <w:jc w:val="center"/>
            </w:pPr>
            <w:r>
              <w:rPr>
                <w:b w:val="false"/>
                <w:bCs w:val="false"/>
                <w:color w:val="000000"/>
                <w:sz w:val="19"/>
                <w:szCs w:val="19"/>
              </w:rPr>
              <w:t xml:space="preserve">12</w:t>
            </w:r>
          </w:p>
        </w:tc>
        <w:tc>
          <w:tcPr>
            <w:tcW w:type="dxa" w:w="3100"/>
            <w:shd w:fill="EAEFF7" w:color="auto" w:val="clear"/>
            <w:tcMar>
              <w:top w:type="dxa" w:w="60"/>
              <w:left w:type="dxa" w:w="90"/>
              <w:bottom w:type="dxa" w:w="60"/>
              <w:right w:type="dxa" w:w="90"/>
            </w:tcMar>
          </w:tcPr>
          <w:p>
            <w:pPr>
              <w:spacing w:after="0" w:line="260"/>
              <w:jc w:val="left"/>
            </w:pPr>
            <w:r>
              <w:rPr>
                <w:b w:val="false"/>
                <w:bCs w:val="false"/>
                <w:color w:val="000000"/>
                <w:sz w:val="19"/>
                <w:szCs w:val="19"/>
              </w:rPr>
              <w:t xml:space="preserve">Integración de resultados y redacción del informe final</w:t>
            </w:r>
          </w:p>
        </w:tc>
        <w:tc>
          <w:tcPr>
            <w:tcW w:type="dxa" w:w="1600"/>
            <w:shd w:fill="EAEFF7" w:color="auto" w:val="clear"/>
            <w:tcMar>
              <w:top w:type="dxa" w:w="60"/>
              <w:left w:type="dxa" w:w="90"/>
              <w:bottom w:type="dxa" w:w="60"/>
              <w:right w:type="dxa" w:w="90"/>
            </w:tcMar>
          </w:tcPr>
          <w:p>
            <w:pPr>
              <w:spacing w:after="0" w:line="260"/>
              <w:jc w:val="center"/>
            </w:pPr>
            <w:r>
              <w:rPr>
                <w:b w:val="false"/>
                <w:bCs w:val="false"/>
                <w:color w:val="000000"/>
                <w:sz w:val="19"/>
                <w:szCs w:val="19"/>
              </w:rPr>
              <w:t xml:space="preserve">Cierre</w:t>
            </w:r>
          </w:p>
        </w:tc>
      </w:tr>
    </w:tbl>
    <w:p>
      <w:pPr>
        <w:pStyle w:val="Heading1"/>
        <w:spacing w:after="120" w:before="280"/>
      </w:pPr>
      <w:r>
        <w:rPr>
          <w:b/>
          <w:bCs/>
          <w:color w:val="1F3864"/>
        </w:rPr>
        <w:t xml:space="preserve">11. Resultados esperados</w:t>
      </w:r>
    </w:p>
    <w:p>
      <w:pPr>
        <w:pStyle w:val="ListParagraph"/>
        <w:numPr>
          <w:ilvl w:val="0"/>
          <w:numId w:val="2"/>
        </w:numPr>
        <w:spacing w:after="70" w:line="270"/>
        <w:jc w:val="both"/>
      </w:pPr>
      <w:r>
        <w:t xml:space="preserve">Una base de datos histórica que empareja el área satelital y el volumen oficial del embalse.</w:t>
      </w:r>
    </w:p>
    <w:p>
      <w:pPr>
        <w:pStyle w:val="ListParagraph"/>
        <w:numPr>
          <w:ilvl w:val="0"/>
          <w:numId w:val="2"/>
        </w:numPr>
        <w:spacing w:after="70" w:line="270"/>
        <w:jc w:val="both"/>
      </w:pPr>
      <w:r>
        <w:t xml:space="preserve">Un estimador volumétrico validado, con su margen de error cuantificado.</w:t>
      </w:r>
    </w:p>
    <w:p>
      <w:pPr>
        <w:pStyle w:val="ListParagraph"/>
        <w:numPr>
          <w:ilvl w:val="0"/>
          <w:numId w:val="2"/>
        </w:numPr>
        <w:spacing w:after="70" w:line="270"/>
        <w:jc w:val="both"/>
      </w:pPr>
      <w:r>
        <w:t xml:space="preserve">Evidencia empírica sobre la posible pérdida de capacidad del embalse por azolvamiento.</w:t>
      </w:r>
    </w:p>
    <w:p>
      <w:pPr>
        <w:pStyle w:val="ListParagraph"/>
        <w:numPr>
          <w:ilvl w:val="0"/>
          <w:numId w:val="2"/>
        </w:numPr>
        <w:spacing w:after="70" w:line="270"/>
        <w:jc w:val="both"/>
      </w:pPr>
      <w:r>
        <w:t xml:space="preserve">Un modelo predictivo del volumen con intervalos de confianza para escenarios futuros.</w:t>
      </w:r>
    </w:p>
    <w:p>
      <w:pPr>
        <w:pStyle w:val="ListParagraph"/>
        <w:numPr>
          <w:ilvl w:val="0"/>
          <w:numId w:val="2"/>
        </w:numPr>
        <w:spacing w:after="70" w:line="270"/>
        <w:jc w:val="both"/>
      </w:pPr>
      <w:r>
        <w:t xml:space="preserve">Un conjunto de scripts y visualizaciones reproducibles, transferibles a otros embalses.</w:t>
      </w:r>
    </w:p>
    <w:p>
      <w:pPr>
        <w:pStyle w:val="Heading1"/>
        <w:spacing w:after="120" w:before="280"/>
      </w:pPr>
      <w:r>
        <w:rPr>
          <w:b/>
          <w:bCs/>
          <w:color w:val="1F3864"/>
        </w:rPr>
        <w:t xml:space="preserve">12. Consideraciones y limitaciones</w:t>
      </w:r>
    </w:p>
    <w:p>
      <w:pPr>
        <w:pStyle w:val="ListParagraph"/>
        <w:numPr>
          <w:ilvl w:val="0"/>
          <w:numId w:val="2"/>
        </w:numPr>
        <w:spacing w:after="70" w:line="270"/>
        <w:jc w:val="both"/>
      </w:pPr>
      <w:r>
        <w:rPr>
          <w:b/>
          <w:bCs/>
        </w:rPr>
        <w:t xml:space="preserve">Nubosidad:</w:t>
      </w:r>
      <w:r>
        <w:t xml:space="preserve"> la región presenta nubes frecuentes; el enmascaramiento reduce el número de fechas útiles y debe documentarse.</w:t>
      </w:r>
    </w:p>
    <w:p>
      <w:pPr>
        <w:pStyle w:val="ListParagraph"/>
        <w:numPr>
          <w:ilvl w:val="0"/>
          <w:numId w:val="2"/>
        </w:numPr>
        <w:spacing w:after="70" w:line="270"/>
        <w:jc w:val="both"/>
      </w:pPr>
      <w:r>
        <w:rPr>
          <w:b/>
          <w:bCs/>
        </w:rPr>
        <w:t xml:space="preserve">Relación área–volumen:</w:t>
      </w:r>
      <w:r>
        <w:t xml:space="preserve"> su exactitud es el eslabón crítico del proyecto; se validará explícitamente y se reportará su incertidumbre.</w:t>
      </w:r>
    </w:p>
    <w:p>
      <w:pPr>
        <w:pStyle w:val="ListParagraph"/>
        <w:numPr>
          <w:ilvl w:val="0"/>
          <w:numId w:val="2"/>
        </w:numPr>
        <w:spacing w:after="70" w:line="270"/>
        <w:jc w:val="both"/>
      </w:pPr>
      <w:r>
        <w:rPr>
          <w:b/>
          <w:bCs/>
        </w:rPr>
        <w:t xml:space="preserve">Horizonte de predicción:</w:t>
      </w:r>
      <w:r>
        <w:t xml:space="preserve"> los pronósticos son confiables solo dentro de un horizonte limitado, que se determinará empíricamente.</w:t>
      </w:r>
    </w:p>
    <w:p>
      <w:pPr>
        <w:pStyle w:val="Heading1"/>
        <w:spacing w:after="120" w:before="280"/>
      </w:pPr>
      <w:r>
        <w:rPr>
          <w:b/>
          <w:bCs/>
          <w:color w:val="1F3864"/>
        </w:rPr>
        <w:t xml:space="preserve">13. Referencias</w:t>
      </w:r>
    </w:p>
    <w:p>
      <w:pPr>
        <w:spacing w:after="100" w:line="264"/>
        <w:ind w:left="360" w:hanging="360"/>
        <w:jc w:val="both"/>
      </w:pPr>
      <w:r>
        <w:rPr>
          <w:sz w:val="20"/>
          <w:szCs w:val="20"/>
        </w:rPr>
        <w:t xml:space="preserve">McFeeters, S. K. (1996). The use of the Normalized Difference Water Index (NDWI) in the delineation of open water features. International Journal of Remote Sensing, 17(7), 1425–1432.</w:t>
      </w:r>
    </w:p>
    <w:p>
      <w:pPr>
        <w:spacing w:after="100" w:line="264"/>
        <w:ind w:left="360" w:hanging="360"/>
        <w:jc w:val="both"/>
      </w:pPr>
      <w:r>
        <w:rPr>
          <w:sz w:val="20"/>
          <w:szCs w:val="20"/>
        </w:rPr>
        <w:t xml:space="preserve">Xu, H. (2006). Modification of Normalised Difference Water Index (NDWI) to enhance open water features in remotely sensed imagery. International Journal of Remote Sensing, 27(14), 3025–3033.</w:t>
      </w:r>
    </w:p>
    <w:p>
      <w:pPr>
        <w:spacing w:after="100" w:line="264"/>
        <w:ind w:left="360" w:hanging="360"/>
        <w:jc w:val="both"/>
      </w:pPr>
      <w:r>
        <w:rPr>
          <w:sz w:val="20"/>
          <w:szCs w:val="20"/>
        </w:rPr>
        <w:t xml:space="preserve">Gorelick, N., et al. (2017). Google Earth Engine: Planetary-scale geospatial analysis for everyone. Remote Sensing of Environment, 202, 18–27.</w:t>
      </w:r>
    </w:p>
    <w:p>
      <w:pPr>
        <w:spacing w:after="100" w:line="264"/>
        <w:ind w:left="360" w:hanging="360"/>
        <w:jc w:val="both"/>
      </w:pPr>
      <w:r>
        <w:rPr>
          <w:sz w:val="20"/>
          <w:szCs w:val="20"/>
        </w:rPr>
        <w:t xml:space="preserve">U.S. Geological Survey (USGS). Landsat 8–9 Collection 2 Surface Reflectance. https://www.usgs.gov/landsat-missions</w:t>
      </w:r>
    </w:p>
    <w:p>
      <w:pPr>
        <w:spacing w:after="100" w:line="264"/>
        <w:ind w:left="360" w:hanging="360"/>
        <w:jc w:val="both"/>
      </w:pPr>
      <w:r>
        <w:rPr>
          <w:sz w:val="20"/>
          <w:szCs w:val="20"/>
        </w:rPr>
        <w:t xml:space="preserve">Comisión Nacional del Agua (CONAGUA). Sistema Nacional de Información del Agua (SINA), Monitoreo de Presas. https://sina.conagua.gob.mx/monitoreopresasrios/</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Calibri" w:cs="Calibri" w:eastAsia="Calibri" w:hAnsi="Calibri"/>
      <w:b/>
      <w:bCs/>
      <w:color w:val="1F3864"/>
      <w:sz w:val="30"/>
      <w:szCs w:val="30"/>
    </w:rPr>
  </w:style>
  <w:style w:type="paragraph" w:styleId="Heading2">
    <w:name w:val="Heading 2"/>
    <w:basedOn w:val="Normal"/>
    <w:next w:val="Normal"/>
    <w:qFormat/>
    <w:pPr>
      <w:spacing w:after="80" w:before="180"/>
    </w:pPr>
    <w:rPr>
      <w:rFonts w:ascii="Calibri" w:cs="Calibri" w:eastAsia="Calibri" w:hAnsi="Calibri"/>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 Presa Vicente Guerrero (Las Adjuntas)</dc:title>
  <dc:creator>Protocolo de investigación</dc:creator>
  <cp:lastModifiedBy>Un-named</cp:lastModifiedBy>
  <cp:revision>1</cp:revision>
  <dcterms:created xsi:type="dcterms:W3CDTF">2026-08-19T02:18:23.320Z</dcterms:created>
  <dcterms:modified xsi:type="dcterms:W3CDTF">2026-08-19T02:18:23.321Z</dcterms:modified>
</cp:coreProperties>
</file>

<file path=docProps/custom.xml><?xml version="1.0" encoding="utf-8"?>
<Properties xmlns="http://schemas.openxmlformats.org/officeDocument/2006/custom-properties" xmlns:vt="http://schemas.openxmlformats.org/officeDocument/2006/docPropsVTypes"/>
</file>