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91tdvlpyc6y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Achieving Data Sovereignty for EU Enterprises Through European Cloud Infrastructure: A Comparative Analysis of Technical Capabilities and Regulatory Compliance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H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igh level Scope</w:t>
      </w:r>
      <w:r w:rsidDel="00000000" w:rsidR="00000000" w:rsidRPr="00000000">
        <w:rPr>
          <w:rtl w:val="0"/>
        </w:rPr>
        <w:t xml:space="preserve"> of this research across the 3 phases: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Phase 1: Research, Compliance, selection processes &amp; cloud Readiness Assessment (30%)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Phase 2: Provider Evaluation &amp; Benchmarking (40%)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Phase 3: Deployment (30%)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1: Research, Compliance, selection processes &amp; cloud readiness Assessment 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- Legal &amp; compliance foundation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GDPR, Schrems II, CLOUD Act, FISA 702 analysis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Core argument: US-incorporated providers cannot guarantee sovereignty regardless of data center location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AWS as the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only </w:t>
      </w:r>
      <w:r w:rsidDel="00000000" w:rsidR="00000000" w:rsidRPr="00000000">
        <w:rPr>
          <w:i w:val="1"/>
          <w:iCs w:val="1"/>
          <w:rtl w:val="0"/>
        </w:rPr>
        <w:t xml:space="preserve">baseline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144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EU Alternatives: </w:t>
      </w:r>
    </w:p>
    <w:p w:rsidR="00000000" w:rsidDel="00000000" w:rsidP="00000000" w:rsidRDefault="00000000" w:rsidRPr="00000000" w14:paraId="0000000F">
      <w:pPr>
        <w:ind w:left="2160" w:hanging="360"/>
        <w:rPr>
          <w:i w:val="1"/>
          <w:iCs w:val="1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STACKIT (Schwarz Group)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UpCloud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IONOS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Exoscale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Elastx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Hetzner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OVHCloud / Gridscale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Scaleway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ind w:left="216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Arvato systems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T-Systems Open Telekom Cloud 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Plusserver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Noris Network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Cleura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Infomaniak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ind w:left="216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Nine 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Fuga Cloud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ind w:left="2160" w:hanging="360"/>
        <w:rPr>
          <w:i w:val="1"/>
          <w:iCs w:val="1"/>
          <w:u w:val="none"/>
        </w:rPr>
        <w:sectPr>
          <w:type w:val="continuous"/>
          <w:pgSz w:h="16834" w:w="11909" w:orient="portrait"/>
          <w:pgMar w:bottom="1440" w:top="1440" w:left="1440" w:right="1440" w:header="720" w:footer="720"/>
          <w:cols w:equalWidth="0" w:num="2">
            <w:col w:space="720" w:w="4152.74"/>
            <w:col w:space="0" w:w="4152.74"/>
          </w:cols>
        </w:sectPr>
      </w:pPr>
      <w:r w:rsidDel="00000000" w:rsidR="00000000" w:rsidRPr="00000000">
        <w:rPr>
          <w:i w:val="1"/>
          <w:iCs w:val="1"/>
          <w:rtl w:val="0"/>
        </w:rPr>
        <w:t xml:space="preserve">local-hosting (locally hosted)</w:t>
      </w:r>
    </w:p>
    <w:p w:rsidR="00000000" w:rsidDel="00000000" w:rsidP="00000000" w:rsidRDefault="00000000" w:rsidRPr="00000000" w14:paraId="00000021">
      <w:pPr>
        <w:ind w:left="144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  <w:t xml:space="preserve">- Europeanness Scoring Framework</w:t>
      </w:r>
    </w:p>
    <w:p w:rsidR="00000000" w:rsidDel="00000000" w:rsidP="00000000" w:rsidRDefault="00000000" w:rsidRPr="00000000" w14:paraId="00000023">
      <w:pPr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Reference this weighting system from </w:t>
      </w:r>
      <w:hyperlink r:id="rId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EUROPEAN COMMISSION  - DIRECTORATE-GENERAL FOR DIGITAL SERVICES 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Develop a scoring matrix system to filter and rank EU providers based on: 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Legal incorporation 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ownership structure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Data center locations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Compliance certifications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Independence from US hyperscalers</w:t>
      </w:r>
    </w:p>
    <w:p w:rsidR="00000000" w:rsidDel="00000000" w:rsidP="00000000" w:rsidRDefault="00000000" w:rsidRPr="00000000" w14:paraId="0000002A">
      <w:pPr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rtl w:val="0"/>
        </w:rPr>
        <w:t xml:space="preserve">- European Cloud Readiness Assessment </w:t>
      </w:r>
    </w:p>
    <w:p w:rsidR="00000000" w:rsidDel="00000000" w:rsidP="00000000" w:rsidRDefault="00000000" w:rsidRPr="00000000" w14:paraId="0000002C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Establishing a visual line-chart comparison of AWS and these EU providers capabilities across dimensions such as: 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Infrastructure (compute, storage, networking)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Scalability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Performance (response time, availability SLAs)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Feature set — clustered into meaningful blocks matching the AWS product categories from the checklist (Application, Compute, Storage, DB, Networking, AI/ML, Security, Monitoring, Dev/Deploy, IoT, Messaging)</w:t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2: Provider Evaluation &amp; Benchmarking</w:t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  <w:t xml:space="preserve">-Technical benchmarking 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Providers: top scorers from Phase 1 + AWS as baseline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Create instances on each providers, retrieve the metrics and measurements (CPU (sysbench), storage (fio), network (iperf3), etc…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144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Export results to Excel/CSV &amp; evaluate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-Measurement &amp; Metrics Evaluation</w:t>
      </w:r>
    </w:p>
    <w:p w:rsidR="00000000" w:rsidDel="00000000" w:rsidP="00000000" w:rsidRDefault="00000000" w:rsidRPr="00000000" w14:paraId="00000039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Based on the retrieved benchmarks, readiness assessment, and the Alps Alpine infrastructure checklist, evaluate each provider against the company's actual requirements:</w:t>
      </w:r>
    </w:p>
    <w:p w:rsidR="00000000" w:rsidDel="00000000" w:rsidP="00000000" w:rsidRDefault="00000000" w:rsidRPr="00000000" w14:paraId="0000003A">
      <w:pPr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144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Did the provider meet performance expectations?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144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Does the provider's service catalogue cover what the department needs? (mapped against the checklist: Compute, Storage, DB, Networking, AI/ML, Security, Monitoring, IoT, Messaging)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1440" w:hanging="360"/>
        <w:rPr>
          <w:i w:val="1"/>
          <w:iCs w:val="1"/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LLM self-hosting feasibility: does the provider have the infrastructure prerequisites to host a locally deployed LLM? (GPU availability, ML tooling, storage throughput) — analytical assessment, not a live deployment</w:t>
      </w:r>
    </w:p>
    <w:p w:rsidR="00000000" w:rsidDel="00000000" w:rsidP="00000000" w:rsidRDefault="00000000" w:rsidRPr="00000000" w14:paraId="0000003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0" w:firstLine="0"/>
        <w:rPr/>
      </w:pPr>
      <w:r w:rsidDel="00000000" w:rsidR="00000000" w:rsidRPr="00000000">
        <w:rPr>
          <w:rtl w:val="0"/>
        </w:rPr>
        <w:t xml:space="preserve">- Final outcome</w:t>
      </w:r>
    </w:p>
    <w:p w:rsidR="00000000" w:rsidDel="00000000" w:rsidP="00000000" w:rsidRDefault="00000000" w:rsidRPr="00000000" w14:paraId="00000040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Establishing a clear ranking EU provider based on</w:t>
      </w:r>
      <w:r w:rsidDel="00000000" w:rsidR="00000000" w:rsidRPr="00000000">
        <w:rPr>
          <w:i w:val="1"/>
          <w:iCs w:val="1"/>
          <w:u w:val="single"/>
          <w:rtl w:val="0"/>
        </w:rPr>
        <w:t xml:space="preserve"> Europeaness scoring syste</w:t>
      </w:r>
      <w:r w:rsidDel="00000000" w:rsidR="00000000" w:rsidRPr="00000000">
        <w:rPr>
          <w:i w:val="1"/>
          <w:iCs w:val="1"/>
          <w:rtl w:val="0"/>
        </w:rPr>
        <w:t xml:space="preserve">m, </w:t>
      </w:r>
      <w:r w:rsidDel="00000000" w:rsidR="00000000" w:rsidRPr="00000000">
        <w:rPr>
          <w:i w:val="1"/>
          <w:iCs w:val="1"/>
          <w:u w:val="single"/>
          <w:rtl w:val="0"/>
        </w:rPr>
        <w:t xml:space="preserve">readiness assessmen</w:t>
      </w:r>
      <w:r w:rsidDel="00000000" w:rsidR="00000000" w:rsidRPr="00000000">
        <w:rPr>
          <w:i w:val="1"/>
          <w:iCs w:val="1"/>
          <w:rtl w:val="0"/>
        </w:rPr>
        <w:t xml:space="preserve">t, &amp; </w:t>
      </w:r>
      <w:r w:rsidDel="00000000" w:rsidR="00000000" w:rsidRPr="00000000">
        <w:rPr>
          <w:i w:val="1"/>
          <w:iCs w:val="1"/>
          <w:u w:val="single"/>
          <w:rtl w:val="0"/>
        </w:rPr>
        <w:t xml:space="preserve">Technical benchmarkin</w:t>
      </w:r>
      <w:r w:rsidDel="00000000" w:rsidR="00000000" w:rsidRPr="00000000">
        <w:rPr>
          <w:i w:val="1"/>
          <w:iCs w:val="1"/>
          <w:rtl w:val="0"/>
        </w:rPr>
        <w:t xml:space="preserve">g </w:t>
      </w:r>
    </w:p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3: Deployment </w:t>
      </w:r>
    </w:p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  <w:t xml:space="preserve">-Deployment happens after a clear high ranking EU provider is achieved. </w:t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-One of these will be deployed 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Deploy a self-hosted AI LLM to the top-ranked provider </w:t>
      </w:r>
    </w:p>
    <w:p w:rsidR="00000000" w:rsidDel="00000000" w:rsidP="00000000" w:rsidRDefault="00000000" w:rsidRPr="00000000" w14:paraId="00000047">
      <w:pPr>
        <w:ind w:left="72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color w:val="666666"/>
          <w:rtl w:val="0"/>
        </w:rPr>
        <w:t xml:space="preserve">(why would this be a good experiment?  Currently the department is exploring NOT relying on public AI for </w:t>
      </w:r>
      <w:r w:rsidDel="00000000" w:rsidR="00000000" w:rsidRPr="00000000">
        <w:rPr>
          <w:i w:val="1"/>
          <w:iCs w:val="1"/>
          <w:color w:val="666666"/>
          <w:u w:val="single"/>
          <w:rtl w:val="0"/>
        </w:rPr>
        <w:t xml:space="preserve">data security</w:t>
      </w:r>
      <w:r w:rsidDel="00000000" w:rsidR="00000000" w:rsidRPr="00000000">
        <w:rPr>
          <w:i w:val="1"/>
          <w:iCs w:val="1"/>
          <w:color w:val="666666"/>
          <w:rtl w:val="0"/>
        </w:rPr>
        <w:t xml:space="preserve"> reasons.</w:t>
      </w:r>
      <w:r w:rsidDel="00000000" w:rsidR="00000000" w:rsidRPr="00000000">
        <w:rPr>
          <w:i w:val="1"/>
          <w:iCs w:val="1"/>
          <w:color w:val="666666"/>
          <w:rtl w:val="0"/>
        </w:rPr>
        <w:t xml:space="preserve"> and would like to explore the possibilities of hosting a locally trained LLM. This can be a good example to be deployed to the top-ranked provider as a valid sovereignty argument)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Deploy Odin camera workload </w:t>
      </w:r>
      <w:r w:rsidDel="00000000" w:rsidR="00000000" w:rsidRPr="00000000">
        <w:rPr>
          <w:i w:val="1"/>
          <w:iCs w:val="1"/>
          <w:color w:val="666666"/>
          <w:rtl w:val="0"/>
        </w:rPr>
        <w:t xml:space="preserve">(original proposal)</w:t>
      </w:r>
    </w:p>
    <w:p w:rsidR="00000000" w:rsidDel="00000000" w:rsidP="00000000" w:rsidRDefault="00000000" w:rsidRPr="00000000" w14:paraId="00000049">
      <w:pPr>
        <w:ind w:left="0" w:firstLine="0"/>
        <w:rPr/>
      </w:pPr>
      <w:r w:rsidDel="00000000" w:rsidR="00000000" w:rsidRPr="00000000">
        <w:rPr>
          <w:i w:val="1"/>
          <w:iCs w:val="1"/>
          <w:rtl w:val="0"/>
        </w:rPr>
        <w:t xml:space="preserve">-</w:t>
      </w:r>
      <w:r w:rsidDel="00000000" w:rsidR="00000000" w:rsidRPr="00000000">
        <w:rPr>
          <w:rtl w:val="0"/>
        </w:rPr>
        <w:t xml:space="preserve">Operational friction log </w:t>
      </w:r>
      <w:r w:rsidDel="00000000" w:rsidR="00000000" w:rsidRPr="00000000">
        <w:rPr>
          <w:i w:val="1"/>
          <w:iCs w:val="1"/>
          <w:rtl w:val="0"/>
        </w:rPr>
        <w:t xml:space="preserve">(keep a record of all issues encountered)</w:t>
      </w:r>
      <w:r w:rsidDel="00000000" w:rsidR="00000000" w:rsidRPr="00000000">
        <w:rPr>
          <w:rtl w:val="0"/>
        </w:rPr>
      </w:r>
    </w:p>
    <w:sectPr>
      <w:type w:val="continuous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ommission.europa.eu/document/download/09579818-64a6-4dd5-9577-446ab6219113_en?bcs-agent-scanner=bbbbbb90-7aab-074c-8fb1-c6d93acca7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