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nahj-final-developer-reference"/>
    <w:p>
      <w:pPr>
        <w:pStyle w:val="Heading1"/>
        <w:keepNext/>
        <w:keepLines/>
      </w:pPr>
      <w:r>
        <w:t xml:space="preserve">Nahj — Final Developer Reference</w:t>
      </w:r>
    </w:p>
    <w:p>
      <w:pPr>
        <w:pStyle w:val="FirstParagraph"/>
      </w:pPr>
      <w:r>
        <w:rPr>
          <w:b/>
          <w:bCs/>
        </w:rPr>
        <w:t xml:space="preserve">Version 2.0 · Approved implementation baseline · Indonesia V1</w:t>
      </w:r>
      <w:r>
        <w:br/>
      </w:r>
      <w:r>
        <w:rPr>
          <w:b/>
          <w:bCs/>
        </w:rPr>
        <w:t xml:space="preserve">Domain:</w:t>
      </w:r>
      <w:r>
        <w:t xml:space="preserve"> </w:t>
      </w:r>
      <w:r>
        <w:t xml:space="preserve">https://nahj.ryam.app</w:t>
      </w:r>
      <w:r>
        <w:br/>
      </w:r>
      <w:r>
        <w:rPr>
          <w:b/>
          <w:bCs/>
        </w:rPr>
        <w:t xml:space="preserve">Companion:</w:t>
      </w:r>
      <w:r>
        <w:t xml:space="preserve"> </w:t>
      </w:r>
      <w:r>
        <w:t xml:space="preserve">Nahj_Complete_UX_Specification.md</w:t>
      </w:r>
      <w:r>
        <w:br/>
      </w:r>
      <w:r>
        <w:rPr>
          <w:b/>
          <w:bCs/>
        </w:rPr>
        <w:t xml:space="preserve">Audience:</w:t>
      </w:r>
      <w:r>
        <w:t xml:space="preserve"> </w:t>
      </w:r>
      <w:r>
        <w:t xml:space="preserve">Frontend, backend, mobile, QA, finance and operations</w:t>
      </w:r>
    </w:p>
    <w:p>
      <w:pPr>
        <w:pStyle w:val="BodyText"/>
      </w:pPr>
      <w:r>
        <w:t xml:space="preserve">The Product Logic Review and D01–D10 are approved. This is the implementation reference; the UX document owns layouts, controls and copy. Statements below are requirements, not proposals. The 30-minute fulfillment window starts when the backend confirms the successful winning payment. Configuration is versioned data, not a reason to reopen approved decisions.</w:t>
      </w:r>
    </w:p>
    <w:bookmarkStart w:id="20" w:name="fixed-rules-and-authority"/>
    <w:p>
      <w:pPr>
        <w:pStyle w:val="Heading2"/>
        <w:keepNext/>
        <w:keepLines/>
      </w:pPr>
      <w:r>
        <w:t xml:space="preserve">1. Fixed rules and authority</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5"/>
              </w:rPr>
              <w:t xml:space="preserve">Rule</w:t>
            </w:r>
          </w:p>
        </w:tc>
        <w:tc>
          <w:tcPr>
            <w:vAlign w:val="top"/>
            <w:tcMar>
              <w:top w:w="55" w:type="dxa"/>
              <w:left w:w="70" w:type="dxa"/>
              <w:bottom w:w="55" w:type="dxa"/>
              <w:right w:w="70" w:type="dxa"/>
            </w:tcMar>
            <w:shd w:fill="E9E3F6"/>
          </w:tcPr>
          <w:p>
            <w:pPr>
              <w:pStyle w:val="Compact"/>
              <w:spacing w:before="0" w:after="30" w:line="240" w:lineRule="auto"/>
              <w:jc w:val="left"/>
            </w:pPr>
            <w:r>
              <w:rPr>
                <w:b/>
                <w:sz w:val="15"/>
              </w:rPr>
              <w:t xml:space="preserve">Implementation</w:t>
            </w:r>
          </w:p>
        </w:tc>
      </w:tr>
      <w:tr>
        <w:tc>
          <w:tcPr>
            <w:vAlign w:val="top"/>
            <w:tcMar>
              <w:top w:w="55" w:type="dxa"/>
              <w:left w:w="70" w:type="dxa"/>
              <w:bottom w:w="55" w:type="dxa"/>
              <w:right w:w="70" w:type="dxa"/>
            </w:tcMar>
          </w:tcPr>
          <w:p>
            <w:pPr>
              <w:pStyle w:val="Compact"/>
              <w:spacing w:before="0" w:after="30" w:line="240" w:lineRule="auto"/>
              <w:jc w:val="left"/>
            </w:pPr>
            <w:r>
              <w:rPr>
                <w:sz w:val="15"/>
              </w:rPr>
              <w:t xml:space="preserve">Accounts / payment</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Use the existing Nahj account ID across web and app. Buyer authenticates before payment. Nahj receives all subscription payments; seller never collects outside the system.</w:t>
            </w:r>
          </w:p>
        </w:tc>
      </w:tr>
      <w:tr>
        <w:tc>
          <w:tcPr>
            <w:vAlign w:val="top"/>
            <w:tcMar>
              <w:top w:w="55" w:type="dxa"/>
              <w:left w:w="70" w:type="dxa"/>
              <w:bottom w:w="55" w:type="dxa"/>
              <w:right w:w="70" w:type="dxa"/>
            </w:tcMar>
          </w:tcPr>
          <w:p>
            <w:pPr>
              <w:pStyle w:val="Compact"/>
              <w:spacing w:before="0" w:after="30" w:line="240" w:lineRule="auto"/>
              <w:jc w:val="left"/>
            </w:pPr>
            <w:r>
              <w:rPr>
                <w:sz w:val="15"/>
              </w:rPr>
              <w:t xml:space="preserve">Market / catalog</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Indonesia and IDR in V1. City is seller discovery only; sellers serve the whole market. Monthly and Yearly are prepaid, without automatic renewal; Lifetime is one-time. Load exact coverage and prices from catalog.</w:t>
            </w:r>
          </w:p>
        </w:tc>
      </w:tr>
      <w:tr>
        <w:tc>
          <w:tcPr>
            <w:vAlign w:val="top"/>
            <w:tcMar>
              <w:top w:w="55" w:type="dxa"/>
              <w:left w:w="70" w:type="dxa"/>
              <w:bottom w:w="55" w:type="dxa"/>
              <w:right w:w="70" w:type="dxa"/>
            </w:tcMar>
          </w:tcPr>
          <w:p>
            <w:pPr>
              <w:pStyle w:val="Compact"/>
              <w:spacing w:before="0" w:after="30" w:line="240" w:lineRule="auto"/>
              <w:jc w:val="left"/>
            </w:pPr>
            <w:r>
              <w:rPr>
                <w:sz w:val="15"/>
              </w:rPr>
              <w:t xml:space="preserve">Quantity / delivery</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One paid unit = one entitlement. Direct activation requires quantity 1. Any quantity may use codes; quantity &gt;1 must use codes. No seller code inventory before payment.</w:t>
            </w:r>
          </w:p>
        </w:tc>
      </w:tr>
      <w:tr>
        <w:tc>
          <w:tcPr>
            <w:vAlign w:val="top"/>
            <w:tcMar>
              <w:top w:w="55" w:type="dxa"/>
              <w:left w:w="70" w:type="dxa"/>
              <w:bottom w:w="55" w:type="dxa"/>
              <w:right w:w="70" w:type="dxa"/>
            </w:tcMar>
          </w:tcPr>
          <w:p>
            <w:pPr>
              <w:pStyle w:val="Compact"/>
              <w:spacing w:before="0" w:after="30" w:line="240" w:lineRule="auto"/>
              <w:jc w:val="left"/>
            </w:pPr>
            <w:r>
              <w:rPr>
                <w:sz w:val="15"/>
              </w:rPr>
              <w:t xml:space="preserve">Attribution / snapshots</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Seller is fixed per order. Freeze buyer, seller, plan/coverage version, quantity, market, currency, unit/total price, commission/referral allocations/rates, fulfillment choice and accepted policy versions. Payment method belongs to each attempt.</w:t>
            </w:r>
          </w:p>
        </w:tc>
      </w:tr>
      <w:tr>
        <w:tc>
          <w:tcPr>
            <w:vAlign w:val="top"/>
            <w:tcMar>
              <w:top w:w="55" w:type="dxa"/>
              <w:left w:w="70" w:type="dxa"/>
              <w:bottom w:w="55" w:type="dxa"/>
              <w:right w:w="70" w:type="dxa"/>
            </w:tcMar>
          </w:tcPr>
          <w:p>
            <w:pPr>
              <w:pStyle w:val="Compact"/>
              <w:spacing w:before="0" w:after="30" w:line="240" w:lineRule="auto"/>
              <w:jc w:val="left"/>
            </w:pPr>
            <w:r>
              <w:rPr>
                <w:sz w:val="15"/>
              </w:rPr>
              <w:t xml:space="preserve">Source of truth</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Backend owns payment status, eligibility, entitlement access, code validity, price, commission, wallet, withdrawal permission, referral qualification and allowed actions. Frontend timers/redirects/notifications never change these.</w:t>
            </w:r>
          </w:p>
        </w:tc>
      </w:tr>
      <w:tr>
        <w:tc>
          <w:tcPr>
            <w:vAlign w:val="top"/>
            <w:tcMar>
              <w:top w:w="55" w:type="dxa"/>
              <w:left w:w="70" w:type="dxa"/>
              <w:bottom w:w="55" w:type="dxa"/>
              <w:right w:w="70" w:type="dxa"/>
            </w:tcMar>
          </w:tcPr>
          <w:p>
            <w:pPr>
              <w:pStyle w:val="Compact"/>
              <w:spacing w:before="0" w:after="30" w:line="240" w:lineRule="auto"/>
              <w:jc w:val="left"/>
            </w:pPr>
            <w:r>
              <w:rPr>
                <w:sz w:val="15"/>
              </w:rPr>
              <w:t xml:space="preserve">Time</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Store UTC. Display seller reports/referral months in Asia/Jakarta. Keep provider settlement time separate from backend payment-confirmation time.</w:t>
            </w:r>
          </w:p>
        </w:tc>
      </w:tr>
    </w:tbl>
    <w:bookmarkEnd w:id="20"/>
    <w:bookmarkStart w:id="21" w:name="roles-and-permissions"/>
    <w:p>
      <w:pPr>
        <w:pStyle w:val="Heading2"/>
        <w:keepNext/>
        <w:keepLines/>
      </w:pPr>
      <w:r>
        <w:t xml:space="preserve">2. Roles and permissions</w:t>
      </w:r>
    </w:p>
    <w:p>
      <w:pPr>
        <w:pStyle w:val="FirstParagraph"/>
      </w:pPr>
      <w:r>
        <w:t xml:space="preserve">Authorize every API, export, attachment and sensitive reveal by capability, market and entity relationship. UI hiding is not authorization.</w:t>
      </w:r>
    </w:p>
    <w:tbl>
      <w:tblPr>
        <w:tblStyle w:val="TableGrid"/>
        <w:tblW w:type="pct" w:w="5000"/>
        <w:jc w:val="center"/>
        <w:tblLayout w:type="autofit"/>
        <w:tblLook w:firstRow="1" w:lastRow="0" w:firstColumn="0" w:lastColumn="0" w:noHBand="0" w:noVBand="0" w:val="0020"/>
      </w:tblPr>
      <w:tblGrid>
        <w:gridCol w:w="2640"/>
        <w:gridCol w:w="2640"/>
        <w:gridCol w:w="264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5"/>
              </w:rPr>
              <w:t xml:space="preserve">Actor</w:t>
            </w:r>
          </w:p>
        </w:tc>
        <w:tc>
          <w:tcPr>
            <w:vAlign w:val="top"/>
            <w:tcMar>
              <w:top w:w="55" w:type="dxa"/>
              <w:left w:w="70" w:type="dxa"/>
              <w:bottom w:w="55" w:type="dxa"/>
              <w:right w:w="70" w:type="dxa"/>
            </w:tcMar>
            <w:shd w:fill="E9E3F6"/>
          </w:tcPr>
          <w:p>
            <w:pPr>
              <w:pStyle w:val="Compact"/>
              <w:spacing w:before="0" w:after="30" w:line="240" w:lineRule="auto"/>
              <w:jc w:val="left"/>
            </w:pPr>
            <w:r>
              <w:rPr>
                <w:b/>
                <w:sz w:val="15"/>
              </w:rPr>
              <w:t xml:space="preserve">Allowed scope</w:t>
            </w:r>
          </w:p>
        </w:tc>
        <w:tc>
          <w:tcPr>
            <w:vAlign w:val="top"/>
            <w:tcMar>
              <w:top w:w="55" w:type="dxa"/>
              <w:left w:w="70" w:type="dxa"/>
              <w:bottom w:w="55" w:type="dxa"/>
              <w:right w:w="70" w:type="dxa"/>
            </w:tcMar>
            <w:shd w:fill="E9E3F6"/>
          </w:tcPr>
          <w:p>
            <w:pPr>
              <w:pStyle w:val="Compact"/>
              <w:spacing w:before="0" w:after="30" w:line="240" w:lineRule="auto"/>
              <w:jc w:val="left"/>
            </w:pPr>
            <w:r>
              <w:rPr>
                <w:b/>
                <w:sz w:val="15"/>
              </w:rPr>
              <w:t xml:space="preserve">Prohibited / protected operations</w:t>
            </w:r>
          </w:p>
        </w:tc>
      </w:tr>
      <w:tr>
        <w:tc>
          <w:tcPr>
            <w:vAlign w:val="top"/>
            <w:tcMar>
              <w:top w:w="55" w:type="dxa"/>
              <w:left w:w="70" w:type="dxa"/>
              <w:bottom w:w="55" w:type="dxa"/>
              <w:right w:w="70" w:type="dxa"/>
            </w:tcMar>
          </w:tcPr>
          <w:p>
            <w:pPr>
              <w:pStyle w:val="Compact"/>
              <w:spacing w:before="0" w:after="30" w:line="240" w:lineRule="auto"/>
              <w:jc w:val="left"/>
            </w:pPr>
            <w:r>
              <w:rPr>
                <w:sz w:val="15"/>
              </w:rPr>
              <w:t xml:space="preserve">Customer</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Own orders/codes; pay; redeem onto own account; own grants; support/refund requests</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Cannot set payment status, view another buyer’s invoice/codes or identify another code recipient.</w:t>
            </w:r>
          </w:p>
        </w:tc>
      </w:tr>
      <w:tr>
        <w:tc>
          <w:tcPr>
            <w:vAlign w:val="top"/>
            <w:tcMar>
              <w:top w:w="55" w:type="dxa"/>
              <w:left w:w="70" w:type="dxa"/>
              <w:bottom w:w="55" w:type="dxa"/>
              <w:right w:w="70" w:type="dxa"/>
            </w:tcMar>
          </w:tcPr>
          <w:p>
            <w:pPr>
              <w:pStyle w:val="Compact"/>
              <w:spacing w:before="0" w:after="30" w:line="240" w:lineRule="auto"/>
              <w:jc w:val="left"/>
            </w:pPr>
            <w:r>
              <w:rPr>
                <w:sz w:val="15"/>
              </w:rPr>
              <w:t xml:space="preserve">Seller</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Own attributed sales; create/share requests; fulfill eligible paid orders; masked customer support; own ledger/withdrawals/referrals</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No customer passwords/child data/unrelated sales; cannot approve refund, change buyer, price or posted balance.</w:t>
            </w:r>
          </w:p>
        </w:tc>
      </w:tr>
      <w:tr>
        <w:tc>
          <w:tcPr>
            <w:vAlign w:val="top"/>
            <w:tcMar>
              <w:top w:w="55" w:type="dxa"/>
              <w:left w:w="70" w:type="dxa"/>
              <w:bottom w:w="55" w:type="dxa"/>
              <w:right w:w="70" w:type="dxa"/>
            </w:tcMar>
          </w:tcPr>
          <w:p>
            <w:pPr>
              <w:pStyle w:val="Compact"/>
              <w:spacing w:before="0" w:after="30" w:line="240" w:lineRule="auto"/>
              <w:jc w:val="left"/>
            </w:pPr>
            <w:r>
              <w:rPr>
                <w:sz w:val="15"/>
              </w:rPr>
              <w:t xml:space="preserve">Support</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Scoped orders/accounts/grants/cases; authorized unused-code replacement; recovery requests</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Finance execution and ledger adjustment require separate capabilities.</w:t>
            </w:r>
          </w:p>
        </w:tc>
      </w:tr>
      <w:tr>
        <w:tc>
          <w:tcPr>
            <w:vAlign w:val="top"/>
            <w:tcMar>
              <w:top w:w="55" w:type="dxa"/>
              <w:left w:w="70" w:type="dxa"/>
              <w:bottom w:w="55" w:type="dxa"/>
              <w:right w:w="70" w:type="dxa"/>
            </w:tcMar>
          </w:tcPr>
          <w:p>
            <w:pPr>
              <w:pStyle w:val="Compact"/>
              <w:spacing w:before="0" w:after="30" w:line="240" w:lineRule="auto"/>
              <w:jc w:val="left"/>
            </w:pPr>
            <w:r>
              <w:rPr>
                <w:sz w:val="15"/>
              </w:rPr>
              <w:t xml:space="preserve">Finance</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Reconcile payments; approve/process refunds and withdrawals; disputes; scoped financial holds and ledger reports</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No silent balance edit; exceptional adjustments require independent approval; cannot approve own exceptional transaction.</w:t>
            </w:r>
          </w:p>
        </w:tc>
      </w:tr>
      <w:tr>
        <w:tc>
          <w:tcPr>
            <w:vAlign w:val="top"/>
            <w:tcMar>
              <w:top w:w="55" w:type="dxa"/>
              <w:left w:w="70" w:type="dxa"/>
              <w:bottom w:w="55" w:type="dxa"/>
              <w:right w:w="70" w:type="dxa"/>
            </w:tcMar>
          </w:tcPr>
          <w:p>
            <w:pPr>
              <w:pStyle w:val="Compact"/>
              <w:spacing w:before="0" w:after="30" w:line="240" w:lineRule="auto"/>
              <w:jc w:val="left"/>
            </w:pPr>
            <w:r>
              <w:rPr>
                <w:sz w:val="15"/>
              </w:rPr>
              <w:t xml:space="preserve">Seller Management</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Applications/public profiles; seller operating status; scoped listing/new-sales holds</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Withdrawal/commission holds require financial capability.</w:t>
            </w:r>
          </w:p>
        </w:tc>
      </w:tr>
      <w:tr>
        <w:tc>
          <w:tcPr>
            <w:vAlign w:val="top"/>
            <w:tcMar>
              <w:top w:w="55" w:type="dxa"/>
              <w:left w:w="70" w:type="dxa"/>
              <w:bottom w:w="55" w:type="dxa"/>
              <w:right w:w="70" w:type="dxa"/>
            </w:tcMar>
          </w:tcPr>
          <w:p>
            <w:pPr>
              <w:pStyle w:val="Compact"/>
              <w:spacing w:before="0" w:after="30" w:line="240" w:lineRule="auto"/>
              <w:jc w:val="left"/>
            </w:pPr>
            <w:r>
              <w:rPr>
                <w:sz w:val="15"/>
              </w:rPr>
              <w:t xml:space="preserve">Super Admin</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Versioned prices, commissions, referral rules, markets, staff permissions; explicitly granted operational capabilities</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MFA and audit apply; cannot bypass independent approval by being the initiator.</w:t>
            </w:r>
          </w:p>
        </w:tc>
      </w:tr>
      <w:tr>
        <w:tc>
          <w:tcPr>
            <w:vAlign w:val="top"/>
            <w:tcMar>
              <w:top w:w="55" w:type="dxa"/>
              <w:left w:w="70" w:type="dxa"/>
              <w:bottom w:w="55" w:type="dxa"/>
              <w:right w:w="70" w:type="dxa"/>
            </w:tcMar>
          </w:tcPr>
          <w:p>
            <w:pPr>
              <w:pStyle w:val="Compact"/>
              <w:spacing w:before="0" w:after="30" w:line="240" w:lineRule="auto"/>
              <w:jc w:val="left"/>
            </w:pPr>
            <w:r>
              <w:rPr>
                <w:sz w:val="15"/>
              </w:rPr>
              <w:t xml:space="preserve">System worker</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Narrow service capabilities for reconciliation, fulfillment, maturity, referral close and delivery</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Uses the same validated commands and audit model; no unrestricted</w:t>
            </w:r>
            <w:r>
              <w:rPr>
                <w:sz w:val="15"/>
              </w:rPr>
              <w:t xml:space="preserve"> </w:t>
            </w:r>
            <w:r>
              <w:rPr>
                <w:sz w:val="15"/>
              </w:rPr>
              <w:t xml:space="preserve">“</w:t>
            </w:r>
            <w:r>
              <w:rPr>
                <w:sz w:val="15"/>
              </w:rPr>
              <w:t xml:space="preserve">admin</w:t>
            </w:r>
            <w:r>
              <w:rPr>
                <w:sz w:val="15"/>
              </w:rPr>
              <w:t xml:space="preserve">”</w:t>
            </w:r>
            <w:r>
              <w:rPr>
                <w:sz w:val="15"/>
              </w:rPr>
              <w:t xml:space="preserve"> </w:t>
            </w:r>
            <w:r>
              <w:rPr>
                <w:sz w:val="15"/>
              </w:rPr>
              <w:t xml:space="preserve">shortcut.</w:t>
            </w:r>
          </w:p>
        </w:tc>
      </w:tr>
    </w:tbl>
    <w:p>
      <w:pPr>
        <w:pStyle w:val="BodyText"/>
      </w:pPr>
      <w:r>
        <w:t xml:space="preserve">Seller pause hides the directory listing only; direct links and Create Sale remain usable. Suspension blocks new requests/orders/payment attempts and directory visibility. History, support and valid paid obligations remain accessible; valid late settlement of an existing attempt is still processed unless an explicit scoped risk hold applies. Withdrawal hold is independent. No automatic confiscation.</w:t>
      </w:r>
    </w:p>
    <w:bookmarkEnd w:id="21"/>
    <w:bookmarkStart w:id="22" w:name="main-entities-and-constraints"/>
    <w:p>
      <w:pPr>
        <w:pStyle w:val="Heading2"/>
        <w:keepNext/>
        <w:keepLines/>
      </w:pPr>
      <w:r>
        <w:t xml:space="preserve">3. Main entities and constraints</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5"/>
              </w:rPr>
              <w:t xml:space="preserve">Entity</w:t>
            </w:r>
          </w:p>
        </w:tc>
        <w:tc>
          <w:tcPr>
            <w:vAlign w:val="top"/>
            <w:tcMar>
              <w:top w:w="55" w:type="dxa"/>
              <w:left w:w="70" w:type="dxa"/>
              <w:bottom w:w="55" w:type="dxa"/>
              <w:right w:w="70" w:type="dxa"/>
            </w:tcMar>
            <w:shd w:fill="E9E3F6"/>
          </w:tcPr>
          <w:p>
            <w:pPr>
              <w:pStyle w:val="Compact"/>
              <w:spacing w:before="0" w:after="30" w:line="240" w:lineRule="auto"/>
              <w:jc w:val="left"/>
            </w:pPr>
            <w:r>
              <w:rPr>
                <w:b/>
                <w:sz w:val="15"/>
              </w:rPr>
              <w:t xml:space="preserve">Critical data / invariant</w:t>
            </w:r>
          </w:p>
        </w:tc>
      </w:tr>
      <w:tr>
        <w:tc>
          <w:tcPr>
            <w:vAlign w:val="top"/>
            <w:tcMar>
              <w:top w:w="55" w:type="dxa"/>
              <w:left w:w="70" w:type="dxa"/>
              <w:bottom w:w="55" w:type="dxa"/>
              <w:right w:w="70" w:type="dxa"/>
            </w:tcMar>
          </w:tcPr>
          <w:p>
            <w:pPr>
              <w:pStyle w:val="Compact"/>
              <w:spacing w:before="0" w:after="30" w:line="240" w:lineRule="auto"/>
              <w:jc w:val="left"/>
            </w:pPr>
            <w:r>
              <w:rPr>
                <w:sz w:val="15"/>
              </w:rPr>
              <w:t xml:space="preserve">Account / Seller / Application</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Immutable Nahj ID; role/market; approved public profile; application state separate from operating state and financial holds. No email-only identity merging.</w:t>
            </w:r>
          </w:p>
        </w:tc>
      </w:tr>
      <w:tr>
        <w:tc>
          <w:tcPr>
            <w:vAlign w:val="top"/>
            <w:tcMar>
              <w:top w:w="55" w:type="dxa"/>
              <w:left w:w="70" w:type="dxa"/>
              <w:bottom w:w="55" w:type="dxa"/>
              <w:right w:w="70" w:type="dxa"/>
            </w:tcMar>
          </w:tcPr>
          <w:p>
            <w:pPr>
              <w:pStyle w:val="Compact"/>
              <w:spacing w:before="0" w:after="30" w:line="240" w:lineRule="auto"/>
              <w:jc w:val="left"/>
            </w:pPr>
            <w:r>
              <w:rPr>
                <w:sz w:val="15"/>
              </w:rPr>
              <w:t xml:space="preserve">SaleRequest</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Seller, fixed plan/quantity, quote/version/expiry, opaque token, claimed order. One seller-created request claims at most one order; viewing/link previews never claim it. Reusable seller profile links create separate requests/orders.</w:t>
            </w:r>
          </w:p>
        </w:tc>
      </w:tr>
      <w:tr>
        <w:tc>
          <w:tcPr>
            <w:vAlign w:val="top"/>
            <w:tcMar>
              <w:top w:w="55" w:type="dxa"/>
              <w:left w:w="70" w:type="dxa"/>
              <w:bottom w:w="55" w:type="dxa"/>
              <w:right w:w="70" w:type="dxa"/>
            </w:tcMar>
          </w:tcPr>
          <w:p>
            <w:pPr>
              <w:pStyle w:val="Compact"/>
              <w:spacing w:before="0" w:after="30" w:line="240" w:lineRule="auto"/>
              <w:jc w:val="left"/>
            </w:pPr>
            <w:r>
              <w:rPr>
                <w:sz w:val="15"/>
              </w:rPr>
              <w:t xml:space="preserve">Order</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Authenticated buyer and immutable economic snapshot; independent payment/fulfillment/refund projections.</w:t>
            </w:r>
          </w:p>
        </w:tc>
      </w:tr>
      <w:tr>
        <w:tc>
          <w:tcPr>
            <w:vAlign w:val="top"/>
            <w:tcMar>
              <w:top w:w="55" w:type="dxa"/>
              <w:left w:w="70" w:type="dxa"/>
              <w:bottom w:w="55" w:type="dxa"/>
              <w:right w:w="70" w:type="dxa"/>
            </w:tcMar>
          </w:tcPr>
          <w:p>
            <w:pPr>
              <w:pStyle w:val="Compact"/>
              <w:spacing w:before="0" w:after="30" w:line="240" w:lineRule="auto"/>
              <w:jc w:val="left"/>
            </w:pPr>
            <w:r>
              <w:rPr>
                <w:sz w:val="15"/>
              </w:rPr>
              <w:t xml:space="preserve">PaymentAttempt</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Order/provider/merchant/method/reference; expected and received amount/currency; provider status/times; unique provider transaction. One winning successful attempt per order.</w:t>
            </w:r>
          </w:p>
        </w:tc>
      </w:tr>
      <w:tr>
        <w:tc>
          <w:tcPr>
            <w:vAlign w:val="top"/>
            <w:tcMar>
              <w:top w:w="55" w:type="dxa"/>
              <w:left w:w="70" w:type="dxa"/>
              <w:bottom w:w="55" w:type="dxa"/>
              <w:right w:w="70" w:type="dxa"/>
            </w:tcMar>
          </w:tcPr>
          <w:p>
            <w:pPr>
              <w:pStyle w:val="Compact"/>
              <w:spacing w:before="0" w:after="30" w:line="240" w:lineRule="auto"/>
              <w:jc w:val="left"/>
            </w:pPr>
            <w:r>
              <w:rPr>
                <w:sz w:val="15"/>
              </w:rPr>
              <w:t xml:space="preserve">PurchasedUnit / Entitlement</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Unique</w:t>
            </w:r>
            <w:r>
              <w:rPr>
                <w:sz w:val="15"/>
              </w:rPr>
              <w:t xml:space="preserve"> </w:t>
            </w:r>
            <w:r>
              <w:rPr>
                <w:rStyle w:val="VerbatimChar"/>
                <w:sz w:val="15"/>
              </w:rPr>
              <w:t xml:space="preserve">(order_id, unit_index)</w:t>
            </w:r>
            <w:r>
              <w:rPr>
                <w:sz w:val="15"/>
              </w:rPr>
              <w:t xml:space="preserve">; original price/commission allocations; coverage/duration contract; assignment/hold/refund/revocation. Exactly ordered quantity.</w:t>
            </w:r>
          </w:p>
        </w:tc>
      </w:tr>
      <w:tr>
        <w:tc>
          <w:tcPr>
            <w:vAlign w:val="top"/>
            <w:tcMar>
              <w:top w:w="55" w:type="dxa"/>
              <w:left w:w="70" w:type="dxa"/>
              <w:bottom w:w="55" w:type="dxa"/>
              <w:right w:w="70" w:type="dxa"/>
            </w:tcMar>
          </w:tcPr>
          <w:p>
            <w:pPr>
              <w:pStyle w:val="Compact"/>
              <w:spacing w:before="0" w:after="30" w:line="240" w:lineRule="auto"/>
              <w:jc w:val="left"/>
            </w:pPr>
            <w:r>
              <w:rPr>
                <w:sz w:val="15"/>
              </w:rPr>
              <w:t xml:space="preserve">AccessGrant / AccountProjection</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Recipient, source unit or store transaction, validity, access coverage/version. Effective account access computed from surviving grants.</w:t>
            </w:r>
          </w:p>
        </w:tc>
      </w:tr>
      <w:tr>
        <w:tc>
          <w:tcPr>
            <w:vAlign w:val="top"/>
            <w:tcMar>
              <w:top w:w="55" w:type="dxa"/>
              <w:left w:w="70" w:type="dxa"/>
              <w:bottom w:w="55" w:type="dxa"/>
              <w:right w:w="70" w:type="dxa"/>
            </w:tcMar>
          </w:tcPr>
          <w:p>
            <w:pPr>
              <w:pStyle w:val="Compact"/>
              <w:spacing w:before="0" w:after="30" w:line="240" w:lineRule="auto"/>
              <w:jc w:val="left"/>
            </w:pPr>
            <w:r>
              <w:rPr>
                <w:sz w:val="15"/>
              </w:rPr>
              <w:t xml:space="preserve">ActivationCredential / Delivery</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Unit, digest/encrypted redisplay value, validity, replacement chain; portal publication actor/time; external-share events; independent email status. At most one live credential for an unconsumed unit.</w:t>
            </w:r>
          </w:p>
        </w:tc>
      </w:tr>
      <w:tr>
        <w:tc>
          <w:tcPr>
            <w:vAlign w:val="top"/>
            <w:tcMar>
              <w:top w:w="55" w:type="dxa"/>
              <w:left w:w="70" w:type="dxa"/>
              <w:bottom w:w="55" w:type="dxa"/>
              <w:right w:w="70" w:type="dxa"/>
            </w:tcMar>
          </w:tcPr>
          <w:p>
            <w:pPr>
              <w:pStyle w:val="Compact"/>
              <w:spacing w:before="0" w:after="30" w:line="240" w:lineRule="auto"/>
              <w:jc w:val="left"/>
            </w:pPr>
            <w:r>
              <w:rPr>
                <w:sz w:val="15"/>
              </w:rPr>
              <w:t xml:space="preserve">Commission / ReferralPeriod</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Original unit allocation; rate; maturity/hold/reversal; period target/rate/referrer snapshot; net qualified sales and qualification revision.</w:t>
            </w:r>
          </w:p>
        </w:tc>
      </w:tr>
      <w:tr>
        <w:tc>
          <w:tcPr>
            <w:vAlign w:val="top"/>
            <w:tcMar>
              <w:top w:w="55" w:type="dxa"/>
              <w:left w:w="70" w:type="dxa"/>
              <w:bottom w:w="55" w:type="dxa"/>
              <w:right w:w="70" w:type="dxa"/>
            </w:tcMar>
          </w:tcPr>
          <w:p>
            <w:pPr>
              <w:pStyle w:val="Compact"/>
              <w:spacing w:before="0" w:after="30" w:line="240" w:lineRule="auto"/>
              <w:jc w:val="left"/>
            </w:pPr>
            <w:r>
              <w:rPr>
                <w:sz w:val="15"/>
              </w:rPr>
              <w:t xml:space="preserve">Ledger / Withdrawal</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Immutable balanced journals; linked original/reversal/lock events. Withdrawal freezes gross, fee, net, destination and provider command.</w:t>
            </w:r>
          </w:p>
        </w:tc>
      </w:tr>
      <w:tr>
        <w:tc>
          <w:tcPr>
            <w:vAlign w:val="top"/>
            <w:tcMar>
              <w:top w:w="55" w:type="dxa"/>
              <w:left w:w="70" w:type="dxa"/>
              <w:bottom w:w="55" w:type="dxa"/>
              <w:right w:w="70" w:type="dxa"/>
            </w:tcMar>
          </w:tcPr>
          <w:p>
            <w:pPr>
              <w:pStyle w:val="Compact"/>
              <w:spacing w:before="0" w:after="30" w:line="240" w:lineRule="auto"/>
              <w:jc w:val="left"/>
            </w:pPr>
            <w:r>
              <w:rPr>
                <w:sz w:val="15"/>
              </w:rPr>
              <w:t xml:space="preserve">Refund / Dispute</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Original payment and affected units or surplus attempt; amount/remaining refundable total; provider command/result; reservation and evidence.</w:t>
            </w:r>
          </w:p>
        </w:tc>
      </w:tr>
      <w:tr>
        <w:tc>
          <w:tcPr>
            <w:vAlign w:val="top"/>
            <w:tcMar>
              <w:top w:w="55" w:type="dxa"/>
              <w:left w:w="70" w:type="dxa"/>
              <w:bottom w:w="55" w:type="dxa"/>
              <w:right w:w="70" w:type="dxa"/>
            </w:tcMar>
          </w:tcPr>
          <w:p>
            <w:pPr>
              <w:pStyle w:val="Compact"/>
              <w:spacing w:before="0" w:after="30" w:line="240" w:lineRule="auto"/>
              <w:jc w:val="left"/>
            </w:pPr>
            <w:r>
              <w:rPr>
                <w:sz w:val="15"/>
              </w:rPr>
              <w:t xml:space="preserve">Support / Notification / Audit</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Entity-scoped case and message audience; deduplicated event-recipient-channel notices; append-only actor/action/outcome trail.</w:t>
            </w:r>
          </w:p>
        </w:tc>
      </w:tr>
    </w:tbl>
    <w:p>
      <w:pPr>
        <w:pStyle w:val="BodyText"/>
      </w:pPr>
      <w:r>
        <w:t xml:space="preserve">Application: Draft → Pending Review → More Information Required → Pending Review → Approved/Rejected. Approved onboarding grants Active seller status after required setup. Public name/logo edits retain the approved version until review.</w:t>
      </w:r>
    </w:p>
    <w:bookmarkEnd w:id="22"/>
    <w:bookmarkStart w:id="23" w:name="order-and-payment-lifecycle"/>
    <w:p>
      <w:pPr>
        <w:pStyle w:val="Heading2"/>
        <w:keepNext/>
        <w:keepLines/>
      </w:pPr>
      <w:r>
        <w:t xml:space="preserve">4. Order and payment lifecycle</w:t>
      </w:r>
    </w:p>
    <w:p>
      <w:pPr>
        <w:pStyle w:val="FirstParagraph"/>
      </w:pPr>
      <w:r>
        <w:t xml:space="preserve">An unowned SaleRequest becomes a buyer-owned Order only on authenticated review confirmation. Validate seller eligibility, account, quote, quantity, fulfillment and terms, then claim atomically. An existing payable order’s economics cannot be edited. A replacement order is distinct and requires warning/reconciliation for live previous payment attempts.</w:t>
      </w:r>
    </w:p>
    <w:p>
      <w:pPr>
        <w:pStyle w:val="SourceCode"/>
        <w:shd w:fill="F5F3FA"/>
      </w:pPr>
      <w:r>
        <w:rPr>
          <w:rStyle w:val="VerbatimChar"/>
        </w:rPr>
        <w:t xml:space="preserve">stateDiagram-v2</w:t>
      </w:r>
      <w:r>
        <w:br/>
      </w:r>
      <w:r>
        <w:rPr>
          <w:rStyle w:val="VerbatimChar"/>
        </w:rPr>
        <w:t xml:space="preserve">    [*] --&gt; Unpaid</w:t>
      </w:r>
      <w:r>
        <w:br/>
      </w:r>
      <w:r>
        <w:rPr>
          <w:rStyle w:val="VerbatimChar"/>
        </w:rPr>
        <w:t xml:space="preserve">    Unpaid --&gt; AwaitingPayment: Create attempt</w:t>
      </w:r>
      <w:r>
        <w:br/>
      </w:r>
      <w:r>
        <w:rPr>
          <w:rStyle w:val="VerbatimChar"/>
        </w:rPr>
        <w:t xml:space="preserve">    AwaitingPayment --&gt; Checking: Provider processing or uncertain result</w:t>
      </w:r>
      <w:r>
        <w:br/>
      </w:r>
      <w:r>
        <w:rPr>
          <w:rStyle w:val="VerbatimChar"/>
        </w:rPr>
        <w:t xml:space="preserve">    AwaitingPayment --&gt; Paid: Verified valid success</w:t>
      </w:r>
      <w:r>
        <w:br/>
      </w:r>
      <w:r>
        <w:rPr>
          <w:rStyle w:val="VerbatimChar"/>
        </w:rPr>
        <w:t xml:space="preserve">    Checking --&gt; Paid: Verified valid success</w:t>
      </w:r>
      <w:r>
        <w:br/>
      </w:r>
      <w:r>
        <w:rPr>
          <w:rStyle w:val="VerbatimChar"/>
        </w:rPr>
        <w:t xml:space="preserve">    AwaitingPayment --&gt; AttemptEnded: Provider confirms failed or expired</w:t>
      </w:r>
      <w:r>
        <w:br/>
      </w:r>
      <w:r>
        <w:rPr>
          <w:rStyle w:val="VerbatimChar"/>
        </w:rPr>
        <w:t xml:space="preserve">    Checking --&gt; AttemptEnded: Definitive result</w:t>
      </w:r>
      <w:r>
        <w:br/>
      </w:r>
      <w:r>
        <w:rPr>
          <w:rStyle w:val="VerbatimChar"/>
        </w:rPr>
        <w:t xml:space="preserve">    AttemptEnded --&gt; AwaitingPayment: Authorized new attempt</w:t>
      </w:r>
      <w:r>
        <w:br/>
      </w:r>
      <w:r>
        <w:rPr>
          <w:rStyle w:val="VerbatimChar"/>
        </w:rPr>
        <w:t xml:space="preserve">    AttemptEnded --&gt; Paid: Valid late success</w:t>
      </w:r>
      <w:r>
        <w:br/>
      </w:r>
      <w:r>
        <w:rPr>
          <w:rStyle w:val="VerbatimChar"/>
        </w:rPr>
        <w:t xml:space="preserve">    Paid --&gt; FulfillmentPending: Create purchased units once</w:t>
      </w:r>
      <w:r>
        <w:br/>
      </w:r>
      <w:r>
        <w:rPr>
          <w:rStyle w:val="VerbatimChar"/>
        </w:rPr>
        <w:t xml:space="preserve">    FulfillmentPending --&gt; Completed: All eligible units fulfilled</w:t>
      </w:r>
      <w:r>
        <w:br/>
      </w:r>
      <w:r>
        <w:rPr>
          <w:rStyle w:val="VerbatimChar"/>
        </w:rPr>
        <w:t xml:space="preserve">    FulfillmentPending --&gt; Recovery: Partial failure or explicit block</w:t>
      </w:r>
      <w:r>
        <w:br/>
      </w:r>
      <w:r>
        <w:rPr>
          <w:rStyle w:val="VerbatimChar"/>
        </w:rPr>
        <w:t xml:space="preserve">    Recovery --&gt; Completed: Resume eligible unfinished units</w:t>
      </w:r>
    </w:p>
    <w:p>
      <w:pPr>
        <w:pStyle w:val="FirstParagraph"/>
      </w:pPr>
      <w:r>
        <w:t xml:space="preserve">Refund is a separate dimension: None / Requested / Processing / Partial / Full. Duplicate or mismatched payment is an exception alongside the original order state, not permission to create another subscription.</w:t>
      </w:r>
    </w:p>
    <w:p>
      <w:pPr>
        <w:pStyle w:val="BodyText"/>
      </w:pPr>
      <w:r>
        <w:rPr>
          <w:b/>
          <w:bCs/>
        </w:rPr>
        <w:t xml:space="preserve">Payment acceptance command:</w:t>
      </w:r>
      <w:r>
        <w:t xml:space="preserve"> </w:t>
      </w:r>
      <w:r>
        <w:t xml:space="preserve">verify provider authenticity, merchant, reference, amount, currency and authoritative success; persist event; atomically claim the order’s first winning payment. Create durable unit/accrual work once. Deduplicate provider event IDs and economic transaction effects separately. Old pending events cannot regress Succeeded. Browser return URLs and uploaded payment screenshots are not settlement proof.</w:t>
      </w:r>
    </w:p>
    <w:p>
      <w:pPr>
        <w:pStyle w:val="BodyText"/>
      </w:pPr>
      <w:r>
        <w:rPr>
          <w:b/>
          <w:bCs/>
        </w:rPr>
        <w:t xml:space="preserve">Multiple attempts:</w:t>
      </w:r>
      <w:r>
        <w:t xml:space="preserve"> </w:t>
      </w:r>
      <w:r>
        <w:t xml:space="preserve">QRIS and VA attempts can belong to one order. First valid success wins; each additional success opens a duplicate-payment case. Refund the surplus transaction without revoking original grants or reversing original commission. Cross-order similarity is review evidence, not automatic duplicate classification.</w:t>
      </w:r>
    </w:p>
    <w:p>
      <w:pPr>
        <w:pStyle w:val="BodyText"/>
      </w:pPr>
      <w:r>
        <w:rPr>
          <w:b/>
          <w:bCs/>
        </w:rPr>
        <w:t xml:space="preserve">Expiry/recovery:</w:t>
      </w:r>
      <w:r>
        <w:t xml:space="preserve"> </w:t>
      </w:r>
      <w:r>
        <w:t xml:space="preserve">request validity, quote validity and provider-attempt expiry are separate. UI expiry does not prove payment failure. Valid late success uses the original economic snapshot. Wrong merchant/amount/currency enters Finance review without normal fulfillment. Unknown outcome stays Checking; query original provider reference before offering another payment. Same-phone QRIS requires provider-supported payment instructions; never substitute off-platform seller collection.</w:t>
      </w:r>
    </w:p>
    <w:bookmarkEnd w:id="23"/>
    <w:bookmarkStart w:id="27" w:name="X6c47cb1b64aed85e0b0ccdb49c22c968cd562f5"/>
    <w:p>
      <w:pPr>
        <w:pStyle w:val="Heading2"/>
        <w:keepNext/>
        <w:keepLines/>
      </w:pPr>
      <w:r>
        <w:t xml:space="preserve">5. Entitlements, fulfillment and mobile access</w:t>
      </w:r>
    </w:p>
    <w:bookmarkStart w:id="24" w:name="exactly-30-minutes"/>
    <w:p>
      <w:pPr>
        <w:pStyle w:val="Heading3"/>
        <w:keepNext/>
        <w:keepLines/>
      </w:pPr>
      <w:r>
        <w:t xml:space="preserve">5.1 Exactly 30 minutes</w:t>
      </w:r>
    </w:p>
    <w:p>
      <w:pPr>
        <w:pStyle w:val="FirstParagraph"/>
      </w:pPr>
      <w:r>
        <w:rPr>
          <w:rStyle w:val="VerbatimChar"/>
        </w:rPr>
        <w:t xml:space="preserve">payment_confirmed_at</w:t>
      </w:r>
      <w:r>
        <w:t xml:space="preserve"> </w:t>
      </w:r>
      <w:r>
        <w:t xml:space="preserve">is set once when backend first verifies and accepts the winning successful payment.</w:t>
      </w:r>
      <w:r>
        <w:t xml:space="preserve"> </w:t>
      </w:r>
      <w:r>
        <w:rPr>
          <w:rStyle w:val="VerbatimChar"/>
        </w:rPr>
        <w:t xml:space="preserve">fulfillment_due_at = payment_confirmed_at + 30 minutes</w:t>
      </w:r>
      <w:r>
        <w:t xml:space="preserve">.</w:t>
      </w:r>
    </w:p>
    <w:p>
      <w:pPr>
        <w:pStyle w:val="BodyText"/>
      </w:pPr>
      <w:r>
        <w:t xml:space="preserve">Create the fulfillment job durably with payment acceptance. Seller may act immediately; at the deadline the worker completes remaining eligible units. Deadline never resets because of webhook replay, page refresh, seller view, retry or email failure. Seller and worker call the same idempotent unit-level command. Explicit refund/risk/eligibility blocks cannot be overridden by the timer; overdue/failed work enters Operations recovery with the original timestamp. Customer sees Paid separately from Fulfilled.</w:t>
      </w:r>
    </w:p>
    <w:bookmarkEnd w:id="24"/>
    <w:bookmarkStart w:id="25" w:name="direct-and-codes"/>
    <w:p>
      <w:pPr>
        <w:pStyle w:val="Heading3"/>
        <w:keepNext/>
        <w:keepLines/>
      </w:pPr>
      <w:r>
        <w:t xml:space="preserve">5.2 Direct and codes</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5"/>
              </w:rPr>
              <w:t xml:space="preserve">Path</w:t>
            </w:r>
          </w:p>
        </w:tc>
        <w:tc>
          <w:tcPr>
            <w:vAlign w:val="top"/>
            <w:tcMar>
              <w:top w:w="55" w:type="dxa"/>
              <w:left w:w="70" w:type="dxa"/>
              <w:bottom w:w="55" w:type="dxa"/>
              <w:right w:w="70" w:type="dxa"/>
            </w:tcMar>
            <w:shd w:fill="E9E3F6"/>
          </w:tcPr>
          <w:p>
            <w:pPr>
              <w:pStyle w:val="Compact"/>
              <w:spacing w:before="0" w:after="30" w:line="240" w:lineRule="auto"/>
              <w:jc w:val="left"/>
            </w:pPr>
            <w:r>
              <w:rPr>
                <w:b/>
                <w:sz w:val="15"/>
              </w:rPr>
              <w:t xml:space="preserve">Contract</w:t>
            </w:r>
          </w:p>
        </w:tc>
      </w:tr>
      <w:tr>
        <w:tc>
          <w:tcPr>
            <w:vAlign w:val="top"/>
            <w:tcMar>
              <w:top w:w="55" w:type="dxa"/>
              <w:left w:w="70" w:type="dxa"/>
              <w:bottom w:w="55" w:type="dxa"/>
              <w:right w:w="70" w:type="dxa"/>
            </w:tcMar>
          </w:tcPr>
          <w:p>
            <w:pPr>
              <w:pStyle w:val="Compact"/>
              <w:spacing w:before="0" w:after="30" w:line="240" w:lineRule="auto"/>
              <w:jc w:val="left"/>
            </w:pPr>
            <w:r>
              <w:rPr>
                <w:sz w:val="15"/>
              </w:rPr>
              <w:t xml:space="preserve">Direct</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Assign the one unit to the fixed logged-in buyer; seller cannot select another account. Atomic grant and projection update. Auto activation uses the identical command.</w:t>
            </w:r>
          </w:p>
        </w:tc>
      </w:tr>
      <w:tr>
        <w:tc>
          <w:tcPr>
            <w:vAlign w:val="top"/>
            <w:tcMar>
              <w:top w:w="55" w:type="dxa"/>
              <w:left w:w="70" w:type="dxa"/>
              <w:bottom w:w="55" w:type="dxa"/>
              <w:right w:w="70" w:type="dxa"/>
            </w:tcMar>
          </w:tcPr>
          <w:p>
            <w:pPr>
              <w:pStyle w:val="Compact"/>
              <w:spacing w:before="0" w:after="30" w:line="240" w:lineRule="auto"/>
              <w:jc w:val="left"/>
            </w:pPr>
            <w:r>
              <w:rPr>
                <w:sz w:val="15"/>
              </w:rPr>
              <w:t xml:space="preserve">Codes</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After verified payment generate one random unique single-use credential per paid unit; no seller suffix and no expiry before use. Seller Deliver publishes selected units to buyer My Purchases and queues email. Auto delivery publishes remaining eligible units at deadline.</w:t>
            </w:r>
          </w:p>
        </w:tc>
      </w:tr>
      <w:tr>
        <w:tc>
          <w:tcPr>
            <w:vAlign w:val="top"/>
            <w:tcMar>
              <w:top w:w="55" w:type="dxa"/>
              <w:left w:w="70" w:type="dxa"/>
              <w:bottom w:w="55" w:type="dxa"/>
              <w:right w:w="70" w:type="dxa"/>
            </w:tcMar>
          </w:tcPr>
          <w:p>
            <w:pPr>
              <w:pStyle w:val="Compact"/>
              <w:spacing w:before="0" w:after="30" w:line="240" w:lineRule="auto"/>
              <w:jc w:val="left"/>
            </w:pPr>
            <w:r>
              <w:rPr>
                <w:sz w:val="15"/>
              </w:rPr>
              <w:t xml:space="preserve">Copy/share</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First seller copy/share/export publishes selected affected codes to buyer portal, audits channel/action and queues deduplicated notification. External-send cancellation or clipboard failure does not undo portal publication or prove external receipt. Reveal alone is not external sharing.</w:t>
            </w:r>
          </w:p>
        </w:tc>
      </w:tr>
      <w:tr>
        <w:tc>
          <w:tcPr>
            <w:vAlign w:val="top"/>
            <w:tcMar>
              <w:top w:w="55" w:type="dxa"/>
              <w:left w:w="70" w:type="dxa"/>
              <w:bottom w:w="55" w:type="dxa"/>
              <w:right w:w="70" w:type="dxa"/>
            </w:tcMar>
          </w:tcPr>
          <w:p>
            <w:pPr>
              <w:pStyle w:val="Compact"/>
              <w:spacing w:before="0" w:after="30" w:line="240" w:lineRule="auto"/>
              <w:jc w:val="left"/>
            </w:pPr>
            <w:r>
              <w:rPr>
                <w:sz w:val="15"/>
              </w:rPr>
              <w:t xml:space="preserve">Bulk</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Per-unit allocation, status, credential and refund eligibility. Partial preparation/delivery retries only missing units. Buyer owns the order; recipients own only grants they redeem. No child roster or recipient identity exposure.</w:t>
            </w:r>
          </w:p>
        </w:tc>
      </w:tr>
      <w:tr>
        <w:tc>
          <w:tcPr>
            <w:vAlign w:val="top"/>
            <w:tcMar>
              <w:top w:w="55" w:type="dxa"/>
              <w:left w:w="70" w:type="dxa"/>
              <w:bottom w:w="55" w:type="dxa"/>
              <w:right w:w="70" w:type="dxa"/>
            </w:tcMar>
          </w:tcPr>
          <w:p>
            <w:pPr>
              <w:pStyle w:val="Compact"/>
              <w:spacing w:before="0" w:after="30" w:line="240" w:lineRule="auto"/>
              <w:jc w:val="left"/>
            </w:pPr>
            <w:r>
              <w:rPr>
                <w:sz w:val="15"/>
              </w:rPr>
              <w:t xml:space="preserve">Replacement</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Authorized Support locks unused credential/unit, voids old credential and creates replacement for the same unit; no extra grant/payment/commission. Delivered unit’s replacement becomes available to buyer promptly; email failure does not hide it.</w:t>
            </w:r>
          </w:p>
        </w:tc>
      </w:tr>
      <w:tr>
        <w:tc>
          <w:tcPr>
            <w:vAlign w:val="top"/>
            <w:tcMar>
              <w:top w:w="55" w:type="dxa"/>
              <w:left w:w="70" w:type="dxa"/>
              <w:bottom w:w="55" w:type="dxa"/>
              <w:right w:w="70" w:type="dxa"/>
            </w:tcMar>
          </w:tcPr>
          <w:p>
            <w:pPr>
              <w:pStyle w:val="Compact"/>
              <w:spacing w:before="0" w:after="30" w:line="240" w:lineRule="auto"/>
              <w:jc w:val="left"/>
            </w:pPr>
            <w:r>
              <w:rPr>
                <w:sz w:val="15"/>
              </w:rPr>
              <w:t xml:space="preserve">Paid direct conflict</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If redundant Lifetime access arises after payment, hold assignment for buyer-authorized code conversion of the same unassigned unit or refund review. Audit the fulfillment amendment; keep original economic snapshot and buyer consent.</w:t>
            </w:r>
          </w:p>
        </w:tc>
      </w:tr>
    </w:tbl>
    <w:bookmarkEnd w:id="25"/>
    <w:bookmarkStart w:id="26" w:name="redeem-and-access-projection"/>
    <w:p>
      <w:pPr>
        <w:pStyle w:val="Heading3"/>
        <w:keepNext/>
        <w:keepLines/>
      </w:pPr>
      <w:r>
        <w:t xml:space="preserve">5.3 Redeem and access projection</w:t>
      </w:r>
    </w:p>
    <w:p>
      <w:pPr>
        <w:pStyle w:val="FirstParagraph"/>
      </w:pPr>
      <w:r>
        <w:t xml:space="preserve">Web</w:t>
      </w:r>
      <w:r>
        <w:t xml:space="preserve"> </w:t>
      </w:r>
      <w:r>
        <w:rPr>
          <w:rStyle w:val="VerbatimChar"/>
        </w:rPr>
        <w:t xml:space="preserve">/redeem</w:t>
      </w:r>
      <w:r>
        <w:t xml:space="preserve">: sign in → code validation → account/plan/new-access preview → explicit confirmation → atomic consumption/assignment → canonical result. Android uses the same contract in Nahj’s landscape parent area after its existing parental gate. No redeem for guest identity. Validation does not reserve a code; confirmation rechecks account, code, unit holds and eligibility. Concurrent redeemers produce exactly one grant. Same-account retry returns original result; other-account used error discloses no identity. Same-coverage Lifetime conflict does not consume the code.</w:t>
      </w:r>
    </w:p>
    <w:p>
      <w:pPr>
        <w:pStyle w:val="BodyText"/>
      </w:pPr>
      <w:r>
        <w:t xml:space="preserve">iOS has no paid-code entry in this scope. Web direct activation/redemption updates Nahj account; app refreshes account projection on sign-in/resume and activation notification. Android does the same after redeem. Notifications are refresh hints, never grants. App-store restore and web account sync remain distinct. Preserve existing store billing; web prepaid purchase does not cancel auto-renewal.</w:t>
      </w:r>
    </w:p>
    <w:p>
      <w:pPr>
        <w:pStyle w:val="BodyText"/>
      </w:pPr>
      <w:r>
        <w:t xml:space="preserve">Use existing Nahj duration, calendar arithmetic, coverage, source-overlap and offline-grace behavior. Prepaid time is added under that contract; an unused code’s time does not run from payment. Preserve individual source grants, deduplicate store events, revoke only affected grants and recompute access. Never subtract blindly from one expiry or erase other grants when Lifetime is refunded. Backend/Mobile validate the existing contract with the QA cases in §12; no new entitlement algorithm is authorized here.</w:t>
      </w:r>
    </w:p>
    <w:p>
      <w:pPr>
        <w:pStyle w:val="BodyText"/>
      </w:pPr>
      <w:r>
        <w:t xml:space="preserve">Minimum projection response: account ID, projection version, covered access, active flag, expiry or Lifetime marker, evaluated timestamp and existing sync/grace metadata. Content unlocking is source-neutral even when account billing management retains source information.</w:t>
      </w:r>
    </w:p>
    <w:bookmarkEnd w:id="26"/>
    <w:bookmarkEnd w:id="27"/>
    <w:bookmarkStart w:id="28" w:name="commission-wallet-and-withdrawals"/>
    <w:p>
      <w:pPr>
        <w:pStyle w:val="Heading2"/>
        <w:keepNext/>
        <w:keepLines/>
      </w:pPr>
      <w:r>
        <w:t xml:space="preserve">6. Commission, wallet and withdrawals</w:t>
      </w:r>
    </w:p>
    <w:p>
      <w:pPr>
        <w:pStyle w:val="FirstParagraph"/>
      </w:pPr>
      <w:r>
        <w:rPr>
          <w:b/>
          <w:bCs/>
        </w:rPr>
        <w:t xml:space="preserve">Direct commission:</w:t>
      </w:r>
      <w:r>
        <w:t xml:space="preserve"> </w:t>
      </w:r>
      <w:r>
        <w:t xml:space="preserve">actual subscription selling price × snapshotted seller rate. Seller override precedes default. No deduction of gateway cost, company cost or company tax from advertised commission. Any applicable mandatory withholding is a separate Finance-configured item; do not invent it. Compute integer IDR allocations deterministically per unit, retaining rounding remainders and original allocations for reversal.</w:t>
      </w:r>
    </w:p>
    <w:p>
      <w:pPr>
        <w:pStyle w:val="BodyText"/>
      </w:pPr>
      <w:r>
        <w:rPr>
          <w:b/>
          <w:bCs/>
        </w:rPr>
        <w:t xml:space="preserve">Maturity:</w:t>
      </w:r>
      <w:r>
        <w:t xml:space="preserve"> </w:t>
      </w:r>
      <w:r>
        <w:t xml:space="preserve">normal Pending → Available no earlier than 168 elapsed hours after the verified provider settlement timestamp, and only after backend verification. Risk hold can delay release. If provider cannot supply a trusted settlement timestamp, provider integration must persist a documented conservative verified-settlement anchor; never invent an earlier maturity. Pending commissions do not offset debt prematurely.</w:t>
      </w:r>
    </w:p>
    <w:p>
      <w:pPr>
        <w:pStyle w:val="BodyText"/>
      </w:pPr>
      <w:r>
        <w:rPr>
          <w:b/>
          <w:bCs/>
        </w:rPr>
        <w:t xml:space="preserve">Ledger:</w:t>
      </w:r>
      <w:r>
        <w:t xml:space="preserve"> </w:t>
      </w:r>
      <w:r>
        <w:t xml:space="preserve">use immutable balanced postings for accrual, release, hold, reversal, debt offset, withdrawal lock, payment and return. Pending, Held, Available and Locked are disjoint current buckets. Withdrawn and Lifetime Net Earnings are cumulative; Referral Earnings is a subset, never an extra spendable balance. Never edit</w:t>
      </w:r>
      <w:r>
        <w:t xml:space="preserve"> </w:t>
      </w:r>
      <w:r>
        <w:rPr>
          <w:rStyle w:val="VerbatimChar"/>
        </w:rPr>
        <w:t xml:space="preserve">balance</w:t>
      </w:r>
      <w:r>
        <w:t xml:space="preserve"> </w:t>
      </w:r>
      <w:r>
        <w:t xml:space="preserve">directly or delete financial history. Manual correction is a reasoned compensating journal with independent approval.</w:t>
      </w:r>
    </w:p>
    <w:p>
      <w:pPr>
        <w:pStyle w:val="BodyText"/>
      </w:pPr>
      <w:r>
        <w:rPr>
          <w:b/>
          <w:bCs/>
        </w:rPr>
        <w:t xml:space="preserve">Debt:</w:t>
      </w:r>
      <w:r>
        <w:t xml:space="preserve"> </w:t>
      </w:r>
      <w:r>
        <w:t xml:space="preserve">refund/chargeback reversal after commission withdrawal can make seller balance negative. Future released eligible earnings cover debt first. Show debt explicitly. A Pending, unsubmitted payout may be stopped/unlocked by Finance; a submitted or uncertain payout remains locked while debt is recorded.</w:t>
      </w:r>
    </w:p>
    <w:p>
      <w:pPr>
        <w:pStyle w:val="BodyText"/>
      </w:pPr>
      <w:r>
        <w:rPr>
          <w:b/>
          <w:bCs/>
        </w:rPr>
        <w:t xml:space="preserve">Withdrawal:</w:t>
      </w:r>
      <w:r>
        <w:t xml:space="preserve"> </w:t>
      </w:r>
      <w:r>
        <w:t xml:space="preserve">minimum gross Rp500,000; amount ≤ current authoritative withdrawable funds; fee disclosed; positive net; verified allowed bank/e-wallet destination; MFA. Freeze</w:t>
      </w:r>
      <w:r>
        <w:t xml:space="preserve"> </w:t>
      </w:r>
      <w:r>
        <w:rPr>
          <w:rStyle w:val="VerbatimChar"/>
        </w:rPr>
        <w:t xml:space="preserve">gross − fee = net</w:t>
      </w:r>
      <w:r>
        <w:t xml:space="preserve"> </w:t>
      </w:r>
      <w:r>
        <w:t xml:space="preserve">and destination at confirmation; atomically move Available → Locked. Destination edits never reroute existing requests. Increased provider cost cannot silently reduce confirmed net; absorb it or cancel before submission and obtain a new request.</w:t>
      </w:r>
    </w:p>
    <w:p>
      <w:pPr>
        <w:pStyle w:val="SourceCode"/>
        <w:shd w:fill="F5F3FA"/>
      </w:pPr>
      <w:r>
        <w:rPr>
          <w:rStyle w:val="VerbatimChar"/>
        </w:rPr>
        <w:t xml:space="preserve">stateDiagram-v2</w:t>
      </w:r>
      <w:r>
        <w:br/>
      </w:r>
      <w:r>
        <w:rPr>
          <w:rStyle w:val="VerbatimChar"/>
        </w:rPr>
        <w:t xml:space="preserve">    [*] --&gt; Pending: Atomic lock</w:t>
      </w:r>
      <w:r>
        <w:br/>
      </w:r>
      <w:r>
        <w:rPr>
          <w:rStyle w:val="VerbatimChar"/>
        </w:rPr>
        <w:t xml:space="preserve">    Pending --&gt; Processing: Provider submission</w:t>
      </w:r>
      <w:r>
        <w:br/>
      </w:r>
      <w:r>
        <w:rPr>
          <w:rStyle w:val="VerbatimChar"/>
        </w:rPr>
        <w:t xml:space="preserve">    Pending --&gt; Cancelled: Cancel before submission</w:t>
      </w:r>
      <w:r>
        <w:br/>
      </w:r>
      <w:r>
        <w:rPr>
          <w:rStyle w:val="VerbatimChar"/>
        </w:rPr>
        <w:t xml:space="preserve">    Pending --&gt; Rejected: Review rejects</w:t>
      </w:r>
      <w:r>
        <w:br/>
      </w:r>
      <w:r>
        <w:rPr>
          <w:rStyle w:val="VerbatimChar"/>
        </w:rPr>
        <w:t xml:space="preserve">    Processing --&gt; Processing: Outcome unknown; reconcile</w:t>
      </w:r>
      <w:r>
        <w:br/>
      </w:r>
      <w:r>
        <w:rPr>
          <w:rStyle w:val="VerbatimChar"/>
        </w:rPr>
        <w:t xml:space="preserve">    Processing --&gt; Paid: Verified transfer</w:t>
      </w:r>
      <w:r>
        <w:br/>
      </w:r>
      <w:r>
        <w:rPr>
          <w:rStyle w:val="VerbatimChar"/>
        </w:rPr>
        <w:t xml:space="preserve">    Processing --&gt; Rejected: Definitive failed transfer; one unlock</w:t>
      </w:r>
      <w:r>
        <w:br/>
      </w:r>
      <w:r>
        <w:rPr>
          <w:rStyle w:val="VerbatimChar"/>
        </w:rPr>
        <w:t xml:space="preserve">    Paid --&gt; Returned: Confirmed return; compensating entry</w:t>
      </w:r>
    </w:p>
    <w:p>
      <w:pPr>
        <w:pStyle w:val="FirstParagraph"/>
      </w:pPr>
      <w:r>
        <w:t xml:space="preserve">Cancelled/Rejected unlock once. Unknown provider outcome never unlocks or triggers a blind resend. Returned is an event preserving the earlier Paid record, not history deletion. Actual fees, method limits and provider return handling are versioned integration data.</w:t>
      </w:r>
    </w:p>
    <w:bookmarkEnd w:id="28"/>
    <w:bookmarkStart w:id="29" w:name="refunds-partial-refunds-and-chargebacks"/>
    <w:p>
      <w:pPr>
        <w:pStyle w:val="Heading2"/>
        <w:keepNext/>
        <w:keepLines/>
      </w:pPr>
      <w:r>
        <w:t xml:space="preserve">7. Refunds, partial refunds and chargebacks</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5"/>
              </w:rPr>
              <w:t xml:space="preserve">Stage</w:t>
            </w:r>
          </w:p>
        </w:tc>
        <w:tc>
          <w:tcPr>
            <w:vAlign w:val="top"/>
            <w:tcMar>
              <w:top w:w="55" w:type="dxa"/>
              <w:left w:w="70" w:type="dxa"/>
              <w:bottom w:w="55" w:type="dxa"/>
              <w:right w:w="70" w:type="dxa"/>
            </w:tcMar>
            <w:shd w:fill="E9E3F6"/>
          </w:tcPr>
          <w:p>
            <w:pPr>
              <w:pStyle w:val="Compact"/>
              <w:spacing w:before="0" w:after="30" w:line="240" w:lineRule="auto"/>
              <w:jc w:val="left"/>
            </w:pPr>
            <w:r>
              <w:rPr>
                <w:b/>
                <w:sz w:val="15"/>
              </w:rPr>
              <w:t xml:space="preserve">Required effects</w:t>
            </w:r>
          </w:p>
        </w:tc>
      </w:tr>
      <w:tr>
        <w:tc>
          <w:tcPr>
            <w:vAlign w:val="top"/>
            <w:tcMar>
              <w:top w:w="55" w:type="dxa"/>
              <w:left w:w="70" w:type="dxa"/>
              <w:bottom w:w="55" w:type="dxa"/>
              <w:right w:w="70" w:type="dxa"/>
            </w:tcMar>
          </w:tcPr>
          <w:p>
            <w:pPr>
              <w:pStyle w:val="Compact"/>
              <w:spacing w:before="0" w:after="30" w:line="240" w:lineRule="auto"/>
              <w:jc w:val="left"/>
            </w:pPr>
            <w:r>
              <w:rPr>
                <w:sz w:val="15"/>
              </w:rPr>
              <w:t xml:space="preserve">Request</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Buyer/support requests review; no automatic access or money change. Seller cannot veto a refund or approve it.</w:t>
            </w:r>
          </w:p>
        </w:tc>
      </w:tr>
      <w:tr>
        <w:tc>
          <w:tcPr>
            <w:vAlign w:val="top"/>
            <w:tcMar>
              <w:top w:w="55" w:type="dxa"/>
              <w:left w:w="70" w:type="dxa"/>
              <w:bottom w:w="55" w:type="dxa"/>
              <w:right w:w="70" w:type="dxa"/>
            </w:tcMar>
          </w:tcPr>
          <w:p>
            <w:pPr>
              <w:pStyle w:val="Compact"/>
              <w:spacing w:before="0" w:after="30" w:line="240" w:lineRule="auto"/>
              <w:jc w:val="left"/>
            </w:pPr>
            <w:r>
              <w:rPr>
                <w:sz w:val="15"/>
              </w:rPr>
              <w:t xml:space="preserve">Review</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Finance chooses exact payment/units; inspect current use, remaining refundable amount, purchase policy and exception reason; preview access and commission consequences.</w:t>
            </w:r>
          </w:p>
        </w:tc>
      </w:tr>
      <w:tr>
        <w:tc>
          <w:tcPr>
            <w:vAlign w:val="top"/>
            <w:tcMar>
              <w:top w:w="55" w:type="dxa"/>
              <w:left w:w="70" w:type="dxa"/>
              <w:bottom w:w="55" w:type="dxa"/>
              <w:right w:w="70" w:type="dxa"/>
            </w:tcMar>
          </w:tcPr>
          <w:p>
            <w:pPr>
              <w:pStyle w:val="Compact"/>
              <w:spacing w:before="0" w:after="30" w:line="240" w:lineRule="auto"/>
              <w:jc w:val="left"/>
            </w:pPr>
            <w:r>
              <w:rPr>
                <w:sz w:val="15"/>
              </w:rPr>
              <w:t xml:space="preserve">Approval</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Atomically reserve selected eligible units against redeem/fulfillment; recheck races. Submit one durable provider refund command.</w:t>
            </w:r>
          </w:p>
        </w:tc>
      </w:tr>
      <w:tr>
        <w:tc>
          <w:tcPr>
            <w:vAlign w:val="top"/>
            <w:tcMar>
              <w:top w:w="55" w:type="dxa"/>
              <w:left w:w="70" w:type="dxa"/>
              <w:bottom w:w="55" w:type="dxa"/>
              <w:right w:w="70" w:type="dxa"/>
            </w:tcMar>
          </w:tcPr>
          <w:p>
            <w:pPr>
              <w:pStyle w:val="Compact"/>
              <w:spacing w:before="0" w:after="30" w:line="240" w:lineRule="auto"/>
              <w:jc w:val="left"/>
            </w:pPr>
            <w:r>
              <w:rPr>
                <w:sz w:val="15"/>
              </w:rPr>
              <w:t xml:space="preserve">Processing / unknown</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Maintain reservation; query original command. Known failure allows authorized retry or reviewed rollback; do not release while provider may have returned money.</w:t>
            </w:r>
          </w:p>
        </w:tc>
      </w:tr>
      <w:tr>
        <w:tc>
          <w:tcPr>
            <w:vAlign w:val="top"/>
            <w:tcMar>
              <w:top w:w="55" w:type="dxa"/>
              <w:left w:w="70" w:type="dxa"/>
              <w:bottom w:w="55" w:type="dxa"/>
              <w:right w:w="70" w:type="dxa"/>
            </w:tcMar>
          </w:tcPr>
          <w:p>
            <w:pPr>
              <w:pStyle w:val="Compact"/>
              <w:spacing w:before="0" w:after="30" w:line="240" w:lineRule="auto"/>
              <w:jc w:val="left"/>
            </w:pPr>
            <w:r>
              <w:rPr>
                <w:sz w:val="15"/>
              </w:rPr>
              <w:t xml:space="preserve">Verified success</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Finalize refunded amounts/units; invalidate unused credentials or revoke affected assigned grant; recompute account access; reverse original direct/referral allocations, with period requalification.</w:t>
            </w:r>
          </w:p>
        </w:tc>
      </w:tr>
      <w:tr>
        <w:tc>
          <w:tcPr>
            <w:vAlign w:val="top"/>
            <w:tcMar>
              <w:top w:w="55" w:type="dxa"/>
              <w:left w:w="70" w:type="dxa"/>
              <w:bottom w:w="55" w:type="dxa"/>
              <w:right w:w="70" w:type="dxa"/>
            </w:tcMar>
          </w:tcPr>
          <w:p>
            <w:pPr>
              <w:pStyle w:val="Compact"/>
              <w:spacing w:before="0" w:after="30" w:line="240" w:lineRule="auto"/>
              <w:jc w:val="left"/>
            </w:pPr>
            <w:r>
              <w:rPr>
                <w:sz w:val="15"/>
              </w:rPr>
              <w:t xml:space="preserve">Partial refund</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Refund selected allocations only. Example 10 codes, 4 used, 6 approved unused refunds: preserve the four; refund six original unit amounts and their commissions.</w:t>
            </w:r>
          </w:p>
        </w:tc>
      </w:tr>
      <w:tr>
        <w:tc>
          <w:tcPr>
            <w:vAlign w:val="top"/>
            <w:tcMar>
              <w:top w:w="55" w:type="dxa"/>
              <w:left w:w="70" w:type="dxa"/>
              <w:bottom w:w="55" w:type="dxa"/>
              <w:right w:w="70" w:type="dxa"/>
            </w:tcMar>
          </w:tcPr>
          <w:p>
            <w:pPr>
              <w:pStyle w:val="Compact"/>
              <w:spacing w:before="0" w:after="30" w:line="240" w:lineRule="auto"/>
              <w:jc w:val="left"/>
            </w:pPr>
            <w:r>
              <w:rPr>
                <w:sz w:val="15"/>
              </w:rPr>
              <w:t xml:space="preserve">Used entitlement exception</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Requires explicit authorized reason. Revoke affected grant only; do not block entire recipient account. Partial-money exceptions must specify amount and access effect, never infer fractional duration client-side.</w:t>
            </w:r>
          </w:p>
        </w:tc>
      </w:tr>
      <w:tr>
        <w:tc>
          <w:tcPr>
            <w:vAlign w:val="top"/>
            <w:tcMar>
              <w:top w:w="55" w:type="dxa"/>
              <w:left w:w="70" w:type="dxa"/>
              <w:bottom w:w="55" w:type="dxa"/>
              <w:right w:w="70" w:type="dxa"/>
            </w:tcMar>
          </w:tcPr>
          <w:p>
            <w:pPr>
              <w:pStyle w:val="Compact"/>
              <w:spacing w:before="0" w:after="30" w:line="240" w:lineRule="auto"/>
              <w:jc w:val="left"/>
            </w:pPr>
            <w:r>
              <w:rPr>
                <w:sz w:val="15"/>
              </w:rPr>
              <w:t xml:space="preserve">Surplus payment refund</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Targets the additional payment; no grant revocation and no reversal of valid original earnings.</w:t>
            </w:r>
          </w:p>
        </w:tc>
      </w:tr>
      <w:tr>
        <w:tc>
          <w:tcPr>
            <w:vAlign w:val="top"/>
            <w:tcMar>
              <w:top w:w="55" w:type="dxa"/>
              <w:left w:w="70" w:type="dxa"/>
              <w:bottom w:w="55" w:type="dxa"/>
              <w:right w:w="70" w:type="dxa"/>
            </w:tcMar>
          </w:tcPr>
          <w:p>
            <w:pPr>
              <w:pStyle w:val="Compact"/>
              <w:spacing w:before="0" w:after="30" w:line="240" w:lineRule="auto"/>
              <w:jc w:val="left"/>
            </w:pPr>
            <w:r>
              <w:rPr>
                <w:sz w:val="15"/>
              </w:rPr>
              <w:t xml:space="preserve">Dispute inquiry</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Record evidence/deadline/provider stage. Inquiry alone is not confirmed chargeback; any temporary restriction is an explicit scoped risk action.</w:t>
            </w:r>
          </w:p>
        </w:tc>
      </w:tr>
      <w:tr>
        <w:tc>
          <w:tcPr>
            <w:vAlign w:val="top"/>
            <w:tcMar>
              <w:top w:w="55" w:type="dxa"/>
              <w:left w:w="70" w:type="dxa"/>
              <w:bottom w:w="55" w:type="dxa"/>
              <w:right w:w="70" w:type="dxa"/>
            </w:tcMar>
          </w:tcPr>
          <w:p>
            <w:pPr>
              <w:pStyle w:val="Compact"/>
              <w:spacing w:before="0" w:after="30" w:line="240" w:lineRule="auto"/>
              <w:jc w:val="left"/>
            </w:pPr>
            <w:r>
              <w:rPr>
                <w:sz w:val="15"/>
              </w:rPr>
              <w:t xml:space="preserve">Confirmed chargeback</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Revoke affected grant, block affected unused codes, flag payment/review buyer, reverse applicable earnings. Protect unrelated grants and innocent recipient accounts.</w:t>
            </w:r>
          </w:p>
        </w:tc>
      </w:tr>
      <w:tr>
        <w:tc>
          <w:tcPr>
            <w:vAlign w:val="top"/>
            <w:tcMar>
              <w:top w:w="55" w:type="dxa"/>
              <w:left w:w="70" w:type="dxa"/>
              <w:bottom w:w="55" w:type="dxa"/>
              <w:right w:w="70" w:type="dxa"/>
            </w:tcMar>
          </w:tcPr>
          <w:p>
            <w:pPr>
              <w:pStyle w:val="Compact"/>
              <w:spacing w:before="0" w:after="30" w:line="240" w:lineRule="auto"/>
              <w:jc w:val="left"/>
            </w:pPr>
            <w:r>
              <w:rPr>
                <w:sz w:val="15"/>
              </w:rPr>
              <w:t xml:space="preserve">Won/reversed chargeback</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Compensate financial loss once; restore eligible affected access, not voided credentials. If an unused unit needs a usable credential, use an audited new credential after restored funding is confirmed.</w:t>
            </w:r>
          </w:p>
        </w:tc>
      </w:tr>
    </w:tbl>
    <w:p>
      <w:pPr>
        <w:pStyle w:val="BodyText"/>
      </w:pPr>
      <w:r>
        <w:t xml:space="preserve">Refund and chargeback reducers share remaining reversible/refundable allocation checks. Do not apply the same loss twice when provider refund and dispute events overlap. Partial chargeback without clear unit mapping requires Finance allocation review. Provider policy determines supported refund/dispute mechanisms; no card-specific behavior is assumed for QRIS/VA.</w:t>
      </w:r>
    </w:p>
    <w:bookmarkEnd w:id="29"/>
    <w:bookmarkStart w:id="30" w:name="X82f08c7bf1b70826fd57e2532688cf02f831a9e"/>
    <w:p>
      <w:pPr>
        <w:pStyle w:val="Heading2"/>
        <w:keepNext/>
        <w:keepLines/>
      </w:pPr>
      <w:r>
        <w:t xml:space="preserve">8. Seller referrals and monthly qualification</w:t>
      </w:r>
    </w:p>
    <w:p>
      <w:pPr>
        <w:pStyle w:val="FirstParagraph"/>
      </w:pPr>
      <w:r>
        <w:t xml:space="preserve">One level only. A→B→C: A earns only from B; B only from C. Prevent self-referral and every ancestor cycle. Referrer changes are Admin-only, audited and prospective by default. Genuine self-purchase is allowed; family relationship or IP alone is not fraud evidence. Referral commission comes from Nahj and never reduces the referred seller’s direct commission.</w:t>
      </w:r>
    </w:p>
    <w:p>
      <w:pPr>
        <w:pStyle w:val="Compact"/>
        <w:numPr>
          <w:ilvl w:val="0"/>
          <w:numId w:val="1001"/>
        </w:numPr>
      </w:pPr>
      <w:r>
        <w:t xml:space="preserve">Snapshot effective period target/rate/referrer; preserve each order’s actual promised referral rate and attribution. Defaults affect the next period; current/historic override must be explicit and audited.</w:t>
      </w:r>
    </w:p>
    <w:p>
      <w:pPr>
        <w:pStyle w:val="Compact"/>
        <w:numPr>
          <w:ilvl w:val="0"/>
          <w:numId w:val="1001"/>
        </w:numPr>
      </w:pPr>
      <w:r>
        <w:t xml:space="preserve">Assign sale to the Asia/Jakarta month of verified provider settlement. Late webhook arrival does not move the sale into the arrival month. If an order spans a period boundary, preserve its order rate/attribution while using the settlement month’s target. Never rewrite an order to today’s rate.</w:t>
      </w:r>
    </w:p>
    <w:p>
      <w:pPr>
        <w:pStyle w:val="Compact"/>
        <w:numPr>
          <w:ilvl w:val="0"/>
          <w:numId w:val="1001"/>
        </w:numPr>
      </w:pPr>
      <w:r>
        <w:t xml:space="preserve">Qualified sales = net valid settled subscription sales; exclude unpaid/failed/cancelled, refunded/reversed amounts and duplicate-payment surplus. Partial refund subtracts original refunded allocations.</w:t>
      </w:r>
    </w:p>
    <w:p>
      <w:pPr>
        <w:pStyle w:val="Compact"/>
        <w:numPr>
          <w:ilvl w:val="0"/>
          <w:numId w:val="1001"/>
        </w:numPr>
      </w:pPr>
      <w:r>
        <w:t xml:space="preserve">Accrue provisional rewards during the month. At month close, if referred seller reaches target, award all eligible sales for that period. Each award releases no earlier than both period qualification and its sale’s 168-hour maturity, with risk holds respected.</w:t>
      </w:r>
    </w:p>
    <w:p>
      <w:pPr>
        <w:pStyle w:val="Compact"/>
        <w:numPr>
          <w:ilvl w:val="0"/>
          <w:numId w:val="1001"/>
        </w:numPr>
      </w:pPr>
      <w:r>
        <w:t xml:space="preserve">Refund/chargeback corrects the original period. Reverse the affected award; if net sales drop below target, reverse remaining awards for that now-unqualified period exactly once. Restoration/requalification uses compensating entries and qualification revisions. Previously withdrawn rewards can create debt.</w:t>
      </w:r>
    </w:p>
    <w:p>
      <w:pPr>
        <w:pStyle w:val="Compact"/>
        <w:numPr>
          <w:ilvl w:val="0"/>
          <w:numId w:val="1001"/>
        </w:numPr>
      </w:pPr>
      <w:r>
        <w:t xml:space="preserve">Seller UI distinguishes provisional progress, qualified rewards and Available money. No target/rate is hardcoded from an example; 1% remains a catalog setting, not an automatic assumption.</w:t>
      </w:r>
    </w:p>
    <w:bookmarkEnd w:id="30"/>
    <w:bookmarkStart w:id="31" w:name="support-notifications-and-audit"/>
    <w:p>
      <w:pPr>
        <w:pStyle w:val="Heading2"/>
        <w:keepNext/>
        <w:keepLines/>
      </w:pPr>
      <w:r>
        <w:t xml:space="preserve">9. Support, notifications and audit</w:t>
      </w:r>
    </w:p>
    <w:p>
      <w:pPr>
        <w:pStyle w:val="FirstParagraph"/>
      </w:pPr>
      <w:r>
        <w:rPr>
          <w:b/>
          <w:bCs/>
        </w:rPr>
        <w:t xml:space="preserve">Support ownership:</w:t>
      </w:r>
      <w:r>
        <w:t xml:space="preserve"> </w:t>
      </w:r>
      <w:r>
        <w:t xml:space="preserve">seller handles first-line help for own attributed sales. Backend/payment/refund/fraud/security/account failures route to Nahj. Customer can reach Nahj directly; seller unavailable/suspended/overdue support is reassigned while preserving thread/history. Recipient support uses a grant reference without buyer payment data. Public replies and internal notes are separate audiences. Closing a case never executes a financial command.</w:t>
      </w:r>
    </w:p>
    <w:p>
      <w:pPr>
        <w:pStyle w:val="BodyText"/>
      </w:pPr>
      <w:r>
        <w:rPr>
          <w:b/>
          <w:bCs/>
        </w:rPr>
        <w:t xml:space="preserve">Notifications:</w:t>
      </w:r>
      <w:r>
        <w:t xml:space="preserve"> </w:t>
      </w:r>
      <w:r>
        <w:t xml:space="preserve">durable event-recipient-channel records; customer portal/in-app/FCM/email, seller dashboard/email, Admin queues. No paid SMS dependency. Emit verified payment, fulfillment-ready/deadline, activation/delivery, auto completion, commission release, referral qualification/correction, withdrawal/refund changes, support replies and security changes. Notifications and email retries do not repeat economic effects. Portal publication is delivery even if email fails. Single code may be in email body; bulk links to authenticated purchases; no raw code in subject/push. Buyer/recipient/seller receive separate privacy-safe messages.</w:t>
      </w:r>
    </w:p>
    <w:p>
      <w:pPr>
        <w:pStyle w:val="BodyText"/>
      </w:pPr>
      <w:r>
        <w:rPr>
          <w:b/>
          <w:bCs/>
        </w:rPr>
        <w:t xml:space="preserve">Audit:</w:t>
      </w:r>
      <w:r>
        <w:t xml:space="preserve"> </w:t>
      </w:r>
      <w:r>
        <w:t xml:space="preserve">append-only actor/service + capability/market, action/entity, UTC time, reason, redacted before/after, outcome, command/provider reference and independent approver where needed. Include configuration, holds, seller status, sensitive reveal/export, fulfillment, replacement/redeem, money movement and permission changes. Store no passwords, OTPs, tokens, full bank numbers or raw codes. System actions must not be attributed to seller.</w:t>
      </w:r>
    </w:p>
    <w:bookmarkEnd w:id="31"/>
    <w:bookmarkStart w:id="32" w:name="security-commands-and-recovery-jobs"/>
    <w:p>
      <w:pPr>
        <w:pStyle w:val="Heading2"/>
        <w:keepNext/>
        <w:keepLines/>
      </w:pPr>
      <w:r>
        <w:t xml:space="preserve">10. Security, commands and recovery jobs</w:t>
      </w:r>
    </w:p>
    <w:p>
      <w:pPr>
        <w:pStyle w:val="Compact"/>
        <w:numPr>
          <w:ilvl w:val="0"/>
          <w:numId w:val="1002"/>
        </w:numPr>
      </w:pPr>
      <w:r>
        <w:t xml:space="preserve">Existing authenticated identity linking only; reauthenticate sensitive changes. Required MFA for Admin/withdrawals; protect payout-change and recovery procedures. Exceptional payout-destination recovery requires independent review. No seller handling of customer passwords or OTPs.</w:t>
      </w:r>
    </w:p>
    <w:p>
      <w:pPr>
        <w:pStyle w:val="Compact"/>
        <w:numPr>
          <w:ilvl w:val="0"/>
          <w:numId w:val="1002"/>
        </w:numPr>
      </w:pPr>
      <w:r>
        <w:t xml:space="preserve">Host-scoped secure sessions unless deliberate SSO contract, CSRF protection, allowed return URLs, output escaping, upload scanning, rate/size limits, secret redaction and no sensitive session recording.</w:t>
      </w:r>
    </w:p>
    <w:p>
      <w:pPr>
        <w:pStyle w:val="Compact"/>
        <w:numPr>
          <w:ilvl w:val="0"/>
          <w:numId w:val="1002"/>
        </w:numPr>
      </w:pPr>
      <w:r>
        <w:t xml:space="preserve">Codes need secure random entropy, lookup digest and separately encrypted redisplay value for authorized delivery/export. Mask by default; audit reveal. No plaintext codes in URLs, logs or public caches. Rate-limit guesses with account-aware controls; do not rely only on IP.</w:t>
      </w:r>
    </w:p>
    <w:p>
      <w:pPr>
        <w:pStyle w:val="Compact"/>
        <w:numPr>
          <w:ilvl w:val="0"/>
          <w:numId w:val="1002"/>
        </w:numPr>
      </w:pPr>
      <w:r>
        <w:t xml:space="preserve">Every mutation has stable idempotency key, expected version/state, transaction lock/unique constraint and durable outcome. A timeout requires lookup of the original operation. A new idempotency key is not a retry strategy for an unknown money transfer.</w:t>
      </w:r>
    </w:p>
    <w:p>
      <w:pPr>
        <w:pStyle w:val="Compact"/>
        <w:numPr>
          <w:ilvl w:val="0"/>
          <w:numId w:val="1002"/>
        </w:numPr>
      </w:pPr>
      <w:r>
        <w:t xml:space="preserve">Use durable outbox/saga for external provider calls; database and provider are not one atomic transaction. Replay-safe state reduction, unique unit/grant/financial-event keys and provider checks prevent duplicate side effects.</w:t>
      </w:r>
    </w:p>
    <w:p>
      <w:pPr>
        <w:pStyle w:val="Compact"/>
        <w:numPr>
          <w:ilvl w:val="0"/>
          <w:numId w:val="1002"/>
        </w:numPr>
      </w:pPr>
      <w:r>
        <w:t xml:space="preserve">APIs return separate statuses, version, safe error code/reference, eligibility/allowed actions and retry guidance. Server-side filters/pagination; per-item bulk results; actor-specific redaction. A 200 bulk response does not mean every unit succeeded.</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5"/>
              </w:rPr>
              <w:t xml:space="preserve">Job / owner</w:t>
            </w:r>
          </w:p>
        </w:tc>
        <w:tc>
          <w:tcPr>
            <w:vAlign w:val="top"/>
            <w:tcMar>
              <w:top w:w="55" w:type="dxa"/>
              <w:left w:w="70" w:type="dxa"/>
              <w:bottom w:w="55" w:type="dxa"/>
              <w:right w:w="70" w:type="dxa"/>
            </w:tcMar>
            <w:shd w:fill="E9E3F6"/>
          </w:tcPr>
          <w:p>
            <w:pPr>
              <w:pStyle w:val="Compact"/>
              <w:spacing w:before="0" w:after="30" w:line="240" w:lineRule="auto"/>
              <w:jc w:val="left"/>
            </w:pPr>
            <w:r>
              <w:rPr>
                <w:b/>
                <w:sz w:val="15"/>
              </w:rPr>
              <w:t xml:space="preserve">Required behavior</w:t>
            </w:r>
          </w:p>
        </w:tc>
      </w:tr>
      <w:tr>
        <w:tc>
          <w:tcPr>
            <w:vAlign w:val="top"/>
            <w:tcMar>
              <w:top w:w="55" w:type="dxa"/>
              <w:left w:w="70" w:type="dxa"/>
              <w:bottom w:w="55" w:type="dxa"/>
              <w:right w:w="70" w:type="dxa"/>
            </w:tcMar>
          </w:tcPr>
          <w:p>
            <w:pPr>
              <w:pStyle w:val="Compact"/>
              <w:spacing w:before="0" w:after="30" w:line="240" w:lineRule="auto"/>
              <w:jc w:val="left"/>
            </w:pPr>
            <w:r>
              <w:rPr>
                <w:sz w:val="15"/>
              </w:rPr>
              <w:t xml:space="preserve">Payment reconciliation / Finance + Backend</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Poll unresolved attempts and ingest authenticated callbacks; verify all economic fields; handle late/out-of-order/duplicate events. Local expiry does not stop reconciliation.</w:t>
            </w:r>
          </w:p>
        </w:tc>
      </w:tr>
      <w:tr>
        <w:tc>
          <w:tcPr>
            <w:vAlign w:val="top"/>
            <w:tcMar>
              <w:top w:w="55" w:type="dxa"/>
              <w:left w:w="70" w:type="dxa"/>
              <w:bottom w:w="55" w:type="dxa"/>
              <w:right w:w="70" w:type="dxa"/>
            </w:tcMar>
          </w:tcPr>
          <w:p>
            <w:pPr>
              <w:pStyle w:val="Compact"/>
              <w:spacing w:before="0" w:after="30" w:line="240" w:lineRule="auto"/>
              <w:jc w:val="left"/>
            </w:pPr>
            <w:r>
              <w:rPr>
                <w:sz w:val="15"/>
              </w:rPr>
              <w:t xml:space="preserve">Fulfillment deadline/recovery / Operations + Backend</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Schedule at fixed +30 minutes; seller/worker share unit command; retry missing units; respect explicit holds; alert overdue backlog.</w:t>
            </w:r>
          </w:p>
        </w:tc>
      </w:tr>
      <w:tr>
        <w:tc>
          <w:tcPr>
            <w:vAlign w:val="top"/>
            <w:tcMar>
              <w:top w:w="55" w:type="dxa"/>
              <w:left w:w="70" w:type="dxa"/>
              <w:bottom w:w="55" w:type="dxa"/>
              <w:right w:w="70" w:type="dxa"/>
            </w:tcMar>
          </w:tcPr>
          <w:p>
            <w:pPr>
              <w:pStyle w:val="Compact"/>
              <w:spacing w:before="0" w:after="30" w:line="240" w:lineRule="auto"/>
              <w:jc w:val="left"/>
            </w:pPr>
            <w:r>
              <w:rPr>
                <w:sz w:val="15"/>
              </w:rPr>
              <w:t xml:space="preserve">Commission maturity / Finance</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Release matured unheld amounts, apply debt offset, produce unique ledger postings.</w:t>
            </w:r>
          </w:p>
        </w:tc>
      </w:tr>
      <w:tr>
        <w:tc>
          <w:tcPr>
            <w:vAlign w:val="top"/>
            <w:tcMar>
              <w:top w:w="55" w:type="dxa"/>
              <w:left w:w="70" w:type="dxa"/>
              <w:bottom w:w="55" w:type="dxa"/>
              <w:right w:w="70" w:type="dxa"/>
            </w:tcMar>
          </w:tcPr>
          <w:p>
            <w:pPr>
              <w:pStyle w:val="Compact"/>
              <w:spacing w:before="0" w:after="30" w:line="240" w:lineRule="auto"/>
              <w:jc w:val="left"/>
            </w:pPr>
            <w:r>
              <w:rPr>
                <w:sz w:val="15"/>
              </w:rPr>
              <w:t xml:space="preserve">Referral close/correction / Finance</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Month-close and historical recalculation; immutable snapshots; qualification revisions/compensations.</w:t>
            </w:r>
          </w:p>
        </w:tc>
      </w:tr>
      <w:tr>
        <w:tc>
          <w:tcPr>
            <w:vAlign w:val="top"/>
            <w:tcMar>
              <w:top w:w="55" w:type="dxa"/>
              <w:left w:w="70" w:type="dxa"/>
              <w:bottom w:w="55" w:type="dxa"/>
              <w:right w:w="70" w:type="dxa"/>
            </w:tcMar>
          </w:tcPr>
          <w:p>
            <w:pPr>
              <w:pStyle w:val="Compact"/>
              <w:spacing w:before="0" w:after="30" w:line="240" w:lineRule="auto"/>
              <w:jc w:val="left"/>
            </w:pPr>
            <w:r>
              <w:rPr>
                <w:sz w:val="15"/>
              </w:rPr>
              <w:t xml:space="preserve">Refund/dispute/payout reconciliation / Finance</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Query original command; resolve unknown outcomes before resend/unlock; prevent refund/chargeback double loss.</w:t>
            </w:r>
          </w:p>
        </w:tc>
      </w:tr>
      <w:tr>
        <w:tc>
          <w:tcPr>
            <w:vAlign w:val="top"/>
            <w:tcMar>
              <w:top w:w="55" w:type="dxa"/>
              <w:left w:w="70" w:type="dxa"/>
              <w:bottom w:w="55" w:type="dxa"/>
              <w:right w:w="70" w:type="dxa"/>
            </w:tcMar>
          </w:tcPr>
          <w:p>
            <w:pPr>
              <w:pStyle w:val="Compact"/>
              <w:spacing w:before="0" w:after="30" w:line="240" w:lineRule="auto"/>
              <w:jc w:val="left"/>
            </w:pPr>
            <w:r>
              <w:rPr>
                <w:sz w:val="15"/>
              </w:rPr>
              <w:t xml:space="preserve">Email/push/export / Operations</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Retry transport/generation only; reauthorize export; no regeneration of grant/code from delivery failure.</w:t>
            </w:r>
          </w:p>
        </w:tc>
      </w:tr>
      <w:tr>
        <w:tc>
          <w:tcPr>
            <w:vAlign w:val="top"/>
            <w:tcMar>
              <w:top w:w="55" w:type="dxa"/>
              <w:left w:w="70" w:type="dxa"/>
              <w:bottom w:w="55" w:type="dxa"/>
              <w:right w:w="70" w:type="dxa"/>
            </w:tcMar>
          </w:tcPr>
          <w:p>
            <w:pPr>
              <w:pStyle w:val="Compact"/>
              <w:spacing w:before="0" w:after="30" w:line="240" w:lineRule="auto"/>
              <w:jc w:val="left"/>
            </w:pPr>
            <w:r>
              <w:rPr>
                <w:sz w:val="15"/>
              </w:rPr>
              <w:t xml:space="preserve">Daily money reconciliation / Finance</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Compare provider receipts/refunds/payouts with journal, locks and units; differences become cases, never balance overwrite.</w:t>
            </w:r>
          </w:p>
        </w:tc>
      </w:tr>
      <w:tr>
        <w:tc>
          <w:tcPr>
            <w:vAlign w:val="top"/>
            <w:tcMar>
              <w:top w:w="55" w:type="dxa"/>
              <w:left w:w="70" w:type="dxa"/>
              <w:bottom w:w="55" w:type="dxa"/>
              <w:right w:w="70" w:type="dxa"/>
            </w:tcMar>
          </w:tcPr>
          <w:p>
            <w:pPr>
              <w:pStyle w:val="Compact"/>
              <w:spacing w:before="0" w:after="30" w:line="240" w:lineRule="auto"/>
              <w:jc w:val="left"/>
            </w:pPr>
            <w:r>
              <w:rPr>
                <w:sz w:val="15"/>
              </w:rPr>
              <w:t xml:space="preserve">Support/risk/operational alerting / Operations</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Assigned owner and review deadline; overdue alerts; missed review never auto-releases financial hold.</w:t>
            </w:r>
          </w:p>
        </w:tc>
      </w:tr>
    </w:tbl>
    <w:bookmarkEnd w:id="32"/>
    <w:bookmarkStart w:id="33" w:name="configuration-and-integration-inputs"/>
    <w:p>
      <w:pPr>
        <w:pStyle w:val="Heading2"/>
        <w:keepNext/>
        <w:keepLines/>
      </w:pPr>
      <w:r>
        <w:t xml:space="preserve">11. Configuration and integration inputs</w:t>
      </w:r>
    </w:p>
    <w:p>
      <w:pPr>
        <w:pStyle w:val="FirstParagraph"/>
      </w:pPr>
      <w:r>
        <w:t xml:space="preserve">Load and validate actual plan prices/benefits/versioned duration behavior, referral target/rate, provider IDs/limits/status mapping, payment instructions, transfer fees/methods, quote/request validity, quantity caps, refund-policy window/version, response targets, verification requirements and retention/security settings. These are operational values; do not insert sample amounts into production. Keep V1 fulfillment fixed at 30 minutes. Settings changes do not rewrite existing quotes already converted to orders, payout snapshots or period history.</w:t>
      </w:r>
    </w:p>
    <w:p>
      <w:pPr>
        <w:pStyle w:val="BodyText"/>
      </w:pPr>
      <w:r>
        <w:t xml:space="preserve">Backend/Mobile bind the existing Nahj identity and entitlement services; Finance validates the actual provider sandbox behavior, including success/settlement distinctions and unknown refunds/payouts. Use the established mobile distribution review process for the Android redeem release and iOS account sync. Approval of product logic is not a claim that any particular external integration has already been tested.</w:t>
      </w:r>
    </w:p>
    <w:bookmarkEnd w:id="33"/>
    <w:bookmarkStart w:id="34" w:name="critical-qa-acceptance"/>
    <w:p>
      <w:pPr>
        <w:pStyle w:val="Heading2"/>
        <w:keepNext/>
        <w:keepLines/>
      </w:pPr>
      <w:r>
        <w:t xml:space="preserve">12. Critical QA acceptance</w:t>
      </w:r>
    </w:p>
    <w:p>
      <w:pPr>
        <w:pStyle w:val="FirstParagraph"/>
      </w:pPr>
      <w:r>
        <w:t xml:space="preserve">These are release acceptance cases, not claims of executed tests. Detailed visual/state cases reside in the UX document.</w:t>
      </w:r>
    </w:p>
    <w:tbl>
      <w:tblPr>
        <w:tblStyle w:val="TableGrid"/>
        <w:tblW w:type="pct" w:w="5000"/>
        <w:jc w:val="center"/>
        <w:tblLayout w:type="autofit"/>
        <w:tblLook w:firstRow="1" w:lastRow="0" w:firstColumn="0" w:lastColumn="0" w:noHBand="0" w:noVBand="0" w:val="0020"/>
      </w:tblPr>
      <w:tblGrid>
        <w:gridCol w:w="2640"/>
        <w:gridCol w:w="2640"/>
        <w:gridCol w:w="264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5"/>
              </w:rPr>
              <w:t xml:space="preserve">ID</w:t>
            </w:r>
          </w:p>
        </w:tc>
        <w:tc>
          <w:tcPr>
            <w:vAlign w:val="top"/>
            <w:tcMar>
              <w:top w:w="55" w:type="dxa"/>
              <w:left w:w="70" w:type="dxa"/>
              <w:bottom w:w="55" w:type="dxa"/>
              <w:right w:w="70" w:type="dxa"/>
            </w:tcMar>
            <w:shd w:fill="E9E3F6"/>
          </w:tcPr>
          <w:p>
            <w:pPr>
              <w:pStyle w:val="Compact"/>
              <w:spacing w:before="0" w:after="30" w:line="240" w:lineRule="auto"/>
              <w:jc w:val="left"/>
            </w:pPr>
            <w:r>
              <w:rPr>
                <w:b/>
                <w:sz w:val="15"/>
              </w:rPr>
              <w:t xml:space="preserve">Test</w:t>
            </w:r>
          </w:p>
        </w:tc>
        <w:tc>
          <w:tcPr>
            <w:vAlign w:val="top"/>
            <w:tcMar>
              <w:top w:w="55" w:type="dxa"/>
              <w:left w:w="70" w:type="dxa"/>
              <w:bottom w:w="55" w:type="dxa"/>
              <w:right w:w="70" w:type="dxa"/>
            </w:tcMar>
            <w:shd w:fill="E9E3F6"/>
          </w:tcPr>
          <w:p>
            <w:pPr>
              <w:pStyle w:val="Compact"/>
              <w:spacing w:before="0" w:after="30" w:line="240" w:lineRule="auto"/>
              <w:jc w:val="left"/>
            </w:pPr>
            <w:r>
              <w:rPr>
                <w:b/>
                <w:sz w:val="15"/>
              </w:rPr>
              <w:t xml:space="preserve">Required result</w:t>
            </w:r>
          </w:p>
        </w:tc>
      </w:tr>
      <w:tr>
        <w:tc>
          <w:tcPr>
            <w:vAlign w:val="top"/>
            <w:tcMar>
              <w:top w:w="55" w:type="dxa"/>
              <w:left w:w="70" w:type="dxa"/>
              <w:bottom w:w="55" w:type="dxa"/>
              <w:right w:w="70" w:type="dxa"/>
            </w:tcMar>
          </w:tcPr>
          <w:p>
            <w:pPr>
              <w:pStyle w:val="Compact"/>
              <w:spacing w:before="0" w:after="30" w:line="240" w:lineRule="auto"/>
              <w:jc w:val="left"/>
            </w:pPr>
            <w:r>
              <w:rPr>
                <w:sz w:val="15"/>
              </w:rPr>
              <w:t xml:space="preserve">T01</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Two buyers claim one request; crawler previews first</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No ownership on preview; exactly one confirmed owner; no identity leak.</w:t>
            </w:r>
          </w:p>
        </w:tc>
      </w:tr>
      <w:tr>
        <w:tc>
          <w:tcPr>
            <w:vAlign w:val="top"/>
            <w:tcMar>
              <w:top w:w="55" w:type="dxa"/>
              <w:left w:w="70" w:type="dxa"/>
              <w:bottom w:w="55" w:type="dxa"/>
              <w:right w:w="70" w:type="dxa"/>
            </w:tcMar>
          </w:tcPr>
          <w:p>
            <w:pPr>
              <w:pStyle w:val="Compact"/>
              <w:spacing w:before="0" w:after="30" w:line="240" w:lineRule="auto"/>
              <w:jc w:val="left"/>
            </w:pPr>
            <w:r>
              <w:rPr>
                <w:sz w:val="15"/>
              </w:rPr>
              <w:t xml:space="preserve">T02</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Bulk direct choice / changed Lifetime access</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Bulk uses codes; redundant direct/redeem blocked without lost value; paid conflict follows buyer-consented recovery.</w:t>
            </w:r>
          </w:p>
        </w:tc>
      </w:tr>
      <w:tr>
        <w:tc>
          <w:tcPr>
            <w:vAlign w:val="top"/>
            <w:tcMar>
              <w:top w:w="55" w:type="dxa"/>
              <w:left w:w="70" w:type="dxa"/>
              <w:bottom w:w="55" w:type="dxa"/>
              <w:right w:w="70" w:type="dxa"/>
            </w:tcMar>
          </w:tcPr>
          <w:p>
            <w:pPr>
              <w:pStyle w:val="Compact"/>
              <w:spacing w:before="0" w:after="30" w:line="240" w:lineRule="auto"/>
              <w:jc w:val="left"/>
            </w:pPr>
            <w:r>
              <w:rPr>
                <w:sz w:val="15"/>
              </w:rPr>
              <w:t xml:space="preserve">T03</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Repeated webhook and two successful attempts</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One entitlement set/earning; additional payment reviewed/refunded separately.</w:t>
            </w:r>
          </w:p>
        </w:tc>
      </w:tr>
      <w:tr>
        <w:tc>
          <w:tcPr>
            <w:vAlign w:val="top"/>
            <w:tcMar>
              <w:top w:w="55" w:type="dxa"/>
              <w:left w:w="70" w:type="dxa"/>
              <w:bottom w:w="55" w:type="dxa"/>
              <w:right w:w="70" w:type="dxa"/>
            </w:tcMar>
          </w:tcPr>
          <w:p>
            <w:pPr>
              <w:pStyle w:val="Compact"/>
              <w:spacing w:before="0" w:after="30" w:line="240" w:lineRule="auto"/>
              <w:jc w:val="left"/>
            </w:pPr>
            <w:r>
              <w:rPr>
                <w:sz w:val="15"/>
              </w:rPr>
              <w:t xml:space="preserve">T04</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Expired browser; delayed webhook; seller suspended</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Valid original payment accepted once with original snapshot; obligations preserved.</w:t>
            </w:r>
          </w:p>
        </w:tc>
      </w:tr>
      <w:tr>
        <w:tc>
          <w:tcPr>
            <w:vAlign w:val="top"/>
            <w:tcMar>
              <w:top w:w="55" w:type="dxa"/>
              <w:left w:w="70" w:type="dxa"/>
              <w:bottom w:w="55" w:type="dxa"/>
              <w:right w:w="70" w:type="dxa"/>
            </w:tcMar>
          </w:tcPr>
          <w:p>
            <w:pPr>
              <w:pStyle w:val="Compact"/>
              <w:spacing w:before="0" w:after="30" w:line="240" w:lineRule="auto"/>
              <w:jc w:val="left"/>
            </w:pPr>
            <w:r>
              <w:rPr>
                <w:sz w:val="15"/>
              </w:rPr>
              <w:t xml:space="preserve">T05</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Wrong amount/currency/merchant; fake success redirect</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No normal fulfillment or commission; review/checking state.</w:t>
            </w:r>
          </w:p>
        </w:tc>
      </w:tr>
      <w:tr>
        <w:tc>
          <w:tcPr>
            <w:vAlign w:val="top"/>
            <w:tcMar>
              <w:top w:w="55" w:type="dxa"/>
              <w:left w:w="70" w:type="dxa"/>
              <w:bottom w:w="55" w:type="dxa"/>
              <w:right w:w="70" w:type="dxa"/>
            </w:tcMar>
          </w:tcPr>
          <w:p>
            <w:pPr>
              <w:pStyle w:val="Compact"/>
              <w:spacing w:before="0" w:after="30" w:line="240" w:lineRule="auto"/>
              <w:jc w:val="left"/>
            </w:pPr>
            <w:r>
              <w:rPr>
                <w:sz w:val="15"/>
              </w:rPr>
              <w:t xml:space="preserve">T06</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Payment confirmed at 14:05 WIB; repeated event at 14:20</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Deadline stays 14:35. No activity resets it. Seller/worker race produces one effect.</w:t>
            </w:r>
          </w:p>
        </w:tc>
      </w:tr>
      <w:tr>
        <w:tc>
          <w:tcPr>
            <w:vAlign w:val="top"/>
            <w:tcMar>
              <w:top w:w="55" w:type="dxa"/>
              <w:left w:w="70" w:type="dxa"/>
              <w:bottom w:w="55" w:type="dxa"/>
              <w:right w:w="70" w:type="dxa"/>
            </w:tcMar>
          </w:tcPr>
          <w:p>
            <w:pPr>
              <w:pStyle w:val="Compact"/>
              <w:spacing w:before="0" w:after="30" w:line="240" w:lineRule="auto"/>
              <w:jc w:val="left"/>
            </w:pPr>
            <w:r>
              <w:rPr>
                <w:sz w:val="15"/>
              </w:rPr>
              <w:t xml:space="preserve">T07</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Bulk crash after 8/10; email fails</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Create/publish remaining two only; published codes remain accessible; transport retry cannot duplicate units.</w:t>
            </w:r>
          </w:p>
        </w:tc>
      </w:tr>
      <w:tr>
        <w:tc>
          <w:tcPr>
            <w:vAlign w:val="top"/>
            <w:tcMar>
              <w:top w:w="55" w:type="dxa"/>
              <w:left w:w="70" w:type="dxa"/>
              <w:bottom w:w="55" w:type="dxa"/>
              <w:right w:w="70" w:type="dxa"/>
            </w:tcMar>
          </w:tcPr>
          <w:p>
            <w:pPr>
              <w:pStyle w:val="Compact"/>
              <w:spacing w:before="0" w:after="30" w:line="240" w:lineRule="auto"/>
              <w:jc w:val="left"/>
            </w:pPr>
            <w:r>
              <w:rPr>
                <w:sz w:val="15"/>
              </w:rPr>
              <w:t xml:space="preserve">T08</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Seller copy/share then clipboard or share fails</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Buyer portal publication preserved; external receipt not falsely confirmed.</w:t>
            </w:r>
          </w:p>
        </w:tc>
      </w:tr>
      <w:tr>
        <w:tc>
          <w:tcPr>
            <w:vAlign w:val="top"/>
            <w:tcMar>
              <w:top w:w="55" w:type="dxa"/>
              <w:left w:w="70" w:type="dxa"/>
              <w:bottom w:w="55" w:type="dxa"/>
              <w:right w:w="70" w:type="dxa"/>
            </w:tcMar>
          </w:tcPr>
          <w:p>
            <w:pPr>
              <w:pStyle w:val="Compact"/>
              <w:spacing w:before="0" w:after="30" w:line="240" w:lineRule="auto"/>
              <w:jc w:val="left"/>
            </w:pPr>
            <w:r>
              <w:rPr>
                <w:sz w:val="15"/>
              </w:rPr>
              <w:t xml:space="preserve">T09</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Two redeemers; replacement/refund race; timeout after commit</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One grant; locked-state winner respected; original operation lookup returns canonical outcome.</w:t>
            </w:r>
          </w:p>
        </w:tc>
      </w:tr>
      <w:tr>
        <w:tc>
          <w:tcPr>
            <w:vAlign w:val="top"/>
            <w:tcMar>
              <w:top w:w="55" w:type="dxa"/>
              <w:left w:w="70" w:type="dxa"/>
              <w:bottom w:w="55" w:type="dxa"/>
              <w:right w:w="70" w:type="dxa"/>
            </w:tcMar>
          </w:tcPr>
          <w:p>
            <w:pPr>
              <w:pStyle w:val="Compact"/>
              <w:spacing w:before="0" w:after="30" w:line="240" w:lineRule="auto"/>
              <w:jc w:val="left"/>
            </w:pPr>
            <w:r>
              <w:rPr>
                <w:sz w:val="15"/>
              </w:rPr>
              <w:t xml:space="preserve">T10</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Wrong account/provider identity or guest</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Account confirmation/verification enforced; no email-only merge or guest activation.</w:t>
            </w:r>
          </w:p>
        </w:tc>
      </w:tr>
      <w:tr>
        <w:tc>
          <w:tcPr>
            <w:vAlign w:val="top"/>
            <w:tcMar>
              <w:top w:w="55" w:type="dxa"/>
              <w:left w:w="70" w:type="dxa"/>
              <w:bottom w:w="55" w:type="dxa"/>
              <w:right w:w="70" w:type="dxa"/>
            </w:tcMar>
          </w:tcPr>
          <w:p>
            <w:pPr>
              <w:pStyle w:val="Compact"/>
              <w:spacing w:before="0" w:after="30" w:line="240" w:lineRule="auto"/>
              <w:jc w:val="left"/>
            </w:pPr>
            <w:r>
              <w:rPr>
                <w:sz w:val="15"/>
              </w:rPr>
              <w:t xml:space="preserve">T11</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Prepaid extension/store renewal/Lifetime refund</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Existing Nahj calendar/overlap contract; no duplicate time; surviving grants preserved; app sync matches web.</w:t>
            </w:r>
          </w:p>
        </w:tc>
      </w:tr>
      <w:tr>
        <w:tc>
          <w:tcPr>
            <w:vAlign w:val="top"/>
            <w:tcMar>
              <w:top w:w="55" w:type="dxa"/>
              <w:left w:w="70" w:type="dxa"/>
              <w:bottom w:w="55" w:type="dxa"/>
              <w:right w:w="70" w:type="dxa"/>
            </w:tcMar>
          </w:tcPr>
          <w:p>
            <w:pPr>
              <w:pStyle w:val="Compact"/>
              <w:spacing w:before="0" w:after="30" w:line="240" w:lineRule="auto"/>
              <w:jc w:val="left"/>
            </w:pPr>
            <w:r>
              <w:rPr>
                <w:sz w:val="15"/>
              </w:rPr>
              <w:t xml:space="preserve">T12</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Ten units, four used, six refund; stale selection</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Original six allocations reversed only; recheck use at approval; no stale eligibility execution.</w:t>
            </w:r>
          </w:p>
        </w:tc>
      </w:tr>
      <w:tr>
        <w:tc>
          <w:tcPr>
            <w:vAlign w:val="top"/>
            <w:tcMar>
              <w:top w:w="55" w:type="dxa"/>
              <w:left w:w="70" w:type="dxa"/>
              <w:bottom w:w="55" w:type="dxa"/>
              <w:right w:w="70" w:type="dxa"/>
            </w:tcMar>
          </w:tcPr>
          <w:p>
            <w:pPr>
              <w:pStyle w:val="Compact"/>
              <w:spacing w:before="0" w:after="30" w:line="240" w:lineRule="auto"/>
              <w:jc w:val="left"/>
            </w:pPr>
            <w:r>
              <w:rPr>
                <w:sz w:val="15"/>
              </w:rPr>
              <w:t xml:space="preserve">T13</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Duplicate-payment refund or refund+chargeback overlap</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Original valid access unaffected by surplus refund; same loss never reversed twice.</w:t>
            </w:r>
          </w:p>
        </w:tc>
      </w:tr>
      <w:tr>
        <w:tc>
          <w:tcPr>
            <w:vAlign w:val="top"/>
            <w:tcMar>
              <w:top w:w="55" w:type="dxa"/>
              <w:left w:w="70" w:type="dxa"/>
              <w:bottom w:w="55" w:type="dxa"/>
              <w:right w:w="70" w:type="dxa"/>
            </w:tcMar>
          </w:tcPr>
          <w:p>
            <w:pPr>
              <w:pStyle w:val="Compact"/>
              <w:spacing w:before="0" w:after="30" w:line="240" w:lineRule="auto"/>
              <w:jc w:val="left"/>
            </w:pPr>
            <w:r>
              <w:rPr>
                <w:sz w:val="15"/>
              </w:rPr>
              <w:t xml:space="preserve">T14</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School buyer chargeback then won/reversed</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Targeted access effect and compensation once; innocent account and unrelated grants preserved.</w:t>
            </w:r>
          </w:p>
        </w:tc>
      </w:tr>
      <w:tr>
        <w:tc>
          <w:tcPr>
            <w:vAlign w:val="top"/>
            <w:tcMar>
              <w:top w:w="55" w:type="dxa"/>
              <w:left w:w="70" w:type="dxa"/>
              <w:bottom w:w="55" w:type="dxa"/>
              <w:right w:w="70" w:type="dxa"/>
            </w:tcMar>
          </w:tcPr>
          <w:p>
            <w:pPr>
              <w:pStyle w:val="Compact"/>
              <w:spacing w:before="0" w:after="30" w:line="240" w:lineRule="auto"/>
              <w:jc w:val="left"/>
            </w:pPr>
            <w:r>
              <w:rPr>
                <w:sz w:val="15"/>
              </w:rPr>
              <w:t xml:space="preserve">T15</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Reversal after payout; debt with pending earnings</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Debt explicit; only future released earnings offset; pending never prematurely withdrawable.</w:t>
            </w:r>
          </w:p>
        </w:tc>
      </w:tr>
      <w:tr>
        <w:tc>
          <w:tcPr>
            <w:vAlign w:val="top"/>
            <w:tcMar>
              <w:top w:w="55" w:type="dxa"/>
              <w:left w:w="70" w:type="dxa"/>
              <w:bottom w:w="55" w:type="dxa"/>
              <w:right w:w="70" w:type="dxa"/>
            </w:tcMar>
          </w:tcPr>
          <w:p>
            <w:pPr>
              <w:pStyle w:val="Compact"/>
              <w:spacing w:before="0" w:after="30" w:line="240" w:lineRule="auto"/>
              <w:jc w:val="left"/>
            </w:pPr>
            <w:r>
              <w:rPr>
                <w:sz w:val="15"/>
              </w:rPr>
              <w:t xml:space="preserve">T16</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Concurrent withdrawals; provider timeout; cancel race</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Atomic fund lock; no overspend/resend/double unlock; timeout remains Processing.</w:t>
            </w:r>
          </w:p>
        </w:tc>
      </w:tr>
      <w:tr>
        <w:tc>
          <w:tcPr>
            <w:vAlign w:val="top"/>
            <w:tcMar>
              <w:top w:w="55" w:type="dxa"/>
              <w:left w:w="70" w:type="dxa"/>
              <w:bottom w:w="55" w:type="dxa"/>
              <w:right w:w="70" w:type="dxa"/>
            </w:tcMar>
          </w:tcPr>
          <w:p>
            <w:pPr>
              <w:pStyle w:val="Compact"/>
              <w:spacing w:before="0" w:after="30" w:line="240" w:lineRule="auto"/>
              <w:jc w:val="left"/>
            </w:pPr>
            <w:r>
              <w:rPr>
                <w:sz w:val="15"/>
              </w:rPr>
              <w:t xml:space="preserve">T17</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Payout destination/fee changes</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Submitted snapshot unchanged; new net cannot silently shrink; MFA enforced.</w:t>
            </w:r>
          </w:p>
        </w:tc>
      </w:tr>
      <w:tr>
        <w:tc>
          <w:tcPr>
            <w:vAlign w:val="top"/>
            <w:tcMar>
              <w:top w:w="55" w:type="dxa"/>
              <w:left w:w="70" w:type="dxa"/>
              <w:bottom w:w="55" w:type="dxa"/>
              <w:right w:w="70" w:type="dxa"/>
            </w:tcMar>
          </w:tcPr>
          <w:p>
            <w:pPr>
              <w:pStyle w:val="Compact"/>
              <w:spacing w:before="0" w:after="30" w:line="240" w:lineRule="auto"/>
              <w:jc w:val="left"/>
            </w:pPr>
            <w:r>
              <w:rPr>
                <w:sz w:val="15"/>
              </w:rPr>
              <w:t xml:space="preserve">T18</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Month qualification; late refund below target; restored qualification</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Original month recalculated; all appropriate awards corrected once; immutable rates; debt handled.</w:t>
            </w:r>
          </w:p>
        </w:tc>
      </w:tr>
      <w:tr>
        <w:tc>
          <w:tcPr>
            <w:vAlign w:val="top"/>
            <w:tcMar>
              <w:top w:w="55" w:type="dxa"/>
              <w:left w:w="70" w:type="dxa"/>
              <w:bottom w:w="55" w:type="dxa"/>
              <w:right w:w="70" w:type="dxa"/>
            </w:tcMar>
          </w:tcPr>
          <w:p>
            <w:pPr>
              <w:pStyle w:val="Compact"/>
              <w:spacing w:before="0" w:after="30" w:line="240" w:lineRule="auto"/>
              <w:jc w:val="left"/>
            </w:pPr>
            <w:r>
              <w:rPr>
                <w:sz w:val="15"/>
              </w:rPr>
              <w:t xml:space="preserve">T19</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Referral ancestor cycle; self-purchase</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Cycle rejected; genuine valid self-purchase accepted.</w:t>
            </w:r>
          </w:p>
        </w:tc>
      </w:tr>
      <w:tr>
        <w:tc>
          <w:tcPr>
            <w:vAlign w:val="top"/>
            <w:tcMar>
              <w:top w:w="55" w:type="dxa"/>
              <w:left w:w="70" w:type="dxa"/>
              <w:bottom w:w="55" w:type="dxa"/>
              <w:right w:w="70" w:type="dxa"/>
            </w:tcMar>
          </w:tcPr>
          <w:p>
            <w:pPr>
              <w:pStyle w:val="Compact"/>
              <w:spacing w:before="0" w:after="30" w:line="240" w:lineRule="auto"/>
              <w:jc w:val="left"/>
            </w:pPr>
            <w:r>
              <w:rPr>
                <w:sz w:val="15"/>
              </w:rPr>
              <w:t xml:space="preserve">T20</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Pause vs suspension vs withdrawal hold</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Independent approved behavior; no confiscation or loss of paid-order recovery.</w:t>
            </w:r>
          </w:p>
        </w:tc>
      </w:tr>
      <w:tr>
        <w:tc>
          <w:tcPr>
            <w:vAlign w:val="top"/>
            <w:tcMar>
              <w:top w:w="55" w:type="dxa"/>
              <w:left w:w="70" w:type="dxa"/>
              <w:bottom w:w="55" w:type="dxa"/>
              <w:right w:w="70" w:type="dxa"/>
            </w:tcMar>
          </w:tcPr>
          <w:p>
            <w:pPr>
              <w:pStyle w:val="Compact"/>
              <w:spacing w:before="0" w:after="30" w:line="240" w:lineRule="auto"/>
              <w:jc w:val="left"/>
            </w:pPr>
            <w:r>
              <w:rPr>
                <w:sz w:val="15"/>
              </w:rPr>
              <w:t xml:space="preserve">T21</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Cross-seller/buyer ID, export or attachment; recipient invoice</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Server denies unrelated data; no child information/recipient identity leak.</w:t>
            </w:r>
          </w:p>
        </w:tc>
      </w:tr>
      <w:tr>
        <w:tc>
          <w:tcPr>
            <w:vAlign w:val="top"/>
            <w:tcMar>
              <w:top w:w="55" w:type="dxa"/>
              <w:left w:w="70" w:type="dxa"/>
              <w:bottom w:w="55" w:type="dxa"/>
              <w:right w:w="70" w:type="dxa"/>
            </w:tcMar>
          </w:tcPr>
          <w:p>
            <w:pPr>
              <w:pStyle w:val="Compact"/>
              <w:spacing w:before="0" w:after="30" w:line="240" w:lineRule="auto"/>
              <w:jc w:val="left"/>
            </w:pPr>
            <w:r>
              <w:rPr>
                <w:sz w:val="15"/>
              </w:rPr>
              <w:t xml:space="preserve">T22</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Staff permission revoked; own exceptional adjustment</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Stale command denied; independent approval enforced; audit retained.</w:t>
            </w:r>
          </w:p>
        </w:tc>
      </w:tr>
      <w:tr>
        <w:tc>
          <w:tcPr>
            <w:vAlign w:val="top"/>
            <w:tcMar>
              <w:top w:w="55" w:type="dxa"/>
              <w:left w:w="70" w:type="dxa"/>
              <w:bottom w:w="55" w:type="dxa"/>
              <w:right w:w="70" w:type="dxa"/>
            </w:tcMar>
          </w:tcPr>
          <w:p>
            <w:pPr>
              <w:pStyle w:val="Compact"/>
              <w:spacing w:before="0" w:after="30" w:line="240" w:lineRule="auto"/>
              <w:jc w:val="left"/>
            </w:pPr>
            <w:r>
              <w:rPr>
                <w:sz w:val="15"/>
              </w:rPr>
              <w:t xml:space="preserve">T23</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Android landscape keyboard/offline/uncertain commit</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Usable field/account/CTA; no local grant; lookup before retry; projection refresh after success.</w:t>
            </w:r>
          </w:p>
        </w:tc>
      </w:tr>
      <w:tr>
        <w:tc>
          <w:tcPr>
            <w:vAlign w:val="top"/>
            <w:tcMar>
              <w:top w:w="55" w:type="dxa"/>
              <w:left w:w="70" w:type="dxa"/>
              <w:bottom w:w="55" w:type="dxa"/>
              <w:right w:w="70" w:type="dxa"/>
            </w:tcMar>
          </w:tcPr>
          <w:p>
            <w:pPr>
              <w:pStyle w:val="Compact"/>
              <w:spacing w:before="0" w:after="30" w:line="240" w:lineRule="auto"/>
              <w:jc w:val="left"/>
            </w:pPr>
            <w:r>
              <w:rPr>
                <w:sz w:val="15"/>
              </w:rPr>
              <w:t xml:space="preserve">T24</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Notification before grant refresh; email retry</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Notification is not access authority; no duplicate commerce effect.</w:t>
            </w:r>
          </w:p>
        </w:tc>
      </w:tr>
      <w:tr>
        <w:tc>
          <w:tcPr>
            <w:vAlign w:val="top"/>
            <w:tcMar>
              <w:top w:w="55" w:type="dxa"/>
              <w:left w:w="70" w:type="dxa"/>
              <w:bottom w:w="55" w:type="dxa"/>
              <w:right w:w="70" w:type="dxa"/>
            </w:tcMar>
          </w:tcPr>
          <w:p>
            <w:pPr>
              <w:pStyle w:val="Compact"/>
              <w:spacing w:before="0" w:after="30" w:line="240" w:lineRule="auto"/>
              <w:jc w:val="left"/>
            </w:pPr>
            <w:r>
              <w:rPr>
                <w:sz w:val="15"/>
              </w:rPr>
              <w:t xml:space="preserve">T25</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Ledger/provider reconciliation after returns/reversals</w:t>
            </w:r>
          </w:p>
        </w:tc>
        <w:tc>
          <w:tcPr>
            <w:vAlign w:val="top"/>
            <w:tcMar>
              <w:top w:w="55" w:type="dxa"/>
              <w:left w:w="70" w:type="dxa"/>
              <w:bottom w:w="55" w:type="dxa"/>
              <w:right w:w="70" w:type="dxa"/>
            </w:tcMar>
          </w:tcPr>
          <w:p>
            <w:pPr>
              <w:pStyle w:val="Compact"/>
              <w:spacing w:before="0" w:after="30" w:line="240" w:lineRule="auto"/>
              <w:jc w:val="left"/>
            </w:pPr>
            <w:r>
              <w:rPr>
                <w:sz w:val="15"/>
              </w:rPr>
              <w:t xml:space="preserve">Balanced journals, correct locks/debt and no double-counted referral earnings.</w:t>
            </w:r>
          </w:p>
        </w:tc>
      </w:tr>
    </w:tbl>
    <w:p>
      <w:pPr>
        <w:pStyle w:val="BodyText"/>
      </w:pPr>
      <w:r>
        <w:rPr>
          <w:b/>
          <w:bCs/>
        </w:rPr>
        <w:t xml:space="preserve">Build completion:</w:t>
      </w:r>
      <w:r>
        <w:t xml:space="preserve"> </w:t>
      </w:r>
      <w:r>
        <w:t xml:space="preserve">wire the specified services, configure actual market/provider values, execute the acceptance cases and ensure recovery queues have owners. D01–D10 remain approved throughout implementation.</w:t>
      </w:r>
    </w:p>
    <w:bookmarkEnd w:id="34"/>
    <w:bookmarkEnd w:id="35"/>
    <w:sectPr w:rsidR="00FC693F" w:rsidRPr="0006063C" w:rsidSect="00034616">
      <w:headerReference r:id="rId9" w:type="default"/>
      <w:footerReference r:id="rId10" w:type="default"/>
      <w:pgSz w:h="15840" w:w="12240"/>
      <w:pgMar w:bottom="794" w:footer="340" w:gutter="0" w:header="340" w:left="879" w:right="879" w:top="79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D7D87"/>
        <w:sz w:val="15"/>
      </w:rPr>
      <w:t xml:space="preserve">Confidential Project Reference  •  Page </w:t>
    </w: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787887"/>
        <w:sz w:val="15"/>
      </w:rPr>
      <w:t>NAHJ  |  PT Ryam Technology Solution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line="252" w:lineRule="auto"/>
    </w:pPr>
    <w:rPr>
      <w:rFonts w:ascii="Aptos" w:hAnsi="Aptos"/>
      <w:sz w:val="19"/>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200"/>
      <w:outlineLvl w:val="0"/>
    </w:pPr>
    <w:rPr>
      <w:rFonts w:ascii="Aptos Display" w:asciiTheme="majorHAnsi" w:cstheme="majorBidi" w:eastAsiaTheme="majorEastAsia" w:hAnsi="Aptos Display" w:hAnsiTheme="majorHAnsi"/>
      <w:b/>
      <w:bCs/>
      <w:color w:val="242C53"/>
      <w:sz w:val="32"/>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Aptos Display" w:asciiTheme="majorHAnsi" w:cstheme="majorBidi" w:eastAsiaTheme="majorEastAsia" w:hAnsi="Aptos Display" w:hAnsiTheme="majorHAnsi"/>
      <w:b/>
      <w:bCs/>
      <w:color w:val="4B3192"/>
      <w:sz w:val="26"/>
      <w:szCs w:val="26"/>
    </w:rPr>
  </w:style>
  <w:style w:styleId="Heading3" w:type="paragraph">
    <w:name w:val="heading 3"/>
    <w:basedOn w:val="Normal"/>
    <w:next w:val="Normal"/>
    <w:link w:val="Heading3Char"/>
    <w:uiPriority w:val="9"/>
    <w:unhideWhenUsed/>
    <w:qFormat/>
    <w:rsid w:val="00FC693F"/>
    <w:pPr>
      <w:keepNext/>
      <w:keepLines/>
      <w:spacing w:after="80" w:before="140"/>
      <w:outlineLvl w:val="2"/>
    </w:pPr>
    <w:rPr>
      <w:rFonts w:ascii="Aptos Display" w:asciiTheme="majorHAnsi" w:cstheme="majorBidi" w:eastAsiaTheme="majorEastAsia" w:hAnsi="Aptos Display" w:hAnsiTheme="majorHAnsi"/>
      <w:b/>
      <w:bCs/>
      <w:color w:val="4B3192"/>
      <w:sz w:val="22"/>
    </w:rPr>
  </w:style>
  <w:style w:styleId="Heading4" w:type="paragraph">
    <w:name w:val="heading 4"/>
    <w:basedOn w:val="Normal"/>
    <w:next w:val="Normal"/>
    <w:link w:val="Heading4Char"/>
    <w:uiPriority w:val="9"/>
    <w:semiHidden/>
    <w:unhideWhenUsed/>
    <w:qFormat/>
    <w:rsid w:val="00FC693F"/>
    <w:pPr>
      <w:keepNext/>
      <w:keepLines/>
      <w:spacing w:after="80" w:before="140"/>
      <w:outlineLvl w:val="3"/>
    </w:pPr>
    <w:rPr>
      <w:rFonts w:ascii="Aptos Display" w:asciiTheme="majorHAnsi" w:cstheme="majorBidi" w:eastAsiaTheme="majorEastAsia" w:hAnsi="Aptos Display" w:hAnsiTheme="majorHAnsi"/>
      <w:b/>
      <w:bCs/>
      <w:i/>
      <w:iCs/>
      <w:color w:val="5A5A6E"/>
      <w:sz w:val="2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200" w:line="240" w:lineRule="auto"/>
      <w:contextualSpacing/>
    </w:pPr>
    <w:rPr>
      <w:rFonts w:ascii="Aptos Display" w:asciiTheme="majorHAnsi" w:cstheme="majorBidi" w:eastAsiaTheme="majorEastAsia" w:hAnsi="Aptos Display" w:hAnsiTheme="majorHAnsi"/>
      <w:b/>
      <w:color w:val="242C53"/>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rPr>
      <w:rFonts w:ascii="Aptos" w:hAnsi="Aptos"/>
      <w:sz w:val="19"/>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rPr>
      <w:rFonts w:ascii="Aptos" w:hAnsi="Aptos"/>
      <w:sz w:val="19"/>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ascii="Aptos" w:hAnsi="Aptos"/>
      <w:b/>
      <w:bCs/>
      <w:i/>
      <w:color w:themeColor="accent1" w:val="4F81BD"/>
      <w:sz w:val="16"/>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pPr>
      <w:spacing w:after="60" w:before="60"/>
      <w:ind w:left="170" w:right="170"/>
    </w:pPr>
    <w:rPr>
      <w:rFonts w:ascii="Consolas" w:hAnsi="Consolas"/>
      <w:sz w:val="16"/>
    </w:rPr>
  </w:style>
  <w:style w:customStyle="1" w:styleId="VerbatimChar" w:type="character">
    <w:name w:val="Verbatim Char"/>
    <w:rPr>
      <w:rFonts w:ascii="Consolas" w:hAnsi="Consolas"/>
      <w:sz w:val="17"/>
    </w:rPr>
  </w:style>
  <w:style w:customStyle="1" w:styleId="Compact" w:type="paragraph">
    <w:name w:val="Compact"/>
    <w:pPr>
      <w:spacing w:after="0" w:before="0" w:line="240" w:lineRule="auto"/>
    </w:pPr>
    <w:rPr>
      <w:rFonts w:ascii="Aptos" w:hAnsi="Aptos"/>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2026-09-18T12:56:00Z</dcterms:created>
  <dcterms:modified xsi:type="dcterms:W3CDTF">2026-09-18T12:56:00Z</dcterms:modified>
</cp:coreProperties>
</file>

<file path=docProps/custom.xml><?xml version="1.0" encoding="utf-8"?>
<Properties xmlns="http://schemas.openxmlformats.org/officeDocument/2006/custom-properties" xmlns:vt="http://schemas.openxmlformats.org/officeDocument/2006/docPropsVTypes"/>
</file>