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Андрей,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w:r>
        <w:t xml:space="preserve">P2 при известном 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Исходные данные.</w:t>
      </w:r>
    </w:p>
    <w:p>
      <w:pPr>
        <w:pStyle w:val="BodyText"/>
      </w:pP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r>
          <m:t>K</m:t>
        </m:r>
      </m:oMath>
      <w:r>
        <w:t xml:space="preserve">,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P_2 ⊕ K$. (8.1)</w:t>
      </w:r>
    </w:p>
    <w:p>
      <w:pPr>
        <w:pStyle w:val="BodyText"/>
      </w:pPr>
      <w: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8.2</m:t>
              </m:r>
            </m:e>
          </m:d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(8.2), имеем: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8.3</m:t>
            </m:r>
          </m:e>
        </m:d>
      </m:oMath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выполнял лабораторную работу на языке программирования Python, используя функции, реализованные в лабораторной работе №7.</w:t>
      </w:r>
    </w:p>
    <w:p>
      <w:pPr>
        <w:pStyle w:val="BodyText"/>
      </w:pPr>
      <w:r>
        <w:t xml:space="preserve">Используя функцию для генерации ключа, генерирую ключ, затем шифрую два разных текста одним и тем же ключом, 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текст, 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1).</w:t>
      </w:r>
    </w:p>
    <w:p>
      <w:pPr>
        <w:pStyle w:val="CaptionedFigure"/>
      </w:pPr>
      <w:r>
        <w:drawing>
          <wp:inline>
            <wp:extent cx="3733800" cy="3104200"/>
            <wp:effectExtent b="0" l="0" r="0" t="0"/>
            <wp:docPr descr="Результат работы программ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</w:t>
      </w:r>
    </w:p>
    <w:p>
      <w:pPr>
        <w:pStyle w:val="BodyText"/>
      </w:pPr>
      <w:r>
        <w:t xml:space="preserve">Листинг программы 1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mmentTok"/>
        </w:rPr>
        <w:t xml:space="preserve">#генерация цифры для каждого символа в тексте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CommentTok"/>
        </w:rPr>
        <w:t xml:space="preserve">#для шифрования и дешифрования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generate_key_hex(t1)</w:t>
      </w:r>
      <w:r>
        <w:br/>
      </w:r>
      <w:r>
        <w:rPr>
          <w:rStyle w:val="NormalTok"/>
        </w:rPr>
        <w:t xml:space="preserve">en_t1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en_de_crypt(t1, key)</w:t>
      </w:r>
      <w:r>
        <w:br/>
      </w:r>
      <w:r>
        <w:rPr>
          <w:rStyle w:val="NormalTok"/>
        </w:rPr>
        <w:t xml:space="preserve">de_t1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en_de_crypt(en_t1, key)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 Слона домов, огого!!"</w:t>
      </w:r>
      <w:r>
        <w:br/>
      </w:r>
      <w:r>
        <w:rPr>
          <w:rStyle w:val="NormalTok"/>
        </w:rPr>
        <w:t xml:space="preserve">en_t2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en_de_crypt(t2, key)</w:t>
      </w:r>
      <w:r>
        <w:br/>
      </w:r>
      <w:r>
        <w:rPr>
          <w:rStyle w:val="NormalTok"/>
        </w:rPr>
        <w:t xml:space="preserve">de_t2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en_t1,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de_t1,)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en_t2,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de_t2,)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en_de_crypt(en_t2, en_t1) </w:t>
      </w:r>
      <w:r>
        <w:rPr>
          <w:rStyle w:val="CommentTok"/>
        </w:rPr>
        <w:t xml:space="preserve">#С1^C2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второй текст, зная первый: '</w:t>
      </w:r>
      <w:r>
        <w:rPr>
          <w:rStyle w:val="NormalTok"/>
        </w:rPr>
        <w:t xml:space="preserve">, en_de_crypt(t1, 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'Расшифровать первый текст, зная второй: '</w:t>
      </w:r>
      <w:r>
        <w:rPr>
          <w:rStyle w:val="NormalTok"/>
        </w:rPr>
        <w:t xml:space="preserve">, en_de_crypt(t2, r))</w:t>
      </w:r>
    </w:p>
    <w:bookmarkEnd w:id="26"/>
    <w:bookmarkStart w:id="27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 - Для определения другого текста (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 можно просто взять зашифрованные тексты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далее применить XOR к ним и к известному тексту: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Федоров Андрей, НБИбд-01-22</dc:creator>
  <dc:language>ru-RU</dc:language>
  <cp:keywords/>
  <dcterms:created xsi:type="dcterms:W3CDTF">2024-06-21T17:54:38Z</dcterms:created>
  <dcterms:modified xsi:type="dcterms:W3CDTF">2024-06-21T17:54:38Z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