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Executivo de Convergência do SECV — Versão 2.5</w:t>
      </w:r>
    </w:p>
    <w:p>
      <w:r>
        <w:t>O Sistema Especialista de Ciclos Econômicos e Valor (SECV) completou a fase de calibração adaptativa, utilizando técnicas de otimização baseadas em Gradiente Descendente para identificar os pesos ótimos entre as dimensões macroeconômica e microeconômica que maximizam o ciclo de precisão (cycle_accuracy_score).</w:t>
      </w:r>
    </w:p>
    <w:p>
      <w:pPr>
        <w:pStyle w:val="Heading2"/>
      </w:pPr>
      <w:r>
        <w:t>1. Resultados de Convergência</w:t>
      </w:r>
    </w:p>
    <w:p>
      <w:r>
        <w:t>Após múltiplas iterações de aprendizado e backtesting, o sistema convergiu para a seguinte configuração de pesos: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Parâmetro</w:t>
            </w:r>
          </w:p>
        </w:tc>
        <w:tc>
          <w:tcPr>
            <w:tcW w:type="dxa" w:w="4320"/>
          </w:tcPr>
          <w:p>
            <w:r>
              <w:t>Peso Ótimo</w:t>
            </w:r>
          </w:p>
        </w:tc>
      </w:tr>
      <w:tr>
        <w:tc>
          <w:tcPr>
            <w:tcW w:type="dxa" w:w="4320"/>
          </w:tcPr>
          <w:p>
            <w:r>
              <w:t>Peso Macro (w_macro)</w:t>
            </w:r>
          </w:p>
        </w:tc>
        <w:tc>
          <w:tcPr>
            <w:tcW w:type="dxa" w:w="4320"/>
          </w:tcPr>
          <w:p>
            <w:r>
              <w:t>0.85</w:t>
            </w:r>
          </w:p>
        </w:tc>
      </w:tr>
      <w:tr>
        <w:tc>
          <w:tcPr>
            <w:tcW w:type="dxa" w:w="4320"/>
          </w:tcPr>
          <w:p>
            <w:r>
              <w:t>Peso Micro (w_micro)</w:t>
            </w:r>
          </w:p>
        </w:tc>
        <w:tc>
          <w:tcPr>
            <w:tcW w:type="dxa" w:w="4320"/>
          </w:tcPr>
          <w:p>
            <w:r>
              <w:t>0.15</w:t>
            </w:r>
          </w:p>
        </w:tc>
      </w:tr>
    </w:tbl>
    <w:p>
      <w:pPr>
        <w:pStyle w:val="Heading2"/>
      </w:pPr>
      <w:r>
        <w:t>2. Interpretação Estratégica</w:t>
      </w:r>
    </w:p>
    <w:p>
      <w:r>
        <w:t>A convergência dos pesos revela que o ambiente atual é fortemente influenciado por forças macroeconômicas — política monetária, inflação e liquidez global. O comportamento do mercado está sendo guiado de forma top-down, enquanto os fundamentos corporativos exercem influência reduzida. Trata-se de um regime dominado por variáveis sistêmicas e de transição entre Inflexão e Expansão Inicial.</w:t>
      </w:r>
    </w:p>
    <w:p>
      <w:pPr>
        <w:pStyle w:val="Heading2"/>
      </w:pPr>
      <w:r>
        <w:t>3. Recomendação Tática</w:t>
      </w:r>
    </w:p>
    <w:p>
      <w:r>
        <w:t>O SECV recomenda uma postura prudente de acúmulo seletivo e diversificação defensiva. O Comitê deve priorizar setores e ativos que apresentem correlação positiva com a política monetária e resiliência a choques de liquidez. Sugere-se manter posição elevada em caixa estratégico e hedge cambial, reduzindo a exposição em empresas microdependentes até que o peso do valor retorne à média histórica.</w:t>
      </w:r>
    </w:p>
    <w:p>
      <w:pPr>
        <w:pStyle w:val="Heading2"/>
      </w:pPr>
      <w:r>
        <w:t>4. Sumário Executivo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Dimensão</w:t>
            </w:r>
          </w:p>
        </w:tc>
        <w:tc>
          <w:tcPr>
            <w:tcW w:type="dxa" w:w="2880"/>
          </w:tcPr>
          <w:p>
            <w:r>
              <w:t>Interpretação</w:t>
            </w:r>
          </w:p>
        </w:tc>
        <w:tc>
          <w:tcPr>
            <w:tcW w:type="dxa" w:w="2880"/>
          </w:tcPr>
          <w:p>
            <w:r>
              <w:t>Decisão Tática</w:t>
            </w:r>
          </w:p>
        </w:tc>
      </w:tr>
      <w:tr>
        <w:tc>
          <w:tcPr>
            <w:tcW w:type="dxa" w:w="2880"/>
          </w:tcPr>
          <w:p>
            <w:r>
              <w:t>Cognitiva</w:t>
            </w:r>
          </w:p>
        </w:tc>
        <w:tc>
          <w:tcPr>
            <w:tcW w:type="dxa" w:w="2880"/>
          </w:tcPr>
          <w:p>
            <w:r>
              <w:t>Dominância macroeconômica no comportamento dos preços.</w:t>
            </w:r>
          </w:p>
        </w:tc>
        <w:tc>
          <w:tcPr>
            <w:tcW w:type="dxa" w:w="2880"/>
          </w:tcPr>
          <w:p>
            <w:r>
              <w:t>Reduzir velocidade de exposição.</w:t>
            </w:r>
          </w:p>
        </w:tc>
      </w:tr>
      <w:tr>
        <w:tc>
          <w:tcPr>
            <w:tcW w:type="dxa" w:w="2880"/>
          </w:tcPr>
          <w:p>
            <w:r>
              <w:t>Estratégica</w:t>
            </w:r>
          </w:p>
        </w:tc>
        <w:tc>
          <w:tcPr>
            <w:tcW w:type="dxa" w:w="2880"/>
          </w:tcPr>
          <w:p>
            <w:r>
              <w:t>Ambiente regido por juros e liquidez, não por valor.</w:t>
            </w:r>
          </w:p>
        </w:tc>
        <w:tc>
          <w:tcPr>
            <w:tcW w:type="dxa" w:w="2880"/>
          </w:tcPr>
          <w:p>
            <w:r>
              <w:t>Priorizar ativos defensivos e macro-hedge.</w:t>
            </w:r>
          </w:p>
        </w:tc>
      </w:tr>
      <w:tr>
        <w:tc>
          <w:tcPr>
            <w:tcW w:type="dxa" w:w="2880"/>
          </w:tcPr>
          <w:p>
            <w:r>
              <w:t>Tática</w:t>
            </w:r>
          </w:p>
        </w:tc>
        <w:tc>
          <w:tcPr>
            <w:tcW w:type="dxa" w:w="2880"/>
          </w:tcPr>
          <w:p>
            <w:r>
              <w:t>Mercado em transição; preço ainda não reflete valor.</w:t>
            </w:r>
          </w:p>
        </w:tc>
        <w:tc>
          <w:tcPr>
            <w:tcW w:type="dxa" w:w="2880"/>
          </w:tcPr>
          <w:p>
            <w:r>
              <w:t>Acumular seletivamente, manter portfólio antifrágil.</w:t>
            </w:r>
          </w:p>
        </w:tc>
      </w:tr>
    </w:tbl>
    <w:p>
      <w:r>
        <w:br/>
        <w:t>“O gradiente se estabilizou num ponto de prudência. O sistema aprendeu que, neste regime, o macro governa o destino do micro. A recomendação é acumular com cautela até que o peso do valor volte a crescer.”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