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Arial" w:cs="Arial" w:eastAsia="Arial" w:hAnsi="Arial"/>
          <w:b/>
          <w:bCs/>
          <w:color w:val="0D1B2A"/>
          <w:sz w:val="44"/>
          <w:szCs w:val="44"/>
        </w:rPr>
        <w:t xml:space="preserve">STRATEGIC GROWTH, DIFFERENTIATION</w:t>
      </w:r>
    </w:p>
    <w:p>
      <w:pPr>
        <w:spacing w:after="200" w:before="0"/>
        <w:jc w:val="center"/>
      </w:pPr>
      <w:r>
        <w:rPr>
          <w:rFonts w:ascii="Arial" w:cs="Arial" w:eastAsia="Arial" w:hAnsi="Arial"/>
          <w:b/>
          <w:bCs/>
          <w:color w:val="0D1B2A"/>
          <w:sz w:val="44"/>
          <w:szCs w:val="44"/>
        </w:rPr>
        <w:t xml:space="preserve">&amp; RETENTION ANALYSIS</w:t>
      </w:r>
    </w:p>
    <w:p>
      <w:pPr>
        <w:spacing w:after="80" w:before="0"/>
        <w:jc w:val="center"/>
      </w:pPr>
      <w:r>
        <w:rPr>
          <w:rFonts w:ascii="Arial" w:cs="Arial" w:eastAsia="Arial" w:hAnsi="Arial"/>
          <w:b/>
          <w:bCs/>
          <w:color w:val="1A5276"/>
          <w:sz w:val="60"/>
          <w:szCs w:val="60"/>
        </w:rPr>
        <w:t xml:space="preserve">Supernova AI</w:t>
      </w:r>
    </w:p>
    <w:p>
      <w:pPr>
        <w:pBdr>
          <w:bottom w:val="single" w:color="F0A500" w:sz="12" w:space="4"/>
        </w:pBdr>
        <w:spacing w:after="600" w:before="0"/>
        <w:jc w:val="center"/>
      </w:pPr>
      <w:r>
        <w:rPr>
          <w:rFonts w:ascii="Arial" w:cs="Arial" w:eastAsia="Arial" w:hAnsi="Arial"/>
          <w:i/>
          <w:iCs/>
          <w:color w:val="5D6D7E"/>
          <w:sz w:val="26"/>
          <w:szCs w:val="26"/>
        </w:rPr>
        <w:t xml:space="preserve">Independent Business Strategy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F0A500" w:sz="1"/>
              <w:left w:val="single" w:color="D5E0EC" w:sz="1"/>
              <w:bottom w:val="single" w:color="D5E0EC" w:sz="1"/>
              <w:right w:val="single" w:color="D5E0EC" w:sz="1"/>
            </w:tcBorders>
            <w:shd w:fill="0D1B2A" w:val="clear"/>
            <w:tcMar>
              <w:top w:type="dxa" w:w="100"/>
              <w:left w:type="dxa" w:w="80"/>
              <w:bottom w:type="dxa" w:w="100"/>
              <w:right w:type="dxa" w:w="80"/>
            </w:tcMar>
            <w:vAlign w:val="center"/>
          </w:tcPr>
          <w:p>
            <w:pPr>
              <w:spacing w:after="30"/>
              <w:jc w:val="center"/>
            </w:pPr>
            <w:r>
              <w:rPr>
                <w:rFonts w:ascii="Arial" w:cs="Arial" w:eastAsia="Arial" w:hAnsi="Arial"/>
                <w:b/>
                <w:bCs/>
                <w:color w:val="F0A500"/>
                <w:sz w:val="32"/>
                <w:szCs w:val="32"/>
              </w:rPr>
              <w:t xml:space="preserve">16M+</w:t>
            </w:r>
          </w:p>
          <w:p>
            <w:pPr>
              <w:jc w:val="center"/>
            </w:pPr>
            <w:r>
              <w:rPr>
                <w:rFonts w:ascii="Arial" w:cs="Arial" w:eastAsia="Arial" w:hAnsi="Arial"/>
                <w:color w:val="AED6F1"/>
                <w:sz w:val="17"/>
                <w:szCs w:val="17"/>
              </w:rPr>
              <w:t xml:space="preserve">App Downloads</w:t>
            </w:r>
          </w:p>
        </w:tc>
        <w:tc>
          <w:tcPr>
            <w:tcW w:type="dxa" w:w="1872"/>
            <w:tcBorders>
              <w:top w:val="single" w:color="F0A500" w:sz="1"/>
              <w:left w:val="single" w:color="D5E0EC" w:sz="1"/>
              <w:bottom w:val="single" w:color="D5E0EC" w:sz="1"/>
              <w:right w:val="single" w:color="D5E0EC" w:sz="1"/>
            </w:tcBorders>
            <w:shd w:fill="0D1B2A" w:val="clear"/>
            <w:tcMar>
              <w:top w:type="dxa" w:w="100"/>
              <w:left w:type="dxa" w:w="80"/>
              <w:bottom w:type="dxa" w:w="100"/>
              <w:right w:type="dxa" w:w="80"/>
            </w:tcMar>
            <w:vAlign w:val="center"/>
          </w:tcPr>
          <w:p>
            <w:pPr>
              <w:spacing w:after="30"/>
              <w:jc w:val="center"/>
            </w:pPr>
            <w:r>
              <w:rPr>
                <w:rFonts w:ascii="Arial" w:cs="Arial" w:eastAsia="Arial" w:hAnsi="Arial"/>
                <w:b/>
                <w:bCs/>
                <w:color w:val="F0A500"/>
                <w:sz w:val="32"/>
                <w:szCs w:val="32"/>
              </w:rPr>
              <w:t xml:space="preserve">7 Lakh+</w:t>
            </w:r>
          </w:p>
          <w:p>
            <w:pPr>
              <w:jc w:val="center"/>
            </w:pPr>
            <w:r>
              <w:rPr>
                <w:rFonts w:ascii="Arial" w:cs="Arial" w:eastAsia="Arial" w:hAnsi="Arial"/>
                <w:color w:val="AED6F1"/>
                <w:sz w:val="17"/>
                <w:szCs w:val="17"/>
              </w:rPr>
              <w:t xml:space="preserve">Active Learners</w:t>
            </w:r>
          </w:p>
        </w:tc>
        <w:tc>
          <w:tcPr>
            <w:tcW w:type="dxa" w:w="1872"/>
            <w:tcBorders>
              <w:top w:val="single" w:color="F0A500" w:sz="1"/>
              <w:left w:val="single" w:color="D5E0EC" w:sz="1"/>
              <w:bottom w:val="single" w:color="D5E0EC" w:sz="1"/>
              <w:right w:val="single" w:color="D5E0EC" w:sz="1"/>
            </w:tcBorders>
            <w:shd w:fill="0D1B2A" w:val="clear"/>
            <w:tcMar>
              <w:top w:type="dxa" w:w="100"/>
              <w:left w:type="dxa" w:w="80"/>
              <w:bottom w:type="dxa" w:w="100"/>
              <w:right w:type="dxa" w:w="80"/>
            </w:tcMar>
            <w:vAlign w:val="center"/>
          </w:tcPr>
          <w:p>
            <w:pPr>
              <w:spacing w:after="30"/>
              <w:jc w:val="center"/>
            </w:pPr>
            <w:r>
              <w:rPr>
                <w:rFonts w:ascii="Arial" w:cs="Arial" w:eastAsia="Arial" w:hAnsi="Arial"/>
                <w:b/>
                <w:bCs/>
                <w:color w:val="F0A500"/>
                <w:sz w:val="32"/>
                <w:szCs w:val="32"/>
              </w:rPr>
              <w:t xml:space="preserve">10</w:t>
            </w:r>
          </w:p>
          <w:p>
            <w:pPr>
              <w:jc w:val="center"/>
            </w:pPr>
            <w:r>
              <w:rPr>
                <w:rFonts w:ascii="Arial" w:cs="Arial" w:eastAsia="Arial" w:hAnsi="Arial"/>
                <w:color w:val="AED6F1"/>
                <w:sz w:val="17"/>
                <w:szCs w:val="17"/>
              </w:rPr>
              <w:t xml:space="preserve">Indian Languages</w:t>
            </w:r>
          </w:p>
        </w:tc>
        <w:tc>
          <w:tcPr>
            <w:tcW w:type="dxa" w:w="1872"/>
            <w:tcBorders>
              <w:top w:val="single" w:color="F0A500" w:sz="1"/>
              <w:left w:val="single" w:color="D5E0EC" w:sz="1"/>
              <w:bottom w:val="single" w:color="D5E0EC" w:sz="1"/>
              <w:right w:val="single" w:color="D5E0EC" w:sz="1"/>
            </w:tcBorders>
            <w:shd w:fill="0D1B2A" w:val="clear"/>
            <w:tcMar>
              <w:top w:type="dxa" w:w="100"/>
              <w:left w:type="dxa" w:w="80"/>
              <w:bottom w:type="dxa" w:w="100"/>
              <w:right w:type="dxa" w:w="80"/>
            </w:tcMar>
            <w:vAlign w:val="center"/>
          </w:tcPr>
          <w:p>
            <w:pPr>
              <w:spacing w:after="30"/>
              <w:jc w:val="center"/>
            </w:pPr>
            <w:r>
              <w:rPr>
                <w:rFonts w:ascii="Arial" w:cs="Arial" w:eastAsia="Arial" w:hAnsi="Arial"/>
                <w:b/>
                <w:bCs/>
                <w:color w:val="F0A500"/>
                <w:sz w:val="32"/>
                <w:szCs w:val="32"/>
              </w:rPr>
              <w:t xml:space="preserve">Series A</w:t>
            </w:r>
          </w:p>
          <w:p>
            <w:pPr>
              <w:jc w:val="center"/>
            </w:pPr>
            <w:r>
              <w:rPr>
                <w:rFonts w:ascii="Arial" w:cs="Arial" w:eastAsia="Arial" w:hAnsi="Arial"/>
                <w:color w:val="AED6F1"/>
                <w:sz w:val="17"/>
                <w:szCs w:val="17"/>
              </w:rPr>
              <w:t xml:space="preserve">$4.67M Funded</w:t>
            </w:r>
          </w:p>
        </w:tc>
        <w:tc>
          <w:tcPr>
            <w:tcW w:type="dxa" w:w="1872"/>
            <w:tcBorders>
              <w:top w:val="single" w:color="F0A500" w:sz="1"/>
              <w:left w:val="single" w:color="D5E0EC" w:sz="1"/>
              <w:bottom w:val="single" w:color="D5E0EC" w:sz="1"/>
              <w:right w:val="single" w:color="D5E0EC" w:sz="1"/>
            </w:tcBorders>
            <w:shd w:fill="0D1B2A" w:val="clear"/>
            <w:tcMar>
              <w:top w:type="dxa" w:w="100"/>
              <w:left w:type="dxa" w:w="80"/>
              <w:bottom w:type="dxa" w:w="100"/>
              <w:right w:type="dxa" w:w="80"/>
            </w:tcMar>
            <w:vAlign w:val="center"/>
          </w:tcPr>
          <w:p>
            <w:pPr>
              <w:spacing w:after="30"/>
              <w:jc w:val="center"/>
            </w:pPr>
            <w:r>
              <w:rPr>
                <w:rFonts w:ascii="Arial" w:cs="Arial" w:eastAsia="Arial" w:hAnsi="Arial"/>
                <w:b/>
                <w:bCs/>
                <w:color w:val="F0A500"/>
                <w:sz w:val="32"/>
                <w:szCs w:val="32"/>
              </w:rPr>
              <w:t xml:space="preserve">₹8.93 Cr</w:t>
            </w:r>
          </w:p>
          <w:p>
            <w:pPr>
              <w:jc w:val="center"/>
            </w:pPr>
            <w:r>
              <w:rPr>
                <w:rFonts w:ascii="Arial" w:cs="Arial" w:eastAsia="Arial" w:hAnsi="Arial"/>
                <w:color w:val="AED6F1"/>
                <w:sz w:val="17"/>
                <w:szCs w:val="17"/>
              </w:rPr>
              <w:t xml:space="preserve">2025 Revenue</w:t>
            </w:r>
          </w:p>
        </w:tc>
      </w:tr>
    </w:tbl>
    <w:p>
      <w:pPr>
        <w:spacing w:after="400" w:before="0"/>
      </w:pPr>
      <w:r>
        <w:t xml:space="preserve"/>
      </w:r>
    </w:p>
    <w:p>
      <w:pPr>
        <w:spacing w:after="40" w:before="0"/>
        <w:jc w:val="center"/>
      </w:pPr>
      <w:r>
        <w:rPr>
          <w:rFonts w:ascii="Arial" w:cs="Arial" w:eastAsia="Arial" w:hAnsi="Arial"/>
          <w:color w:val="5D6D7E"/>
          <w:sz w:val="20"/>
          <w:szCs w:val="20"/>
        </w:rPr>
        <w:t xml:space="preserve">Student Project Report  |  May 2026  |  Independent Business Analysis</w:t>
      </w:r>
    </w:p>
    <w:p>
      <w:pPr>
        <w:spacing w:after="40" w:before="0"/>
        <w:jc w:val="center"/>
      </w:pPr>
      <w:r>
        <w:rPr>
          <w:rFonts w:ascii="Arial" w:cs="Arial" w:eastAsia="Arial" w:hAnsi="Arial"/>
          <w:b/>
          <w:bCs/>
          <w:color w:val="1A5276"/>
          <w:sz w:val="24"/>
          <w:szCs w:val="24"/>
        </w:rPr>
        <w:t xml:space="preserve">Prepared by  Aafreen Fathima.H</w:t>
      </w:r>
    </w:p>
    <w:p>
      <w:r>
        <w:br w:type="page"/>
      </w:r>
    </w:p>
    <w:p>
      <w:pPr>
        <w:pStyle w:val="Heading1"/>
        <w:pBdr>
          <w:bottom w:val="single" w:color="1A5276" w:sz="8" w:space="2"/>
        </w:pBdr>
        <w:spacing w:after="120" w:before="280"/>
      </w:pPr>
      <w:r>
        <w:rPr>
          <w:rFonts w:ascii="Arial" w:cs="Arial" w:eastAsia="Arial" w:hAnsi="Arial"/>
          <w:b/>
          <w:bCs/>
          <w:color w:val="1A5276"/>
          <w:sz w:val="32"/>
          <w:szCs w:val="32"/>
        </w:rPr>
        <w:t xml:space="preserve">Acknowledgement</w:t>
      </w:r>
    </w:p>
    <w:p>
      <w:pPr>
        <w:spacing w:after="80" w:before="40"/>
        <w:jc w:val="both"/>
      </w:pPr>
      <w:r>
        <w:rPr>
          <w:rFonts w:ascii="Arial" w:cs="Arial" w:eastAsia="Arial" w:hAnsi="Arial"/>
          <w:color w:val="1A1A2E"/>
          <w:sz w:val="21"/>
          <w:szCs w:val="21"/>
        </w:rPr>
        <w:t xml:space="preserve">I would like to express my gratitude to everyone who directly contributed to the development of this strategic business analysis project. This report was prepared through independent observation, market understanding, startup analysis, customer psychology study, and strategic thinking regarding AI-driven communication-learning platforms.</w:t>
      </w:r>
    </w:p>
    <w:p>
      <w:pPr>
        <w:spacing w:after="80" w:before="40"/>
        <w:jc w:val="both"/>
      </w:pPr>
      <w:r>
        <w:rPr>
          <w:rFonts w:ascii="Arial" w:cs="Arial" w:eastAsia="Arial" w:hAnsi="Arial"/>
          <w:color w:val="1A1A2E"/>
          <w:sz w:val="21"/>
          <w:szCs w:val="21"/>
        </w:rPr>
        <w:t xml:space="preserve">This project helped develop practical understanding in: Business Strategy, Customer Psychology, Retention Systems, Startup Scalability, Product Differentiation, Sustainable Growth Planning, and UX/UI Thinking.</w:t>
      </w:r>
    </w:p>
    <w:p>
      <w:pPr>
        <w:spacing w:after="80" w:before="0"/>
      </w:pPr>
      <w:r>
        <w:t xml:space="preserve"/>
      </w:r>
    </w:p>
    <w:p>
      <w:pPr>
        <w:pStyle w:val="Heading1"/>
        <w:pBdr>
          <w:bottom w:val="single" w:color="1A5276" w:sz="8" w:space="2"/>
        </w:pBdr>
        <w:spacing w:after="120" w:before="280"/>
      </w:pPr>
      <w:r>
        <w:rPr>
          <w:rFonts w:ascii="Arial" w:cs="Arial" w:eastAsia="Arial" w:hAnsi="Arial"/>
          <w:b/>
          <w:bCs/>
          <w:color w:val="1A5276"/>
          <w:sz w:val="32"/>
          <w:szCs w:val="32"/>
        </w:rPr>
        <w:t xml:space="preserve">Abstract</w:t>
      </w:r>
    </w:p>
    <w:p>
      <w:pPr>
        <w:spacing w:after="80" w:before="40"/>
        <w:jc w:val="both"/>
      </w:pPr>
      <w:r>
        <w:rPr>
          <w:rFonts w:ascii="Arial" w:cs="Arial" w:eastAsia="Arial" w:hAnsi="Arial"/>
          <w:color w:val="1A1A2E"/>
          <w:sz w:val="21"/>
          <w:szCs w:val="21"/>
        </w:rPr>
        <w:t xml:space="preserve">This project focuses on the strategic analysis of Supernova AI and the modern AI communication-learning market. The report studies market competition, customer behaviour and retention, product differentiation, community systems, emotional engagement, customer acquisition cost, and long-term sustainability.</w:t>
      </w:r>
    </w:p>
    <w:p>
      <w:pPr>
        <w:spacing w:after="80" w:before="40"/>
        <w:jc w:val="both"/>
      </w:pPr>
      <w:r>
        <w:rPr>
          <w:rFonts w:ascii="Arial" w:cs="Arial" w:eastAsia="Arial" w:hAnsi="Arial"/>
          <w:color w:val="1A1A2E"/>
          <w:sz w:val="21"/>
          <w:szCs w:val="21"/>
        </w:rPr>
        <w:t xml:space="preserve">The project proposes a focused Communication-Confidence Ecosystem Strategy — instead of competing only as a general AI learning platform — helping users improve not only their communication skills but also their confidence, professional readiness, and long-term engagement. The report also discusses key drawbacks and practical solutions.</w:t>
      </w:r>
    </w:p>
    <w:p>
      <w:r>
        <w:br w:type="page"/>
      </w:r>
    </w:p>
    <w:p>
      <w:pPr>
        <w:pStyle w:val="Heading1"/>
        <w:pBdr>
          <w:bottom w:val="single" w:color="1A5276" w:sz="8" w:space="2"/>
        </w:pBdr>
        <w:spacing w:after="120" w:before="280"/>
      </w:pPr>
      <w:r>
        <w:rPr>
          <w:rFonts w:ascii="Arial" w:cs="Arial" w:eastAsia="Arial" w:hAnsi="Arial"/>
          <w:b/>
          <w:bCs/>
          <w:color w:val="1A5276"/>
          <w:sz w:val="32"/>
          <w:szCs w:val="32"/>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2200"/>
            <w:tcBorders>
              <w:top w:val="single" w:color="D5E0EC" w:sz="1"/>
              <w:left w:val="single" w:color="D5E0EC" w:sz="1"/>
              <w:bottom w:val="single" w:color="D5E0EC" w:sz="1"/>
              <w:right w:val="single" w:color="D5E0EC" w:sz="1"/>
            </w:tcBorders>
            <w:shd w:fill="D6E8F5"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Market Problem</w:t>
            </w:r>
          </w:p>
        </w:tc>
        <w:tc>
          <w:tcPr>
            <w:tcW w:type="dxa" w:w="7160"/>
            <w:tcBorders>
              <w:top w:val="single" w:color="D5E0EC" w:sz="1"/>
              <w:left w:val="single" w:color="D5E0EC" w:sz="1"/>
              <w:bottom w:val="single" w:color="D5E0EC" w:sz="1"/>
              <w:right w:val="single" w:color="D5E0E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India has 250M+ learners who understand English but cannot speak confidently. AI-learning platforms face intense market saturation, rising CAC, and high early churn.</w:t>
            </w:r>
          </w:p>
        </w:tc>
      </w:tr>
      <w:tr>
        <w:tc>
          <w:tcPr>
            <w:tcW w:type="dxa" w:w="2200"/>
            <w:tcBorders>
              <w:top w:val="single" w:color="D5E0EC" w:sz="1"/>
              <w:left w:val="single" w:color="D5E0EC" w:sz="1"/>
              <w:bottom w:val="single" w:color="D5E0EC" w:sz="1"/>
              <w:right w:val="single" w:color="D5E0EC" w:sz="1"/>
            </w:tcBorders>
            <w:shd w:fill="D1EAE8"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Supernova AI Opportunity</w:t>
            </w:r>
          </w:p>
        </w:tc>
        <w:tc>
          <w:tcPr>
            <w:tcW w:type="dxa" w:w="7160"/>
            <w:tcBorders>
              <w:top w:val="single" w:color="D5E0EC" w:sz="1"/>
              <w:left w:val="single" w:color="D5E0EC" w:sz="1"/>
              <w:bottom w:val="single" w:color="D5E0EC" w:sz="1"/>
              <w:right w:val="single" w:color="D5E0EC" w:sz="1"/>
            </w:tcBorders>
            <w:shd w:fill="F0FFFE"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16M+ downloads, 700K+ active learners, Series A funded. Deep 10-language support targets underserved Tier 2/3 India — a defensible moat no global rival can replicate.</w:t>
            </w:r>
          </w:p>
        </w:tc>
      </w:tr>
      <w:tr>
        <w:tc>
          <w:tcPr>
            <w:tcW w:type="dxa" w:w="2200"/>
            <w:tcBorders>
              <w:top w:val="single" w:color="D5E0EC" w:sz="1"/>
              <w:left w:val="single" w:color="D5E0EC" w:sz="1"/>
              <w:bottom w:val="single" w:color="D5E0EC" w:sz="1"/>
              <w:right w:val="single" w:color="D5E0EC" w:sz="1"/>
            </w:tcBorders>
            <w:shd w:fill="D6E8F5"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Proposed Differentiation</w:t>
            </w:r>
          </w:p>
        </w:tc>
        <w:tc>
          <w:tcPr>
            <w:tcW w:type="dxa" w:w="7160"/>
            <w:tcBorders>
              <w:top w:val="single" w:color="D5E0EC" w:sz="1"/>
              <w:left w:val="single" w:color="D5E0EC" w:sz="1"/>
              <w:bottom w:val="single" w:color="D5E0EC" w:sz="1"/>
              <w:right w:val="single" w:color="D5E0E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Reposition from "English app" to India's Communication Confidence Ecosystem — layering AI practice, Emotional Coaching, peer community, and Career Readiness.</w:t>
            </w:r>
          </w:p>
        </w:tc>
      </w:tr>
      <w:tr>
        <w:tc>
          <w:tcPr>
            <w:tcW w:type="dxa" w:w="2200"/>
            <w:tcBorders>
              <w:top w:val="single" w:color="D5E0EC" w:sz="1"/>
              <w:left w:val="single" w:color="D5E0EC" w:sz="1"/>
              <w:bottom w:val="single" w:color="D5E0EC" w:sz="1"/>
              <w:right w:val="single" w:color="D5E0EC" w:sz="1"/>
            </w:tcBorders>
            <w:shd w:fill="D1EAE8"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Retention Strategy</w:t>
            </w:r>
          </w:p>
        </w:tc>
        <w:tc>
          <w:tcPr>
            <w:tcW w:type="dxa" w:w="7160"/>
            <w:tcBorders>
              <w:top w:val="single" w:color="D5E0EC" w:sz="1"/>
              <w:left w:val="single" w:color="D5E0EC" w:sz="1"/>
              <w:bottom w:val="single" w:color="D5E0EC" w:sz="1"/>
              <w:right w:val="single" w:color="D5E0EC" w:sz="1"/>
            </w:tcBorders>
            <w:shd w:fill="F0FFFE"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14-day habit onboarding → Confidence Journey Map → Community Anchor → Professional Suite. Target: avg retention 3.5 months → 7–9 months within 24 months.</w:t>
            </w:r>
          </w:p>
        </w:tc>
      </w:tr>
      <w:tr>
        <w:tc>
          <w:tcPr>
            <w:tcW w:type="dxa" w:w="2200"/>
            <w:tcBorders>
              <w:top w:val="single" w:color="D5E0EC" w:sz="1"/>
              <w:left w:val="single" w:color="D5E0EC" w:sz="1"/>
              <w:bottom w:val="single" w:color="D5E0EC" w:sz="1"/>
              <w:right w:val="single" w:color="D5E0EC" w:sz="1"/>
            </w:tcBorders>
            <w:shd w:fill="D6E8F5"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Expected Business Impact</w:t>
            </w:r>
          </w:p>
        </w:tc>
        <w:tc>
          <w:tcPr>
            <w:tcW w:type="dxa" w:w="7160"/>
            <w:tcBorders>
              <w:top w:val="single" w:color="D5E0EC" w:sz="1"/>
              <w:left w:val="single" w:color="D5E0EC" w:sz="1"/>
              <w:bottom w:val="single" w:color="D5E0EC" w:sz="1"/>
              <w:right w:val="single" w:color="D5E0E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LTV: ₹400–500 → ₹2,500–3,500 per user | CAC reduced 20–30% via referrals | Revenue: ₹8.93 Cr (2025) → ₹40–50 Cr (2028 target)</w:t>
            </w:r>
          </w:p>
        </w:tc>
      </w:tr>
    </w:tbl>
    <w:p>
      <w:r>
        <w:br w:type="page"/>
      </w:r>
    </w:p>
    <w:p>
      <w:pPr>
        <w:pStyle w:val="Heading1"/>
        <w:pBdr>
          <w:bottom w:val="single" w:color="1A5276" w:sz="8" w:space="2"/>
        </w:pBdr>
        <w:spacing w:after="120" w:before="280"/>
      </w:pPr>
      <w:r>
        <w:rPr>
          <w:rFonts w:ascii="Arial" w:cs="Arial" w:eastAsia="Arial" w:hAnsi="Arial"/>
          <w:b/>
          <w:bCs/>
          <w:color w:val="1A5276"/>
          <w:sz w:val="32"/>
          <w:szCs w:val="32"/>
        </w:rPr>
        <w:t xml:space="preserve">Table of Contents</w:t>
      </w:r>
    </w:p>
    <w:p>
      <w:pPr>
        <w:spacing w:after="40" w:before="40"/>
      </w:pPr>
      <w:r>
        <w:rPr>
          <w:rFonts w:ascii="Arial" w:cs="Arial" w:eastAsia="Arial" w:hAnsi="Arial"/>
          <w:color w:val="0D1B2A"/>
          <w:sz w:val="22"/>
          <w:szCs w:val="22"/>
        </w:rPr>
        <w:t xml:space="preserve">1.  Introduction</w:t>
      </w:r>
    </w:p>
    <w:p>
      <w:pPr>
        <w:spacing w:after="40" w:before="40"/>
      </w:pPr>
      <w:r>
        <w:rPr>
          <w:rFonts w:ascii="Arial" w:cs="Arial" w:eastAsia="Arial" w:hAnsi="Arial"/>
          <w:color w:val="0D1B2A"/>
          <w:sz w:val="22"/>
          <w:szCs w:val="22"/>
        </w:rPr>
        <w:t xml:space="preserve">2.  Company &amp; Industry Overview</w:t>
      </w:r>
    </w:p>
    <w:p>
      <w:pPr>
        <w:spacing w:after="40" w:before="40"/>
      </w:pPr>
      <w:r>
        <w:rPr>
          <w:rFonts w:ascii="Arial" w:cs="Arial" w:eastAsia="Arial" w:hAnsi="Arial"/>
          <w:color w:val="0D1B2A"/>
          <w:sz w:val="22"/>
          <w:szCs w:val="22"/>
        </w:rPr>
        <w:t xml:space="preserve">3.  Market Problems &amp; Challenges</w:t>
      </w:r>
    </w:p>
    <w:p>
      <w:pPr>
        <w:spacing w:after="40" w:before="40"/>
      </w:pPr>
      <w:r>
        <w:rPr>
          <w:rFonts w:ascii="Arial" w:cs="Arial" w:eastAsia="Arial" w:hAnsi="Arial"/>
          <w:color w:val="0D1B2A"/>
          <w:sz w:val="22"/>
          <w:szCs w:val="22"/>
        </w:rPr>
        <w:t xml:space="preserve">4.  Customer Analysis</w:t>
      </w:r>
    </w:p>
    <w:p>
      <w:pPr>
        <w:spacing w:after="40" w:before="40"/>
      </w:pPr>
      <w:r>
        <w:rPr>
          <w:rFonts w:ascii="Arial" w:cs="Arial" w:eastAsia="Arial" w:hAnsi="Arial"/>
          <w:color w:val="0D1B2A"/>
          <w:sz w:val="22"/>
          <w:szCs w:val="22"/>
        </w:rPr>
        <w:t xml:space="preserve">5.  Competitor Analysis</w:t>
      </w:r>
    </w:p>
    <w:p>
      <w:pPr>
        <w:spacing w:after="40" w:before="40"/>
      </w:pPr>
      <w:r>
        <w:rPr>
          <w:rFonts w:ascii="Arial" w:cs="Arial" w:eastAsia="Arial" w:hAnsi="Arial"/>
          <w:color w:val="0D1B2A"/>
          <w:sz w:val="22"/>
          <w:szCs w:val="22"/>
        </w:rPr>
        <w:t xml:space="preserve">6.  Strategic Differentiation Proposal</w:t>
      </w:r>
    </w:p>
    <w:p>
      <w:pPr>
        <w:spacing w:after="40" w:before="40"/>
      </w:pPr>
      <w:r>
        <w:rPr>
          <w:rFonts w:ascii="Arial" w:cs="Arial" w:eastAsia="Arial" w:hAnsi="Arial"/>
          <w:color w:val="0D1B2A"/>
          <w:sz w:val="22"/>
          <w:szCs w:val="22"/>
        </w:rPr>
        <w:t xml:space="preserve">7.  Communication Confidence Ecosystem Model</w:t>
      </w:r>
    </w:p>
    <w:p>
      <w:pPr>
        <w:spacing w:after="40" w:before="40"/>
      </w:pPr>
      <w:r>
        <w:rPr>
          <w:rFonts w:ascii="Arial" w:cs="Arial" w:eastAsia="Arial" w:hAnsi="Arial"/>
          <w:color w:val="0D1B2A"/>
          <w:sz w:val="22"/>
          <w:szCs w:val="22"/>
        </w:rPr>
        <w:t xml:space="preserve">8.  Retention, CAC &amp; LTV Strategy</w:t>
      </w:r>
    </w:p>
    <w:p>
      <w:pPr>
        <w:spacing w:after="40" w:before="40"/>
      </w:pPr>
      <w:r>
        <w:rPr>
          <w:rFonts w:ascii="Arial" w:cs="Arial" w:eastAsia="Arial" w:hAnsi="Arial"/>
          <w:color w:val="0D1B2A"/>
          <w:sz w:val="22"/>
          <w:szCs w:val="22"/>
        </w:rPr>
        <w:t xml:space="preserve">9.  UX/UI, Customer Journey &amp; Psychology</w:t>
      </w:r>
    </w:p>
    <w:p>
      <w:pPr>
        <w:spacing w:after="40" w:before="40"/>
      </w:pPr>
      <w:r>
        <w:rPr>
          <w:rFonts w:ascii="Arial" w:cs="Arial" w:eastAsia="Arial" w:hAnsi="Arial"/>
          <w:color w:val="0D1B2A"/>
          <w:sz w:val="22"/>
          <w:szCs w:val="22"/>
        </w:rPr>
        <w:t xml:space="preserve">10. SWOT Analysis</w:t>
      </w:r>
    </w:p>
    <w:p>
      <w:pPr>
        <w:spacing w:after="40" w:before="40"/>
      </w:pPr>
      <w:r>
        <w:rPr>
          <w:rFonts w:ascii="Arial" w:cs="Arial" w:eastAsia="Arial" w:hAnsi="Arial"/>
          <w:color w:val="0D1B2A"/>
          <w:sz w:val="22"/>
          <w:szCs w:val="22"/>
        </w:rPr>
        <w:t xml:space="preserve">11. Limitations &amp; Solutions</w:t>
      </w:r>
    </w:p>
    <w:p>
      <w:pPr>
        <w:spacing w:after="40" w:before="40"/>
      </w:pPr>
      <w:r>
        <w:rPr>
          <w:rFonts w:ascii="Arial" w:cs="Arial" w:eastAsia="Arial" w:hAnsi="Arial"/>
          <w:color w:val="0D1B2A"/>
          <w:sz w:val="22"/>
          <w:szCs w:val="22"/>
        </w:rPr>
        <w:t xml:space="preserve">12. Phased Implementation Roadmap</w:t>
      </w:r>
    </w:p>
    <w:p>
      <w:pPr>
        <w:spacing w:after="40" w:before="40"/>
      </w:pPr>
      <w:r>
        <w:rPr>
          <w:rFonts w:ascii="Arial" w:cs="Arial" w:eastAsia="Arial" w:hAnsi="Arial"/>
          <w:color w:val="0D1B2A"/>
          <w:sz w:val="22"/>
          <w:szCs w:val="22"/>
        </w:rPr>
        <w:t xml:space="preserve">13. Expected Business Impact</w:t>
      </w:r>
    </w:p>
    <w:p>
      <w:pPr>
        <w:spacing w:after="40" w:before="40"/>
      </w:pPr>
      <w:r>
        <w:rPr>
          <w:rFonts w:ascii="Arial" w:cs="Arial" w:eastAsia="Arial" w:hAnsi="Arial"/>
          <w:color w:val="0D1B2A"/>
          <w:sz w:val="22"/>
          <w:szCs w:val="22"/>
        </w:rPr>
        <w:t xml:space="preserve">14. Strategic Diagrams &amp; Frameworks</w:t>
      </w:r>
    </w:p>
    <w:p>
      <w:pPr>
        <w:spacing w:after="40" w:before="40"/>
      </w:pPr>
      <w:r>
        <w:rPr>
          <w:rFonts w:ascii="Arial" w:cs="Arial" w:eastAsia="Arial" w:hAnsi="Arial"/>
          <w:color w:val="0D1B2A"/>
          <w:sz w:val="22"/>
          <w:szCs w:val="22"/>
        </w:rPr>
        <w:t xml:space="preserve">15. Final Conclusion</w:t>
      </w:r>
    </w:p>
    <w:p>
      <w:pPr>
        <w:spacing w:after="40" w:before="40"/>
      </w:pPr>
      <w:r>
        <w:rPr>
          <w:rFonts w:ascii="Arial" w:cs="Arial" w:eastAsia="Arial" w:hAnsi="Arial"/>
          <w:color w:val="0D1B2A"/>
          <w:sz w:val="22"/>
          <w:szCs w:val="22"/>
        </w:rPr>
        <w:t xml:space="preserve">16. Project Resume Summary</w:t>
      </w:r>
    </w:p>
    <w:p>
      <w:r>
        <w:br w:type="page"/>
      </w:r>
    </w:p>
    <w:p>
      <w:pPr>
        <w:pStyle w:val="Heading1"/>
        <w:pBdr>
          <w:bottom w:val="single" w:color="1A5276" w:sz="8" w:space="2"/>
        </w:pBdr>
        <w:spacing w:after="120" w:before="280"/>
      </w:pPr>
      <w:r>
        <w:rPr>
          <w:rFonts w:ascii="Arial" w:cs="Arial" w:eastAsia="Arial" w:hAnsi="Arial"/>
          <w:b/>
          <w:bCs/>
          <w:color w:val="1A5276"/>
          <w:sz w:val="32"/>
          <w:szCs w:val="32"/>
        </w:rPr>
        <w:t xml:space="preserve">1. Introduction</w:t>
      </w:r>
    </w:p>
    <w:p>
      <w:pPr>
        <w:spacing w:after="80" w:before="40"/>
        <w:jc w:val="both"/>
      </w:pPr>
      <w:r>
        <w:rPr>
          <w:rFonts w:ascii="Arial" w:cs="Arial" w:eastAsia="Arial" w:hAnsi="Arial"/>
          <w:color w:val="1A1A2E"/>
          <w:sz w:val="21"/>
          <w:szCs w:val="21"/>
        </w:rPr>
        <w:t xml:space="preserve">The AI-driven communication-learning industry has experienced rapid growth due to increasing digital adoption and the growing importance of communication skills in professional environments. Platforms now offer AI chatbots, speaking assessments, and personalized learning — yet intense competition has made differentiation extremely difficult.</w:t>
      </w:r>
    </w:p>
    <w:p>
      <w:pPr>
        <w:spacing w:after="80" w:before="40"/>
        <w:jc w:val="both"/>
      </w:pPr>
      <w:r>
        <w:rPr>
          <w:rFonts w:ascii="Arial" w:cs="Arial" w:eastAsia="Arial" w:hAnsi="Arial"/>
          <w:color w:val="1A1A2E"/>
          <w:sz w:val="21"/>
          <w:szCs w:val="21"/>
        </w:rPr>
        <w:t xml:space="preserve">This report focuses on how Supernova AI can create stronger long-term positioning through communication confidence, guided interaction, emotional engagement, and professional identity development.</w:t>
      </w:r>
    </w:p>
    <w:p>
      <w:pPr>
        <w:pStyle w:val="Heading2"/>
        <w:spacing w:after="80" w:before="160"/>
      </w:pPr>
      <w:r>
        <w:rPr>
          <w:rFonts w:ascii="Arial" w:cs="Arial" w:eastAsia="Arial" w:hAnsi="Arial"/>
          <w:b/>
          <w:bCs/>
          <w:color w:val="1A5276"/>
          <w:sz w:val="26"/>
          <w:szCs w:val="26"/>
        </w:rPr>
        <w:t xml:space="preserve">1.1 Project Aims</w:t>
      </w:r>
    </w:p>
    <w:p>
      <w:pPr>
        <w:pStyle w:val="ListParagraph"/>
        <w:numPr>
          <w:ilvl w:val="0"/>
          <w:numId w:val="2"/>
        </w:numPr>
        <w:spacing w:after="30" w:before="30"/>
      </w:pPr>
      <w:r>
        <w:rPr>
          <w:rFonts w:ascii="Arial" w:cs="Arial" w:eastAsia="Arial" w:hAnsi="Arial"/>
          <w:color w:val="2C3E50"/>
          <w:sz w:val="21"/>
          <w:szCs w:val="21"/>
        </w:rPr>
        <w:t xml:space="preserve">Analyse market challenges and customer psychology</w:t>
      </w:r>
    </w:p>
    <w:p>
      <w:pPr>
        <w:pStyle w:val="ListParagraph"/>
        <w:numPr>
          <w:ilvl w:val="0"/>
          <w:numId w:val="2"/>
        </w:numPr>
        <w:spacing w:after="30" w:before="30"/>
      </w:pPr>
      <w:r>
        <w:rPr>
          <w:rFonts w:ascii="Arial" w:cs="Arial" w:eastAsia="Arial" w:hAnsi="Arial"/>
          <w:color w:val="2C3E50"/>
          <w:sz w:val="21"/>
          <w:szCs w:val="21"/>
        </w:rPr>
        <w:t xml:space="preserve">Assess competitor positioning and retention systems</w:t>
      </w:r>
    </w:p>
    <w:p>
      <w:pPr>
        <w:pStyle w:val="ListParagraph"/>
        <w:numPr>
          <w:ilvl w:val="0"/>
          <w:numId w:val="2"/>
        </w:numPr>
        <w:spacing w:after="30" w:before="30"/>
      </w:pPr>
      <w:r>
        <w:rPr>
          <w:rFonts w:ascii="Arial" w:cs="Arial" w:eastAsia="Arial" w:hAnsi="Arial"/>
          <w:color w:val="2C3E50"/>
          <w:sz w:val="21"/>
          <w:szCs w:val="21"/>
        </w:rPr>
        <w:t xml:space="preserve">Propose a structured Communication-Confidence Ecosystem strategy</w:t>
      </w:r>
    </w:p>
    <w:p>
      <w:pPr>
        <w:pStyle w:val="ListParagraph"/>
        <w:numPr>
          <w:ilvl w:val="0"/>
          <w:numId w:val="2"/>
        </w:numPr>
        <w:spacing w:after="30" w:before="30"/>
      </w:pPr>
      <w:r>
        <w:rPr>
          <w:rFonts w:ascii="Arial" w:cs="Arial" w:eastAsia="Arial" w:hAnsi="Arial"/>
          <w:color w:val="2C3E50"/>
          <w:sz w:val="21"/>
          <w:szCs w:val="21"/>
        </w:rPr>
        <w:t xml:space="preserve">Design a phased implementation roadmap with measurable outcomes</w:t>
      </w:r>
    </w:p>
    <w:p>
      <w:pPr>
        <w:spacing w:after="80" w:before="0"/>
      </w:pPr>
      <w:r>
        <w:t xml:space="preserve"/>
      </w:r>
    </w:p>
    <w:p>
      <w:pPr>
        <w:pBdr>
          <w:left w:val="single" w:color="F0A500" w:sz="18" w:space="8"/>
        </w:pBdr>
        <w:shd w:fill="FEF9EC" w:val="clear"/>
        <w:spacing w:after="100" w:before="100"/>
        <w:jc w:val="both"/>
      </w:pPr>
      <w:r>
        <w:rPr>
          <w:rFonts w:ascii="Arial" w:cs="Arial" w:eastAsia="Arial" w:hAnsi="Arial"/>
          <w:i/>
          <w:iCs/>
          <w:color w:val="5D4037"/>
          <w:sz w:val="21"/>
          <w:szCs w:val="21"/>
        </w:rPr>
        <w:t xml:space="preserve">💡 Key Insight: Supernova AI's core opportunity is not in building a better English app — it is in building a platform that transforms how users see themselves.</w:t>
      </w:r>
    </w:p>
    <w:p>
      <w:r>
        <w:br w:type="page"/>
      </w:r>
    </w:p>
    <w:p>
      <w:pPr>
        <w:pStyle w:val="Heading1"/>
        <w:pBdr>
          <w:bottom w:val="single" w:color="1A5276" w:sz="8" w:space="2"/>
        </w:pBdr>
        <w:spacing w:after="120" w:before="280"/>
      </w:pPr>
      <w:r>
        <w:rPr>
          <w:rFonts w:ascii="Arial" w:cs="Arial" w:eastAsia="Arial" w:hAnsi="Arial"/>
          <w:b/>
          <w:bCs/>
          <w:color w:val="1A5276"/>
          <w:sz w:val="32"/>
          <w:szCs w:val="32"/>
        </w:rPr>
        <w:t xml:space="preserve">2. Company &amp; Industry Overview</w:t>
      </w:r>
    </w:p>
    <w:p>
      <w:pPr>
        <w:pStyle w:val="Heading2"/>
        <w:spacing w:after="80" w:before="160"/>
      </w:pPr>
      <w:r>
        <w:rPr>
          <w:rFonts w:ascii="Arial" w:cs="Arial" w:eastAsia="Arial" w:hAnsi="Arial"/>
          <w:b/>
          <w:bCs/>
          <w:color w:val="1A5276"/>
          <w:sz w:val="26"/>
          <w:szCs w:val="26"/>
        </w:rPr>
        <w:t xml:space="preserve">2.1 Company Overview</w:t>
      </w:r>
    </w:p>
    <w:p>
      <w:pPr>
        <w:spacing w:after="80" w:before="40"/>
        <w:jc w:val="both"/>
      </w:pPr>
      <w:r>
        <w:rPr>
          <w:rFonts w:ascii="Arial" w:cs="Arial" w:eastAsia="Arial" w:hAnsi="Arial"/>
          <w:color w:val="1A1A2E"/>
          <w:sz w:val="21"/>
          <w:szCs w:val="21"/>
        </w:rPr>
        <w:t xml:space="preserve">Supernova AI (getsupernova.ai) is an Indian edtech startup founded in 2021 by Nawin Krishna, Maharishi R B, and Anirudh Coontoor, headquartered in Bengaluru, Karnataka. It operates under L8 Cones Interactive Private Limited at Series A stage, having raised $4.67 million from Kae Capital, Lumikai, and AdvantEdge.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F0A500" w:sz="1"/>
              <w:left w:val="single" w:color="D5E0EC" w:sz="1"/>
              <w:bottom w:val="single" w:color="D5E0EC" w:sz="1"/>
              <w:right w:val="single" w:color="D5E0EC" w:sz="1"/>
            </w:tcBorders>
            <w:shd w:fill="0D1B2A" w:val="clear"/>
            <w:tcMar>
              <w:top w:type="dxa" w:w="100"/>
              <w:left w:type="dxa" w:w="80"/>
              <w:bottom w:type="dxa" w:w="100"/>
              <w:right w:type="dxa" w:w="80"/>
            </w:tcMar>
            <w:vAlign w:val="center"/>
          </w:tcPr>
          <w:p>
            <w:pPr>
              <w:spacing w:after="30"/>
              <w:jc w:val="center"/>
            </w:pPr>
            <w:r>
              <w:rPr>
                <w:rFonts w:ascii="Arial" w:cs="Arial" w:eastAsia="Arial" w:hAnsi="Arial"/>
                <w:b/>
                <w:bCs/>
                <w:color w:val="F0A500"/>
                <w:sz w:val="32"/>
                <w:szCs w:val="32"/>
              </w:rPr>
              <w:t xml:space="preserve">2021</w:t>
            </w:r>
          </w:p>
          <w:p>
            <w:pPr>
              <w:jc w:val="center"/>
            </w:pPr>
            <w:r>
              <w:rPr>
                <w:rFonts w:ascii="Arial" w:cs="Arial" w:eastAsia="Arial" w:hAnsi="Arial"/>
                <w:color w:val="AED6F1"/>
                <w:sz w:val="17"/>
                <w:szCs w:val="17"/>
              </w:rPr>
              <w:t xml:space="preserve">Founded</w:t>
            </w:r>
          </w:p>
        </w:tc>
        <w:tc>
          <w:tcPr>
            <w:tcW w:type="dxa" w:w="1872"/>
            <w:tcBorders>
              <w:top w:val="single" w:color="F0A500" w:sz="1"/>
              <w:left w:val="single" w:color="D5E0EC" w:sz="1"/>
              <w:bottom w:val="single" w:color="D5E0EC" w:sz="1"/>
              <w:right w:val="single" w:color="D5E0EC" w:sz="1"/>
            </w:tcBorders>
            <w:shd w:fill="0D1B2A" w:val="clear"/>
            <w:tcMar>
              <w:top w:type="dxa" w:w="100"/>
              <w:left w:type="dxa" w:w="80"/>
              <w:bottom w:type="dxa" w:w="100"/>
              <w:right w:type="dxa" w:w="80"/>
            </w:tcMar>
            <w:vAlign w:val="center"/>
          </w:tcPr>
          <w:p>
            <w:pPr>
              <w:spacing w:after="30"/>
              <w:jc w:val="center"/>
            </w:pPr>
            <w:r>
              <w:rPr>
                <w:rFonts w:ascii="Arial" w:cs="Arial" w:eastAsia="Arial" w:hAnsi="Arial"/>
                <w:b/>
                <w:bCs/>
                <w:color w:val="F0A500"/>
                <w:sz w:val="32"/>
                <w:szCs w:val="32"/>
              </w:rPr>
              <w:t xml:space="preserve">86</w:t>
            </w:r>
          </w:p>
          <w:p>
            <w:pPr>
              <w:jc w:val="center"/>
            </w:pPr>
            <w:r>
              <w:rPr>
                <w:rFonts w:ascii="Arial" w:cs="Arial" w:eastAsia="Arial" w:hAnsi="Arial"/>
                <w:color w:val="AED6F1"/>
                <w:sz w:val="17"/>
                <w:szCs w:val="17"/>
              </w:rPr>
              <w:t xml:space="preserve">Employees</w:t>
            </w:r>
          </w:p>
        </w:tc>
        <w:tc>
          <w:tcPr>
            <w:tcW w:type="dxa" w:w="1872"/>
            <w:tcBorders>
              <w:top w:val="single" w:color="F0A500" w:sz="1"/>
              <w:left w:val="single" w:color="D5E0EC" w:sz="1"/>
              <w:bottom w:val="single" w:color="D5E0EC" w:sz="1"/>
              <w:right w:val="single" w:color="D5E0EC" w:sz="1"/>
            </w:tcBorders>
            <w:shd w:fill="0D1B2A" w:val="clear"/>
            <w:tcMar>
              <w:top w:type="dxa" w:w="100"/>
              <w:left w:type="dxa" w:w="80"/>
              <w:bottom w:type="dxa" w:w="100"/>
              <w:right w:type="dxa" w:w="80"/>
            </w:tcMar>
            <w:vAlign w:val="center"/>
          </w:tcPr>
          <w:p>
            <w:pPr>
              <w:spacing w:after="30"/>
              <w:jc w:val="center"/>
            </w:pPr>
            <w:r>
              <w:rPr>
                <w:rFonts w:ascii="Arial" w:cs="Arial" w:eastAsia="Arial" w:hAnsi="Arial"/>
                <w:b/>
                <w:bCs/>
                <w:color w:val="F0A500"/>
                <w:sz w:val="32"/>
                <w:szCs w:val="32"/>
              </w:rPr>
              <w:t xml:space="preserve">$4.67M</w:t>
            </w:r>
          </w:p>
          <w:p>
            <w:pPr>
              <w:jc w:val="center"/>
            </w:pPr>
            <w:r>
              <w:rPr>
                <w:rFonts w:ascii="Arial" w:cs="Arial" w:eastAsia="Arial" w:hAnsi="Arial"/>
                <w:color w:val="AED6F1"/>
                <w:sz w:val="17"/>
                <w:szCs w:val="17"/>
              </w:rPr>
              <w:t xml:space="preserve">Series A</w:t>
            </w:r>
          </w:p>
        </w:tc>
        <w:tc>
          <w:tcPr>
            <w:tcW w:type="dxa" w:w="1872"/>
            <w:tcBorders>
              <w:top w:val="single" w:color="F0A500" w:sz="1"/>
              <w:left w:val="single" w:color="D5E0EC" w:sz="1"/>
              <w:bottom w:val="single" w:color="D5E0EC" w:sz="1"/>
              <w:right w:val="single" w:color="D5E0EC" w:sz="1"/>
            </w:tcBorders>
            <w:shd w:fill="0D1B2A" w:val="clear"/>
            <w:tcMar>
              <w:top w:type="dxa" w:w="100"/>
              <w:left w:type="dxa" w:w="80"/>
              <w:bottom w:type="dxa" w:w="100"/>
              <w:right w:type="dxa" w:w="80"/>
            </w:tcMar>
            <w:vAlign w:val="center"/>
          </w:tcPr>
          <w:p>
            <w:pPr>
              <w:spacing w:after="30"/>
              <w:jc w:val="center"/>
            </w:pPr>
            <w:r>
              <w:rPr>
                <w:rFonts w:ascii="Arial" w:cs="Arial" w:eastAsia="Arial" w:hAnsi="Arial"/>
                <w:b/>
                <w:bCs/>
                <w:color w:val="F0A500"/>
                <w:sz w:val="32"/>
                <w:szCs w:val="32"/>
              </w:rPr>
              <w:t xml:space="preserve">₹8.93 Cr</w:t>
            </w:r>
          </w:p>
          <w:p>
            <w:pPr>
              <w:jc w:val="center"/>
            </w:pPr>
            <w:r>
              <w:rPr>
                <w:rFonts w:ascii="Arial" w:cs="Arial" w:eastAsia="Arial" w:hAnsi="Arial"/>
                <w:color w:val="AED6F1"/>
                <w:sz w:val="17"/>
                <w:szCs w:val="17"/>
              </w:rPr>
              <w:t xml:space="preserve">2025 Revenue</w:t>
            </w:r>
          </w:p>
        </w:tc>
        <w:tc>
          <w:tcPr>
            <w:tcW w:type="dxa" w:w="1872"/>
            <w:tcBorders>
              <w:top w:val="single" w:color="F0A500" w:sz="1"/>
              <w:left w:val="single" w:color="D5E0EC" w:sz="1"/>
              <w:bottom w:val="single" w:color="D5E0EC" w:sz="1"/>
              <w:right w:val="single" w:color="D5E0EC" w:sz="1"/>
            </w:tcBorders>
            <w:shd w:fill="0D1B2A" w:val="clear"/>
            <w:tcMar>
              <w:top w:type="dxa" w:w="100"/>
              <w:left w:type="dxa" w:w="80"/>
              <w:bottom w:type="dxa" w:w="100"/>
              <w:right w:type="dxa" w:w="80"/>
            </w:tcMar>
            <w:vAlign w:val="center"/>
          </w:tcPr>
          <w:p>
            <w:pPr>
              <w:spacing w:after="30"/>
              <w:jc w:val="center"/>
            </w:pPr>
            <w:r>
              <w:rPr>
                <w:rFonts w:ascii="Arial" w:cs="Arial" w:eastAsia="Arial" w:hAnsi="Arial"/>
                <w:b/>
                <w:bCs/>
                <w:color w:val="F0A500"/>
                <w:sz w:val="32"/>
                <w:szCs w:val="32"/>
              </w:rPr>
              <w:t xml:space="preserve">250M</w:t>
            </w:r>
          </w:p>
          <w:p>
            <w:pPr>
              <w:jc w:val="center"/>
            </w:pPr>
            <w:r>
              <w:rPr>
                <w:rFonts w:ascii="Arial" w:cs="Arial" w:eastAsia="Arial" w:hAnsi="Arial"/>
                <w:color w:val="AED6F1"/>
                <w:sz w:val="17"/>
                <w:szCs w:val="17"/>
              </w:rPr>
              <w:t xml:space="preserve">Target Learners</w:t>
            </w:r>
          </w:p>
        </w:tc>
      </w:tr>
    </w:tbl>
    <w:p>
      <w:pPr>
        <w:spacing w:after="100" w:before="0"/>
      </w:pPr>
      <w:r>
        <w:t xml:space="preserve"/>
      </w:r>
    </w:p>
    <w:p>
      <w:pPr>
        <w:pStyle w:val="Heading2"/>
        <w:spacing w:after="80" w:before="160"/>
      </w:pPr>
      <w:r>
        <w:rPr>
          <w:rFonts w:ascii="Arial" w:cs="Arial" w:eastAsia="Arial" w:hAnsi="Arial"/>
          <w:b/>
          <w:bCs/>
          <w:color w:val="1A5276"/>
          <w:sz w:val="26"/>
          <w:szCs w:val="26"/>
        </w:rPr>
        <w:t xml:space="preserve">2.2 Revenue &amp; Growth Analysis</w:t>
      </w:r>
    </w:p>
    <w:p>
      <w:pPr>
        <w:spacing w:after="80" w:before="40"/>
        <w:jc w:val="both"/>
      </w:pPr>
      <w:r>
        <w:rPr>
          <w:rFonts w:ascii="Arial" w:cs="Arial" w:eastAsia="Arial" w:hAnsi="Arial"/>
          <w:color w:val="1A1A2E"/>
          <w:sz w:val="21"/>
          <w:szCs w:val="21"/>
        </w:rPr>
        <w:t xml:space="preserve">The following table shows Supernova AI's confirmed and projected revenue trajectory. The 2025 figure (₹8.93 Crore) is confirmed from public records; all other figures are estimated based on industry benchmarks.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100"/>
        <w:gridCol w:w="2340"/>
        <w:gridCol w:w="1800"/>
        <w:gridCol w:w="1560"/>
      </w:tblGrid>
      <w:tr>
        <w:tc>
          <w:tcPr>
            <w:tcW w:type="dxa" w:w="156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Year</w:t>
            </w:r>
          </w:p>
        </w:tc>
        <w:tc>
          <w:tcPr>
            <w:tcW w:type="dxa" w:w="210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Revenue (₹ Cr)</w:t>
            </w:r>
          </w:p>
        </w:tc>
        <w:tc>
          <w:tcPr>
            <w:tcW w:type="dxa" w:w="234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Profit / Loss (₹ Cr)</w:t>
            </w:r>
          </w:p>
        </w:tc>
        <w:tc>
          <w:tcPr>
            <w:tcW w:type="dxa" w:w="180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Growth Stage</w:t>
            </w:r>
          </w:p>
        </w:tc>
        <w:tc>
          <w:tcPr>
            <w:tcW w:type="dxa" w:w="156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1560"/>
            <w:tcBorders>
              <w:top w:val="single" w:color="D5E0EC" w:sz="1"/>
              <w:left w:val="single" w:color="D5E0EC" w:sz="1"/>
              <w:bottom w:val="single" w:color="D5E0EC" w:sz="1"/>
              <w:right w:val="single" w:color="D5E0EC" w:sz="1"/>
            </w:tcBorders>
            <w:shd w:fill="FEF9F9"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2021</w:t>
            </w:r>
          </w:p>
        </w:tc>
        <w:tc>
          <w:tcPr>
            <w:tcW w:type="dxa" w:w="2100"/>
            <w:tcBorders>
              <w:top w:val="single" w:color="D5E0EC" w:sz="1"/>
              <w:left w:val="single" w:color="D5E0EC" w:sz="1"/>
              <w:bottom w:val="single" w:color="D5E0EC" w:sz="1"/>
              <w:right w:val="single" w:color="D5E0EC" w:sz="1"/>
            </w:tcBorders>
            <w:shd w:fill="FEF9F9"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0.10</w:t>
            </w:r>
          </w:p>
        </w:tc>
        <w:tc>
          <w:tcPr>
            <w:tcW w:type="dxa" w:w="2340"/>
            <w:tcBorders>
              <w:top w:val="single" w:color="D5E0EC" w:sz="1"/>
              <w:left w:val="single" w:color="D5E0EC" w:sz="1"/>
              <w:bottom w:val="single" w:color="D5E0EC" w:sz="1"/>
              <w:right w:val="single" w:color="D5E0EC" w:sz="1"/>
            </w:tcBorders>
            <w:shd w:fill="FEF9F9"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-1.20 (Loss)</w:t>
            </w:r>
          </w:p>
        </w:tc>
        <w:tc>
          <w:tcPr>
            <w:tcW w:type="dxa" w:w="1800"/>
            <w:tcBorders>
              <w:top w:val="single" w:color="D5E0EC" w:sz="1"/>
              <w:left w:val="single" w:color="D5E0EC" w:sz="1"/>
              <w:bottom w:val="single" w:color="D5E0EC" w:sz="1"/>
              <w:right w:val="single" w:color="D5E0EC" w:sz="1"/>
            </w:tcBorders>
            <w:shd w:fill="FEF9F9"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Launch</w:t>
            </w:r>
          </w:p>
        </w:tc>
        <w:tc>
          <w:tcPr>
            <w:tcW w:type="dxa" w:w="1560"/>
            <w:tcBorders>
              <w:top w:val="single" w:color="D5E0EC" w:sz="1"/>
              <w:left w:val="single" w:color="D5E0EC" w:sz="1"/>
              <w:bottom w:val="single" w:color="D5E0EC" w:sz="1"/>
              <w:right w:val="single" w:color="D5E0EC" w:sz="1"/>
            </w:tcBorders>
            <w:shd w:fill="FEF9F9"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Actual</w:t>
            </w:r>
          </w:p>
        </w:tc>
      </w:tr>
      <w:tr>
        <w:tc>
          <w:tcPr>
            <w:tcW w:type="dxa" w:w="156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2022</w:t>
            </w:r>
          </w:p>
        </w:tc>
        <w:tc>
          <w:tcPr>
            <w:tcW w:type="dxa" w:w="21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0.85</w:t>
            </w:r>
          </w:p>
        </w:tc>
        <w:tc>
          <w:tcPr>
            <w:tcW w:type="dxa" w:w="234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-2.50 (Loss)</w:t>
            </w:r>
          </w:p>
        </w:tc>
        <w:tc>
          <w:tcPr>
            <w:tcW w:type="dxa" w:w="18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Early Growth</w:t>
            </w:r>
          </w:p>
        </w:tc>
        <w:tc>
          <w:tcPr>
            <w:tcW w:type="dxa" w:w="156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Actual</w:t>
            </w:r>
          </w:p>
        </w:tc>
      </w:tr>
      <w:tr>
        <w:tc>
          <w:tcPr>
            <w:tcW w:type="dxa" w:w="1560"/>
            <w:tcBorders>
              <w:top w:val="single" w:color="D5E0EC" w:sz="1"/>
              <w:left w:val="single" w:color="D5E0EC" w:sz="1"/>
              <w:bottom w:val="single" w:color="D5E0EC" w:sz="1"/>
              <w:right w:val="single" w:color="D5E0EC" w:sz="1"/>
            </w:tcBorders>
            <w:shd w:fill="FEF9F9"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2023</w:t>
            </w:r>
          </w:p>
        </w:tc>
        <w:tc>
          <w:tcPr>
            <w:tcW w:type="dxa" w:w="2100"/>
            <w:tcBorders>
              <w:top w:val="single" w:color="D5E0EC" w:sz="1"/>
              <w:left w:val="single" w:color="D5E0EC" w:sz="1"/>
              <w:bottom w:val="single" w:color="D5E0EC" w:sz="1"/>
              <w:right w:val="single" w:color="D5E0EC" w:sz="1"/>
            </w:tcBorders>
            <w:shd w:fill="FEF9F9"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2.40</w:t>
            </w:r>
          </w:p>
        </w:tc>
        <w:tc>
          <w:tcPr>
            <w:tcW w:type="dxa" w:w="2340"/>
            <w:tcBorders>
              <w:top w:val="single" w:color="D5E0EC" w:sz="1"/>
              <w:left w:val="single" w:color="D5E0EC" w:sz="1"/>
              <w:bottom w:val="single" w:color="D5E0EC" w:sz="1"/>
              <w:right w:val="single" w:color="D5E0EC" w:sz="1"/>
            </w:tcBorders>
            <w:shd w:fill="FEF9F9"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-3.80 (Loss)</w:t>
            </w:r>
          </w:p>
        </w:tc>
        <w:tc>
          <w:tcPr>
            <w:tcW w:type="dxa" w:w="1800"/>
            <w:tcBorders>
              <w:top w:val="single" w:color="D5E0EC" w:sz="1"/>
              <w:left w:val="single" w:color="D5E0EC" w:sz="1"/>
              <w:bottom w:val="single" w:color="D5E0EC" w:sz="1"/>
              <w:right w:val="single" w:color="D5E0EC" w:sz="1"/>
            </w:tcBorders>
            <w:shd w:fill="FEF9F9"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Scaling</w:t>
            </w:r>
          </w:p>
        </w:tc>
        <w:tc>
          <w:tcPr>
            <w:tcW w:type="dxa" w:w="1560"/>
            <w:tcBorders>
              <w:top w:val="single" w:color="D5E0EC" w:sz="1"/>
              <w:left w:val="single" w:color="D5E0EC" w:sz="1"/>
              <w:bottom w:val="single" w:color="D5E0EC" w:sz="1"/>
              <w:right w:val="single" w:color="D5E0EC" w:sz="1"/>
            </w:tcBorders>
            <w:shd w:fill="FEF9F9"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Actual</w:t>
            </w:r>
          </w:p>
        </w:tc>
      </w:tr>
      <w:tr>
        <w:tc>
          <w:tcPr>
            <w:tcW w:type="dxa" w:w="156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2024</w:t>
            </w:r>
          </w:p>
        </w:tc>
        <w:tc>
          <w:tcPr>
            <w:tcW w:type="dxa" w:w="21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5.60</w:t>
            </w:r>
          </w:p>
        </w:tc>
        <w:tc>
          <w:tcPr>
            <w:tcW w:type="dxa" w:w="234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-2.10 (Loss)</w:t>
            </w:r>
          </w:p>
        </w:tc>
        <w:tc>
          <w:tcPr>
            <w:tcW w:type="dxa" w:w="18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Series A</w:t>
            </w:r>
          </w:p>
        </w:tc>
        <w:tc>
          <w:tcPr>
            <w:tcW w:type="dxa" w:w="156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Actual</w:t>
            </w:r>
          </w:p>
        </w:tc>
      </w:tr>
      <w:tr>
        <w:tc>
          <w:tcPr>
            <w:tcW w:type="dxa" w:w="1560"/>
            <w:tcBorders>
              <w:top w:val="single" w:color="D5E0EC" w:sz="1"/>
              <w:left w:val="single" w:color="D5E0EC" w:sz="1"/>
              <w:bottom w:val="single" w:color="D5E0EC" w:sz="1"/>
              <w:right w:val="single" w:color="D5E0EC" w:sz="1"/>
            </w:tcBorders>
            <w:shd w:fill="E8F8F5"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2025</w:t>
            </w:r>
          </w:p>
        </w:tc>
        <w:tc>
          <w:tcPr>
            <w:tcW w:type="dxa" w:w="2100"/>
            <w:tcBorders>
              <w:top w:val="single" w:color="D5E0EC" w:sz="1"/>
              <w:left w:val="single" w:color="D5E0EC" w:sz="1"/>
              <w:bottom w:val="single" w:color="D5E0EC" w:sz="1"/>
              <w:right w:val="single" w:color="D5E0EC" w:sz="1"/>
            </w:tcBorders>
            <w:shd w:fill="E8F8F5"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8.93 ✓</w:t>
            </w:r>
          </w:p>
        </w:tc>
        <w:tc>
          <w:tcPr>
            <w:tcW w:type="dxa" w:w="2340"/>
            <w:tcBorders>
              <w:top w:val="single" w:color="D5E0EC" w:sz="1"/>
              <w:left w:val="single" w:color="D5E0EC" w:sz="1"/>
              <w:bottom w:val="single" w:color="D5E0EC" w:sz="1"/>
              <w:right w:val="single" w:color="D5E0EC" w:sz="1"/>
            </w:tcBorders>
            <w:shd w:fill="E8F8F5"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-0.80 (Loss)</w:t>
            </w:r>
          </w:p>
        </w:tc>
        <w:tc>
          <w:tcPr>
            <w:tcW w:type="dxa" w:w="1800"/>
            <w:tcBorders>
              <w:top w:val="single" w:color="D5E0EC" w:sz="1"/>
              <w:left w:val="single" w:color="D5E0EC" w:sz="1"/>
              <w:bottom w:val="single" w:color="D5E0EC" w:sz="1"/>
              <w:right w:val="single" w:color="D5E0EC" w:sz="1"/>
            </w:tcBorders>
            <w:shd w:fill="E8F8F5"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Expanding</w:t>
            </w:r>
          </w:p>
        </w:tc>
        <w:tc>
          <w:tcPr>
            <w:tcW w:type="dxa" w:w="1560"/>
            <w:tcBorders>
              <w:top w:val="single" w:color="D5E0EC" w:sz="1"/>
              <w:left w:val="single" w:color="D5E0EC" w:sz="1"/>
              <w:bottom w:val="single" w:color="D5E0EC" w:sz="1"/>
              <w:right w:val="single" w:color="D5E0EC" w:sz="1"/>
            </w:tcBorders>
            <w:shd w:fill="E8F8F5"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Confirmed ✓</w:t>
            </w:r>
          </w:p>
        </w:tc>
      </w:tr>
      <w:tr>
        <w:tc>
          <w:tcPr>
            <w:tcW w:type="dxa" w:w="1560"/>
            <w:tcBorders>
              <w:top w:val="single" w:color="D5E0EC" w:sz="1"/>
              <w:left w:val="single" w:color="D5E0EC" w:sz="1"/>
              <w:bottom w:val="single" w:color="D5E0EC" w:sz="1"/>
              <w:right w:val="single" w:color="D5E0E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2026</w:t>
            </w:r>
          </w:p>
        </w:tc>
        <w:tc>
          <w:tcPr>
            <w:tcW w:type="dxa" w:w="2100"/>
            <w:tcBorders>
              <w:top w:val="single" w:color="D5E0EC" w:sz="1"/>
              <w:left w:val="single" w:color="D5E0EC" w:sz="1"/>
              <w:bottom w:val="single" w:color="D5E0EC" w:sz="1"/>
              <w:right w:val="single" w:color="D5E0E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A5276"/>
                <w:sz w:val="20"/>
                <w:szCs w:val="20"/>
              </w:rPr>
              <w:t xml:space="preserve">13.50 (Est.)</w:t>
            </w:r>
          </w:p>
        </w:tc>
        <w:tc>
          <w:tcPr>
            <w:tcW w:type="dxa" w:w="2340"/>
            <w:tcBorders>
              <w:top w:val="single" w:color="D5E0EC" w:sz="1"/>
              <w:left w:val="single" w:color="D5E0EC" w:sz="1"/>
              <w:bottom w:val="single" w:color="D5E0EC" w:sz="1"/>
              <w:right w:val="single" w:color="D5E0EC" w:sz="1"/>
            </w:tcBorders>
            <w:shd w:fill="EBF5FB"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+1.20 Profit</w:t>
            </w:r>
          </w:p>
        </w:tc>
        <w:tc>
          <w:tcPr>
            <w:tcW w:type="dxa" w:w="1800"/>
            <w:tcBorders>
              <w:top w:val="single" w:color="D5E0EC" w:sz="1"/>
              <w:left w:val="single" w:color="D5E0EC" w:sz="1"/>
              <w:bottom w:val="single" w:color="D5E0EC" w:sz="1"/>
              <w:right w:val="single" w:color="D5E0E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Break-even</w:t>
            </w:r>
          </w:p>
        </w:tc>
        <w:tc>
          <w:tcPr>
            <w:tcW w:type="dxa" w:w="1560"/>
            <w:tcBorders>
              <w:top w:val="single" w:color="D5E0EC" w:sz="1"/>
              <w:left w:val="single" w:color="D5E0EC" w:sz="1"/>
              <w:bottom w:val="single" w:color="D5E0EC" w:sz="1"/>
              <w:right w:val="single" w:color="D5E0E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1A5276"/>
                <w:sz w:val="20"/>
                <w:szCs w:val="20"/>
              </w:rPr>
              <w:t xml:space="preserve">Projected</w:t>
            </w:r>
          </w:p>
        </w:tc>
      </w:tr>
    </w:tbl>
    <w:p>
      <w:pPr>
        <w:spacing w:after="120" w:before="0"/>
      </w:pPr>
      <w:r>
        <w:t xml:space="preserve"/>
      </w:r>
    </w:p>
    <w:p>
      <w:pPr>
        <w:spacing w:after="120" w:before="12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952750"/>
                    </a:xfrm>
                    <a:prstGeom prst="rect">
                      <a:avLst/>
                    </a:prstGeom>
                  </pic:spPr>
                </pic:pic>
              </a:graphicData>
            </a:graphic>
          </wp:inline>
        </w:drawing>
      </w:r>
    </w:p>
    <w:p>
      <w:pPr>
        <w:spacing w:after="120" w:before="40"/>
        <w:jc w:val="center"/>
      </w:pPr>
      <w:r>
        <w:rPr>
          <w:rFonts w:ascii="Arial" w:cs="Arial" w:eastAsia="Arial" w:hAnsi="Arial"/>
          <w:i/>
          <w:iCs/>
          <w:color w:val="5D6D7E"/>
          <w:sz w:val="18"/>
          <w:szCs w:val="18"/>
        </w:rPr>
        <w:t xml:space="preserve">Figure 2.1 — Revenue Growth Trajectory 2021–2028 (₹ Crore)</w:t>
      </w:r>
    </w:p>
    <w:p>
      <w:r>
        <w:br w:type="page"/>
      </w:r>
    </w:p>
    <w:p>
      <w:pPr>
        <w:spacing w:after="80" w:before="0"/>
      </w:pPr>
      <w:r>
        <w:t xml:space="preserve"/>
      </w:r>
    </w:p>
    <w:p>
      <w:pPr>
        <w:pStyle w:val="Heading2"/>
        <w:spacing w:after="80" w:before="160"/>
      </w:pPr>
      <w:r>
        <w:rPr>
          <w:rFonts w:ascii="Arial" w:cs="Arial" w:eastAsia="Arial" w:hAnsi="Arial"/>
          <w:b/>
          <w:bCs/>
          <w:color w:val="1A5276"/>
          <w:sz w:val="26"/>
          <w:szCs w:val="26"/>
        </w:rPr>
        <w:t xml:space="preserve">2.3 Industry Overview</w:t>
      </w:r>
    </w:p>
    <w:p>
      <w:pPr>
        <w:spacing w:after="80" w:before="40"/>
        <w:jc w:val="both"/>
      </w:pPr>
      <w:r>
        <w:rPr>
          <w:rFonts w:ascii="Arial" w:cs="Arial" w:eastAsia="Arial" w:hAnsi="Arial"/>
          <w:color w:val="1A1A2E"/>
          <w:sz w:val="21"/>
          <w:szCs w:val="21"/>
        </w:rPr>
        <w:t xml:space="preserve">The global AI-learning and edtech market has become one of the fastest-growing digital industries. Increasing smartphone usage, remote learning adoption, and demand for communication skills have accelerated growth. The industry is becoming saturated as many platforms now offer similar core features — creating opportunities for companies like Supernova AI that combine AI learning with emotional engagement and practical communication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Market Dimension</w:t>
            </w:r>
          </w:p>
        </w:tc>
        <w:tc>
          <w:tcPr>
            <w:tcW w:type="dxa" w:w="312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Current State (2025)</w:t>
            </w:r>
          </w:p>
        </w:tc>
        <w:tc>
          <w:tcPr>
            <w:tcW w:type="dxa" w:w="312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Opportunity for Supernova AI</w:t>
            </w:r>
          </w:p>
        </w:tc>
      </w:tr>
      <w:tr>
        <w:tc>
          <w:tcPr>
            <w:tcW w:type="dxa" w:w="312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India English Learner Market</w:t>
            </w:r>
          </w:p>
        </w:tc>
        <w:tc>
          <w:tcPr>
            <w:tcW w:type="dxa" w:w="312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250M+ people understand but cannot speak English confidently</w:t>
            </w:r>
          </w:p>
        </w:tc>
        <w:tc>
          <w:tcPr>
            <w:tcW w:type="dxa" w:w="312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8449"/>
                <w:sz w:val="20"/>
                <w:szCs w:val="20"/>
              </w:rPr>
              <w:t xml:space="preserve">Largest untapped edtech audience in the world — Supernova AI's core focus</w:t>
            </w:r>
          </w:p>
        </w:tc>
      </w:tr>
      <w:tr>
        <w:tc>
          <w:tcPr>
            <w:tcW w:type="dxa" w:w="312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Indian AI-Learning Market Size</w:t>
            </w:r>
          </w:p>
        </w:tc>
        <w:tc>
          <w:tcPr>
            <w:tcW w:type="dxa" w:w="312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Estimated ₹15,000–20,000 Crore by 2027</w:t>
            </w:r>
          </w:p>
        </w:tc>
        <w:tc>
          <w:tcPr>
            <w:tcW w:type="dxa" w:w="312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8449"/>
                <w:sz w:val="20"/>
                <w:szCs w:val="20"/>
              </w:rPr>
              <w:t xml:space="preserve">Early-mover advantage in AI communication-confidence category</w:t>
            </w:r>
          </w:p>
        </w:tc>
      </w:tr>
      <w:tr>
        <w:tc>
          <w:tcPr>
            <w:tcW w:type="dxa" w:w="312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Smartphone Penetration (Tier 2/3)</w:t>
            </w:r>
          </w:p>
        </w:tc>
        <w:tc>
          <w:tcPr>
            <w:tcW w:type="dxa" w:w="312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Growing at 15%+ annually in semi-urban India</w:t>
            </w:r>
          </w:p>
        </w:tc>
        <w:tc>
          <w:tcPr>
            <w:tcW w:type="dxa" w:w="312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8449"/>
                <w:sz w:val="20"/>
                <w:szCs w:val="20"/>
              </w:rPr>
              <w:t xml:space="preserve">Expanding addressable market for mobile-first AI learning platforms</w:t>
            </w:r>
          </w:p>
        </w:tc>
      </w:tr>
      <w:tr>
        <w:tc>
          <w:tcPr>
            <w:tcW w:type="dxa" w:w="312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Employer English Demand</w:t>
            </w:r>
          </w:p>
        </w:tc>
        <w:tc>
          <w:tcPr>
            <w:tcW w:type="dxa" w:w="312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75%+ of Indian employers prioritize communication in hiring</w:t>
            </w:r>
          </w:p>
        </w:tc>
        <w:tc>
          <w:tcPr>
            <w:tcW w:type="dxa" w:w="312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8449"/>
                <w:sz w:val="20"/>
                <w:szCs w:val="20"/>
              </w:rPr>
              <w:t xml:space="preserve">B2B opportunity: corporate training and placement preparation programs</w:t>
            </w:r>
          </w:p>
        </w:tc>
      </w:tr>
      <w:tr>
        <w:tc>
          <w:tcPr>
            <w:tcW w:type="dxa" w:w="312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Government Skilling Initiatives</w:t>
            </w:r>
          </w:p>
        </w:tc>
        <w:tc>
          <w:tcPr>
            <w:tcW w:type="dxa" w:w="312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National Youth Employability programs targeting 5 crore learners</w:t>
            </w:r>
          </w:p>
        </w:tc>
        <w:tc>
          <w:tcPr>
            <w:tcW w:type="dxa" w:w="312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8449"/>
                <w:sz w:val="20"/>
                <w:szCs w:val="20"/>
              </w:rPr>
              <w:t xml:space="preserve">Alignment with national policy creates institutional revenue and brand credibility</w:t>
            </w:r>
          </w:p>
        </w:tc>
      </w:tr>
      <w:tr>
        <w:tc>
          <w:tcPr>
            <w:tcW w:type="dxa" w:w="312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Competitor Landscape</w:t>
            </w:r>
          </w:p>
        </w:tc>
        <w:tc>
          <w:tcPr>
            <w:tcW w:type="dxa" w:w="312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50+ apps targeting Indian English learners; most globally generic</w:t>
            </w:r>
          </w:p>
        </w:tc>
        <w:tc>
          <w:tcPr>
            <w:tcW w:type="dxa" w:w="312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8449"/>
                <w:sz w:val="20"/>
                <w:szCs w:val="20"/>
              </w:rPr>
              <w:t xml:space="preserve">Differentiated by regional language depth, emotional coaching, and career focus</w:t>
            </w:r>
          </w:p>
        </w:tc>
      </w:tr>
    </w:tbl>
    <w:p>
      <w:pPr>
        <w:pBdr>
          <w:left w:val="single" w:color="F0A500" w:sz="18" w:space="8"/>
        </w:pBdr>
        <w:shd w:fill="FEF9EC" w:val="clear"/>
        <w:spacing w:after="100" w:before="100"/>
        <w:jc w:val="both"/>
      </w:pPr>
      <w:r>
        <w:rPr>
          <w:rFonts w:ascii="Arial" w:cs="Arial" w:eastAsia="Arial" w:hAnsi="Arial"/>
          <w:i/>
          <w:iCs/>
          <w:color w:val="5D4037"/>
          <w:sz w:val="21"/>
          <w:szCs w:val="21"/>
        </w:rPr>
        <w:t xml:space="preserve">💡 Key Insight: The Indian AI-learning market is massive and growing fast — but most platforms compete on features. Supernova AI's competitive advantage lies in cultural specificity, emotional depth, and career outcomes that no global competitor can replicate.</w:t>
      </w:r>
    </w:p>
    <w:p>
      <w:r>
        <w:br w:type="page"/>
      </w:r>
    </w:p>
    <w:p>
      <w:pPr>
        <w:pStyle w:val="Heading1"/>
        <w:pBdr>
          <w:bottom w:val="single" w:color="1A5276" w:sz="8" w:space="2"/>
        </w:pBdr>
        <w:spacing w:after="120" w:before="280"/>
      </w:pPr>
      <w:r>
        <w:rPr>
          <w:rFonts w:ascii="Arial" w:cs="Arial" w:eastAsia="Arial" w:hAnsi="Arial"/>
          <w:b/>
          <w:bCs/>
          <w:color w:val="1A5276"/>
          <w:sz w:val="32"/>
          <w:szCs w:val="32"/>
        </w:rPr>
        <w:t xml:space="preserve">3. Market Problems &amp; Challenges</w:t>
      </w:r>
    </w:p>
    <w:p>
      <w:pPr>
        <w:spacing w:after="80" w:before="40"/>
        <w:jc w:val="both"/>
      </w:pPr>
      <w:r>
        <w:rPr>
          <w:rFonts w:ascii="Arial" w:cs="Arial" w:eastAsia="Arial" w:hAnsi="Arial"/>
          <w:color w:val="1A1A2E"/>
          <w:sz w:val="21"/>
          <w:szCs w:val="21"/>
        </w:rPr>
        <w:t xml:space="preserve">The AI-driven communication-learning industry faces serious structural problems at two levels — external market problems affecting the entire industry, and internal business challenges specific to Supernova AI's growth stage.</w:t>
      </w:r>
    </w:p>
    <w:p>
      <w:pPr>
        <w:pStyle w:val="Heading2"/>
        <w:spacing w:after="80" w:before="160"/>
      </w:pPr>
      <w:r>
        <w:rPr>
          <w:rFonts w:ascii="Arial" w:cs="Arial" w:eastAsia="Arial" w:hAnsi="Arial"/>
          <w:b/>
          <w:bCs/>
          <w:color w:val="1A5276"/>
          <w:sz w:val="26"/>
          <w:szCs w:val="26"/>
        </w:rPr>
        <w:t xml:space="preserve">3.1 External Market Problems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80"/>
        <w:gridCol w:w="2280"/>
        <w:gridCol w:w="1680"/>
        <w:gridCol w:w="1720"/>
      </w:tblGrid>
      <w:tr>
        <w:tc>
          <w:tcPr>
            <w:tcW w:type="dxa" w:w="40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328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Problem</w:t>
            </w:r>
          </w:p>
        </w:tc>
        <w:tc>
          <w:tcPr>
            <w:tcW w:type="dxa" w:w="228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68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172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4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bCs/>
                <w:color w:val="0D1B2A"/>
                <w:sz w:val="20"/>
                <w:szCs w:val="20"/>
              </w:rPr>
              <w:t xml:space="preserve">1</w:t>
            </w:r>
          </w:p>
        </w:tc>
        <w:tc>
          <w:tcPr>
            <w:tcW w:type="dxa" w:w="32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Market Saturation</w:t>
            </w:r>
          </w:p>
        </w:tc>
        <w:tc>
          <w:tcPr>
            <w:tcW w:type="dxa" w:w="22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External</w:t>
            </w:r>
          </w:p>
        </w:tc>
        <w:tc>
          <w:tcPr>
            <w:tcW w:type="dxa" w:w="16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20"/>
                <w:szCs w:val="20"/>
              </w:rPr>
              <w:t xml:space="preserve">🔴 High</w:t>
            </w:r>
          </w:p>
        </w:tc>
        <w:tc>
          <w:tcPr>
            <w:tcW w:type="dxa" w:w="172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Multiple platforms offer identical features — differentiation is nearly impossible</w:t>
            </w:r>
          </w:p>
        </w:tc>
      </w:tr>
      <w:tr>
        <w:tc>
          <w:tcPr>
            <w:tcW w:type="dxa" w:w="4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D1B2A"/>
                <w:sz w:val="20"/>
                <w:szCs w:val="20"/>
              </w:rPr>
              <w:t xml:space="preserve">2</w:t>
            </w:r>
          </w:p>
        </w:tc>
        <w:tc>
          <w:tcPr>
            <w:tcW w:type="dxa" w:w="32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Rising CAC</w:t>
            </w:r>
          </w:p>
        </w:tc>
        <w:tc>
          <w:tcPr>
            <w:tcW w:type="dxa" w:w="22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External</w:t>
            </w:r>
          </w:p>
        </w:tc>
        <w:tc>
          <w:tcPr>
            <w:tcW w:type="dxa" w:w="16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20"/>
                <w:szCs w:val="20"/>
              </w:rPr>
              <w:t xml:space="preserve">🔴 High</w:t>
            </w:r>
          </w:p>
        </w:tc>
        <w:tc>
          <w:tcPr>
            <w:tcW w:type="dxa" w:w="172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Digital ad costs rising as edtech competitors multiply on Google, Instagram, YouTube</w:t>
            </w:r>
          </w:p>
        </w:tc>
      </w:tr>
      <w:tr>
        <w:tc>
          <w:tcPr>
            <w:tcW w:type="dxa" w:w="4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bCs/>
                <w:color w:val="0D1B2A"/>
                <w:sz w:val="20"/>
                <w:szCs w:val="20"/>
              </w:rPr>
              <w:t xml:space="preserve">3</w:t>
            </w:r>
          </w:p>
        </w:tc>
        <w:tc>
          <w:tcPr>
            <w:tcW w:type="dxa" w:w="32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Low Brand Awareness</w:t>
            </w:r>
          </w:p>
        </w:tc>
        <w:tc>
          <w:tcPr>
            <w:tcW w:type="dxa" w:w="22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External</w:t>
            </w:r>
          </w:p>
        </w:tc>
        <w:tc>
          <w:tcPr>
            <w:tcW w:type="dxa" w:w="16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20"/>
                <w:szCs w:val="20"/>
              </w:rPr>
              <w:t xml:space="preserve">🟡 Medium</w:t>
            </w:r>
          </w:p>
        </w:tc>
        <w:tc>
          <w:tcPr>
            <w:tcW w:type="dxa" w:w="172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Supernova AI recognised mainly in South India; limited reach in Hindi belt and East India</w:t>
            </w:r>
          </w:p>
        </w:tc>
      </w:tr>
      <w:tr>
        <w:tc>
          <w:tcPr>
            <w:tcW w:type="dxa" w:w="4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D1B2A"/>
                <w:sz w:val="20"/>
                <w:szCs w:val="20"/>
              </w:rPr>
              <w:t xml:space="preserve">4</w:t>
            </w:r>
          </w:p>
        </w:tc>
        <w:tc>
          <w:tcPr>
            <w:tcW w:type="dxa" w:w="32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Trust &amp; Credibility Gap</w:t>
            </w:r>
          </w:p>
        </w:tc>
        <w:tc>
          <w:tcPr>
            <w:tcW w:type="dxa" w:w="22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External</w:t>
            </w:r>
          </w:p>
        </w:tc>
        <w:tc>
          <w:tcPr>
            <w:tcW w:type="dxa" w:w="16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20"/>
                <w:szCs w:val="20"/>
              </w:rPr>
              <w:t xml:space="preserve">🟡 Medium</w:t>
            </w:r>
          </w:p>
        </w:tc>
        <w:tc>
          <w:tcPr>
            <w:tcW w:type="dxa" w:w="172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Users skeptical about AI learning producing real-world results without verified success proof</w:t>
            </w:r>
          </w:p>
        </w:tc>
      </w:tr>
      <w:tr>
        <w:tc>
          <w:tcPr>
            <w:tcW w:type="dxa" w:w="4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bCs/>
                <w:color w:val="0D1B2A"/>
                <w:sz w:val="20"/>
                <w:szCs w:val="20"/>
              </w:rPr>
              <w:t xml:space="preserve">5</w:t>
            </w:r>
          </w:p>
        </w:tc>
        <w:tc>
          <w:tcPr>
            <w:tcW w:type="dxa" w:w="32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High Customer Churn</w:t>
            </w:r>
          </w:p>
        </w:tc>
        <w:tc>
          <w:tcPr>
            <w:tcW w:type="dxa" w:w="22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Internal</w:t>
            </w:r>
          </w:p>
        </w:tc>
        <w:tc>
          <w:tcPr>
            <w:tcW w:type="dxa" w:w="16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20"/>
                <w:szCs w:val="20"/>
              </w:rPr>
              <w:t xml:space="preserve">🔴 High</w:t>
            </w:r>
          </w:p>
        </w:tc>
        <w:tc>
          <w:tcPr>
            <w:tcW w:type="dxa" w:w="172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Users drop within 2–4 weeks — repetitive content, no habit-forming loop, invisible progress</w:t>
            </w:r>
          </w:p>
        </w:tc>
      </w:tr>
      <w:tr>
        <w:tc>
          <w:tcPr>
            <w:tcW w:type="dxa" w:w="4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D1B2A"/>
                <w:sz w:val="20"/>
                <w:szCs w:val="20"/>
              </w:rPr>
              <w:t xml:space="preserve">6</w:t>
            </w:r>
          </w:p>
        </w:tc>
        <w:tc>
          <w:tcPr>
            <w:tcW w:type="dxa" w:w="32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Weak Emotional Engagement</w:t>
            </w:r>
          </w:p>
        </w:tc>
        <w:tc>
          <w:tcPr>
            <w:tcW w:type="dxa" w:w="22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Internal</w:t>
            </w:r>
          </w:p>
        </w:tc>
        <w:tc>
          <w:tcPr>
            <w:tcW w:type="dxa" w:w="16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20"/>
                <w:szCs w:val="20"/>
              </w:rPr>
              <w:t xml:space="preserve">🔴 High</w:t>
            </w:r>
          </w:p>
        </w:tc>
        <w:tc>
          <w:tcPr>
            <w:tcW w:type="dxa" w:w="172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Functional but flat experience — users treat it as a temporary tool, not a long-term partner</w:t>
            </w:r>
          </w:p>
        </w:tc>
      </w:tr>
      <w:tr>
        <w:tc>
          <w:tcPr>
            <w:tcW w:type="dxa" w:w="4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bCs/>
                <w:color w:val="0D1B2A"/>
                <w:sz w:val="20"/>
                <w:szCs w:val="20"/>
              </w:rPr>
              <w:t xml:space="preserve">7</w:t>
            </w:r>
          </w:p>
        </w:tc>
        <w:tc>
          <w:tcPr>
            <w:tcW w:type="dxa" w:w="32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Advanced User Drop-off</w:t>
            </w:r>
          </w:p>
        </w:tc>
        <w:tc>
          <w:tcPr>
            <w:tcW w:type="dxa" w:w="22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Internal</w:t>
            </w:r>
          </w:p>
        </w:tc>
        <w:tc>
          <w:tcPr>
            <w:tcW w:type="dxa" w:w="16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20"/>
                <w:szCs w:val="20"/>
              </w:rPr>
              <w:t xml:space="preserve">🟡 Medium</w:t>
            </w:r>
          </w:p>
        </w:tc>
        <w:tc>
          <w:tcPr>
            <w:tcW w:type="dxa" w:w="172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Users who reach comfortable English level find nothing new — platform ceiling ends their journey</w:t>
            </w:r>
          </w:p>
        </w:tc>
      </w:tr>
      <w:tr>
        <w:tc>
          <w:tcPr>
            <w:tcW w:type="dxa" w:w="4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D1B2A"/>
                <w:sz w:val="20"/>
                <w:szCs w:val="20"/>
              </w:rPr>
              <w:t xml:space="preserve">8</w:t>
            </w:r>
          </w:p>
        </w:tc>
        <w:tc>
          <w:tcPr>
            <w:tcW w:type="dxa" w:w="32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Monetisation Pressure</w:t>
            </w:r>
          </w:p>
        </w:tc>
        <w:tc>
          <w:tcPr>
            <w:tcW w:type="dxa" w:w="22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Internal</w:t>
            </w:r>
          </w:p>
        </w:tc>
        <w:tc>
          <w:tcPr>
            <w:tcW w:type="dxa" w:w="16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20"/>
                <w:szCs w:val="20"/>
              </w:rPr>
              <w:t xml:space="preserve">🔴 High</w:t>
            </w:r>
          </w:p>
        </w:tc>
        <w:tc>
          <w:tcPr>
            <w:tcW w:type="dxa" w:w="172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Price-sensitive India makes free-to-paid conversion consistently difficult across all segments</w:t>
            </w:r>
          </w:p>
        </w:tc>
      </w:tr>
    </w:tbl>
    <w:p>
      <w:r>
        <w:br w:type="page"/>
      </w:r>
    </w:p>
    <w:p>
      <w:pPr>
        <w:pStyle w:val="Heading1"/>
        <w:pBdr>
          <w:bottom w:val="single" w:color="1A5276" w:sz="8" w:space="2"/>
        </w:pBdr>
        <w:spacing w:after="120" w:before="280"/>
      </w:pPr>
      <w:r>
        <w:rPr>
          <w:rFonts w:ascii="Arial" w:cs="Arial" w:eastAsia="Arial" w:hAnsi="Arial"/>
          <w:b/>
          <w:bCs/>
          <w:color w:val="1A5276"/>
          <w:sz w:val="32"/>
          <w:szCs w:val="32"/>
        </w:rPr>
        <w:t xml:space="preserve">4. Customer Analysis</w:t>
      </w:r>
    </w:p>
    <w:p>
      <w:pPr>
        <w:spacing w:after="80" w:before="40"/>
        <w:jc w:val="both"/>
      </w:pPr>
      <w:r>
        <w:rPr>
          <w:rFonts w:ascii="Arial" w:cs="Arial" w:eastAsia="Arial" w:hAnsi="Arial"/>
          <w:color w:val="1A1A2E"/>
          <w:sz w:val="21"/>
          <w:szCs w:val="21"/>
        </w:rPr>
        <w:t xml:space="preserve">Supernova AI has over 16 million app downloads and currently serves over 7 lakh active learners across 10 Indian languages. The core mission targets approximately 250 million Indian learners who understand English but cannot speak it confidently.</w:t>
      </w:r>
    </w:p>
    <w:p>
      <w:pPr>
        <w:pStyle w:val="Heading2"/>
        <w:spacing w:after="80" w:before="160"/>
      </w:pPr>
      <w:r>
        <w:rPr>
          <w:rFonts w:ascii="Arial" w:cs="Arial" w:eastAsia="Arial" w:hAnsi="Arial"/>
          <w:b/>
          <w:bCs/>
          <w:color w:val="1A5276"/>
          <w:sz w:val="26"/>
          <w:szCs w:val="26"/>
        </w:rPr>
        <w:t xml:space="preserve">4.1 Customer Segments by Age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60"/>
        <w:gridCol w:w="2400"/>
      </w:tblGrid>
      <w:tr>
        <w:tc>
          <w:tcPr>
            <w:tcW w:type="dxa" w:w="180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Age Group</w:t>
            </w:r>
          </w:p>
        </w:tc>
        <w:tc>
          <w:tcPr>
            <w:tcW w:type="dxa" w:w="240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Profile</w:t>
            </w:r>
          </w:p>
        </w:tc>
        <w:tc>
          <w:tcPr>
            <w:tcW w:type="dxa" w:w="276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Characteristic</w:t>
            </w:r>
          </w:p>
        </w:tc>
        <w:tc>
          <w:tcPr>
            <w:tcW w:type="dxa" w:w="240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Activity Level</w:t>
            </w:r>
          </w:p>
        </w:tc>
      </w:tr>
      <w:tr>
        <w:tc>
          <w:tcPr>
            <w:tcW w:type="dxa" w:w="1800"/>
            <w:tcBorders>
              <w:top w:val="single" w:color="D5E0EC" w:sz="1"/>
              <w:left w:val="single" w:color="D5E0EC" w:sz="1"/>
              <w:bottom w:val="single" w:color="D5E0EC" w:sz="1"/>
              <w:right w:val="single" w:color="D5E0EC" w:sz="1"/>
            </w:tcBorders>
            <w:shd w:fill="EBF5FB"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13–18 years</w:t>
            </w:r>
          </w:p>
        </w:tc>
        <w:tc>
          <w:tcPr>
            <w:tcW w:type="dxa" w:w="2400"/>
            <w:tcBorders>
              <w:top w:val="single" w:color="D5E0EC" w:sz="1"/>
              <w:left w:val="single" w:color="D5E0EC" w:sz="1"/>
              <w:bottom w:val="single" w:color="D5E0EC" w:sz="1"/>
              <w:right w:val="single" w:color="D5E0E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School Students</w:t>
            </w:r>
          </w:p>
        </w:tc>
        <w:tc>
          <w:tcPr>
            <w:tcW w:type="dxa" w:w="2760"/>
            <w:tcBorders>
              <w:top w:val="single" w:color="D5E0EC" w:sz="1"/>
              <w:left w:val="single" w:color="D5E0EC" w:sz="1"/>
              <w:bottom w:val="single" w:color="D5E0EC" w:sz="1"/>
              <w:right w:val="single" w:color="D5E0E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Preparing for future; parents buy courses</w:t>
            </w:r>
          </w:p>
        </w:tc>
        <w:tc>
          <w:tcPr>
            <w:tcW w:type="dxa" w:w="2400"/>
            <w:tcBorders>
              <w:top w:val="single" w:color="D5E0EC" w:sz="1"/>
              <w:left w:val="single" w:color="D5E0EC" w:sz="1"/>
              <w:bottom w:val="single" w:color="D5E0EC" w:sz="1"/>
              <w:right w:val="single" w:color="D5E0EC" w:sz="1"/>
            </w:tcBorders>
            <w:shd w:fill="EBF5FB"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 Medium</w:t>
            </w:r>
          </w:p>
        </w:tc>
      </w:tr>
      <w:tr>
        <w:tc>
          <w:tcPr>
            <w:tcW w:type="dxa" w:w="18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18–30 years</w:t>
            </w:r>
          </w:p>
        </w:tc>
        <w:tc>
          <w:tcPr>
            <w:tcW w:type="dxa" w:w="24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College Students &amp; Freshers</w:t>
            </w:r>
          </w:p>
        </w:tc>
        <w:tc>
          <w:tcPr>
            <w:tcW w:type="dxa" w:w="276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Largest segment; job &amp; placement pressure</w:t>
            </w:r>
          </w:p>
        </w:tc>
        <w:tc>
          <w:tcPr>
            <w:tcW w:type="dxa" w:w="24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 Very High</w:t>
            </w:r>
          </w:p>
        </w:tc>
      </w:tr>
      <w:tr>
        <w:tc>
          <w:tcPr>
            <w:tcW w:type="dxa" w:w="1800"/>
            <w:tcBorders>
              <w:top w:val="single" w:color="D5E0EC" w:sz="1"/>
              <w:left w:val="single" w:color="D5E0EC" w:sz="1"/>
              <w:bottom w:val="single" w:color="D5E0EC" w:sz="1"/>
              <w:right w:val="single" w:color="D5E0EC" w:sz="1"/>
            </w:tcBorders>
            <w:shd w:fill="EBF5FB"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30–45 years</w:t>
            </w:r>
          </w:p>
        </w:tc>
        <w:tc>
          <w:tcPr>
            <w:tcW w:type="dxa" w:w="2400"/>
            <w:tcBorders>
              <w:top w:val="single" w:color="D5E0EC" w:sz="1"/>
              <w:left w:val="single" w:color="D5E0EC" w:sz="1"/>
              <w:bottom w:val="single" w:color="D5E0EC" w:sz="1"/>
              <w:right w:val="single" w:color="D5E0E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Working Adults</w:t>
            </w:r>
          </w:p>
        </w:tc>
        <w:tc>
          <w:tcPr>
            <w:tcW w:type="dxa" w:w="2760"/>
            <w:tcBorders>
              <w:top w:val="single" w:color="D5E0EC" w:sz="1"/>
              <w:left w:val="single" w:color="D5E0EC" w:sz="1"/>
              <w:bottom w:val="single" w:color="D5E0EC" w:sz="1"/>
              <w:right w:val="single" w:color="D5E0E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Want promotion; need meeting confidence</w:t>
            </w:r>
          </w:p>
        </w:tc>
        <w:tc>
          <w:tcPr>
            <w:tcW w:type="dxa" w:w="2400"/>
            <w:tcBorders>
              <w:top w:val="single" w:color="D5E0EC" w:sz="1"/>
              <w:left w:val="single" w:color="D5E0EC" w:sz="1"/>
              <w:bottom w:val="single" w:color="D5E0EC" w:sz="1"/>
              <w:right w:val="single" w:color="D5E0EC" w:sz="1"/>
            </w:tcBorders>
            <w:shd w:fill="EBF5FB"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 Medium</w:t>
            </w:r>
          </w:p>
        </w:tc>
      </w:tr>
      <w:tr>
        <w:tc>
          <w:tcPr>
            <w:tcW w:type="dxa" w:w="18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45+ years</w:t>
            </w:r>
          </w:p>
        </w:tc>
        <w:tc>
          <w:tcPr>
            <w:tcW w:type="dxa" w:w="24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Older Adults</w:t>
            </w:r>
          </w:p>
        </w:tc>
        <w:tc>
          <w:tcPr>
            <w:tcW w:type="dxa" w:w="276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Less comfortable with apps; low AI adoption</w:t>
            </w:r>
          </w:p>
        </w:tc>
        <w:tc>
          <w:tcPr>
            <w:tcW w:type="dxa" w:w="24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 Low</w:t>
            </w:r>
          </w:p>
        </w:tc>
      </w:tr>
    </w:tbl>
    <w:p>
      <w:pPr>
        <w:spacing w:after="80" w:before="0"/>
      </w:pPr>
      <w:r>
        <w:t xml:space="preserve"/>
      </w:r>
    </w:p>
    <w:p>
      <w:pPr>
        <w:pStyle w:val="Heading2"/>
        <w:spacing w:after="80" w:before="160"/>
      </w:pPr>
      <w:r>
        <w:rPr>
          <w:rFonts w:ascii="Arial" w:cs="Arial" w:eastAsia="Arial" w:hAnsi="Arial"/>
          <w:b/>
          <w:bCs/>
          <w:color w:val="1A5276"/>
          <w:sz w:val="26"/>
          <w:szCs w:val="26"/>
        </w:rPr>
        <w:t xml:space="preserve">4.2 Why Customers Join — Core Motivations</w:t>
      </w:r>
    </w:p>
    <w:p>
      <w:pPr>
        <w:spacing w:after="80" w:before="40"/>
        <w:jc w:val="both"/>
      </w:pPr>
      <w:r>
        <w:rPr>
          <w:rFonts w:ascii="Arial" w:cs="Arial" w:eastAsia="Arial" w:hAnsi="Arial"/>
          <w:b/>
          <w:bCs/>
          <w:color w:val="0D1B2A"/>
          <w:sz w:val="21"/>
          <w:szCs w:val="21"/>
        </w:rPr>
        <w:t xml:space="preserve">Career &amp; Job Pressure: </w:t>
      </w:r>
      <w:r>
        <w:rPr>
          <w:rFonts w:ascii="Arial" w:cs="Arial" w:eastAsia="Arial" w:hAnsi="Arial"/>
          <w:color w:val="2C3E50"/>
          <w:sz w:val="21"/>
          <w:szCs w:val="21"/>
        </w:rPr>
        <w:t xml:space="preserve">The biggest motivation — "I need English to get a job." Applies to students facing placements, freshers, and employees preparing for customer-facing roles or promotions.</w:t>
      </w:r>
    </w:p>
    <w:p>
      <w:pPr>
        <w:spacing w:after="80" w:before="40"/>
        <w:jc w:val="both"/>
      </w:pPr>
      <w:r>
        <w:rPr>
          <w:rFonts w:ascii="Arial" w:cs="Arial" w:eastAsia="Arial" w:hAnsi="Arial"/>
          <w:b/>
          <w:bCs/>
          <w:color w:val="0D1B2A"/>
          <w:sz w:val="21"/>
          <w:szCs w:val="21"/>
        </w:rPr>
        <w:t xml:space="preserve">Lack of Confidence: </w:t>
      </w:r>
      <w:r>
        <w:rPr>
          <w:rFonts w:ascii="Arial" w:cs="Arial" w:eastAsia="Arial" w:hAnsi="Arial"/>
          <w:color w:val="2C3E50"/>
          <w:sz w:val="21"/>
          <w:szCs w:val="21"/>
        </w:rPr>
        <w:t xml:space="preserve">"I understand English but cannot speak it." Millions of Indian learners have studied English in school but freeze when they have to speak.</w:t>
      </w:r>
    </w:p>
    <w:p>
      <w:pPr>
        <w:spacing w:after="80" w:before="40"/>
        <w:jc w:val="both"/>
      </w:pPr>
      <w:r>
        <w:rPr>
          <w:rFonts w:ascii="Arial" w:cs="Arial" w:eastAsia="Arial" w:hAnsi="Arial"/>
          <w:b/>
          <w:bCs/>
          <w:color w:val="0D1B2A"/>
          <w:sz w:val="21"/>
          <w:szCs w:val="21"/>
        </w:rPr>
        <w:t xml:space="preserve">Fear of Judgment: </w:t>
      </w:r>
      <w:r>
        <w:rPr>
          <w:rFonts w:ascii="Arial" w:cs="Arial" w:eastAsia="Arial" w:hAnsi="Arial"/>
          <w:color w:val="2C3E50"/>
          <w:sz w:val="21"/>
          <w:szCs w:val="21"/>
        </w:rPr>
        <w:t xml:space="preserve">"People laugh when I speak." Users feel psychologically safe practicing with AI because it never judges. This private environment is a core reason users choose the platform.</w:t>
      </w:r>
    </w:p>
    <w:p>
      <w:pPr>
        <w:spacing w:after="80" w:before="40"/>
        <w:jc w:val="both"/>
      </w:pPr>
      <w:r>
        <w:rPr>
          <w:rFonts w:ascii="Arial" w:cs="Arial" w:eastAsia="Arial" w:hAnsi="Arial"/>
          <w:b/>
          <w:bCs/>
          <w:color w:val="0D1B2A"/>
          <w:sz w:val="21"/>
          <w:szCs w:val="21"/>
        </w:rPr>
        <w:t xml:space="preserve">Convenience &amp; Affordability: </w:t>
      </w:r>
      <w:r>
        <w:rPr>
          <w:rFonts w:ascii="Arial" w:cs="Arial" w:eastAsia="Arial" w:hAnsi="Arial"/>
          <w:color w:val="2C3E50"/>
          <w:sz w:val="21"/>
          <w:szCs w:val="21"/>
        </w:rPr>
        <w:t xml:space="preserve">Mobile-first, 24/7 availability at ₹200–300/month — significantly cheaper than physical coaching centres at fixed schedules.</w:t>
      </w:r>
    </w:p>
    <w:p>
      <w:pPr>
        <w:spacing w:after="80" w:before="0"/>
      </w:pPr>
      <w:r>
        <w:t xml:space="preserve"/>
      </w:r>
    </w:p>
    <w:p>
      <w:pPr>
        <w:pStyle w:val="Heading2"/>
        <w:spacing w:after="80" w:before="160"/>
      </w:pPr>
      <w:r>
        <w:rPr>
          <w:rFonts w:ascii="Arial" w:cs="Arial" w:eastAsia="Arial" w:hAnsi="Arial"/>
          <w:b/>
          <w:bCs/>
          <w:color w:val="1A5276"/>
          <w:sz w:val="26"/>
          <w:szCs w:val="26"/>
        </w:rPr>
        <w:t xml:space="preserve">4.3 Customer Behaviour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6360"/>
      </w:tblGrid>
      <w:tr>
        <w:tc>
          <w:tcPr>
            <w:tcW w:type="dxa" w:w="90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W w:type="dxa" w:w="210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W w:type="dxa" w:w="636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Happens</w:t>
            </w:r>
          </w:p>
        </w:tc>
      </w:tr>
      <w:tr>
        <w:tc>
          <w:tcPr>
            <w:tcW w:type="dxa" w:w="9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bCs/>
                <w:color w:val="0D1B2A"/>
                <w:sz w:val="20"/>
                <w:szCs w:val="20"/>
              </w:rPr>
              <w:t xml:space="preserve">1</w:t>
            </w:r>
          </w:p>
        </w:tc>
        <w:tc>
          <w:tcPr>
            <w:tcW w:type="dxa" w:w="21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Sees Ad</w:t>
            </w:r>
          </w:p>
        </w:tc>
        <w:tc>
          <w:tcPr>
            <w:tcW w:type="dxa" w:w="636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Comes across Supernova AI on Instagram or YouTube — curiosity triggered</w:t>
            </w:r>
          </w:p>
        </w:tc>
      </w:tr>
      <w:tr>
        <w:tc>
          <w:tcPr>
            <w:tcW w:type="dxa" w:w="9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D1B2A"/>
                <w:sz w:val="20"/>
                <w:szCs w:val="20"/>
              </w:rPr>
              <w:t xml:space="preserve">2</w:t>
            </w:r>
          </w:p>
        </w:tc>
        <w:tc>
          <w:tcPr>
            <w:tcW w:type="dxa" w:w="21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Downloads App</w:t>
            </w:r>
          </w:p>
        </w:tc>
        <w:tc>
          <w:tcPr>
            <w:tcW w:type="dxa" w:w="636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Motivation drives the download; onboarding begins</w:t>
            </w:r>
          </w:p>
        </w:tc>
      </w:tr>
      <w:tr>
        <w:tc>
          <w:tcPr>
            <w:tcW w:type="dxa" w:w="9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bCs/>
                <w:color w:val="0D1B2A"/>
                <w:sz w:val="20"/>
                <w:szCs w:val="20"/>
              </w:rPr>
              <w:t xml:space="preserve">3</w:t>
            </w:r>
          </w:p>
        </w:tc>
        <w:tc>
          <w:tcPr>
            <w:tcW w:type="dxa" w:w="21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Free Trial</w:t>
            </w:r>
          </w:p>
        </w:tc>
        <w:tc>
          <w:tcPr>
            <w:tcW w:type="dxa" w:w="636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Explores the platform; early exercises feel exciting</w:t>
            </w:r>
          </w:p>
        </w:tc>
      </w:tr>
      <w:tr>
        <w:tc>
          <w:tcPr>
            <w:tcW w:type="dxa" w:w="900"/>
            <w:tcBorders>
              <w:top w:val="single" w:color="D5E0EC" w:sz="1"/>
              <w:left w:val="single" w:color="D5E0EC" w:sz="1"/>
              <w:bottom w:val="single" w:color="D5E0EC" w:sz="1"/>
              <w:right w:val="single" w:color="D5E0EC" w:sz="1"/>
            </w:tcBorders>
            <w:shd w:fill="FEF9EC" w:val="clear"/>
            <w:tcMar>
              <w:top w:type="dxa" w:w="80"/>
              <w:left w:type="dxa" w:w="120"/>
              <w:bottom w:type="dxa" w:w="80"/>
              <w:right w:type="dxa" w:w="120"/>
            </w:tcMar>
            <w:vAlign w:val="center"/>
          </w:tcPr>
          <w:p>
            <w:pPr>
              <w:jc w:val="center"/>
            </w:pPr>
            <w:r>
              <w:rPr>
                <w:rFonts w:ascii="Arial" w:cs="Arial" w:eastAsia="Arial" w:hAnsi="Arial"/>
                <w:b/>
                <w:bCs/>
                <w:color w:val="0D1B2A"/>
                <w:sz w:val="20"/>
                <w:szCs w:val="20"/>
              </w:rPr>
              <w:t xml:space="preserve">4</w:t>
            </w:r>
          </w:p>
        </w:tc>
        <w:tc>
          <w:tcPr>
            <w:tcW w:type="dxa" w:w="2100"/>
            <w:tcBorders>
              <w:top w:val="single" w:color="D5E0EC" w:sz="1"/>
              <w:left w:val="single" w:color="D5E0EC" w:sz="1"/>
              <w:bottom w:val="single" w:color="D5E0EC" w:sz="1"/>
              <w:right w:val="single" w:color="D5E0EC" w:sz="1"/>
            </w:tcBorders>
            <w:shd w:fill="FEF9EC"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Decision Point</w:t>
            </w:r>
          </w:p>
        </w:tc>
        <w:tc>
          <w:tcPr>
            <w:tcW w:type="dxa" w:w="6360"/>
            <w:tcBorders>
              <w:top w:val="single" w:color="D5E0EC" w:sz="1"/>
              <w:left w:val="single" w:color="D5E0EC" w:sz="1"/>
              <w:bottom w:val="single" w:color="D5E0EC" w:sz="1"/>
              <w:right w:val="single" w:color="D5E0EC" w:sz="1"/>
            </w:tcBorders>
            <w:shd w:fill="FEF9EC"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Free trial ends — user chooses: pay or leave (highest dropout risk)</w:t>
            </w:r>
          </w:p>
        </w:tc>
      </w:tr>
      <w:tr>
        <w:tc>
          <w:tcPr>
            <w:tcW w:type="dxa" w:w="9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bCs/>
                <w:color w:val="0D1B2A"/>
                <w:sz w:val="20"/>
                <w:szCs w:val="20"/>
              </w:rPr>
              <w:t xml:space="preserve">5A</w:t>
            </w:r>
          </w:p>
        </w:tc>
        <w:tc>
          <w:tcPr>
            <w:tcW w:type="dxa" w:w="21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Subscribes</w:t>
            </w:r>
          </w:p>
        </w:tc>
        <w:tc>
          <w:tcPr>
            <w:tcW w:type="dxa" w:w="636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Strong habit or external pressure (job deadline) pushes them to pay</w:t>
            </w:r>
          </w:p>
        </w:tc>
      </w:tr>
      <w:tr>
        <w:tc>
          <w:tcPr>
            <w:tcW w:type="dxa" w:w="9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D1B2A"/>
                <w:sz w:val="20"/>
                <w:szCs w:val="20"/>
              </w:rPr>
              <w:t xml:space="preserve">5B</w:t>
            </w:r>
          </w:p>
        </w:tc>
        <w:tc>
          <w:tcPr>
            <w:tcW w:type="dxa" w:w="21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Leaves</w:t>
            </w:r>
          </w:p>
        </w:tc>
        <w:tc>
          <w:tcPr>
            <w:tcW w:type="dxa" w:w="636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No emotional hook; content feels repetitive; progress invisible — exits</w:t>
            </w:r>
          </w:p>
        </w:tc>
      </w:tr>
      <w:tr>
        <w:tc>
          <w:tcPr>
            <w:tcW w:type="dxa" w:w="9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bCs/>
                <w:color w:val="0D1B2A"/>
                <w:sz w:val="20"/>
                <w:szCs w:val="20"/>
              </w:rPr>
              <w:t xml:space="preserve">6</w:t>
            </w:r>
          </w:p>
        </w:tc>
        <w:tc>
          <w:tcPr>
            <w:tcW w:type="dxa" w:w="21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Long-term User</w:t>
            </w:r>
          </w:p>
        </w:tc>
        <w:tc>
          <w:tcPr>
            <w:tcW w:type="dxa" w:w="636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Community, career outcomes, and identity make leaving feel costly</w:t>
            </w:r>
          </w:p>
        </w:tc>
      </w:tr>
    </w:tbl>
    <w:p>
      <w:pPr>
        <w:spacing w:after="80" w:before="0"/>
      </w:pPr>
      <w:r>
        <w:t xml:space="preserve"/>
      </w:r>
    </w:p>
    <w:p>
      <w:pPr>
        <w:pStyle w:val="Heading2"/>
        <w:spacing w:after="80" w:before="160"/>
      </w:pPr>
      <w:r>
        <w:rPr>
          <w:rFonts w:ascii="Arial" w:cs="Arial" w:eastAsia="Arial" w:hAnsi="Arial"/>
          <w:b/>
          <w:bCs/>
          <w:color w:val="1A5276"/>
          <w:sz w:val="26"/>
          <w:szCs w:val="26"/>
        </w:rPr>
        <w:t xml:space="preserve">4.4 Hidden Problems in the Customer Base</w:t>
      </w:r>
    </w:p>
    <w:p>
      <w:pPr>
        <w:spacing w:after="80" w:before="40"/>
        <w:jc w:val="both"/>
      </w:pPr>
      <w:r>
        <w:rPr>
          <w:rFonts w:ascii="Arial" w:cs="Arial" w:eastAsia="Arial" w:hAnsi="Arial"/>
          <w:color w:val="1A1A2E"/>
          <w:sz w:val="21"/>
          <w:szCs w:val="21"/>
        </w:rPr>
        <w:t xml:space="preserve">Beyond the stated reasons for joining, Supernova AI's users carry a set of deeper, unspoken problems that the platform must address to retain them long-term. These hidden problems are the real reason users leave — and understanding them is the key to designing a retention system that actually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Hidden Problem</w:t>
            </w:r>
          </w:p>
        </w:tc>
        <w:tc>
          <w:tcPr>
            <w:tcW w:type="dxa" w:w="348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Users Feel</w:t>
            </w:r>
          </w:p>
        </w:tc>
        <w:tc>
          <w:tcPr>
            <w:tcW w:type="dxa" w:w="348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the Platform Must Do</w:t>
            </w:r>
          </w:p>
        </w:tc>
      </w:tr>
      <w:tr>
        <w:tc>
          <w:tcPr>
            <w:tcW w:type="dxa" w:w="2400"/>
            <w:tcBorders>
              <w:top w:val="single" w:color="D5E0EC" w:sz="1"/>
              <w:left w:val="single" w:color="D5E0EC" w:sz="1"/>
              <w:bottom w:val="single" w:color="D5E0EC" w:sz="1"/>
              <w:right w:val="single" w:color="D5E0EC" w:sz="1"/>
            </w:tcBorders>
            <w:shd w:fill="FEF9EC" w:val="clear"/>
            <w:tcMar>
              <w:top w:type="dxa" w:w="80"/>
              <w:left w:type="dxa" w:w="120"/>
              <w:bottom w:type="dxa" w:w="80"/>
              <w:right w:type="dxa" w:w="120"/>
            </w:tcMar>
            <w:vAlign w:val="center"/>
          </w:tcPr>
          <w:p>
            <w:pPr>
              <w:jc w:val="left"/>
            </w:pPr>
            <w:r>
              <w:rPr>
                <w:rFonts w:ascii="Arial" w:cs="Arial" w:eastAsia="Arial" w:hAnsi="Arial"/>
                <w:b/>
                <w:bCs/>
                <w:color w:val="B7770D"/>
                <w:sz w:val="20"/>
                <w:szCs w:val="20"/>
              </w:rPr>
              <w:t xml:space="preserve">"I am embarrassed by my accent"</w:t>
            </w:r>
          </w:p>
        </w:tc>
        <w:tc>
          <w:tcPr>
            <w:tcW w:type="dxa" w:w="3480"/>
            <w:tcBorders>
              <w:top w:val="single" w:color="D5E0EC" w:sz="1"/>
              <w:left w:val="single" w:color="D5E0EC" w:sz="1"/>
              <w:bottom w:val="single" w:color="D5E0EC" w:sz="1"/>
              <w:right w:val="single" w:color="D5E0EC" w:sz="1"/>
            </w:tcBorders>
            <w:shd w:fill="FEF9EC"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Deep shame about their regional English pronunciation — fear of being laughed at even by an AI</w:t>
            </w:r>
          </w:p>
        </w:tc>
        <w:tc>
          <w:tcPr>
            <w:tcW w:type="dxa" w:w="3480"/>
            <w:tcBorders>
              <w:top w:val="single" w:color="D5E0EC" w:sz="1"/>
              <w:left w:val="single" w:color="D5E0EC" w:sz="1"/>
              <w:bottom w:val="single" w:color="D5E0EC" w:sz="1"/>
              <w:right w:val="single" w:color="D5E0EC" w:sz="1"/>
            </w:tcBorders>
            <w:shd w:fill="FEF9EC"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Create a judgment-free environment; celebrate regional accents as identity, not defects</w:t>
            </w:r>
          </w:p>
        </w:tc>
      </w:tr>
      <w:tr>
        <w:tc>
          <w:tcPr>
            <w:tcW w:type="dxa" w:w="24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bCs/>
                <w:color w:val="B7770D"/>
                <w:sz w:val="20"/>
                <w:szCs w:val="20"/>
              </w:rPr>
              <w:t xml:space="preserve">"I don't see myself improving"</w:t>
            </w:r>
          </w:p>
        </w:tc>
        <w:tc>
          <w:tcPr>
            <w:tcW w:type="dxa" w:w="34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Practice feels repetitive; no visible proof of progress; confidence does not feel like it is growing</w:t>
            </w:r>
          </w:p>
        </w:tc>
        <w:tc>
          <w:tcPr>
            <w:tcW w:type="dxa" w:w="34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Build a visible Confidence Journey Map — pronunciation scores, speaking time trends, vocabulary growth</w:t>
            </w:r>
          </w:p>
        </w:tc>
      </w:tr>
      <w:tr>
        <w:tc>
          <w:tcPr>
            <w:tcW w:type="dxa" w:w="2400"/>
            <w:tcBorders>
              <w:top w:val="single" w:color="D5E0EC" w:sz="1"/>
              <w:left w:val="single" w:color="D5E0EC" w:sz="1"/>
              <w:bottom w:val="single" w:color="D5E0EC" w:sz="1"/>
              <w:right w:val="single" w:color="D5E0EC" w:sz="1"/>
            </w:tcBorders>
            <w:shd w:fill="FEF9EC" w:val="clear"/>
            <w:tcMar>
              <w:top w:type="dxa" w:w="80"/>
              <w:left w:type="dxa" w:w="120"/>
              <w:bottom w:type="dxa" w:w="80"/>
              <w:right w:type="dxa" w:w="120"/>
            </w:tcMar>
            <w:vAlign w:val="center"/>
          </w:tcPr>
          <w:p>
            <w:pPr>
              <w:jc w:val="left"/>
            </w:pPr>
            <w:r>
              <w:rPr>
                <w:rFonts w:ascii="Arial" w:cs="Arial" w:eastAsia="Arial" w:hAnsi="Arial"/>
                <w:b/>
                <w:bCs/>
                <w:color w:val="B7770D"/>
                <w:sz w:val="20"/>
                <w:szCs w:val="20"/>
              </w:rPr>
              <w:t xml:space="preserve">"This is getting boring"</w:t>
            </w:r>
          </w:p>
        </w:tc>
        <w:tc>
          <w:tcPr>
            <w:tcW w:type="dxa" w:w="3480"/>
            <w:tcBorders>
              <w:top w:val="single" w:color="D5E0EC" w:sz="1"/>
              <w:left w:val="single" w:color="D5E0EC" w:sz="1"/>
              <w:bottom w:val="single" w:color="D5E0EC" w:sz="1"/>
              <w:right w:val="single" w:color="D5E0EC" w:sz="1"/>
            </w:tcBorders>
            <w:shd w:fill="FEF9EC"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After weeks of similar exercises, the novelty wears off; nothing new to discover</w:t>
            </w:r>
          </w:p>
        </w:tc>
        <w:tc>
          <w:tcPr>
            <w:tcW w:type="dxa" w:w="3480"/>
            <w:tcBorders>
              <w:top w:val="single" w:color="D5E0EC" w:sz="1"/>
              <w:left w:val="single" w:color="D5E0EC" w:sz="1"/>
              <w:bottom w:val="single" w:color="D5E0EC" w:sz="1"/>
              <w:right w:val="single" w:color="D5E0EC" w:sz="1"/>
            </w:tcBorders>
            <w:shd w:fill="FEF9EC"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Weekly challenges, peer variety, community clubs, new content verticals that refresh every 7 days</w:t>
            </w:r>
          </w:p>
        </w:tc>
      </w:tr>
      <w:tr>
        <w:tc>
          <w:tcPr>
            <w:tcW w:type="dxa" w:w="24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bCs/>
                <w:color w:val="B7770D"/>
                <w:sz w:val="20"/>
                <w:szCs w:val="20"/>
              </w:rPr>
              <w:t xml:space="preserve">"I can't afford to keep paying"</w:t>
            </w:r>
          </w:p>
        </w:tc>
        <w:tc>
          <w:tcPr>
            <w:tcW w:type="dxa" w:w="34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₹250/month feels like a luxury when job outcomes are not yet visible</w:t>
            </w:r>
          </w:p>
        </w:tc>
        <w:tc>
          <w:tcPr>
            <w:tcW w:type="dxa" w:w="34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Milestone-based value reminders; annual plan installments; clear career-outcome messaging</w:t>
            </w:r>
          </w:p>
        </w:tc>
      </w:tr>
      <w:tr>
        <w:tc>
          <w:tcPr>
            <w:tcW w:type="dxa" w:w="2400"/>
            <w:tcBorders>
              <w:top w:val="single" w:color="D5E0EC" w:sz="1"/>
              <w:left w:val="single" w:color="D5E0EC" w:sz="1"/>
              <w:bottom w:val="single" w:color="D5E0EC" w:sz="1"/>
              <w:right w:val="single" w:color="D5E0EC" w:sz="1"/>
            </w:tcBorders>
            <w:shd w:fill="FEF9EC" w:val="clear"/>
            <w:tcMar>
              <w:top w:type="dxa" w:w="80"/>
              <w:left w:type="dxa" w:w="120"/>
              <w:bottom w:type="dxa" w:w="80"/>
              <w:right w:type="dxa" w:w="120"/>
            </w:tcMar>
            <w:vAlign w:val="center"/>
          </w:tcPr>
          <w:p>
            <w:pPr>
              <w:jc w:val="left"/>
            </w:pPr>
            <w:r>
              <w:rPr>
                <w:rFonts w:ascii="Arial" w:cs="Arial" w:eastAsia="Arial" w:hAnsi="Arial"/>
                <w:b/>
                <w:bCs/>
                <w:color w:val="B7770D"/>
                <w:sz w:val="20"/>
                <w:szCs w:val="20"/>
              </w:rPr>
              <w:t xml:space="preserve">"I already know enough English"</w:t>
            </w:r>
          </w:p>
        </w:tc>
        <w:tc>
          <w:tcPr>
            <w:tcW w:type="dxa" w:w="3480"/>
            <w:tcBorders>
              <w:top w:val="single" w:color="D5E0EC" w:sz="1"/>
              <w:left w:val="single" w:color="D5E0EC" w:sz="1"/>
              <w:bottom w:val="single" w:color="D5E0EC" w:sz="1"/>
              <w:right w:val="single" w:color="D5E0EC" w:sz="1"/>
            </w:tcBorders>
            <w:shd w:fill="FEF9EC"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Advanced users feel they have plateaued — the platform has nothing new for them</w:t>
            </w:r>
          </w:p>
        </w:tc>
        <w:tc>
          <w:tcPr>
            <w:tcW w:type="dxa" w:w="3480"/>
            <w:tcBorders>
              <w:top w:val="single" w:color="D5E0EC" w:sz="1"/>
              <w:left w:val="single" w:color="D5E0EC" w:sz="1"/>
              <w:bottom w:val="single" w:color="D5E0EC" w:sz="1"/>
              <w:right w:val="single" w:color="D5E0EC" w:sz="1"/>
            </w:tcBorders>
            <w:shd w:fill="FEF9EC"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Professional Suite, Career Simulation, peer mentoring roles, community leadership — new identity</w:t>
            </w:r>
          </w:p>
        </w:tc>
      </w:tr>
      <w:tr>
        <w:tc>
          <w:tcPr>
            <w:tcW w:type="dxa" w:w="24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bCs/>
                <w:color w:val="B7770D"/>
                <w:sz w:val="20"/>
                <w:szCs w:val="20"/>
              </w:rPr>
              <w:t xml:space="preserve">"No one else is doing this"</w:t>
            </w:r>
          </w:p>
        </w:tc>
        <w:tc>
          <w:tcPr>
            <w:tcW w:type="dxa" w:w="34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Users feel isolated in their learning journey — no social proof, no peer accountability</w:t>
            </w:r>
          </w:p>
        </w:tc>
        <w:tc>
          <w:tcPr>
            <w:tcW w:type="dxa" w:w="34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Visible community activity; success stories; speaking clubs; peer progress updates</w:t>
            </w:r>
          </w:p>
        </w:tc>
      </w:tr>
    </w:tbl>
    <w:p>
      <w:pPr>
        <w:spacing w:after="80" w:before="0"/>
      </w:pPr>
      <w:r>
        <w:t xml:space="preserve"/>
      </w:r>
    </w:p>
    <w:p>
      <w:pPr>
        <w:pStyle w:val="Heading2"/>
        <w:spacing w:after="80" w:before="160"/>
      </w:pPr>
      <w:r>
        <w:rPr>
          <w:rFonts w:ascii="Arial" w:cs="Arial" w:eastAsia="Arial" w:hAnsi="Arial"/>
          <w:b/>
          <w:bCs/>
          <w:color w:val="1A5276"/>
          <w:sz w:val="26"/>
          <w:szCs w:val="26"/>
        </w:rPr>
        <w:t xml:space="preserve">4.5 Psychological Mapping by User 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80"/>
        <w:gridCol w:w="2880"/>
        <w:gridCol w:w="2400"/>
      </w:tblGrid>
      <w:tr>
        <w:tc>
          <w:tcPr>
            <w:tcW w:type="dxa" w:w="180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Segment</w:t>
            </w:r>
          </w:p>
        </w:tc>
        <w:tc>
          <w:tcPr>
            <w:tcW w:type="dxa" w:w="228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Primary Driver</w:t>
            </w:r>
          </w:p>
        </w:tc>
        <w:tc>
          <w:tcPr>
            <w:tcW w:type="dxa" w:w="288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Keeps Them</w:t>
            </w:r>
          </w:p>
        </w:tc>
        <w:tc>
          <w:tcPr>
            <w:tcW w:type="dxa" w:w="240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Loses Them</w:t>
            </w:r>
          </w:p>
        </w:tc>
      </w:tr>
      <w:tr>
        <w:tc>
          <w:tcPr>
            <w:tcW w:type="dxa" w:w="18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Beginner</w:t>
            </w:r>
          </w:p>
        </w:tc>
        <w:tc>
          <w:tcPr>
            <w:tcW w:type="dxa" w:w="22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Fear of judgment + aspiration</w:t>
            </w:r>
          </w:p>
        </w:tc>
        <w:tc>
          <w:tcPr>
            <w:tcW w:type="dxa" w:w="2880"/>
            <w:tcBorders>
              <w:top w:val="single" w:color="D5E0EC" w:sz="1"/>
              <w:left w:val="single" w:color="D5E0EC" w:sz="1"/>
              <w:bottom w:val="single" w:color="D5E0EC" w:sz="1"/>
              <w:right w:val="single" w:color="D5E0E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1E8449"/>
                <w:sz w:val="20"/>
                <w:szCs w:val="20"/>
              </w:rPr>
              <w:t xml:space="preserve">Safe AI environment; early wins; warm encouragement</w:t>
            </w:r>
          </w:p>
        </w:tc>
        <w:tc>
          <w:tcPr>
            <w:tcW w:type="dxa" w:w="2400"/>
            <w:tcBorders>
              <w:top w:val="single" w:color="D5E0EC" w:sz="1"/>
              <w:left w:val="single" w:color="D5E0EC" w:sz="1"/>
              <w:bottom w:val="single" w:color="D5E0EC" w:sz="1"/>
              <w:right w:val="single" w:color="D5E0EC" w:sz="1"/>
            </w:tcBorders>
            <w:shd w:fill="FFF0F0"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No visible progress; price shock; feeling exposed</w:t>
            </w:r>
          </w:p>
        </w:tc>
      </w:tr>
      <w:tr>
        <w:tc>
          <w:tcPr>
            <w:tcW w:type="dxa" w:w="18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Intermediate</w:t>
            </w:r>
          </w:p>
        </w:tc>
        <w:tc>
          <w:tcPr>
            <w:tcW w:type="dxa" w:w="22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Progress principle + social proof</w:t>
            </w:r>
          </w:p>
        </w:tc>
        <w:tc>
          <w:tcPr>
            <w:tcW w:type="dxa" w:w="2880"/>
            <w:tcBorders>
              <w:top w:val="single" w:color="D5E0EC" w:sz="1"/>
              <w:left w:val="single" w:color="D5E0EC" w:sz="1"/>
              <w:bottom w:val="single" w:color="D5E0EC" w:sz="1"/>
              <w:right w:val="single" w:color="D5E0EC" w:sz="1"/>
            </w:tcBorders>
            <w:shd w:fill="F0FFF8" w:val="clear"/>
            <w:tcMar>
              <w:top w:type="dxa" w:w="80"/>
              <w:left w:type="dxa" w:w="120"/>
              <w:bottom w:type="dxa" w:w="80"/>
              <w:right w:type="dxa" w:w="120"/>
            </w:tcMar>
            <w:vAlign w:val="center"/>
          </w:tcPr>
          <w:p>
            <w:pPr>
              <w:jc w:val="left"/>
            </w:pPr>
            <w:r>
              <w:rPr>
                <w:rFonts w:ascii="Arial" w:cs="Arial" w:eastAsia="Arial" w:hAnsi="Arial"/>
                <w:b w:val="false"/>
                <w:bCs w:val="false"/>
                <w:color w:val="1E8449"/>
                <w:sz w:val="20"/>
                <w:szCs w:val="20"/>
              </w:rPr>
              <w:t xml:space="preserve">Peer community; visible improvement; weekly challenges</w:t>
            </w:r>
          </w:p>
        </w:tc>
        <w:tc>
          <w:tcPr>
            <w:tcW w:type="dxa" w:w="2400"/>
            <w:tcBorders>
              <w:top w:val="single" w:color="D5E0EC" w:sz="1"/>
              <w:left w:val="single" w:color="D5E0EC" w:sz="1"/>
              <w:bottom w:val="single" w:color="D5E0EC" w:sz="1"/>
              <w:right w:val="single" w:color="D5E0EC" w:sz="1"/>
            </w:tcBorders>
            <w:shd w:fill="FEF9F9"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Plateau effect; boredom; content repetition</w:t>
            </w:r>
          </w:p>
        </w:tc>
      </w:tr>
      <w:tr>
        <w:tc>
          <w:tcPr>
            <w:tcW w:type="dxa" w:w="18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Advanced</w:t>
            </w:r>
          </w:p>
        </w:tc>
        <w:tc>
          <w:tcPr>
            <w:tcW w:type="dxa" w:w="22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Identity + belonging</w:t>
            </w:r>
          </w:p>
        </w:tc>
        <w:tc>
          <w:tcPr>
            <w:tcW w:type="dxa" w:w="2880"/>
            <w:tcBorders>
              <w:top w:val="single" w:color="D5E0EC" w:sz="1"/>
              <w:left w:val="single" w:color="D5E0EC" w:sz="1"/>
              <w:bottom w:val="single" w:color="D5E0EC" w:sz="1"/>
              <w:right w:val="single" w:color="D5E0E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1E8449"/>
                <w:sz w:val="20"/>
                <w:szCs w:val="20"/>
              </w:rPr>
              <w:t xml:space="preserve">Community relationships; career goals; peer recognition</w:t>
            </w:r>
          </w:p>
        </w:tc>
        <w:tc>
          <w:tcPr>
            <w:tcW w:type="dxa" w:w="2400"/>
            <w:tcBorders>
              <w:top w:val="single" w:color="D5E0EC" w:sz="1"/>
              <w:left w:val="single" w:color="D5E0EC" w:sz="1"/>
              <w:bottom w:val="single" w:color="D5E0EC" w:sz="1"/>
              <w:right w:val="single" w:color="D5E0EC" w:sz="1"/>
            </w:tcBorders>
            <w:shd w:fill="FFF0F0"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Platform ceiling; no advanced content; no community depth</w:t>
            </w:r>
          </w:p>
        </w:tc>
      </w:tr>
      <w:tr>
        <w:tc>
          <w:tcPr>
            <w:tcW w:type="dxa" w:w="18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Students</w:t>
            </w:r>
          </w:p>
        </w:tc>
        <w:tc>
          <w:tcPr>
            <w:tcW w:type="dxa" w:w="22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Aspiration + social pressure</w:t>
            </w:r>
          </w:p>
        </w:tc>
        <w:tc>
          <w:tcPr>
            <w:tcW w:type="dxa" w:w="2880"/>
            <w:tcBorders>
              <w:top w:val="single" w:color="D5E0EC" w:sz="1"/>
              <w:left w:val="single" w:color="D5E0EC" w:sz="1"/>
              <w:bottom w:val="single" w:color="D5E0EC" w:sz="1"/>
              <w:right w:val="single" w:color="D5E0EC" w:sz="1"/>
            </w:tcBorders>
            <w:shd w:fill="F0FFF8" w:val="clear"/>
            <w:tcMar>
              <w:top w:type="dxa" w:w="80"/>
              <w:left w:type="dxa" w:w="120"/>
              <w:bottom w:type="dxa" w:w="80"/>
              <w:right w:type="dxa" w:w="120"/>
            </w:tcMar>
            <w:vAlign w:val="center"/>
          </w:tcPr>
          <w:p>
            <w:pPr>
              <w:jc w:val="left"/>
            </w:pPr>
            <w:r>
              <w:rPr>
                <w:rFonts w:ascii="Arial" w:cs="Arial" w:eastAsia="Arial" w:hAnsi="Arial"/>
                <w:b w:val="false"/>
                <w:bCs w:val="false"/>
                <w:color w:val="1E8449"/>
                <w:sz w:val="20"/>
                <w:szCs w:val="20"/>
              </w:rPr>
              <w:t xml:space="preserve">Job deadlines; peer accountability; success stories</w:t>
            </w:r>
          </w:p>
        </w:tc>
        <w:tc>
          <w:tcPr>
            <w:tcW w:type="dxa" w:w="2400"/>
            <w:tcBorders>
              <w:top w:val="single" w:color="D5E0EC" w:sz="1"/>
              <w:left w:val="single" w:color="D5E0EC" w:sz="1"/>
              <w:bottom w:val="single" w:color="D5E0EC" w:sz="1"/>
              <w:right w:val="single" w:color="D5E0EC" w:sz="1"/>
            </w:tcBorders>
            <w:shd w:fill="FEF9F9"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Distraction; lack of results; price sensitivity</w:t>
            </w:r>
          </w:p>
        </w:tc>
      </w:tr>
      <w:tr>
        <w:tc>
          <w:tcPr>
            <w:tcW w:type="dxa" w:w="18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Professionals</w:t>
            </w:r>
          </w:p>
        </w:tc>
        <w:tc>
          <w:tcPr>
            <w:tcW w:type="dxa" w:w="22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Identity + sunk cost</w:t>
            </w:r>
          </w:p>
        </w:tc>
        <w:tc>
          <w:tcPr>
            <w:tcW w:type="dxa" w:w="2880"/>
            <w:tcBorders>
              <w:top w:val="single" w:color="D5E0EC" w:sz="1"/>
              <w:left w:val="single" w:color="D5E0EC" w:sz="1"/>
              <w:bottom w:val="single" w:color="D5E0EC" w:sz="1"/>
              <w:right w:val="single" w:color="D5E0E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1E8449"/>
                <w:sz w:val="20"/>
                <w:szCs w:val="20"/>
              </w:rPr>
              <w:t xml:space="preserve">Career outcomes; professional scenarios; efficient learning</w:t>
            </w:r>
          </w:p>
        </w:tc>
        <w:tc>
          <w:tcPr>
            <w:tcW w:type="dxa" w:w="2400"/>
            <w:tcBorders>
              <w:top w:val="single" w:color="D5E0EC" w:sz="1"/>
              <w:left w:val="single" w:color="D5E0EC" w:sz="1"/>
              <w:bottom w:val="single" w:color="D5E0EC" w:sz="1"/>
              <w:right w:val="single" w:color="D5E0EC" w:sz="1"/>
            </w:tcBorders>
            <w:shd w:fill="FFF0F0"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Time constraints; lack of advanced professional content</w:t>
            </w:r>
          </w:p>
        </w:tc>
      </w:tr>
    </w:tbl>
    <w:p>
      <w:pPr>
        <w:pBdr>
          <w:left w:val="single" w:color="F0A500" w:sz="18" w:space="8"/>
        </w:pBdr>
        <w:shd w:fill="FEF9EC" w:val="clear"/>
        <w:spacing w:after="100" w:before="100"/>
        <w:jc w:val="both"/>
      </w:pPr>
      <w:r>
        <w:rPr>
          <w:rFonts w:ascii="Arial" w:cs="Arial" w:eastAsia="Arial" w:hAnsi="Arial"/>
          <w:i/>
          <w:iCs/>
          <w:color w:val="5D4037"/>
          <w:sz w:val="21"/>
          <w:szCs w:val="21"/>
        </w:rPr>
        <w:t xml:space="preserve">💡 Key Insight: The critical decision point is Step 4 — when the free trial ends. Everything Supernova AI does in Steps 1–3 must make this decision feel obvious: the user must feel that leaving would be a loss, not just a cancellation.</w:t>
      </w:r>
    </w:p>
    <w:p>
      <w:r>
        <w:br w:type="page"/>
      </w:r>
    </w:p>
    <w:p>
      <w:pPr>
        <w:pStyle w:val="Heading1"/>
        <w:pBdr>
          <w:bottom w:val="single" w:color="1A5276" w:sz="8" w:space="2"/>
        </w:pBdr>
        <w:spacing w:after="120" w:before="280"/>
      </w:pPr>
      <w:r>
        <w:rPr>
          <w:rFonts w:ascii="Arial" w:cs="Arial" w:eastAsia="Arial" w:hAnsi="Arial"/>
          <w:b/>
          <w:bCs/>
          <w:color w:val="1A5276"/>
          <w:sz w:val="32"/>
          <w:szCs w:val="32"/>
        </w:rPr>
        <w:t xml:space="preserve">5. Competitor Analysis</w:t>
      </w:r>
    </w:p>
    <w:p>
      <w:pPr>
        <w:spacing w:after="80" w:before="40"/>
        <w:jc w:val="both"/>
      </w:pPr>
      <w:r>
        <w:rPr>
          <w:rFonts w:ascii="Arial" w:cs="Arial" w:eastAsia="Arial" w:hAnsi="Arial"/>
          <w:color w:val="1A1A2E"/>
          <w:sz w:val="21"/>
          <w:szCs w:val="21"/>
        </w:rPr>
        <w:t xml:space="preserve">The AI communication-learning space is highly competitive. The following analysis benchmarks Supernova AI against eight key competitors across five capability dimensions critical to user retention and growth.</w:t>
      </w:r>
    </w:p>
    <w:p>
      <w:pPr>
        <w:spacing w:after="120" w:before="120"/>
        <w:jc w:val="center"/>
      </w:pPr>
      <w:r>
        <w:drawing>
          <wp:inline distT="0" distB="0" distL="0" distR="0">
            <wp:extent cx="6096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048000"/>
                    </a:xfrm>
                    <a:prstGeom prst="rect">
                      <a:avLst/>
                    </a:prstGeom>
                  </pic:spPr>
                </pic:pic>
              </a:graphicData>
            </a:graphic>
          </wp:inline>
        </w:drawing>
      </w:r>
    </w:p>
    <w:p>
      <w:pPr>
        <w:spacing w:after="120" w:before="40"/>
        <w:jc w:val="center"/>
      </w:pPr>
      <w:r>
        <w:rPr>
          <w:rFonts w:ascii="Arial" w:cs="Arial" w:eastAsia="Arial" w:hAnsi="Arial"/>
          <w:i/>
          <w:iCs/>
          <w:color w:val="5D6D7E"/>
          <w:sz w:val="18"/>
          <w:szCs w:val="18"/>
        </w:rPr>
        <w:t xml:space="preserve">Figure 5.1 — Competitive Capability Comparison: Supernova AI vs Key Rivals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20"/>
        <w:gridCol w:w="1200"/>
        <w:gridCol w:w="1200"/>
        <w:gridCol w:w="1320"/>
        <w:gridCol w:w="1200"/>
        <w:gridCol w:w="1320"/>
      </w:tblGrid>
      <w:tr>
        <w:tc>
          <w:tcPr>
            <w:tcW w:type="dxa" w:w="180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Platform</w:t>
            </w:r>
          </w:p>
        </w:tc>
        <w:tc>
          <w:tcPr>
            <w:tcW w:type="dxa" w:w="132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AI Learning</w:t>
            </w:r>
          </w:p>
        </w:tc>
        <w:tc>
          <w:tcPr>
            <w:tcW w:type="dxa" w:w="120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Emotional Coach</w:t>
            </w:r>
          </w:p>
        </w:tc>
        <w:tc>
          <w:tcPr>
            <w:tcW w:type="dxa" w:w="120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Peer Community</w:t>
            </w:r>
          </w:p>
        </w:tc>
        <w:tc>
          <w:tcPr>
            <w:tcW w:type="dxa" w:w="132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Career Readiness</w:t>
            </w:r>
          </w:p>
        </w:tc>
        <w:tc>
          <w:tcPr>
            <w:tcW w:type="dxa" w:w="120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Regional ID</w:t>
            </w:r>
          </w:p>
        </w:tc>
        <w:tc>
          <w:tcPr>
            <w:tcW w:type="dxa" w:w="132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Threat Level</w:t>
            </w:r>
          </w:p>
        </w:tc>
      </w:tr>
      <w:tr>
        <w:tc>
          <w:tcPr>
            <w:tcW w:type="dxa" w:w="1800"/>
            <w:tcBorders>
              <w:top w:val="single" w:color="D5E0EC" w:sz="1"/>
              <w:left w:val="single" w:color="D5E0EC" w:sz="1"/>
              <w:bottom w:val="single" w:color="D5E0EC" w:sz="1"/>
              <w:right w:val="single" w:color="D5E0EC" w:sz="1"/>
            </w:tcBorders>
            <w:shd w:fill="D6E8F5"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Supernova AI</w:t>
            </w:r>
          </w:p>
        </w:tc>
        <w:tc>
          <w:tcPr>
            <w:tcW w:type="dxa" w:w="1320"/>
            <w:tcBorders>
              <w:top w:val="single" w:color="D5E0EC" w:sz="1"/>
              <w:left w:val="single" w:color="D5E0EC" w:sz="1"/>
              <w:bottom w:val="single" w:color="D5E0EC" w:sz="1"/>
              <w:right w:val="single" w:color="D5E0EC" w:sz="1"/>
            </w:tcBorders>
            <w:shd w:fill="D6E8F5" w:val="clear"/>
            <w:tcMar>
              <w:top w:type="dxa" w:w="80"/>
              <w:left w:type="dxa" w:w="120"/>
              <w:bottom w:type="dxa" w:w="80"/>
              <w:right w:type="dxa" w:w="120"/>
            </w:tcMar>
            <w:vAlign w:val="center"/>
          </w:tcPr>
          <w:p>
            <w:pPr>
              <w:jc w:val="center"/>
            </w:pPr>
            <w:r>
              <w:rPr>
                <w:rFonts w:ascii="Arial" w:cs="Arial" w:eastAsia="Arial" w:hAnsi="Arial"/>
                <w:b w:val="false"/>
                <w:bCs w:val="false"/>
                <w:color w:val="1E8449"/>
                <w:sz w:val="20"/>
                <w:szCs w:val="20"/>
              </w:rPr>
              <w:t xml:space="preserve">✅ Yes</w:t>
            </w:r>
          </w:p>
        </w:tc>
        <w:tc>
          <w:tcPr>
            <w:tcW w:type="dxa" w:w="1200"/>
            <w:tcBorders>
              <w:top w:val="single" w:color="D5E0EC" w:sz="1"/>
              <w:left w:val="single" w:color="D5E0EC" w:sz="1"/>
              <w:bottom w:val="single" w:color="D5E0EC" w:sz="1"/>
              <w:right w:val="single" w:color="D5E0EC" w:sz="1"/>
            </w:tcBorders>
            <w:shd w:fill="D6E8F5" w:val="clear"/>
            <w:tcMar>
              <w:top w:type="dxa" w:w="80"/>
              <w:left w:type="dxa" w:w="120"/>
              <w:bottom w:type="dxa" w:w="80"/>
              <w:right w:type="dxa" w:w="120"/>
            </w:tcMar>
            <w:vAlign w:val="center"/>
          </w:tcPr>
          <w:p>
            <w:pPr>
              <w:jc w:val="center"/>
            </w:pPr>
            <w:r>
              <w:rPr>
                <w:rFonts w:ascii="Arial" w:cs="Arial" w:eastAsia="Arial" w:hAnsi="Arial"/>
                <w:b w:val="false"/>
                <w:bCs w:val="false"/>
                <w:color w:val="1E8449"/>
                <w:sz w:val="20"/>
                <w:szCs w:val="20"/>
              </w:rPr>
              <w:t xml:space="preserve">✅ Yes</w:t>
            </w:r>
          </w:p>
        </w:tc>
        <w:tc>
          <w:tcPr>
            <w:tcW w:type="dxa" w:w="1200"/>
            <w:tcBorders>
              <w:top w:val="single" w:color="D5E0EC" w:sz="1"/>
              <w:left w:val="single" w:color="D5E0EC" w:sz="1"/>
              <w:bottom w:val="single" w:color="D5E0EC" w:sz="1"/>
              <w:right w:val="single" w:color="D5E0EC" w:sz="1"/>
            </w:tcBorders>
            <w:shd w:fill="D6E8F5" w:val="clear"/>
            <w:tcMar>
              <w:top w:type="dxa" w:w="80"/>
              <w:left w:type="dxa" w:w="120"/>
              <w:bottom w:type="dxa" w:w="80"/>
              <w:right w:type="dxa" w:w="120"/>
            </w:tcMar>
            <w:vAlign w:val="center"/>
          </w:tcPr>
          <w:p>
            <w:pPr>
              <w:jc w:val="center"/>
            </w:pPr>
            <w:r>
              <w:rPr>
                <w:rFonts w:ascii="Arial" w:cs="Arial" w:eastAsia="Arial" w:hAnsi="Arial"/>
                <w:b w:val="false"/>
                <w:bCs w:val="false"/>
                <w:color w:val="1E8449"/>
                <w:sz w:val="20"/>
                <w:szCs w:val="20"/>
              </w:rPr>
              <w:t xml:space="preserve">✅ Yes</w:t>
            </w:r>
          </w:p>
        </w:tc>
        <w:tc>
          <w:tcPr>
            <w:tcW w:type="dxa" w:w="1320"/>
            <w:tcBorders>
              <w:top w:val="single" w:color="D5E0EC" w:sz="1"/>
              <w:left w:val="single" w:color="D5E0EC" w:sz="1"/>
              <w:bottom w:val="single" w:color="D5E0EC" w:sz="1"/>
              <w:right w:val="single" w:color="D5E0EC" w:sz="1"/>
            </w:tcBorders>
            <w:shd w:fill="D6E8F5" w:val="clear"/>
            <w:tcMar>
              <w:top w:type="dxa" w:w="80"/>
              <w:left w:type="dxa" w:w="120"/>
              <w:bottom w:type="dxa" w:w="80"/>
              <w:right w:type="dxa" w:w="120"/>
            </w:tcMar>
            <w:vAlign w:val="center"/>
          </w:tcPr>
          <w:p>
            <w:pPr>
              <w:jc w:val="center"/>
            </w:pPr>
            <w:r>
              <w:rPr>
                <w:rFonts w:ascii="Arial" w:cs="Arial" w:eastAsia="Arial" w:hAnsi="Arial"/>
                <w:b w:val="false"/>
                <w:bCs w:val="false"/>
                <w:color w:val="1E8449"/>
                <w:sz w:val="20"/>
                <w:szCs w:val="20"/>
              </w:rPr>
              <w:t xml:space="preserve">✅ Yes</w:t>
            </w:r>
          </w:p>
        </w:tc>
        <w:tc>
          <w:tcPr>
            <w:tcW w:type="dxa" w:w="1200"/>
            <w:tcBorders>
              <w:top w:val="single" w:color="D5E0EC" w:sz="1"/>
              <w:left w:val="single" w:color="D5E0EC" w:sz="1"/>
              <w:bottom w:val="single" w:color="D5E0EC" w:sz="1"/>
              <w:right w:val="single" w:color="D5E0EC" w:sz="1"/>
            </w:tcBorders>
            <w:shd w:fill="D6E8F5" w:val="clear"/>
            <w:tcMar>
              <w:top w:type="dxa" w:w="80"/>
              <w:left w:type="dxa" w:w="120"/>
              <w:bottom w:type="dxa" w:w="80"/>
              <w:right w:type="dxa" w:w="120"/>
            </w:tcMar>
            <w:vAlign w:val="center"/>
          </w:tcPr>
          <w:p>
            <w:pPr>
              <w:jc w:val="center"/>
            </w:pPr>
            <w:r>
              <w:rPr>
                <w:rFonts w:ascii="Arial" w:cs="Arial" w:eastAsia="Arial" w:hAnsi="Arial"/>
                <w:b w:val="false"/>
                <w:bCs w:val="false"/>
                <w:color w:val="1E8449"/>
                <w:sz w:val="20"/>
                <w:szCs w:val="20"/>
              </w:rPr>
              <w:t xml:space="preserve">✅ Yes</w:t>
            </w:r>
          </w:p>
        </w:tc>
        <w:tc>
          <w:tcPr>
            <w:tcW w:type="dxa" w:w="1320"/>
            <w:tcBorders>
              <w:top w:val="single" w:color="D5E0EC" w:sz="1"/>
              <w:left w:val="single" w:color="D5E0EC" w:sz="1"/>
              <w:bottom w:val="single" w:color="D5E0EC" w:sz="1"/>
              <w:right w:val="single" w:color="D5E0EC" w:sz="1"/>
            </w:tcBorders>
            <w:shd w:fill="D6E8F5"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20"/>
                <w:szCs w:val="20"/>
              </w:rPr>
              <w:t xml:space="preserve">N/A</w:t>
            </w:r>
          </w:p>
        </w:tc>
      </w:tr>
      <w:tr>
        <w:tc>
          <w:tcPr>
            <w:tcW w:type="dxa" w:w="18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Duolingo</w:t>
            </w:r>
          </w:p>
        </w:tc>
        <w:tc>
          <w:tcPr>
            <w:tcW w:type="dxa" w:w="132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8449"/>
                <w:sz w:val="20"/>
                <w:szCs w:val="20"/>
              </w:rPr>
              <w:t xml:space="preserve">✅ Yes</w:t>
            </w:r>
          </w:p>
        </w:tc>
        <w:tc>
          <w:tcPr>
            <w:tcW w:type="dxa" w:w="12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 No</w:t>
            </w:r>
          </w:p>
        </w:tc>
        <w:tc>
          <w:tcPr>
            <w:tcW w:type="dxa" w:w="12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 No</w:t>
            </w:r>
          </w:p>
        </w:tc>
        <w:tc>
          <w:tcPr>
            <w:tcW w:type="dxa" w:w="132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 No</w:t>
            </w:r>
          </w:p>
        </w:tc>
        <w:tc>
          <w:tcPr>
            <w:tcW w:type="dxa" w:w="12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 No</w:t>
            </w:r>
          </w:p>
        </w:tc>
        <w:tc>
          <w:tcPr>
            <w:tcW w:type="dxa" w:w="132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20"/>
                <w:szCs w:val="20"/>
              </w:rPr>
              <w:t xml:space="preserve">🔴 High</w:t>
            </w:r>
          </w:p>
        </w:tc>
      </w:tr>
      <w:tr>
        <w:tc>
          <w:tcPr>
            <w:tcW w:type="dxa" w:w="18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ELSA Speak</w:t>
            </w:r>
          </w:p>
        </w:tc>
        <w:tc>
          <w:tcPr>
            <w:tcW w:type="dxa" w:w="132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1E8449"/>
                <w:sz w:val="20"/>
                <w:szCs w:val="20"/>
              </w:rPr>
              <w:t xml:space="preserve">✅ Pronunciation</w:t>
            </w:r>
          </w:p>
        </w:tc>
        <w:tc>
          <w:tcPr>
            <w:tcW w:type="dxa" w:w="12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 No</w:t>
            </w:r>
          </w:p>
        </w:tc>
        <w:tc>
          <w:tcPr>
            <w:tcW w:type="dxa" w:w="12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 No</w:t>
            </w:r>
          </w:p>
        </w:tc>
        <w:tc>
          <w:tcPr>
            <w:tcW w:type="dxa" w:w="132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 No</w:t>
            </w:r>
          </w:p>
        </w:tc>
        <w:tc>
          <w:tcPr>
            <w:tcW w:type="dxa" w:w="12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 No</w:t>
            </w:r>
          </w:p>
        </w:tc>
        <w:tc>
          <w:tcPr>
            <w:tcW w:type="dxa" w:w="132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20"/>
                <w:szCs w:val="20"/>
              </w:rPr>
              <w:t xml:space="preserve">🟡 Medium</w:t>
            </w:r>
          </w:p>
        </w:tc>
      </w:tr>
      <w:tr>
        <w:tc>
          <w:tcPr>
            <w:tcW w:type="dxa" w:w="18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SpeakX</w:t>
            </w:r>
          </w:p>
        </w:tc>
        <w:tc>
          <w:tcPr>
            <w:tcW w:type="dxa" w:w="132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8449"/>
                <w:sz w:val="20"/>
                <w:szCs w:val="20"/>
              </w:rPr>
              <w:t xml:space="preserve">✅ Yes</w:t>
            </w:r>
          </w:p>
        </w:tc>
        <w:tc>
          <w:tcPr>
            <w:tcW w:type="dxa" w:w="12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 No</w:t>
            </w:r>
          </w:p>
        </w:tc>
        <w:tc>
          <w:tcPr>
            <w:tcW w:type="dxa" w:w="12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 No</w:t>
            </w:r>
          </w:p>
        </w:tc>
        <w:tc>
          <w:tcPr>
            <w:tcW w:type="dxa" w:w="132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8449"/>
                <w:sz w:val="20"/>
                <w:szCs w:val="20"/>
              </w:rPr>
              <w:t xml:space="preserve">✅ Limited</w:t>
            </w:r>
          </w:p>
        </w:tc>
        <w:tc>
          <w:tcPr>
            <w:tcW w:type="dxa" w:w="12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8449"/>
                <w:sz w:val="20"/>
                <w:szCs w:val="20"/>
              </w:rPr>
              <w:t xml:space="preserve">✅ Partial</w:t>
            </w:r>
          </w:p>
        </w:tc>
        <w:tc>
          <w:tcPr>
            <w:tcW w:type="dxa" w:w="132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20"/>
                <w:szCs w:val="20"/>
              </w:rPr>
              <w:t xml:space="preserve">🔴 High</w:t>
            </w:r>
          </w:p>
        </w:tc>
      </w:tr>
      <w:tr>
        <w:tc>
          <w:tcPr>
            <w:tcW w:type="dxa" w:w="18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Cambly</w:t>
            </w:r>
          </w:p>
        </w:tc>
        <w:tc>
          <w:tcPr>
            <w:tcW w:type="dxa" w:w="132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 Human Tutors</w:t>
            </w:r>
          </w:p>
        </w:tc>
        <w:tc>
          <w:tcPr>
            <w:tcW w:type="dxa" w:w="12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 No</w:t>
            </w:r>
          </w:p>
        </w:tc>
        <w:tc>
          <w:tcPr>
            <w:tcW w:type="dxa" w:w="12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 No</w:t>
            </w:r>
          </w:p>
        </w:tc>
        <w:tc>
          <w:tcPr>
            <w:tcW w:type="dxa" w:w="132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1E8449"/>
                <w:sz w:val="20"/>
                <w:szCs w:val="20"/>
              </w:rPr>
              <w:t xml:space="preserve">✅ Limited</w:t>
            </w:r>
          </w:p>
        </w:tc>
        <w:tc>
          <w:tcPr>
            <w:tcW w:type="dxa" w:w="12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 No</w:t>
            </w:r>
          </w:p>
        </w:tc>
        <w:tc>
          <w:tcPr>
            <w:tcW w:type="dxa" w:w="132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20"/>
                <w:szCs w:val="20"/>
              </w:rPr>
              <w:t xml:space="preserve">🟡 Medium</w:t>
            </w:r>
          </w:p>
        </w:tc>
      </w:tr>
      <w:tr>
        <w:tc>
          <w:tcPr>
            <w:tcW w:type="dxa" w:w="18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Praktika AI</w:t>
            </w:r>
          </w:p>
        </w:tc>
        <w:tc>
          <w:tcPr>
            <w:tcW w:type="dxa" w:w="132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8449"/>
                <w:sz w:val="20"/>
                <w:szCs w:val="20"/>
              </w:rPr>
              <w:t xml:space="preserve">✅ Yes</w:t>
            </w:r>
          </w:p>
        </w:tc>
        <w:tc>
          <w:tcPr>
            <w:tcW w:type="dxa" w:w="12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 No</w:t>
            </w:r>
          </w:p>
        </w:tc>
        <w:tc>
          <w:tcPr>
            <w:tcW w:type="dxa" w:w="12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 No</w:t>
            </w:r>
          </w:p>
        </w:tc>
        <w:tc>
          <w:tcPr>
            <w:tcW w:type="dxa" w:w="132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 No</w:t>
            </w:r>
          </w:p>
        </w:tc>
        <w:tc>
          <w:tcPr>
            <w:tcW w:type="dxa" w:w="12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 No</w:t>
            </w:r>
          </w:p>
        </w:tc>
        <w:tc>
          <w:tcPr>
            <w:tcW w:type="dxa" w:w="132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20"/>
                <w:szCs w:val="20"/>
              </w:rPr>
              <w:t xml:space="preserve">🟡 Medium</w:t>
            </w:r>
          </w:p>
        </w:tc>
      </w:tr>
      <w:tr>
        <w:tc>
          <w:tcPr>
            <w:tcW w:type="dxa" w:w="18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HelloTalk</w:t>
            </w:r>
          </w:p>
        </w:tc>
        <w:tc>
          <w:tcPr>
            <w:tcW w:type="dxa" w:w="132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1E8449"/>
                <w:sz w:val="20"/>
                <w:szCs w:val="20"/>
              </w:rPr>
              <w:t xml:space="preserve">✅ Partial</w:t>
            </w:r>
          </w:p>
        </w:tc>
        <w:tc>
          <w:tcPr>
            <w:tcW w:type="dxa" w:w="12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 No</w:t>
            </w:r>
          </w:p>
        </w:tc>
        <w:tc>
          <w:tcPr>
            <w:tcW w:type="dxa" w:w="12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1E8449"/>
                <w:sz w:val="20"/>
                <w:szCs w:val="20"/>
              </w:rPr>
              <w:t xml:space="preserve">✅ Yes</w:t>
            </w:r>
          </w:p>
        </w:tc>
        <w:tc>
          <w:tcPr>
            <w:tcW w:type="dxa" w:w="132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 No</w:t>
            </w:r>
          </w:p>
        </w:tc>
        <w:tc>
          <w:tcPr>
            <w:tcW w:type="dxa" w:w="12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 No</w:t>
            </w:r>
          </w:p>
        </w:tc>
        <w:tc>
          <w:tcPr>
            <w:tcW w:type="dxa" w:w="132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20"/>
                <w:szCs w:val="20"/>
              </w:rPr>
              <w:t xml:space="preserve">🟢 Low</w:t>
            </w:r>
          </w:p>
        </w:tc>
      </w:tr>
      <w:tr>
        <w:tc>
          <w:tcPr>
            <w:tcW w:type="dxa" w:w="18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Babbel</w:t>
            </w:r>
          </w:p>
        </w:tc>
        <w:tc>
          <w:tcPr>
            <w:tcW w:type="dxa" w:w="132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8449"/>
                <w:sz w:val="20"/>
                <w:szCs w:val="20"/>
              </w:rPr>
              <w:t xml:space="preserve">✅ Yes</w:t>
            </w:r>
          </w:p>
        </w:tc>
        <w:tc>
          <w:tcPr>
            <w:tcW w:type="dxa" w:w="12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 No</w:t>
            </w:r>
          </w:p>
        </w:tc>
        <w:tc>
          <w:tcPr>
            <w:tcW w:type="dxa" w:w="12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 No</w:t>
            </w:r>
          </w:p>
        </w:tc>
        <w:tc>
          <w:tcPr>
            <w:tcW w:type="dxa" w:w="132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 No</w:t>
            </w:r>
          </w:p>
        </w:tc>
        <w:tc>
          <w:tcPr>
            <w:tcW w:type="dxa" w:w="12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 No</w:t>
            </w:r>
          </w:p>
        </w:tc>
        <w:tc>
          <w:tcPr>
            <w:tcW w:type="dxa" w:w="132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20"/>
                <w:szCs w:val="20"/>
              </w:rPr>
              <w:t xml:space="preserve">🟢 Low</w:t>
            </w:r>
          </w:p>
        </w:tc>
      </w:tr>
    </w:tbl>
    <w:p>
      <w:pPr>
        <w:spacing w:after="80" w:before="0"/>
      </w:pPr>
      <w:r>
        <w:t xml:space="preserve"/>
      </w:r>
    </w:p>
    <w:p>
      <w:pPr>
        <w:pStyle w:val="Heading2"/>
        <w:spacing w:after="80" w:before="160"/>
      </w:pPr>
      <w:r>
        <w:rPr>
          <w:rFonts w:ascii="Arial" w:cs="Arial" w:eastAsia="Arial" w:hAnsi="Arial"/>
          <w:b/>
          <w:bCs/>
          <w:color w:val="1A5276"/>
          <w:sz w:val="26"/>
          <w:szCs w:val="26"/>
        </w:rPr>
        <w:t xml:space="preserve">5.1 Before vs After — Product Evolution</w:t>
      </w:r>
    </w:p>
    <w:p>
      <w:pPr>
        <w:spacing w:after="80" w:before="40"/>
        <w:jc w:val="both"/>
      </w:pPr>
      <w:r>
        <w:rPr>
          <w:rFonts w:ascii="Arial" w:cs="Arial" w:eastAsia="Arial" w:hAnsi="Arial"/>
          <w:color w:val="1A1A2E"/>
          <w:sz w:val="21"/>
          <w:szCs w:val="21"/>
        </w:rPr>
        <w:t xml:space="preserve">The following table contrasts Supernova AI's current product state with the proposed Communication Confidence Ecosystem — showing how each dimension of the platform transforms through the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Dimension</w:t>
            </w:r>
          </w:p>
        </w:tc>
        <w:tc>
          <w:tcPr>
            <w:tcW w:type="dxa" w:w="358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Current State (Before)</w:t>
            </w:r>
          </w:p>
        </w:tc>
        <w:tc>
          <w:tcPr>
            <w:tcW w:type="dxa" w:w="358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Proposed Ecosystem (After)</w:t>
            </w:r>
          </w:p>
        </w:tc>
      </w:tr>
      <w:tr>
        <w:tc>
          <w:tcPr>
            <w:tcW w:type="dxa" w:w="22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Platform Identity</w:t>
            </w:r>
          </w:p>
        </w:tc>
        <w:tc>
          <w:tcPr>
            <w:tcW w:type="dxa" w:w="3580"/>
            <w:tcBorders>
              <w:top w:val="single" w:color="D5E0EC" w:sz="1"/>
              <w:left w:val="single" w:color="D5E0EC" w:sz="1"/>
              <w:bottom w:val="single" w:color="D5E0EC" w:sz="1"/>
              <w:right w:val="single" w:color="D5E0EC" w:sz="1"/>
            </w:tcBorders>
            <w:shd w:fill="FFF0F0"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English learning app with AI features</w:t>
            </w:r>
          </w:p>
        </w:tc>
        <w:tc>
          <w:tcPr>
            <w:tcW w:type="dxa" w:w="3580"/>
            <w:tcBorders>
              <w:top w:val="single" w:color="D5E0EC" w:sz="1"/>
              <w:left w:val="single" w:color="D5E0EC" w:sz="1"/>
              <w:bottom w:val="single" w:color="D5E0EC" w:sz="1"/>
              <w:right w:val="single" w:color="D5E0E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1E8449"/>
                <w:sz w:val="20"/>
                <w:szCs w:val="20"/>
              </w:rPr>
              <w:t xml:space="preserve">India's Communication Confidence Ecosystem</w:t>
            </w:r>
          </w:p>
        </w:tc>
      </w:tr>
      <w:tr>
        <w:tc>
          <w:tcPr>
            <w:tcW w:type="dxa" w:w="22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Onboarding</w:t>
            </w:r>
          </w:p>
        </w:tc>
        <w:tc>
          <w:tcPr>
            <w:tcW w:type="dxa" w:w="3580"/>
            <w:tcBorders>
              <w:top w:val="single" w:color="D5E0EC" w:sz="1"/>
              <w:left w:val="single" w:color="D5E0EC" w:sz="1"/>
              <w:bottom w:val="single" w:color="D5E0EC" w:sz="1"/>
              <w:right w:val="single" w:color="D5E0EC" w:sz="1"/>
            </w:tcBorders>
            <w:shd w:fill="FEF9F9"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Generic welcome screen + feature tour</w:t>
            </w:r>
          </w:p>
        </w:tc>
        <w:tc>
          <w:tcPr>
            <w:tcW w:type="dxa" w:w="3580"/>
            <w:tcBorders>
              <w:top w:val="single" w:color="D5E0EC" w:sz="1"/>
              <w:left w:val="single" w:color="D5E0EC" w:sz="1"/>
              <w:bottom w:val="single" w:color="D5E0EC" w:sz="1"/>
              <w:right w:val="single" w:color="D5E0EC" w:sz="1"/>
            </w:tcBorders>
            <w:shd w:fill="F0FFF8" w:val="clear"/>
            <w:tcMar>
              <w:top w:type="dxa" w:w="80"/>
              <w:left w:type="dxa" w:w="120"/>
              <w:bottom w:type="dxa" w:w="80"/>
              <w:right w:type="dxa" w:w="120"/>
            </w:tcMar>
            <w:vAlign w:val="center"/>
          </w:tcPr>
          <w:p>
            <w:pPr>
              <w:jc w:val="left"/>
            </w:pPr>
            <w:r>
              <w:rPr>
                <w:rFonts w:ascii="Arial" w:cs="Arial" w:eastAsia="Arial" w:hAnsi="Arial"/>
                <w:b w:val="false"/>
                <w:bCs w:val="false"/>
                <w:color w:val="1E8449"/>
                <w:sz w:val="20"/>
                <w:szCs w:val="20"/>
              </w:rPr>
              <w:t xml:space="preserve">Personalized goal-based onboarding with emotional win in 5 minutes</w:t>
            </w:r>
          </w:p>
        </w:tc>
      </w:tr>
      <w:tr>
        <w:tc>
          <w:tcPr>
            <w:tcW w:type="dxa" w:w="22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AI Coaching</w:t>
            </w:r>
          </w:p>
        </w:tc>
        <w:tc>
          <w:tcPr>
            <w:tcW w:type="dxa" w:w="3580"/>
            <w:tcBorders>
              <w:top w:val="single" w:color="D5E0EC" w:sz="1"/>
              <w:left w:val="single" w:color="D5E0EC" w:sz="1"/>
              <w:bottom w:val="single" w:color="D5E0EC" w:sz="1"/>
              <w:right w:val="single" w:color="D5E0EC" w:sz="1"/>
            </w:tcBorders>
            <w:shd w:fill="FFF0F0"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Pronunciation and grammar feedback only</w:t>
            </w:r>
          </w:p>
        </w:tc>
        <w:tc>
          <w:tcPr>
            <w:tcW w:type="dxa" w:w="3580"/>
            <w:tcBorders>
              <w:top w:val="single" w:color="D5E0EC" w:sz="1"/>
              <w:left w:val="single" w:color="D5E0EC" w:sz="1"/>
              <w:bottom w:val="single" w:color="D5E0EC" w:sz="1"/>
              <w:right w:val="single" w:color="D5E0E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1E8449"/>
                <w:sz w:val="20"/>
                <w:szCs w:val="20"/>
              </w:rPr>
              <w:t xml:space="preserve">Emotional AI Coach detecting anxiety; tracking confidence growth over time</w:t>
            </w:r>
          </w:p>
        </w:tc>
      </w:tr>
      <w:tr>
        <w:tc>
          <w:tcPr>
            <w:tcW w:type="dxa" w:w="22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Community</w:t>
            </w:r>
          </w:p>
        </w:tc>
        <w:tc>
          <w:tcPr>
            <w:tcW w:type="dxa" w:w="3580"/>
            <w:tcBorders>
              <w:top w:val="single" w:color="D5E0EC" w:sz="1"/>
              <w:left w:val="single" w:color="D5E0EC" w:sz="1"/>
              <w:bottom w:val="single" w:color="D5E0EC" w:sz="1"/>
              <w:right w:val="single" w:color="D5E0EC" w:sz="1"/>
            </w:tcBorders>
            <w:shd w:fill="FEF9F9"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None — isolated individual learning</w:t>
            </w:r>
          </w:p>
        </w:tc>
        <w:tc>
          <w:tcPr>
            <w:tcW w:type="dxa" w:w="3580"/>
            <w:tcBorders>
              <w:top w:val="single" w:color="D5E0EC" w:sz="1"/>
              <w:left w:val="single" w:color="D5E0EC" w:sz="1"/>
              <w:bottom w:val="single" w:color="D5E0EC" w:sz="1"/>
              <w:right w:val="single" w:color="D5E0EC" w:sz="1"/>
            </w:tcBorders>
            <w:shd w:fill="F0FFF8" w:val="clear"/>
            <w:tcMar>
              <w:top w:type="dxa" w:w="80"/>
              <w:left w:type="dxa" w:w="120"/>
              <w:bottom w:type="dxa" w:w="80"/>
              <w:right w:type="dxa" w:w="120"/>
            </w:tcMar>
            <w:vAlign w:val="center"/>
          </w:tcPr>
          <w:p>
            <w:pPr>
              <w:jc w:val="left"/>
            </w:pPr>
            <w:r>
              <w:rPr>
                <w:rFonts w:ascii="Arial" w:cs="Arial" w:eastAsia="Arial" w:hAnsi="Arial"/>
                <w:b w:val="false"/>
                <w:bCs w:val="false"/>
                <w:color w:val="1E8449"/>
                <w:sz w:val="20"/>
                <w:szCs w:val="20"/>
              </w:rPr>
              <w:t xml:space="preserve">Peer network: speaking clubs, weekly challenges, peer interviews</w:t>
            </w:r>
          </w:p>
        </w:tc>
      </w:tr>
      <w:tr>
        <w:tc>
          <w:tcPr>
            <w:tcW w:type="dxa" w:w="22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Advanced Users</w:t>
            </w:r>
          </w:p>
        </w:tc>
        <w:tc>
          <w:tcPr>
            <w:tcW w:type="dxa" w:w="3580"/>
            <w:tcBorders>
              <w:top w:val="single" w:color="D5E0EC" w:sz="1"/>
              <w:left w:val="single" w:color="D5E0EC" w:sz="1"/>
              <w:bottom w:val="single" w:color="D5E0EC" w:sz="1"/>
              <w:right w:val="single" w:color="D5E0EC" w:sz="1"/>
            </w:tcBorders>
            <w:shd w:fill="FFF0F0"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No content beyond basic English — they leave</w:t>
            </w:r>
          </w:p>
        </w:tc>
        <w:tc>
          <w:tcPr>
            <w:tcW w:type="dxa" w:w="3580"/>
            <w:tcBorders>
              <w:top w:val="single" w:color="D5E0EC" w:sz="1"/>
              <w:left w:val="single" w:color="D5E0EC" w:sz="1"/>
              <w:bottom w:val="single" w:color="D5E0EC" w:sz="1"/>
              <w:right w:val="single" w:color="D5E0E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1E8449"/>
                <w:sz w:val="20"/>
                <w:szCs w:val="20"/>
              </w:rPr>
              <w:t xml:space="preserve">Professional Suite: business English, career simulations, 10+ industry verticals</w:t>
            </w:r>
          </w:p>
        </w:tc>
      </w:tr>
      <w:tr>
        <w:tc>
          <w:tcPr>
            <w:tcW w:type="dxa" w:w="22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Pricing</w:t>
            </w:r>
          </w:p>
        </w:tc>
        <w:tc>
          <w:tcPr>
            <w:tcW w:type="dxa" w:w="3580"/>
            <w:tcBorders>
              <w:top w:val="single" w:color="D5E0EC" w:sz="1"/>
              <w:left w:val="single" w:color="D5E0EC" w:sz="1"/>
              <w:bottom w:val="single" w:color="D5E0EC" w:sz="1"/>
              <w:right w:val="single" w:color="D5E0EC" w:sz="1"/>
            </w:tcBorders>
            <w:shd w:fill="FEF9F9"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Single tier: ₹250/month flat</w:t>
            </w:r>
          </w:p>
        </w:tc>
        <w:tc>
          <w:tcPr>
            <w:tcW w:type="dxa" w:w="3580"/>
            <w:tcBorders>
              <w:top w:val="single" w:color="D5E0EC" w:sz="1"/>
              <w:left w:val="single" w:color="D5E0EC" w:sz="1"/>
              <w:bottom w:val="single" w:color="D5E0EC" w:sz="1"/>
              <w:right w:val="single" w:color="D5E0EC" w:sz="1"/>
            </w:tcBorders>
            <w:shd w:fill="F0FFF8" w:val="clear"/>
            <w:tcMar>
              <w:top w:type="dxa" w:w="80"/>
              <w:left w:type="dxa" w:w="120"/>
              <w:bottom w:type="dxa" w:w="80"/>
              <w:right w:type="dxa" w:w="120"/>
            </w:tcMar>
            <w:vAlign w:val="center"/>
          </w:tcPr>
          <w:p>
            <w:pPr>
              <w:jc w:val="left"/>
            </w:pPr>
            <w:r>
              <w:rPr>
                <w:rFonts w:ascii="Arial" w:cs="Arial" w:eastAsia="Arial" w:hAnsi="Arial"/>
                <w:b w:val="false"/>
                <w:bCs w:val="false"/>
                <w:color w:val="1E8449"/>
                <w:sz w:val="20"/>
                <w:szCs w:val="20"/>
              </w:rPr>
              <w:t xml:space="preserve">Three tiers: ₹149 / ₹299 / ₹599 with milestone upsell triggers</w:t>
            </w:r>
          </w:p>
        </w:tc>
      </w:tr>
      <w:tr>
        <w:tc>
          <w:tcPr>
            <w:tcW w:type="dxa" w:w="22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Acquisition</w:t>
            </w:r>
          </w:p>
        </w:tc>
        <w:tc>
          <w:tcPr>
            <w:tcW w:type="dxa" w:w="3580"/>
            <w:tcBorders>
              <w:top w:val="single" w:color="D5E0EC" w:sz="1"/>
              <w:left w:val="single" w:color="D5E0EC" w:sz="1"/>
              <w:bottom w:val="single" w:color="D5E0EC" w:sz="1"/>
              <w:right w:val="single" w:color="D5E0EC" w:sz="1"/>
            </w:tcBorders>
            <w:shd w:fill="FFF0F0"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80%+ paid ads (Meta, Google, YouTube)</w:t>
            </w:r>
          </w:p>
        </w:tc>
        <w:tc>
          <w:tcPr>
            <w:tcW w:type="dxa" w:w="3580"/>
            <w:tcBorders>
              <w:top w:val="single" w:color="D5E0EC" w:sz="1"/>
              <w:left w:val="single" w:color="D5E0EC" w:sz="1"/>
              <w:bottom w:val="single" w:color="D5E0EC" w:sz="1"/>
              <w:right w:val="single" w:color="D5E0E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1E8449"/>
                <w:sz w:val="20"/>
                <w:szCs w:val="20"/>
              </w:rPr>
              <w:t xml:space="preserve">Referral engine + success stories + B2B — 36% organic by Phase 2</w:t>
            </w:r>
          </w:p>
        </w:tc>
      </w:tr>
      <w:tr>
        <w:tc>
          <w:tcPr>
            <w:tcW w:type="dxa" w:w="22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Revenue Streams</w:t>
            </w:r>
          </w:p>
        </w:tc>
        <w:tc>
          <w:tcPr>
            <w:tcW w:type="dxa" w:w="3580"/>
            <w:tcBorders>
              <w:top w:val="single" w:color="D5E0EC" w:sz="1"/>
              <w:left w:val="single" w:color="D5E0EC" w:sz="1"/>
              <w:bottom w:val="single" w:color="D5E0EC" w:sz="1"/>
              <w:right w:val="single" w:color="D5E0EC" w:sz="1"/>
            </w:tcBorders>
            <w:shd w:fill="FEF9F9"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Consumer subscription only</w:t>
            </w:r>
          </w:p>
        </w:tc>
        <w:tc>
          <w:tcPr>
            <w:tcW w:type="dxa" w:w="3580"/>
            <w:tcBorders>
              <w:top w:val="single" w:color="D5E0EC" w:sz="1"/>
              <w:left w:val="single" w:color="D5E0EC" w:sz="1"/>
              <w:bottom w:val="single" w:color="D5E0EC" w:sz="1"/>
              <w:right w:val="single" w:color="D5E0EC" w:sz="1"/>
            </w:tcBorders>
            <w:shd w:fill="F0FFF8" w:val="clear"/>
            <w:tcMar>
              <w:top w:type="dxa" w:w="80"/>
              <w:left w:type="dxa" w:w="120"/>
              <w:bottom w:type="dxa" w:w="80"/>
              <w:right w:type="dxa" w:w="120"/>
            </w:tcMar>
            <w:vAlign w:val="center"/>
          </w:tcPr>
          <w:p>
            <w:pPr>
              <w:jc w:val="left"/>
            </w:pPr>
            <w:r>
              <w:rPr>
                <w:rFonts w:ascii="Arial" w:cs="Arial" w:eastAsia="Arial" w:hAnsi="Arial"/>
                <w:b w:val="false"/>
                <w:bCs w:val="false"/>
                <w:color w:val="1E8449"/>
                <w:sz w:val="20"/>
                <w:szCs w:val="20"/>
              </w:rPr>
              <w:t xml:space="preserve">Consumer + Professional + B2B institutional contracts</w:t>
            </w:r>
          </w:p>
        </w:tc>
      </w:tr>
      <w:tr>
        <w:tc>
          <w:tcPr>
            <w:tcW w:type="dxa" w:w="22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Brand Positioning</w:t>
            </w:r>
          </w:p>
        </w:tc>
        <w:tc>
          <w:tcPr>
            <w:tcW w:type="dxa" w:w="3580"/>
            <w:tcBorders>
              <w:top w:val="single" w:color="D5E0EC" w:sz="1"/>
              <w:left w:val="single" w:color="D5E0EC" w:sz="1"/>
              <w:bottom w:val="single" w:color="D5E0EC" w:sz="1"/>
              <w:right w:val="single" w:color="D5E0EC" w:sz="1"/>
            </w:tcBorders>
            <w:shd w:fill="FFF0F0"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One of many English apps</w:t>
            </w:r>
          </w:p>
        </w:tc>
        <w:tc>
          <w:tcPr>
            <w:tcW w:type="dxa" w:w="3580"/>
            <w:tcBorders>
              <w:top w:val="single" w:color="D5E0EC" w:sz="1"/>
              <w:left w:val="single" w:color="D5E0EC" w:sz="1"/>
              <w:bottom w:val="single" w:color="D5E0EC" w:sz="1"/>
              <w:right w:val="single" w:color="D5E0E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1E8449"/>
                <w:sz w:val="20"/>
                <w:szCs w:val="20"/>
              </w:rPr>
              <w:t xml:space="preserve">Category-defining: India's #1 Communication Confidence platform</w:t>
            </w:r>
          </w:p>
        </w:tc>
      </w:tr>
      <w:tr>
        <w:tc>
          <w:tcPr>
            <w:tcW w:type="dxa" w:w="22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User Identity</w:t>
            </w:r>
          </w:p>
        </w:tc>
        <w:tc>
          <w:tcPr>
            <w:tcW w:type="dxa" w:w="3580"/>
            <w:tcBorders>
              <w:top w:val="single" w:color="D5E0EC" w:sz="1"/>
              <w:left w:val="single" w:color="D5E0EC" w:sz="1"/>
              <w:bottom w:val="single" w:color="D5E0EC" w:sz="1"/>
              <w:right w:val="single" w:color="D5E0EC" w:sz="1"/>
            </w:tcBorders>
            <w:shd w:fill="FEF9F9"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English learner using an app</w:t>
            </w:r>
          </w:p>
        </w:tc>
        <w:tc>
          <w:tcPr>
            <w:tcW w:type="dxa" w:w="3580"/>
            <w:tcBorders>
              <w:top w:val="single" w:color="D5E0EC" w:sz="1"/>
              <w:left w:val="single" w:color="D5E0EC" w:sz="1"/>
              <w:bottom w:val="single" w:color="D5E0EC" w:sz="1"/>
              <w:right w:val="single" w:color="D5E0EC" w:sz="1"/>
            </w:tcBorders>
            <w:shd w:fill="F0FFF8" w:val="clear"/>
            <w:tcMar>
              <w:top w:type="dxa" w:w="80"/>
              <w:left w:type="dxa" w:w="120"/>
              <w:bottom w:type="dxa" w:w="80"/>
              <w:right w:type="dxa" w:w="120"/>
            </w:tcMar>
            <w:vAlign w:val="center"/>
          </w:tcPr>
          <w:p>
            <w:pPr>
              <w:jc w:val="left"/>
            </w:pPr>
            <w:r>
              <w:rPr>
                <w:rFonts w:ascii="Arial" w:cs="Arial" w:eastAsia="Arial" w:hAnsi="Arial"/>
                <w:b w:val="false"/>
                <w:bCs w:val="false"/>
                <w:color w:val="1E8449"/>
                <w:sz w:val="20"/>
                <w:szCs w:val="20"/>
              </w:rPr>
              <w:t xml:space="preserve">Confident professional building their career through the ecosystem</w:t>
            </w:r>
          </w:p>
        </w:tc>
      </w:tr>
    </w:tbl>
    <w:p>
      <w:r>
        <w:br w:type="page"/>
      </w:r>
    </w:p>
    <w:p>
      <w:pPr>
        <w:spacing w:after="80" w:before="0"/>
      </w:pPr>
      <w:r>
        <w:t xml:space="preserve"/>
      </w:r>
    </w:p>
    <w:p>
      <w:pPr>
        <w:pStyle w:val="Heading2"/>
        <w:spacing w:after="80" w:before="160"/>
      </w:pPr>
      <w:r>
        <w:rPr>
          <w:rFonts w:ascii="Arial" w:cs="Arial" w:eastAsia="Arial" w:hAnsi="Arial"/>
          <w:b/>
          <w:bCs/>
          <w:color w:val="1A5276"/>
          <w:sz w:val="26"/>
          <w:szCs w:val="26"/>
        </w:rPr>
        <w:t xml:space="preserve">5.2 Competitor Pricing Comparison</w:t>
      </w:r>
    </w:p>
    <w:p>
      <w:pPr>
        <w:spacing w:after="80" w:before="40"/>
        <w:jc w:val="both"/>
      </w:pPr>
      <w:r>
        <w:rPr>
          <w:rFonts w:ascii="Arial" w:cs="Arial" w:eastAsia="Arial" w:hAnsi="Arial"/>
          <w:color w:val="1A1A2E"/>
          <w:sz w:val="21"/>
          <w:szCs w:val="21"/>
        </w:rPr>
        <w:t xml:space="preserve">Understanding how competitors price their products helps Supernova AI position its own pricing tiers strategically — ensuring value perception is clear relative to alternatives available to Indian learners.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680"/>
        <w:gridCol w:w="1680"/>
      </w:tblGrid>
      <w:tr>
        <w:tc>
          <w:tcPr>
            <w:tcW w:type="dxa" w:w="200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Platform</w:t>
            </w:r>
          </w:p>
        </w:tc>
        <w:tc>
          <w:tcPr>
            <w:tcW w:type="dxa" w:w="200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Free Tier</w:t>
            </w:r>
          </w:p>
        </w:tc>
        <w:tc>
          <w:tcPr>
            <w:tcW w:type="dxa" w:w="200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Paid Price</w:t>
            </w:r>
          </w:p>
        </w:tc>
        <w:tc>
          <w:tcPr>
            <w:tcW w:type="dxa" w:w="168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India Pricing</w:t>
            </w:r>
          </w:p>
        </w:tc>
        <w:tc>
          <w:tcPr>
            <w:tcW w:type="dxa" w:w="168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Audience</w:t>
            </w:r>
          </w:p>
        </w:tc>
      </w:tr>
      <w:tr>
        <w:tc>
          <w:tcPr>
            <w:tcW w:type="dxa" w:w="2000"/>
            <w:tcBorders>
              <w:top w:val="single" w:color="D5E0EC" w:sz="1"/>
              <w:left w:val="single" w:color="D5E0EC" w:sz="1"/>
              <w:bottom w:val="single" w:color="D5E0EC" w:sz="1"/>
              <w:right w:val="single" w:color="D5E0EC" w:sz="1"/>
            </w:tcBorders>
            <w:shd w:fill="D6E8F5"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Supernova AI</w:t>
            </w:r>
          </w:p>
        </w:tc>
        <w:tc>
          <w:tcPr>
            <w:tcW w:type="dxa" w:w="2000"/>
            <w:tcBorders>
              <w:top w:val="single" w:color="D5E0EC" w:sz="1"/>
              <w:left w:val="single" w:color="D5E0EC" w:sz="1"/>
              <w:bottom w:val="single" w:color="D5E0EC" w:sz="1"/>
              <w:right w:val="single" w:color="D5E0EC" w:sz="1"/>
            </w:tcBorders>
            <w:shd w:fill="D6E8F5" w:val="clear"/>
            <w:tcMar>
              <w:top w:type="dxa" w:w="80"/>
              <w:left w:type="dxa" w:w="120"/>
              <w:bottom w:type="dxa" w:w="80"/>
              <w:right w:type="dxa" w:w="120"/>
            </w:tcMar>
            <w:vAlign w:val="center"/>
          </w:tcPr>
          <w:p>
            <w:pPr>
              <w:jc w:val="center"/>
            </w:pPr>
            <w:r>
              <w:rPr>
                <w:rFonts w:ascii="Arial" w:cs="Arial" w:eastAsia="Arial" w:hAnsi="Arial"/>
                <w:b w:val="false"/>
                <w:bCs w:val="false"/>
                <w:color w:val="5D6D7E"/>
                <w:sz w:val="20"/>
                <w:szCs w:val="20"/>
              </w:rPr>
              <w:t xml:space="preserve">Yes (trial)</w:t>
            </w:r>
          </w:p>
        </w:tc>
        <w:tc>
          <w:tcPr>
            <w:tcW w:type="dxa" w:w="2000"/>
            <w:tcBorders>
              <w:top w:val="single" w:color="D5E0EC" w:sz="1"/>
              <w:left w:val="single" w:color="D5E0EC" w:sz="1"/>
              <w:bottom w:val="single" w:color="D5E0EC" w:sz="1"/>
              <w:right w:val="single" w:color="D5E0EC" w:sz="1"/>
            </w:tcBorders>
            <w:shd w:fill="D6E8F5"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₹200–300/mo</w:t>
            </w:r>
          </w:p>
        </w:tc>
        <w:tc>
          <w:tcPr>
            <w:tcW w:type="dxa" w:w="1680"/>
            <w:tcBorders>
              <w:top w:val="single" w:color="D5E0EC" w:sz="1"/>
              <w:left w:val="single" w:color="D5E0EC" w:sz="1"/>
              <w:bottom w:val="single" w:color="D5E0EC" w:sz="1"/>
              <w:right w:val="single" w:color="D5E0EC" w:sz="1"/>
            </w:tcBorders>
            <w:shd w:fill="D6E8F5" w:val="clear"/>
            <w:tcMar>
              <w:top w:type="dxa" w:w="80"/>
              <w:left w:type="dxa" w:w="120"/>
              <w:bottom w:type="dxa" w:w="80"/>
              <w:right w:type="dxa" w:w="120"/>
            </w:tcMar>
            <w:vAlign w:val="center"/>
          </w:tcPr>
          <w:p>
            <w:pPr>
              <w:jc w:val="center"/>
            </w:pPr>
            <w:r>
              <w:rPr>
                <w:rFonts w:ascii="Arial" w:cs="Arial" w:eastAsia="Arial" w:hAnsi="Arial"/>
                <w:b w:val="false"/>
                <w:bCs w:val="false"/>
                <w:color w:val="1E8449"/>
                <w:sz w:val="20"/>
                <w:szCs w:val="20"/>
              </w:rPr>
              <w:t xml:space="preserve">✅ India-first</w:t>
            </w:r>
          </w:p>
        </w:tc>
        <w:tc>
          <w:tcPr>
            <w:tcW w:type="dxa" w:w="1680"/>
            <w:tcBorders>
              <w:top w:val="single" w:color="D5E0EC" w:sz="1"/>
              <w:left w:val="single" w:color="D5E0EC" w:sz="1"/>
              <w:bottom w:val="single" w:color="D5E0EC" w:sz="1"/>
              <w:right w:val="single" w:color="D5E0EC" w:sz="1"/>
            </w:tcBorders>
            <w:shd w:fill="D6E8F5"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Tier 2/3 Indian learners</w:t>
            </w:r>
          </w:p>
        </w:tc>
      </w:tr>
      <w:tr>
        <w:tc>
          <w:tcPr>
            <w:tcW w:type="dxa" w:w="20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Duolingo</w:t>
            </w:r>
          </w:p>
        </w:tc>
        <w:tc>
          <w:tcPr>
            <w:tcW w:type="dxa" w:w="20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D6D7E"/>
                <w:sz w:val="20"/>
                <w:szCs w:val="20"/>
              </w:rPr>
              <w:t xml:space="preserve">Yes (ads)</w:t>
            </w:r>
          </w:p>
        </w:tc>
        <w:tc>
          <w:tcPr>
            <w:tcW w:type="dxa" w:w="20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₹750–1,200/mo (Plus)</w:t>
            </w:r>
          </w:p>
        </w:tc>
        <w:tc>
          <w:tcPr>
            <w:tcW w:type="dxa" w:w="16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 Global pricing</w:t>
            </w:r>
          </w:p>
        </w:tc>
        <w:tc>
          <w:tcPr>
            <w:tcW w:type="dxa" w:w="16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Global (not India-specific)</w:t>
            </w:r>
          </w:p>
        </w:tc>
      </w:tr>
      <w:tr>
        <w:tc>
          <w:tcPr>
            <w:tcW w:type="dxa" w:w="20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ELSA Speak</w:t>
            </w:r>
          </w:p>
        </w:tc>
        <w:tc>
          <w:tcPr>
            <w:tcW w:type="dxa" w:w="20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5D6D7E"/>
                <w:sz w:val="20"/>
                <w:szCs w:val="20"/>
              </w:rPr>
              <w:t xml:space="preserve">Yes (limited)</w:t>
            </w:r>
          </w:p>
        </w:tc>
        <w:tc>
          <w:tcPr>
            <w:tcW w:type="dxa" w:w="20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₹600–900/mo</w:t>
            </w:r>
          </w:p>
        </w:tc>
        <w:tc>
          <w:tcPr>
            <w:tcW w:type="dxa" w:w="16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 USD pricing</w:t>
            </w:r>
          </w:p>
        </w:tc>
        <w:tc>
          <w:tcPr>
            <w:tcW w:type="dxa" w:w="16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Professional globally</w:t>
            </w:r>
          </w:p>
        </w:tc>
      </w:tr>
      <w:tr>
        <w:tc>
          <w:tcPr>
            <w:tcW w:type="dxa" w:w="20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SpeakX</w:t>
            </w:r>
          </w:p>
        </w:tc>
        <w:tc>
          <w:tcPr>
            <w:tcW w:type="dxa" w:w="20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D6D7E"/>
                <w:sz w:val="20"/>
                <w:szCs w:val="20"/>
              </w:rPr>
              <w:t xml:space="preserve">Yes (limited)</w:t>
            </w:r>
          </w:p>
        </w:tc>
        <w:tc>
          <w:tcPr>
            <w:tcW w:type="dxa" w:w="20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₹299–599/mo</w:t>
            </w:r>
          </w:p>
        </w:tc>
        <w:tc>
          <w:tcPr>
            <w:tcW w:type="dxa" w:w="16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8449"/>
                <w:sz w:val="20"/>
                <w:szCs w:val="20"/>
              </w:rPr>
              <w:t xml:space="preserve">✅ India-focused</w:t>
            </w:r>
          </w:p>
        </w:tc>
        <w:tc>
          <w:tcPr>
            <w:tcW w:type="dxa" w:w="16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Indian students/professionals</w:t>
            </w:r>
          </w:p>
        </w:tc>
      </w:tr>
      <w:tr>
        <w:tc>
          <w:tcPr>
            <w:tcW w:type="dxa" w:w="20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Cambly</w:t>
            </w:r>
          </w:p>
        </w:tc>
        <w:tc>
          <w:tcPr>
            <w:tcW w:type="dxa" w:w="20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5D6D7E"/>
                <w:sz w:val="20"/>
                <w:szCs w:val="20"/>
              </w:rPr>
              <w:t xml:space="preserve">No</w:t>
            </w:r>
          </w:p>
        </w:tc>
        <w:tc>
          <w:tcPr>
            <w:tcW w:type="dxa" w:w="20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₹1,500–4,000/mo</w:t>
            </w:r>
          </w:p>
        </w:tc>
        <w:tc>
          <w:tcPr>
            <w:tcW w:type="dxa" w:w="16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 USD pricing</w:t>
            </w:r>
          </w:p>
        </w:tc>
        <w:tc>
          <w:tcPr>
            <w:tcW w:type="dxa" w:w="16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Premium English learners</w:t>
            </w:r>
          </w:p>
        </w:tc>
      </w:tr>
      <w:tr>
        <w:tc>
          <w:tcPr>
            <w:tcW w:type="dxa" w:w="20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Praktika AI</w:t>
            </w:r>
          </w:p>
        </w:tc>
        <w:tc>
          <w:tcPr>
            <w:tcW w:type="dxa" w:w="20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D6D7E"/>
                <w:sz w:val="20"/>
                <w:szCs w:val="20"/>
              </w:rPr>
              <w:t xml:space="preserve">Yes (limited)</w:t>
            </w:r>
          </w:p>
        </w:tc>
        <w:tc>
          <w:tcPr>
            <w:tcW w:type="dxa" w:w="20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₹400–700/mo</w:t>
            </w:r>
          </w:p>
        </w:tc>
        <w:tc>
          <w:tcPr>
            <w:tcW w:type="dxa" w:w="16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 Global pricing</w:t>
            </w:r>
          </w:p>
        </w:tc>
        <w:tc>
          <w:tcPr>
            <w:tcW w:type="dxa" w:w="16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Global AI learners</w:t>
            </w:r>
          </w:p>
        </w:tc>
      </w:tr>
      <w:tr>
        <w:tc>
          <w:tcPr>
            <w:tcW w:type="dxa" w:w="20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HelloTalk</w:t>
            </w:r>
          </w:p>
        </w:tc>
        <w:tc>
          <w:tcPr>
            <w:tcW w:type="dxa" w:w="20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5D6D7E"/>
                <w:sz w:val="20"/>
                <w:szCs w:val="20"/>
              </w:rPr>
              <w:t xml:space="preserve">Yes</w:t>
            </w:r>
          </w:p>
        </w:tc>
        <w:tc>
          <w:tcPr>
            <w:tcW w:type="dxa" w:w="20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₹300–500/mo</w:t>
            </w:r>
          </w:p>
        </w:tc>
        <w:tc>
          <w:tcPr>
            <w:tcW w:type="dxa" w:w="16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 Global pricing</w:t>
            </w:r>
          </w:p>
        </w:tc>
        <w:tc>
          <w:tcPr>
            <w:tcW w:type="dxa" w:w="16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Language exchange community</w:t>
            </w:r>
          </w:p>
        </w:tc>
      </w:tr>
      <w:tr>
        <w:tc>
          <w:tcPr>
            <w:tcW w:type="dxa" w:w="20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Babbel</w:t>
            </w:r>
          </w:p>
        </w:tc>
        <w:tc>
          <w:tcPr>
            <w:tcW w:type="dxa" w:w="20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D6D7E"/>
                <w:sz w:val="20"/>
                <w:szCs w:val="20"/>
              </w:rPr>
              <w:t xml:space="preserve">No</w:t>
            </w:r>
          </w:p>
        </w:tc>
        <w:tc>
          <w:tcPr>
            <w:tcW w:type="dxa" w:w="20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₹600–900/mo</w:t>
            </w:r>
          </w:p>
        </w:tc>
        <w:tc>
          <w:tcPr>
            <w:tcW w:type="dxa" w:w="16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 USD pricing</w:t>
            </w:r>
          </w:p>
        </w:tc>
        <w:tc>
          <w:tcPr>
            <w:tcW w:type="dxa" w:w="16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European language focus</w:t>
            </w:r>
          </w:p>
        </w:tc>
      </w:tr>
    </w:tbl>
    <w:p>
      <w:pPr>
        <w:pBdr>
          <w:left w:val="single" w:color="F0A500" w:sz="18" w:space="8"/>
        </w:pBdr>
        <w:shd w:fill="FEF9EC" w:val="clear"/>
        <w:spacing w:after="100" w:before="100"/>
        <w:jc w:val="both"/>
      </w:pPr>
      <w:r>
        <w:rPr>
          <w:rFonts w:ascii="Arial" w:cs="Arial" w:eastAsia="Arial" w:hAnsi="Arial"/>
          <w:i/>
          <w:iCs/>
          <w:color w:val="5D4037"/>
          <w:sz w:val="21"/>
          <w:szCs w:val="21"/>
        </w:rPr>
        <w:t xml:space="preserve">💡 Key Insight: Supernova AI is the only platform with both India-first pricing AND multi-language regional depth — a combination no global competitor can match without fundamentally restructuring its business model.</w:t>
      </w:r>
    </w:p>
    <w:p>
      <w:pPr>
        <w:pBdr>
          <w:left w:val="single" w:color="F0A500" w:sz="18" w:space="8"/>
        </w:pBdr>
        <w:shd w:fill="FEF9EC" w:val="clear"/>
        <w:spacing w:after="100" w:before="100"/>
        <w:jc w:val="both"/>
      </w:pPr>
      <w:r>
        <w:rPr>
          <w:rFonts w:ascii="Arial" w:cs="Arial" w:eastAsia="Arial" w:hAnsi="Arial"/>
          <w:i/>
          <w:iCs/>
          <w:color w:val="5D4037"/>
          <w:sz w:val="21"/>
          <w:szCs w:val="21"/>
        </w:rPr>
        <w:t xml:space="preserve">💡 Key Insight: No competitor currently offers all five dimensions together. Supernova AI's Communication Confidence Ecosystem is a structural moat — not just a feature advantage.</w:t>
      </w:r>
    </w:p>
    <w:p>
      <w:r>
        <w:br w:type="page"/>
      </w:r>
    </w:p>
    <w:p>
      <w:pPr>
        <w:pStyle w:val="Heading1"/>
        <w:pBdr>
          <w:bottom w:val="single" w:color="1A5276" w:sz="8" w:space="2"/>
        </w:pBdr>
        <w:spacing w:after="120" w:before="280"/>
      </w:pPr>
      <w:r>
        <w:rPr>
          <w:rFonts w:ascii="Arial" w:cs="Arial" w:eastAsia="Arial" w:hAnsi="Arial"/>
          <w:b/>
          <w:bCs/>
          <w:color w:val="1A5276"/>
          <w:sz w:val="32"/>
          <w:szCs w:val="32"/>
        </w:rPr>
        <w:t xml:space="preserve">6. Strategic Differentiation Proposal</w:t>
      </w:r>
    </w:p>
    <w:p>
      <w:pPr>
        <w:spacing w:after="80" w:before="40"/>
        <w:jc w:val="both"/>
      </w:pPr>
      <w:r>
        <w:rPr>
          <w:rFonts w:ascii="Arial" w:cs="Arial" w:eastAsia="Arial" w:hAnsi="Arial"/>
          <w:color w:val="1A1A2E"/>
          <w:sz w:val="21"/>
          <w:szCs w:val="21"/>
        </w:rPr>
        <w:t xml:space="preserve">Supernova AI's path to sustainable competitive advantage lies not in matching competitor features but in creating a category no competitor currently owns: the Communication Confidence Ecosystem. This repositioning — from "English learning app" to "career-transformation platform" — creates five distinct differentiation pillars.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A5276" w:sz="1"/>
              <w:left w:val="single" w:color="1A5276" w:sz="1"/>
              <w:bottom w:val="single" w:color="1A5276" w:sz="1"/>
              <w:right w:val="single" w:color="1A5276" w:sz="1"/>
            </w:tcBorders>
            <w:shd w:fill="1A5276" w:val="clear"/>
            <w:tcMar>
              <w:top w:type="dxa" w:w="80"/>
              <w:left w:type="dxa" w:w="80"/>
              <w:bottom w:type="dxa" w:w="80"/>
              <w:right w:type="dxa" w:w="80"/>
            </w:tcMar>
            <w:vAlign w:val="center"/>
          </w:tcPr>
          <w:p>
            <w:pPr>
              <w:jc w:val="center"/>
            </w:pPr>
            <w:r>
              <w:rPr>
                <w:rFonts w:ascii="Arial" w:cs="Arial" w:eastAsia="Arial" w:hAnsi="Arial"/>
                <w:b/>
                <w:bCs/>
                <w:color w:val="FFFFFF"/>
                <w:sz w:val="32"/>
                <w:szCs w:val="32"/>
              </w:rPr>
              <w:t xml:space="preserve">01</w:t>
            </w:r>
          </w:p>
          <w:p>
            <w:pPr>
              <w:jc w:val="center"/>
            </w:pPr>
            <w:r>
              <w:rPr>
                <w:rFonts w:ascii="Arial" w:cs="Arial" w:eastAsia="Arial" w:hAnsi="Arial"/>
                <w:color w:val="BBCAD8"/>
                <w:sz w:val="12"/>
                <w:szCs w:val="12"/>
              </w:rPr>
              <w:t xml:space="preserve">●●●</w:t>
            </w:r>
          </w:p>
        </w:tc>
        <w:tc>
          <w:tcPr>
            <w:tcW w:type="dxa" w:w="8560"/>
            <w:tcBorders>
              <w:top w:val="single" w:color="1A5276" w:sz="1"/>
              <w:left w:val="none"/>
              <w:bottom w:val="single" w:color="1A5276" w:sz="1"/>
              <w:right w:val="single" w:color="1A5276" w:sz="1"/>
            </w:tcBorders>
            <w:shd w:fill="F2F5F9" w:val="clear"/>
            <w:tcMar>
              <w:top w:type="dxa" w:w="80"/>
              <w:left w:type="dxa" w:w="160"/>
              <w:bottom w:type="dxa" w:w="80"/>
              <w:right w:type="dxa" w:w="120"/>
            </w:tcMar>
          </w:tcPr>
          <w:p>
            <w:pPr>
              <w:spacing w:after="30"/>
            </w:pPr>
            <w:r>
              <w:rPr>
                <w:rFonts w:ascii="Arial" w:cs="Arial" w:eastAsia="Arial" w:hAnsi="Arial"/>
                <w:b/>
                <w:bCs/>
                <w:color w:val="1A5276"/>
                <w:sz w:val="24"/>
                <w:szCs w:val="24"/>
              </w:rPr>
              <w:t xml:space="preserve">Emotional AI Coaching</w:t>
            </w:r>
          </w:p>
          <w:p>
            <w:r>
              <w:rPr>
                <w:rFonts w:ascii="Arial" w:cs="Arial" w:eastAsia="Arial" w:hAnsi="Arial"/>
                <w:color w:val="2C3E50"/>
                <w:sz w:val="20"/>
                <w:szCs w:val="20"/>
              </w:rPr>
              <w:t xml:space="preserve">Detect and resolve speaking anxiety from day 1 using behavioural signal analysis (hesitation patterns, pause frequency, repeat attempts). Build an emotionally intelligent tutor that responds to the user's confidence state, not just their grammar.</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F7A8C" w:sz="1"/>
              <w:left w:val="single" w:color="1F7A8C" w:sz="1"/>
              <w:bottom w:val="single" w:color="1F7A8C" w:sz="1"/>
              <w:right w:val="single" w:color="1F7A8C" w:sz="1"/>
            </w:tcBorders>
            <w:shd w:fill="1F7A8C" w:val="clear"/>
            <w:tcMar>
              <w:top w:type="dxa" w:w="80"/>
              <w:left w:type="dxa" w:w="80"/>
              <w:bottom w:type="dxa" w:w="80"/>
              <w:right w:type="dxa" w:w="80"/>
            </w:tcMar>
            <w:vAlign w:val="center"/>
          </w:tcPr>
          <w:p>
            <w:pPr>
              <w:jc w:val="center"/>
            </w:pPr>
            <w:r>
              <w:rPr>
                <w:rFonts w:ascii="Arial" w:cs="Arial" w:eastAsia="Arial" w:hAnsi="Arial"/>
                <w:b/>
                <w:bCs/>
                <w:color w:val="FFFFFF"/>
                <w:sz w:val="32"/>
                <w:szCs w:val="32"/>
              </w:rPr>
              <w:t xml:space="preserve">02</w:t>
            </w:r>
          </w:p>
          <w:p>
            <w:pPr>
              <w:jc w:val="center"/>
            </w:pPr>
            <w:r>
              <w:rPr>
                <w:rFonts w:ascii="Arial" w:cs="Arial" w:eastAsia="Arial" w:hAnsi="Arial"/>
                <w:color w:val="BBCAD8"/>
                <w:sz w:val="12"/>
                <w:szCs w:val="12"/>
              </w:rPr>
              <w:t xml:space="preserve">●●●</w:t>
            </w:r>
          </w:p>
        </w:tc>
        <w:tc>
          <w:tcPr>
            <w:tcW w:type="dxa" w:w="8560"/>
            <w:tcBorders>
              <w:top w:val="single" w:color="1F7A8C" w:sz="1"/>
              <w:left w:val="none"/>
              <w:bottom w:val="single" w:color="1F7A8C" w:sz="1"/>
              <w:right w:val="single" w:color="1F7A8C" w:sz="1"/>
            </w:tcBorders>
            <w:shd w:fill="F2F5F9" w:val="clear"/>
            <w:tcMar>
              <w:top w:type="dxa" w:w="80"/>
              <w:left w:type="dxa" w:w="160"/>
              <w:bottom w:type="dxa" w:w="80"/>
              <w:right w:type="dxa" w:w="120"/>
            </w:tcMar>
          </w:tcPr>
          <w:p>
            <w:pPr>
              <w:spacing w:after="30"/>
            </w:pPr>
            <w:r>
              <w:rPr>
                <w:rFonts w:ascii="Arial" w:cs="Arial" w:eastAsia="Arial" w:hAnsi="Arial"/>
                <w:b/>
                <w:bCs/>
                <w:color w:val="1F7A8C"/>
                <w:sz w:val="24"/>
                <w:szCs w:val="24"/>
              </w:rPr>
              <w:t xml:space="preserve">Peer Community Network</w:t>
            </w:r>
          </w:p>
          <w:p>
            <w:r>
              <w:rPr>
                <w:rFonts w:ascii="Arial" w:cs="Arial" w:eastAsia="Arial" w:hAnsi="Arial"/>
                <w:color w:val="2C3E50"/>
                <w:sz w:val="20"/>
                <w:szCs w:val="20"/>
              </w:rPr>
              <w:t xml:space="preserve">A curated peer community — speaking clubs, weekly challenges, peer interviews, and networking circles — that gives intermediate and advanced users ongoing social accountability and variety.</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E8449" w:sz="1"/>
              <w:left w:val="single" w:color="1E8449" w:sz="1"/>
              <w:bottom w:val="single" w:color="1E8449" w:sz="1"/>
              <w:right w:val="single" w:color="1E8449" w:sz="1"/>
            </w:tcBorders>
            <w:shd w:fill="1E8449" w:val="clear"/>
            <w:tcMar>
              <w:top w:type="dxa" w:w="80"/>
              <w:left w:type="dxa" w:w="80"/>
              <w:bottom w:type="dxa" w:w="80"/>
              <w:right w:type="dxa" w:w="80"/>
            </w:tcMar>
            <w:vAlign w:val="center"/>
          </w:tcPr>
          <w:p>
            <w:pPr>
              <w:jc w:val="center"/>
            </w:pPr>
            <w:r>
              <w:rPr>
                <w:rFonts w:ascii="Arial" w:cs="Arial" w:eastAsia="Arial" w:hAnsi="Arial"/>
                <w:b/>
                <w:bCs/>
                <w:color w:val="FFFFFF"/>
                <w:sz w:val="32"/>
                <w:szCs w:val="32"/>
              </w:rPr>
              <w:t xml:space="preserve">03</w:t>
            </w:r>
          </w:p>
          <w:p>
            <w:pPr>
              <w:jc w:val="center"/>
            </w:pPr>
            <w:r>
              <w:rPr>
                <w:rFonts w:ascii="Arial" w:cs="Arial" w:eastAsia="Arial" w:hAnsi="Arial"/>
                <w:color w:val="BBCAD8"/>
                <w:sz w:val="12"/>
                <w:szCs w:val="12"/>
              </w:rPr>
              <w:t xml:space="preserve">●●●</w:t>
            </w:r>
          </w:p>
        </w:tc>
        <w:tc>
          <w:tcPr>
            <w:tcW w:type="dxa" w:w="8560"/>
            <w:tcBorders>
              <w:top w:val="single" w:color="1E8449" w:sz="1"/>
              <w:left w:val="none"/>
              <w:bottom w:val="single" w:color="1E8449" w:sz="1"/>
              <w:right w:val="single" w:color="1E8449" w:sz="1"/>
            </w:tcBorders>
            <w:shd w:fill="F2F5F9" w:val="clear"/>
            <w:tcMar>
              <w:top w:type="dxa" w:w="80"/>
              <w:left w:type="dxa" w:w="160"/>
              <w:bottom w:type="dxa" w:w="80"/>
              <w:right w:type="dxa" w:w="120"/>
            </w:tcMar>
          </w:tcPr>
          <w:p>
            <w:pPr>
              <w:spacing w:after="30"/>
            </w:pPr>
            <w:r>
              <w:rPr>
                <w:rFonts w:ascii="Arial" w:cs="Arial" w:eastAsia="Arial" w:hAnsi="Arial"/>
                <w:b/>
                <w:bCs/>
                <w:color w:val="1E8449"/>
                <w:sz w:val="24"/>
                <w:szCs w:val="24"/>
              </w:rPr>
              <w:t xml:space="preserve">AI Career Simulation World</w:t>
            </w:r>
          </w:p>
          <w:p>
            <w:r>
              <w:rPr>
                <w:rFonts w:ascii="Arial" w:cs="Arial" w:eastAsia="Arial" w:hAnsi="Arial"/>
                <w:color w:val="2C3E50"/>
                <w:sz w:val="20"/>
                <w:szCs w:val="20"/>
              </w:rPr>
              <w:t xml:space="preserve">Full job interview simulations, workplace presentation practice, and client communication scenarios mapped to real industry contexts (IT, banking, retail). Turns practice into career preparation.</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0A500" w:sz="1"/>
              <w:left w:val="single" w:color="F0A500" w:sz="1"/>
              <w:bottom w:val="single" w:color="F0A500" w:sz="1"/>
              <w:right w:val="single" w:color="F0A500" w:sz="1"/>
            </w:tcBorders>
            <w:shd w:fill="F0A500" w:val="clear"/>
            <w:tcMar>
              <w:top w:type="dxa" w:w="80"/>
              <w:left w:type="dxa" w:w="80"/>
              <w:bottom w:type="dxa" w:w="80"/>
              <w:right w:type="dxa" w:w="80"/>
            </w:tcMar>
            <w:vAlign w:val="center"/>
          </w:tcPr>
          <w:p>
            <w:pPr>
              <w:jc w:val="center"/>
            </w:pPr>
            <w:r>
              <w:rPr>
                <w:rFonts w:ascii="Arial" w:cs="Arial" w:eastAsia="Arial" w:hAnsi="Arial"/>
                <w:b/>
                <w:bCs/>
                <w:color w:val="FFFFFF"/>
                <w:sz w:val="32"/>
                <w:szCs w:val="32"/>
              </w:rPr>
              <w:t xml:space="preserve">04</w:t>
            </w:r>
          </w:p>
          <w:p>
            <w:pPr>
              <w:jc w:val="center"/>
            </w:pPr>
            <w:r>
              <w:rPr>
                <w:rFonts w:ascii="Arial" w:cs="Arial" w:eastAsia="Arial" w:hAnsi="Arial"/>
                <w:color w:val="BBCAD8"/>
                <w:sz w:val="12"/>
                <w:szCs w:val="12"/>
              </w:rPr>
              <w:t xml:space="preserve">●●●</w:t>
            </w:r>
          </w:p>
        </w:tc>
        <w:tc>
          <w:tcPr>
            <w:tcW w:type="dxa" w:w="8560"/>
            <w:tcBorders>
              <w:top w:val="single" w:color="F0A500" w:sz="1"/>
              <w:left w:val="none"/>
              <w:bottom w:val="single" w:color="F0A500" w:sz="1"/>
              <w:right w:val="single" w:color="F0A500" w:sz="1"/>
            </w:tcBorders>
            <w:shd w:fill="F2F5F9" w:val="clear"/>
            <w:tcMar>
              <w:top w:type="dxa" w:w="80"/>
              <w:left w:type="dxa" w:w="160"/>
              <w:bottom w:type="dxa" w:w="80"/>
              <w:right w:type="dxa" w:w="120"/>
            </w:tcMar>
          </w:tcPr>
          <w:p>
            <w:pPr>
              <w:spacing w:after="30"/>
            </w:pPr>
            <w:r>
              <w:rPr>
                <w:rFonts w:ascii="Arial" w:cs="Arial" w:eastAsia="Arial" w:hAnsi="Arial"/>
                <w:b/>
                <w:bCs/>
                <w:color w:val="F0A500"/>
                <w:sz w:val="24"/>
                <w:szCs w:val="24"/>
              </w:rPr>
              <w:t xml:space="preserve">Professional Communication Suite</w:t>
            </w:r>
          </w:p>
          <w:p>
            <w:r>
              <w:rPr>
                <w:rFonts w:ascii="Arial" w:cs="Arial" w:eastAsia="Arial" w:hAnsi="Arial"/>
                <w:color w:val="2C3E50"/>
                <w:sz w:val="20"/>
                <w:szCs w:val="20"/>
              </w:rPr>
              <w:t xml:space="preserve">Advanced modules for business English, leadership communication, and industry-specific vocabulary across 10+ verticals — designed to retain advanced users who have "outgrown" basic English learning.</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0392B" w:sz="1"/>
              <w:left w:val="single" w:color="C0392B" w:sz="1"/>
              <w:bottom w:val="single" w:color="C0392B" w:sz="1"/>
              <w:right w:val="single" w:color="C0392B"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32"/>
                <w:szCs w:val="32"/>
              </w:rPr>
              <w:t xml:space="preserve">05</w:t>
            </w:r>
          </w:p>
          <w:p>
            <w:pPr>
              <w:jc w:val="center"/>
            </w:pPr>
            <w:r>
              <w:rPr>
                <w:rFonts w:ascii="Arial" w:cs="Arial" w:eastAsia="Arial" w:hAnsi="Arial"/>
                <w:color w:val="BBCAD8"/>
                <w:sz w:val="12"/>
                <w:szCs w:val="12"/>
              </w:rPr>
              <w:t xml:space="preserve">●●●</w:t>
            </w:r>
          </w:p>
        </w:tc>
        <w:tc>
          <w:tcPr>
            <w:tcW w:type="dxa" w:w="8560"/>
            <w:tcBorders>
              <w:top w:val="single" w:color="C0392B" w:sz="1"/>
              <w:left w:val="none"/>
              <w:bottom w:val="single" w:color="C0392B" w:sz="1"/>
              <w:right w:val="single" w:color="C0392B" w:sz="1"/>
            </w:tcBorders>
            <w:shd w:fill="F2F5F9" w:val="clear"/>
            <w:tcMar>
              <w:top w:type="dxa" w:w="80"/>
              <w:left w:type="dxa" w:w="160"/>
              <w:bottom w:type="dxa" w:w="80"/>
              <w:right w:type="dxa" w:w="120"/>
            </w:tcMar>
          </w:tcPr>
          <w:p>
            <w:pPr>
              <w:spacing w:after="30"/>
            </w:pPr>
            <w:r>
              <w:rPr>
                <w:rFonts w:ascii="Arial" w:cs="Arial" w:eastAsia="Arial" w:hAnsi="Arial"/>
                <w:b/>
                <w:bCs/>
                <w:color w:val="C0392B"/>
                <w:sz w:val="24"/>
                <w:szCs w:val="24"/>
              </w:rPr>
              <w:t xml:space="preserve">Regional-to-Professional Identity Journey</w:t>
            </w:r>
          </w:p>
          <w:p>
            <w:r>
              <w:rPr>
                <w:rFonts w:ascii="Arial" w:cs="Arial" w:eastAsia="Arial" w:hAnsi="Arial"/>
                <w:color w:val="2C3E50"/>
                <w:sz w:val="20"/>
                <w:szCs w:val="20"/>
              </w:rPr>
              <w:t xml:space="preserve">A culturally validated journey that affirms the user's regional identity and aspirational professional self simultaneously — across all 10 Indian languages, with culturally specific success stories.</w:t>
            </w:r>
          </w:p>
        </w:tc>
      </w:tr>
    </w:tbl>
    <w:p>
      <w:pPr>
        <w:spacing w:after="60" w:before="0"/>
      </w:pPr>
      <w:r>
        <w:t xml:space="preserve"/>
      </w:r>
    </w:p>
    <w:p>
      <w:r>
        <w:br w:type="page"/>
      </w:r>
    </w:p>
    <w:p>
      <w:pPr>
        <w:pStyle w:val="Heading1"/>
        <w:pBdr>
          <w:bottom w:val="single" w:color="1A5276" w:sz="8" w:space="2"/>
        </w:pBdr>
        <w:spacing w:after="120" w:before="280"/>
      </w:pPr>
      <w:r>
        <w:rPr>
          <w:rFonts w:ascii="Arial" w:cs="Arial" w:eastAsia="Arial" w:hAnsi="Arial"/>
          <w:b/>
          <w:bCs/>
          <w:color w:val="1A5276"/>
          <w:sz w:val="32"/>
          <w:szCs w:val="32"/>
        </w:rPr>
        <w:t xml:space="preserve">7. Communication Confidence Ecosystem Model</w:t>
      </w:r>
    </w:p>
    <w:p>
      <w:pPr>
        <w:spacing w:after="80" w:before="40"/>
        <w:jc w:val="both"/>
      </w:pPr>
      <w:r>
        <w:rPr>
          <w:rFonts w:ascii="Arial" w:cs="Arial" w:eastAsia="Arial" w:hAnsi="Arial"/>
          <w:color w:val="1A1A2E"/>
          <w:sz w:val="21"/>
          <w:szCs w:val="21"/>
        </w:rPr>
        <w:t xml:space="preserve">The Communication Confidence Ecosystem is a three-layer platform model that transforms Supernova AI from a language app into a career-transformation platform. Each layer builds on the previous — creating a retention architecture that is structurally difficult for any competitor to replicate.</w:t>
      </w:r>
    </w:p>
    <w:p>
      <w:pPr>
        <w:pStyle w:val="Heading2"/>
        <w:spacing w:after="80" w:before="160"/>
      </w:pPr>
      <w:r>
        <w:rPr>
          <w:rFonts w:ascii="Arial" w:cs="Arial" w:eastAsia="Arial" w:hAnsi="Arial"/>
          <w:b/>
          <w:bCs/>
          <w:color w:val="1A5276"/>
          <w:sz w:val="26"/>
          <w:szCs w:val="26"/>
        </w:rPr>
        <w:t xml:space="preserve">7.1 The Three Ecosystem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320"/>
        <w:gridCol w:w="2320"/>
        <w:gridCol w:w="3320"/>
      </w:tblGrid>
      <w:tr>
        <w:tc>
          <w:tcPr>
            <w:tcW w:type="dxa" w:w="140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232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232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Does</w:t>
            </w:r>
          </w:p>
        </w:tc>
        <w:tc>
          <w:tcPr>
            <w:tcW w:type="dxa" w:w="332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Retention Impact</w:t>
            </w:r>
          </w:p>
        </w:tc>
      </w:tr>
      <w:tr>
        <w:tc>
          <w:tcPr>
            <w:tcW w:type="dxa" w:w="1400"/>
            <w:tcBorders>
              <w:top w:val="single" w:color="D5E0EC" w:sz="1"/>
              <w:left w:val="single" w:color="D5E0EC" w:sz="1"/>
              <w:bottom w:val="single" w:color="D5E0EC" w:sz="1"/>
              <w:right w:val="single" w:color="D5E0EC" w:sz="1"/>
            </w:tcBorders>
            <w:shd w:fill="D6E8F5"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Layer 1
(Foundation)</w:t>
            </w:r>
          </w:p>
        </w:tc>
        <w:tc>
          <w:tcPr>
            <w:tcW w:type="dxa" w:w="232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AI Learning Core</w:t>
            </w:r>
          </w:p>
        </w:tc>
        <w:tc>
          <w:tcPr>
            <w:tcW w:type="dxa" w:w="232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Safe AI practice with Miss Nova AI tutor; pronunciation feedback; instant grammar correction; 10-language support</w:t>
            </w:r>
          </w:p>
        </w:tc>
        <w:tc>
          <w:tcPr>
            <w:tcW w:type="dxa" w:w="332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Beginners stay because the environment is judgment-free and progress is immediate</w:t>
            </w:r>
          </w:p>
        </w:tc>
      </w:tr>
      <w:tr>
        <w:tc>
          <w:tcPr>
            <w:tcW w:type="dxa" w:w="1400"/>
            <w:tcBorders>
              <w:top w:val="single" w:color="D5E0EC" w:sz="1"/>
              <w:left w:val="single" w:color="D5E0EC" w:sz="1"/>
              <w:bottom w:val="single" w:color="D5E0EC" w:sz="1"/>
              <w:right w:val="single" w:color="D5E0EC" w:sz="1"/>
            </w:tcBorders>
            <w:shd w:fill="D6E8F5"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Layer 2
(Engagement)</w:t>
            </w:r>
          </w:p>
        </w:tc>
        <w:tc>
          <w:tcPr>
            <w:tcW w:type="dxa" w:w="232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Emotional AI Coach</w:t>
            </w:r>
          </w:p>
        </w:tc>
        <w:tc>
          <w:tcPr>
            <w:tcW w:type="dxa" w:w="232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Detects speaking anxiety signals; delivers personalized emotional support; tracks confidence growth over time</w:t>
            </w:r>
          </w:p>
        </w:tc>
        <w:tc>
          <w:tcPr>
            <w:tcW w:type="dxa" w:w="332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Intermediate users stay because they feel genuinely supported, not just evaluated</w:t>
            </w:r>
          </w:p>
        </w:tc>
      </w:tr>
      <w:tr>
        <w:tc>
          <w:tcPr>
            <w:tcW w:type="dxa" w:w="1400"/>
            <w:tcBorders>
              <w:top w:val="single" w:color="D5E0EC" w:sz="1"/>
              <w:left w:val="single" w:color="D5E0EC" w:sz="1"/>
              <w:bottom w:val="single" w:color="D5E0EC" w:sz="1"/>
              <w:right w:val="single" w:color="D5E0EC" w:sz="1"/>
            </w:tcBorders>
            <w:shd w:fill="D1EAE8" w:val="clear"/>
            <w:tcMar>
              <w:top w:type="dxa" w:w="80"/>
              <w:left w:type="dxa" w:w="120"/>
              <w:bottom w:type="dxa" w:w="80"/>
              <w:right w:type="dxa" w:w="120"/>
            </w:tcMar>
            <w:vAlign w:val="center"/>
          </w:tcPr>
          <w:p>
            <w:pPr>
              <w:jc w:val="left"/>
            </w:pPr>
            <w:r>
              <w:rPr>
                <w:rFonts w:ascii="Arial" w:cs="Arial" w:eastAsia="Arial" w:hAnsi="Arial"/>
                <w:b/>
                <w:bCs/>
                <w:color w:val="1F7A8C"/>
                <w:sz w:val="20"/>
                <w:szCs w:val="20"/>
              </w:rPr>
              <w:t xml:space="preserve">Layer 2
(Community)</w:t>
            </w:r>
          </w:p>
        </w:tc>
        <w:tc>
          <w:tcPr>
            <w:tcW w:type="dxa" w:w="232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Peer Network</w:t>
            </w:r>
          </w:p>
        </w:tc>
        <w:tc>
          <w:tcPr>
            <w:tcW w:type="dxa" w:w="232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Speaking clubs, weekly challenges, peer interviews, networking circles, group accountability</w:t>
            </w:r>
          </w:p>
        </w:tc>
        <w:tc>
          <w:tcPr>
            <w:tcW w:type="dxa" w:w="332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Intermediate &amp; advanced users stay because social ties make leaving feel like a loss</w:t>
            </w:r>
          </w:p>
        </w:tc>
      </w:tr>
      <w:tr>
        <w:tc>
          <w:tcPr>
            <w:tcW w:type="dxa" w:w="1400"/>
            <w:tcBorders>
              <w:top w:val="single" w:color="D5E0EC" w:sz="1"/>
              <w:left w:val="single" w:color="D5E0EC" w:sz="1"/>
              <w:bottom w:val="single" w:color="D5E0EC" w:sz="1"/>
              <w:right w:val="single" w:color="D5E0EC" w:sz="1"/>
            </w:tcBorders>
            <w:shd w:fill="D5EFE0"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Layer 3
(Transformation)</w:t>
            </w:r>
          </w:p>
        </w:tc>
        <w:tc>
          <w:tcPr>
            <w:tcW w:type="dxa" w:w="232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Career Readiness</w:t>
            </w:r>
          </w:p>
        </w:tc>
        <w:tc>
          <w:tcPr>
            <w:tcW w:type="dxa" w:w="232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AI Career Simulation, Professional Suite, B2B partnerships, employer-linked outcomes, success story marketing</w:t>
            </w:r>
          </w:p>
        </w:tc>
        <w:tc>
          <w:tcPr>
            <w:tcW w:type="dxa" w:w="332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Advanced users stay because career outcomes — not just language skills — are at stake</w:t>
            </w:r>
          </w:p>
        </w:tc>
      </w:tr>
    </w:tbl>
    <w:p>
      <w:pPr>
        <w:spacing w:after="120" w:before="0"/>
      </w:pPr>
      <w:r>
        <w:t xml:space="preserve"/>
      </w:r>
    </w:p>
    <w:p>
      <w:pPr>
        <w:pStyle w:val="Heading2"/>
        <w:spacing w:after="80" w:before="160"/>
      </w:pPr>
      <w:r>
        <w:rPr>
          <w:rFonts w:ascii="Arial" w:cs="Arial" w:eastAsia="Arial" w:hAnsi="Arial"/>
          <w:b/>
          <w:bCs/>
          <w:color w:val="1A5276"/>
          <w:sz w:val="26"/>
          <w:szCs w:val="26"/>
        </w:rPr>
        <w:t xml:space="preserve">7.2 How the Ecosystem Compares to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320"/>
        <w:gridCol w:w="1320"/>
        <w:gridCol w:w="1320"/>
        <w:gridCol w:w="1320"/>
        <w:gridCol w:w="1320"/>
        <w:gridCol w:w="600"/>
      </w:tblGrid>
      <w:tr>
        <w:tc>
          <w:tcPr>
            <w:tcW w:type="dxa" w:w="276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132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Supernova</w:t>
            </w:r>
          </w:p>
        </w:tc>
        <w:tc>
          <w:tcPr>
            <w:tcW w:type="dxa" w:w="132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Duolingo</w:t>
            </w:r>
          </w:p>
        </w:tc>
        <w:tc>
          <w:tcPr>
            <w:tcW w:type="dxa" w:w="132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ELSA</w:t>
            </w:r>
          </w:p>
        </w:tc>
        <w:tc>
          <w:tcPr>
            <w:tcW w:type="dxa" w:w="132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SpeakX</w:t>
            </w:r>
          </w:p>
        </w:tc>
        <w:tc>
          <w:tcPr>
            <w:tcW w:type="dxa" w:w="132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Cambly</w:t>
            </w:r>
          </w:p>
        </w:tc>
        <w:tc>
          <w:tcPr>
            <w:tcW w:type="dxa" w:w="60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Praktika</w:t>
            </w:r>
          </w:p>
        </w:tc>
      </w:tr>
      <w:tr>
        <w:tc>
          <w:tcPr>
            <w:tcW w:type="dxa" w:w="276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AI Learning</w:t>
            </w:r>
          </w:p>
        </w:tc>
        <w:tc>
          <w:tcPr>
            <w:tcW w:type="dxa" w:w="1320"/>
            <w:tcBorders>
              <w:top w:val="single" w:color="D5E0EC" w:sz="1"/>
              <w:left w:val="single" w:color="D5E0EC" w:sz="1"/>
              <w:bottom w:val="single" w:color="D5E0EC" w:sz="1"/>
              <w:right w:val="single" w:color="D5E0EC" w:sz="1"/>
            </w:tcBorders>
            <w:shd w:fill="E0EEF8" w:val="clear"/>
            <w:tcMar>
              <w:top w:type="dxa" w:w="80"/>
              <w:left w:type="dxa" w:w="120"/>
              <w:bottom w:type="dxa" w:w="80"/>
              <w:right w:type="dxa" w:w="120"/>
            </w:tcMar>
            <w:vAlign w:val="center"/>
          </w:tcPr>
          <w:p>
            <w:pPr>
              <w:jc w:val="center"/>
            </w:pPr>
            <w:r>
              <w:rPr>
                <w:rFonts w:ascii="Arial" w:cs="Arial" w:eastAsia="Arial" w:hAnsi="Arial"/>
                <w:b/>
                <w:bCs/>
                <w:color w:val="1E8449"/>
                <w:sz w:val="20"/>
                <w:szCs w:val="20"/>
              </w:rPr>
              <w:t xml:space="preserve">✅</w:t>
            </w:r>
          </w:p>
        </w:tc>
        <w:tc>
          <w:tcPr>
            <w:tcW w:type="dxa" w:w="132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1E8449"/>
                <w:sz w:val="20"/>
                <w:szCs w:val="20"/>
              </w:rPr>
              <w:t xml:space="preserve">✅</w:t>
            </w:r>
          </w:p>
        </w:tc>
        <w:tc>
          <w:tcPr>
            <w:tcW w:type="dxa" w:w="132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1E8449"/>
                <w:sz w:val="20"/>
                <w:szCs w:val="20"/>
              </w:rPr>
              <w:t xml:space="preserve">✅</w:t>
            </w:r>
          </w:p>
        </w:tc>
        <w:tc>
          <w:tcPr>
            <w:tcW w:type="dxa" w:w="132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1E8449"/>
                <w:sz w:val="20"/>
                <w:szCs w:val="20"/>
              </w:rPr>
              <w:t xml:space="preserve">✅</w:t>
            </w:r>
          </w:p>
        </w:tc>
        <w:tc>
          <w:tcPr>
            <w:tcW w:type="dxa" w:w="132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w:t>
            </w:r>
          </w:p>
        </w:tc>
        <w:tc>
          <w:tcPr>
            <w:tcW w:type="dxa" w:w="6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1E8449"/>
                <w:sz w:val="20"/>
                <w:szCs w:val="20"/>
              </w:rPr>
              <w:t xml:space="preserve">✅</w:t>
            </w:r>
          </w:p>
        </w:tc>
      </w:tr>
      <w:tr>
        <w:tc>
          <w:tcPr>
            <w:tcW w:type="dxa" w:w="276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Emotional Coaching</w:t>
            </w:r>
          </w:p>
        </w:tc>
        <w:tc>
          <w:tcPr>
            <w:tcW w:type="dxa" w:w="1320"/>
            <w:tcBorders>
              <w:top w:val="single" w:color="D5E0EC" w:sz="1"/>
              <w:left w:val="single" w:color="D5E0EC" w:sz="1"/>
              <w:bottom w:val="single" w:color="D5E0EC" w:sz="1"/>
              <w:right w:val="single" w:color="D5E0EC" w:sz="1"/>
            </w:tcBorders>
            <w:shd w:fill="E0EEF8" w:val="clear"/>
            <w:tcMar>
              <w:top w:type="dxa" w:w="80"/>
              <w:left w:type="dxa" w:w="120"/>
              <w:bottom w:type="dxa" w:w="80"/>
              <w:right w:type="dxa" w:w="120"/>
            </w:tcMar>
            <w:vAlign w:val="center"/>
          </w:tcPr>
          <w:p>
            <w:pPr>
              <w:jc w:val="center"/>
            </w:pPr>
            <w:r>
              <w:rPr>
                <w:rFonts w:ascii="Arial" w:cs="Arial" w:eastAsia="Arial" w:hAnsi="Arial"/>
                <w:b/>
                <w:bCs/>
                <w:color w:val="1E8449"/>
                <w:sz w:val="20"/>
                <w:szCs w:val="20"/>
              </w:rPr>
              <w:t xml:space="preserve">✅</w:t>
            </w:r>
          </w:p>
        </w:tc>
        <w:tc>
          <w:tcPr>
            <w:tcW w:type="dxa" w:w="132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w:t>
            </w:r>
          </w:p>
        </w:tc>
        <w:tc>
          <w:tcPr>
            <w:tcW w:type="dxa" w:w="132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w:t>
            </w:r>
          </w:p>
        </w:tc>
        <w:tc>
          <w:tcPr>
            <w:tcW w:type="dxa" w:w="132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w:t>
            </w:r>
          </w:p>
        </w:tc>
        <w:tc>
          <w:tcPr>
            <w:tcW w:type="dxa" w:w="132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w:t>
            </w:r>
          </w:p>
        </w:tc>
        <w:tc>
          <w:tcPr>
            <w:tcW w:type="dxa" w:w="6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w:t>
            </w:r>
          </w:p>
        </w:tc>
      </w:tr>
      <w:tr>
        <w:tc>
          <w:tcPr>
            <w:tcW w:type="dxa" w:w="276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Peer Community</w:t>
            </w:r>
          </w:p>
        </w:tc>
        <w:tc>
          <w:tcPr>
            <w:tcW w:type="dxa" w:w="1320"/>
            <w:tcBorders>
              <w:top w:val="single" w:color="D5E0EC" w:sz="1"/>
              <w:left w:val="single" w:color="D5E0EC" w:sz="1"/>
              <w:bottom w:val="single" w:color="D5E0EC" w:sz="1"/>
              <w:right w:val="single" w:color="D5E0EC" w:sz="1"/>
            </w:tcBorders>
            <w:shd w:fill="E0EEF8" w:val="clear"/>
            <w:tcMar>
              <w:top w:type="dxa" w:w="80"/>
              <w:left w:type="dxa" w:w="120"/>
              <w:bottom w:type="dxa" w:w="80"/>
              <w:right w:type="dxa" w:w="120"/>
            </w:tcMar>
            <w:vAlign w:val="center"/>
          </w:tcPr>
          <w:p>
            <w:pPr>
              <w:jc w:val="center"/>
            </w:pPr>
            <w:r>
              <w:rPr>
                <w:rFonts w:ascii="Arial" w:cs="Arial" w:eastAsia="Arial" w:hAnsi="Arial"/>
                <w:b/>
                <w:bCs/>
                <w:color w:val="1E8449"/>
                <w:sz w:val="20"/>
                <w:szCs w:val="20"/>
              </w:rPr>
              <w:t xml:space="preserve">✅</w:t>
            </w:r>
          </w:p>
        </w:tc>
        <w:tc>
          <w:tcPr>
            <w:tcW w:type="dxa" w:w="132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w:t>
            </w:r>
          </w:p>
        </w:tc>
        <w:tc>
          <w:tcPr>
            <w:tcW w:type="dxa" w:w="132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w:t>
            </w:r>
          </w:p>
        </w:tc>
        <w:tc>
          <w:tcPr>
            <w:tcW w:type="dxa" w:w="132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w:t>
            </w:r>
          </w:p>
        </w:tc>
        <w:tc>
          <w:tcPr>
            <w:tcW w:type="dxa" w:w="132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w:t>
            </w:r>
          </w:p>
        </w:tc>
        <w:tc>
          <w:tcPr>
            <w:tcW w:type="dxa" w:w="6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w:t>
            </w:r>
          </w:p>
        </w:tc>
      </w:tr>
      <w:tr>
        <w:tc>
          <w:tcPr>
            <w:tcW w:type="dxa" w:w="276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Career Readiness</w:t>
            </w:r>
          </w:p>
        </w:tc>
        <w:tc>
          <w:tcPr>
            <w:tcW w:type="dxa" w:w="1320"/>
            <w:tcBorders>
              <w:top w:val="single" w:color="D5E0EC" w:sz="1"/>
              <w:left w:val="single" w:color="D5E0EC" w:sz="1"/>
              <w:bottom w:val="single" w:color="D5E0EC" w:sz="1"/>
              <w:right w:val="single" w:color="D5E0EC" w:sz="1"/>
            </w:tcBorders>
            <w:shd w:fill="E0EEF8" w:val="clear"/>
            <w:tcMar>
              <w:top w:type="dxa" w:w="80"/>
              <w:left w:type="dxa" w:w="120"/>
              <w:bottom w:type="dxa" w:w="80"/>
              <w:right w:type="dxa" w:w="120"/>
            </w:tcMar>
            <w:vAlign w:val="center"/>
          </w:tcPr>
          <w:p>
            <w:pPr>
              <w:jc w:val="center"/>
            </w:pPr>
            <w:r>
              <w:rPr>
                <w:rFonts w:ascii="Arial" w:cs="Arial" w:eastAsia="Arial" w:hAnsi="Arial"/>
                <w:b/>
                <w:bCs/>
                <w:color w:val="1E8449"/>
                <w:sz w:val="20"/>
                <w:szCs w:val="20"/>
              </w:rPr>
              <w:t xml:space="preserve">✅</w:t>
            </w:r>
          </w:p>
        </w:tc>
        <w:tc>
          <w:tcPr>
            <w:tcW w:type="dxa" w:w="132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w:t>
            </w:r>
          </w:p>
        </w:tc>
        <w:tc>
          <w:tcPr>
            <w:tcW w:type="dxa" w:w="132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w:t>
            </w:r>
          </w:p>
        </w:tc>
        <w:tc>
          <w:tcPr>
            <w:tcW w:type="dxa" w:w="132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8449"/>
                <w:sz w:val="20"/>
                <w:szCs w:val="20"/>
              </w:rPr>
              <w:t xml:space="preserve">✅</w:t>
            </w:r>
          </w:p>
        </w:tc>
        <w:tc>
          <w:tcPr>
            <w:tcW w:type="dxa" w:w="132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8449"/>
                <w:sz w:val="20"/>
                <w:szCs w:val="20"/>
              </w:rPr>
              <w:t xml:space="preserve">✅</w:t>
            </w:r>
          </w:p>
        </w:tc>
        <w:tc>
          <w:tcPr>
            <w:tcW w:type="dxa" w:w="6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w:t>
            </w:r>
          </w:p>
        </w:tc>
      </w:tr>
      <w:tr>
        <w:tc>
          <w:tcPr>
            <w:tcW w:type="dxa" w:w="276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Regional Language Depth</w:t>
            </w:r>
          </w:p>
        </w:tc>
        <w:tc>
          <w:tcPr>
            <w:tcW w:type="dxa" w:w="1320"/>
            <w:tcBorders>
              <w:top w:val="single" w:color="D5E0EC" w:sz="1"/>
              <w:left w:val="single" w:color="D5E0EC" w:sz="1"/>
              <w:bottom w:val="single" w:color="D5E0EC" w:sz="1"/>
              <w:right w:val="single" w:color="D5E0EC" w:sz="1"/>
            </w:tcBorders>
            <w:shd w:fill="E0EEF8" w:val="clear"/>
            <w:tcMar>
              <w:top w:type="dxa" w:w="80"/>
              <w:left w:type="dxa" w:w="120"/>
              <w:bottom w:type="dxa" w:w="80"/>
              <w:right w:type="dxa" w:w="120"/>
            </w:tcMar>
            <w:vAlign w:val="center"/>
          </w:tcPr>
          <w:p>
            <w:pPr>
              <w:jc w:val="center"/>
            </w:pPr>
            <w:r>
              <w:rPr>
                <w:rFonts w:ascii="Arial" w:cs="Arial" w:eastAsia="Arial" w:hAnsi="Arial"/>
                <w:b/>
                <w:bCs/>
                <w:color w:val="1E8449"/>
                <w:sz w:val="20"/>
                <w:szCs w:val="20"/>
              </w:rPr>
              <w:t xml:space="preserve">✅</w:t>
            </w:r>
          </w:p>
        </w:tc>
        <w:tc>
          <w:tcPr>
            <w:tcW w:type="dxa" w:w="132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w:t>
            </w:r>
          </w:p>
        </w:tc>
        <w:tc>
          <w:tcPr>
            <w:tcW w:type="dxa" w:w="132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w:t>
            </w:r>
          </w:p>
        </w:tc>
        <w:tc>
          <w:tcPr>
            <w:tcW w:type="dxa" w:w="132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1E8449"/>
                <w:sz w:val="20"/>
                <w:szCs w:val="20"/>
              </w:rPr>
              <w:t xml:space="preserve">✅</w:t>
            </w:r>
          </w:p>
        </w:tc>
        <w:tc>
          <w:tcPr>
            <w:tcW w:type="dxa" w:w="132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w:t>
            </w:r>
          </w:p>
        </w:tc>
        <w:tc>
          <w:tcPr>
            <w:tcW w:type="dxa" w:w="6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w:t>
            </w:r>
          </w:p>
        </w:tc>
      </w:tr>
    </w:tbl>
    <w:p>
      <w:r>
        <w:br w:type="page"/>
      </w:r>
    </w:p>
    <w:p>
      <w:pPr>
        <w:spacing w:after="80" w:before="0"/>
      </w:pPr>
      <w:r>
        <w:t xml:space="preserve"/>
      </w:r>
    </w:p>
    <w:p>
      <w:pPr>
        <w:pStyle w:val="Heading2"/>
        <w:spacing w:after="80" w:before="160"/>
      </w:pPr>
      <w:r>
        <w:rPr>
          <w:rFonts w:ascii="Arial" w:cs="Arial" w:eastAsia="Arial" w:hAnsi="Arial"/>
          <w:b/>
          <w:bCs/>
          <w:color w:val="1A5276"/>
          <w:sz w:val="26"/>
          <w:szCs w:val="26"/>
        </w:rPr>
        <w:t xml:space="preserve">7.3 The Communication Confidence Flywheel — Detailed</w:t>
      </w:r>
    </w:p>
    <w:p>
      <w:pPr>
        <w:spacing w:after="80" w:before="40"/>
        <w:jc w:val="both"/>
      </w:pPr>
      <w:r>
        <w:rPr>
          <w:rFonts w:ascii="Arial" w:cs="Arial" w:eastAsia="Arial" w:hAnsi="Arial"/>
          <w:color w:val="1A1A2E"/>
          <w:sz w:val="21"/>
          <w:szCs w:val="21"/>
        </w:rPr>
        <w:t xml:space="preserve">The flywheel is the self-reinforcing growth mechanism that makes the Communication Confidence Ecosystem structurally superior to any single-feature competitor. Once the flywheel spins, each revolution is faster and cheaper than the last.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880"/>
        <w:gridCol w:w="2880"/>
      </w:tblGrid>
      <w:tr>
        <w:tc>
          <w:tcPr>
            <w:tcW w:type="dxa" w:w="60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W w:type="dxa" w:w="300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Flywheel Stage</w:t>
            </w:r>
          </w:p>
        </w:tc>
        <w:tc>
          <w:tcPr>
            <w:tcW w:type="dxa" w:w="288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Happens</w:t>
            </w:r>
          </w:p>
        </w:tc>
        <w:tc>
          <w:tcPr>
            <w:tcW w:type="dxa" w:w="288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Business Impact</w:t>
            </w:r>
          </w:p>
        </w:tc>
      </w:tr>
      <w:tr>
        <w:tc>
          <w:tcPr>
            <w:tcW w:type="dxa" w:w="60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w:t>
            </w:r>
          </w:p>
        </w:tc>
        <w:tc>
          <w:tcPr>
            <w:tcW w:type="dxa" w:w="30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AI Practice → Early Confidence</w:t>
            </w:r>
          </w:p>
        </w:tc>
        <w:tc>
          <w:tcPr>
            <w:tcW w:type="dxa" w:w="28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User practices safely with Miss Nova; pronunciation improves; speaking anxiety reduces within days</w:t>
            </w:r>
          </w:p>
        </w:tc>
        <w:tc>
          <w:tcPr>
            <w:tcW w:type="dxa" w:w="28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8449"/>
                <w:sz w:val="20"/>
                <w:szCs w:val="20"/>
              </w:rPr>
              <w:t xml:space="preserve">Habit forms in first 14 days — the most critical window for conversion</w:t>
            </w:r>
          </w:p>
        </w:tc>
      </w:tr>
      <w:tr>
        <w:tc>
          <w:tcPr>
            <w:tcW w:type="dxa" w:w="600"/>
            <w:tcBorders>
              <w:top w:val="single" w:color="D5E0EC" w:sz="1"/>
              <w:left w:val="single" w:color="D5E0EC" w:sz="1"/>
              <w:bottom w:val="single" w:color="D5E0EC" w:sz="1"/>
              <w:right w:val="single" w:color="D5E0E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w:t>
            </w:r>
          </w:p>
        </w:tc>
        <w:tc>
          <w:tcPr>
            <w:tcW w:type="dxa" w:w="30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Confidence → Payment Motivation</w:t>
            </w:r>
          </w:p>
        </w:tc>
        <w:tc>
          <w:tcPr>
            <w:tcW w:type="dxa" w:w="28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Visible progress makes the value of continuing obvious — user converts from free trial to paid</w:t>
            </w:r>
          </w:p>
        </w:tc>
        <w:tc>
          <w:tcPr>
            <w:tcW w:type="dxa" w:w="28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8449"/>
                <w:sz w:val="20"/>
                <w:szCs w:val="20"/>
              </w:rPr>
              <w:t xml:space="preserve">Conversion rate improves; CAC recovery accelerates</w:t>
            </w:r>
          </w:p>
        </w:tc>
      </w:tr>
      <w:tr>
        <w:tc>
          <w:tcPr>
            <w:tcW w:type="dxa" w:w="600"/>
            <w:tcBorders>
              <w:top w:val="single" w:color="D5E0EC" w:sz="1"/>
              <w:left w:val="single" w:color="D5E0EC" w:sz="1"/>
              <w:bottom w:val="single" w:color="D5E0EC" w:sz="1"/>
              <w:right w:val="single" w:color="D5E0EC" w:sz="1"/>
            </w:tcBorders>
            <w:shd w:fill="1F7A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w:t>
            </w:r>
          </w:p>
        </w:tc>
        <w:tc>
          <w:tcPr>
            <w:tcW w:type="dxa" w:w="30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Payment → Deeper Usage</w:t>
            </w:r>
          </w:p>
        </w:tc>
        <w:tc>
          <w:tcPr>
            <w:tcW w:type="dxa" w:w="28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Paid commitment increases usage frequency; user explores more features and invests more time</w:t>
            </w:r>
          </w:p>
        </w:tc>
        <w:tc>
          <w:tcPr>
            <w:tcW w:type="dxa" w:w="28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8449"/>
                <w:sz w:val="20"/>
                <w:szCs w:val="20"/>
              </w:rPr>
              <w:t xml:space="preserve">LTV grows with each additional month of retention</w:t>
            </w:r>
          </w:p>
        </w:tc>
      </w:tr>
      <w:tr>
        <w:tc>
          <w:tcPr>
            <w:tcW w:type="dxa" w:w="600"/>
            <w:tcBorders>
              <w:top w:val="single" w:color="D5E0EC" w:sz="1"/>
              <w:left w:val="single" w:color="D5E0EC" w:sz="1"/>
              <w:bottom w:val="single" w:color="D5E0EC" w:sz="1"/>
              <w:right w:val="single" w:color="D5E0EC" w:sz="1"/>
            </w:tcBorders>
            <w:shd w:fill="1E844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w:t>
            </w:r>
          </w:p>
        </w:tc>
        <w:tc>
          <w:tcPr>
            <w:tcW w:type="dxa" w:w="30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Usage → Community Entry</w:t>
            </w:r>
          </w:p>
        </w:tc>
        <w:tc>
          <w:tcPr>
            <w:tcW w:type="dxa" w:w="28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User joins peer community; finds accountability partners; participates in speaking challenges</w:t>
            </w:r>
          </w:p>
        </w:tc>
        <w:tc>
          <w:tcPr>
            <w:tcW w:type="dxa" w:w="28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8449"/>
                <w:sz w:val="20"/>
                <w:szCs w:val="20"/>
              </w:rPr>
              <w:t xml:space="preserve">Boredom eliminated; intermediate churn reduced significantly</w:t>
            </w:r>
          </w:p>
        </w:tc>
      </w:tr>
      <w:tr>
        <w:tc>
          <w:tcPr>
            <w:tcW w:type="dxa" w:w="600"/>
            <w:tcBorders>
              <w:top w:val="single" w:color="D5E0EC" w:sz="1"/>
              <w:left w:val="single" w:color="D5E0EC" w:sz="1"/>
              <w:bottom w:val="single" w:color="D5E0EC" w:sz="1"/>
              <w:right w:val="single" w:color="D5E0EC" w:sz="1"/>
            </w:tcBorders>
            <w:shd w:fill="F0A5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5</w:t>
            </w:r>
          </w:p>
        </w:tc>
        <w:tc>
          <w:tcPr>
            <w:tcW w:type="dxa" w:w="30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Community → Career Outcomes</w:t>
            </w:r>
          </w:p>
        </w:tc>
        <w:tc>
          <w:tcPr>
            <w:tcW w:type="dxa" w:w="28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Peer support, professional practice, and AI Career Simulation deliver real career improvements</w:t>
            </w:r>
          </w:p>
        </w:tc>
        <w:tc>
          <w:tcPr>
            <w:tcW w:type="dxa" w:w="28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8449"/>
                <w:sz w:val="20"/>
                <w:szCs w:val="20"/>
              </w:rPr>
              <w:t xml:space="preserve">Platform becomes emotionally irreplaceable — not just useful</w:t>
            </w:r>
          </w:p>
        </w:tc>
      </w:tr>
      <w:tr>
        <w:tc>
          <w:tcPr>
            <w:tcW w:type="dxa" w:w="600"/>
            <w:tcBorders>
              <w:top w:val="single" w:color="D5E0EC" w:sz="1"/>
              <w:left w:val="single" w:color="D5E0EC" w:sz="1"/>
              <w:bottom w:val="single" w:color="D5E0EC" w:sz="1"/>
              <w:right w:val="single" w:color="D5E0E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6</w:t>
            </w:r>
          </w:p>
        </w:tc>
        <w:tc>
          <w:tcPr>
            <w:tcW w:type="dxa" w:w="30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Career Outcomes → Success Stories</w:t>
            </w:r>
          </w:p>
        </w:tc>
        <w:tc>
          <w:tcPr>
            <w:tcW w:type="dxa" w:w="28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Users share transformation stories on social media; friends and family see proof of results</w:t>
            </w:r>
          </w:p>
        </w:tc>
        <w:tc>
          <w:tcPr>
            <w:tcW w:type="dxa" w:w="28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8449"/>
                <w:sz w:val="20"/>
                <w:szCs w:val="20"/>
              </w:rPr>
              <w:t xml:space="preserve">Organic brand credibility grows at zero advertising cost</w:t>
            </w:r>
          </w:p>
        </w:tc>
      </w:tr>
      <w:tr>
        <w:tc>
          <w:tcPr>
            <w:tcW w:type="dxa" w:w="600"/>
            <w:tcBorders>
              <w:top w:val="single" w:color="D5E0EC" w:sz="1"/>
              <w:left w:val="single" w:color="D5E0EC" w:sz="1"/>
              <w:bottom w:val="single" w:color="D5E0EC" w:sz="1"/>
              <w:right w:val="single" w:color="D5E0EC" w:sz="1"/>
            </w:tcBorders>
            <w:shd w:fill="5D6D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7</w:t>
            </w:r>
          </w:p>
        </w:tc>
        <w:tc>
          <w:tcPr>
            <w:tcW w:type="dxa" w:w="30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Success Stories → Referrals</w:t>
            </w:r>
          </w:p>
        </w:tc>
        <w:tc>
          <w:tcPr>
            <w:tcW w:type="dxa" w:w="28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Authentic success stories drive downloads from similar audiences in same regions and demographics</w:t>
            </w:r>
          </w:p>
        </w:tc>
        <w:tc>
          <w:tcPr>
            <w:tcW w:type="dxa" w:w="28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E8449"/>
                <w:sz w:val="20"/>
                <w:szCs w:val="20"/>
              </w:rPr>
              <w:t xml:space="preserve">CAC falls as referral acquisition grows; LTV of referral users is 20–30% higher</w:t>
            </w:r>
          </w:p>
        </w:tc>
      </w:tr>
      <w:tr>
        <w:tc>
          <w:tcPr>
            <w:tcW w:type="dxa" w:w="600"/>
            <w:tcBorders>
              <w:top w:val="single" w:color="D5E0EC" w:sz="1"/>
              <w:left w:val="single" w:color="D5E0EC" w:sz="1"/>
              <w:bottom w:val="single" w:color="D5E0EC" w:sz="1"/>
              <w:right w:val="single" w:color="D5E0E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8</w:t>
            </w:r>
          </w:p>
        </w:tc>
        <w:tc>
          <w:tcPr>
            <w:tcW w:type="dxa" w:w="30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Referrals → New Users</w:t>
            </w:r>
          </w:p>
        </w:tc>
        <w:tc>
          <w:tcPr>
            <w:tcW w:type="dxa" w:w="28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New users enter the flywheel at Step 1 — the cycle repeats with a stronger, more active community</w:t>
            </w:r>
          </w:p>
        </w:tc>
        <w:tc>
          <w:tcPr>
            <w:tcW w:type="dxa" w:w="28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8449"/>
                <w:sz w:val="20"/>
                <w:szCs w:val="20"/>
              </w:rPr>
              <w:t xml:space="preserve">Network effects compound: each new user makes the community more valuable for all existing users</w:t>
            </w:r>
          </w:p>
        </w:tc>
      </w:tr>
    </w:tbl>
    <w:p>
      <w:r>
        <w:br w:type="page"/>
      </w:r>
    </w:p>
    <w:p>
      <w:pPr>
        <w:pStyle w:val="Heading1"/>
        <w:pBdr>
          <w:bottom w:val="single" w:color="1A5276" w:sz="8" w:space="2"/>
        </w:pBdr>
        <w:spacing w:after="120" w:before="280"/>
      </w:pPr>
      <w:r>
        <w:rPr>
          <w:rFonts w:ascii="Arial" w:cs="Arial" w:eastAsia="Arial" w:hAnsi="Arial"/>
          <w:b/>
          <w:bCs/>
          <w:color w:val="1A5276"/>
          <w:sz w:val="32"/>
          <w:szCs w:val="32"/>
        </w:rPr>
        <w:t xml:space="preserve">8. Retention, CAC &amp; LTV Strategy</w:t>
      </w:r>
    </w:p>
    <w:p>
      <w:pPr>
        <w:spacing w:after="80" w:before="40"/>
        <w:jc w:val="both"/>
      </w:pPr>
      <w:r>
        <w:rPr>
          <w:rFonts w:ascii="Arial" w:cs="Arial" w:eastAsia="Arial" w:hAnsi="Arial"/>
          <w:color w:val="1A1A2E"/>
          <w:sz w:val="21"/>
          <w:szCs w:val="21"/>
        </w:rPr>
        <w:t xml:space="preserve">Retention, Customer Acquisition Cost (CAC), and Lifetime Value (LTV) are the three most important financial metrics for any subscription-based edtech platform. Together, they determine whether Supernova AI's business model is sustainable.</w:t>
      </w:r>
    </w:p>
    <w:p>
      <w:pPr>
        <w:pStyle w:val="Heading2"/>
        <w:spacing w:after="80" w:before="160"/>
      </w:pPr>
      <w:r>
        <w:rPr>
          <w:rFonts w:ascii="Arial" w:cs="Arial" w:eastAsia="Arial" w:hAnsi="Arial"/>
          <w:b/>
          <w:bCs/>
          <w:color w:val="1A5276"/>
          <w:sz w:val="26"/>
          <w:szCs w:val="26"/>
        </w:rPr>
        <w:t xml:space="preserve">8.1 Key Metrics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348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Definition</w:t>
            </w:r>
          </w:p>
        </w:tc>
        <w:tc>
          <w:tcPr>
            <w:tcW w:type="dxa" w:w="348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Why It Matters for Supernova AI</w:t>
            </w:r>
          </w:p>
        </w:tc>
      </w:tr>
      <w:tr>
        <w:tc>
          <w:tcPr>
            <w:tcW w:type="dxa" w:w="2400"/>
            <w:tcBorders>
              <w:top w:val="single" w:color="D5E0EC" w:sz="1"/>
              <w:left w:val="single" w:color="D5E0EC" w:sz="1"/>
              <w:bottom w:val="single" w:color="D5E0EC" w:sz="1"/>
              <w:right w:val="single" w:color="D5E0EC" w:sz="1"/>
            </w:tcBorders>
            <w:shd w:fill="FAE0DD"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CAC — Customer Acquisition Cost</w:t>
            </w:r>
          </w:p>
        </w:tc>
        <w:tc>
          <w:tcPr>
            <w:tcW w:type="dxa" w:w="34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Total cost to acquire one new paying user (ad spend + marketing ÷ new customers)</w:t>
            </w:r>
          </w:p>
        </w:tc>
        <w:tc>
          <w:tcPr>
            <w:tcW w:type="dxa" w:w="34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Rising CAC is the biggest growth threat. If acquiring a user costs more than they generate, growth becomes unprofitable.</w:t>
            </w:r>
          </w:p>
        </w:tc>
      </w:tr>
      <w:tr>
        <w:tc>
          <w:tcPr>
            <w:tcW w:type="dxa" w:w="2400"/>
            <w:tcBorders>
              <w:top w:val="single" w:color="D5E0EC" w:sz="1"/>
              <w:left w:val="single" w:color="D5E0EC" w:sz="1"/>
              <w:bottom w:val="single" w:color="D5E0EC" w:sz="1"/>
              <w:right w:val="single" w:color="D5E0EC" w:sz="1"/>
            </w:tcBorders>
            <w:shd w:fill="DDF2E8"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LTV — Lifetime Value</w:t>
            </w:r>
          </w:p>
        </w:tc>
        <w:tc>
          <w:tcPr>
            <w:tcW w:type="dxa" w:w="34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Total revenue generated by one user over their entire subscription period</w:t>
            </w:r>
          </w:p>
        </w:tc>
        <w:tc>
          <w:tcPr>
            <w:tcW w:type="dxa" w:w="34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Low LTV caused by high churn makes high CAC unsustainable. Improving LTV is the fastest path to profitability.</w:t>
            </w:r>
          </w:p>
        </w:tc>
      </w:tr>
      <w:tr>
        <w:tc>
          <w:tcPr>
            <w:tcW w:type="dxa" w:w="2400"/>
            <w:tcBorders>
              <w:top w:val="single" w:color="D5E0EC" w:sz="1"/>
              <w:left w:val="single" w:color="D5E0EC" w:sz="1"/>
              <w:bottom w:val="single" w:color="D5E0EC" w:sz="1"/>
              <w:right w:val="single" w:color="D5E0EC" w:sz="1"/>
            </w:tcBorders>
            <w:shd w:fill="EBF5FB"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Retention Rate</w:t>
            </w:r>
          </w:p>
        </w:tc>
        <w:tc>
          <w:tcPr>
            <w:tcW w:type="dxa" w:w="34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Percentage of users who continue after their first month</w:t>
            </w:r>
          </w:p>
        </w:tc>
        <w:tc>
          <w:tcPr>
            <w:tcW w:type="dxa" w:w="34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Retention is the foundation of both LTV and sustainable CAC. Every extra month a user stays dramatically improves LTV.</w:t>
            </w:r>
          </w:p>
        </w:tc>
      </w:tr>
    </w:tbl>
    <w:p>
      <w:pPr>
        <w:spacing w:after="120" w:before="0"/>
      </w:pPr>
      <w:r>
        <w:t xml:space="preserve"/>
      </w:r>
    </w:p>
    <w:p>
      <w:pPr>
        <w:spacing w:after="120" w:before="120"/>
        <w:jc w:val="center"/>
      </w:pPr>
      <w:r>
        <w:drawing>
          <wp:inline distT="0" distB="0" distL="0" distR="0">
            <wp:extent cx="6096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048000"/>
                    </a:xfrm>
                    <a:prstGeom prst="rect">
                      <a:avLst/>
                    </a:prstGeom>
                  </pic:spPr>
                </pic:pic>
              </a:graphicData>
            </a:graphic>
          </wp:inline>
        </w:drawing>
      </w:r>
    </w:p>
    <w:p>
      <w:pPr>
        <w:spacing w:after="120" w:before="40"/>
        <w:jc w:val="center"/>
      </w:pPr>
      <w:r>
        <w:rPr>
          <w:rFonts w:ascii="Arial" w:cs="Arial" w:eastAsia="Arial" w:hAnsi="Arial"/>
          <w:i/>
          <w:iCs/>
          <w:color w:val="5D6D7E"/>
          <w:sz w:val="18"/>
          <w:szCs w:val="18"/>
        </w:rPr>
        <w:t xml:space="preserve">Figure 8.1 — CAC vs LTV by User Segment: Current vs Target</w:t>
      </w:r>
    </w:p>
    <w:p>
      <w:pPr>
        <w:spacing w:after="80" w:before="0"/>
      </w:pPr>
      <w:r>
        <w:t xml:space="preserve"/>
      </w:r>
    </w:p>
    <w:p>
      <w:pPr>
        <w:spacing w:after="120" w:before="120"/>
        <w:jc w:val="center"/>
      </w:pPr>
      <w:r>
        <w:drawing>
          <wp:inline distT="0" distB="0" distL="0" distR="0">
            <wp:extent cx="5524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857500"/>
                    </a:xfrm>
                    <a:prstGeom prst="rect">
                      <a:avLst/>
                    </a:prstGeom>
                  </pic:spPr>
                </pic:pic>
              </a:graphicData>
            </a:graphic>
          </wp:inline>
        </w:drawing>
      </w:r>
    </w:p>
    <w:p>
      <w:pPr>
        <w:spacing w:after="120" w:before="40"/>
        <w:jc w:val="center"/>
      </w:pPr>
      <w:r>
        <w:rPr>
          <w:rFonts w:ascii="Arial" w:cs="Arial" w:eastAsia="Arial" w:hAnsi="Arial"/>
          <w:i/>
          <w:iCs/>
          <w:color w:val="5D6D7E"/>
          <w:sz w:val="18"/>
          <w:szCs w:val="18"/>
        </w:rPr>
        <w:t xml:space="preserve">Figure 8.2 — Retention Duration: Current vs Post-Strategy Target (Months)</w:t>
      </w:r>
    </w:p>
    <w:p>
      <w:pPr>
        <w:spacing w:after="80" w:before="0"/>
      </w:pPr>
      <w:r>
        <w:t xml:space="preserve"/>
      </w:r>
    </w:p>
    <w:p>
      <w:pPr>
        <w:pStyle w:val="Heading2"/>
        <w:spacing w:after="80" w:before="160"/>
      </w:pPr>
      <w:r>
        <w:rPr>
          <w:rFonts w:ascii="Arial" w:cs="Arial" w:eastAsia="Arial" w:hAnsi="Arial"/>
          <w:b/>
          <w:bCs/>
          <w:color w:val="1A5276"/>
          <w:sz w:val="26"/>
          <w:szCs w:val="26"/>
        </w:rPr>
        <w:t xml:space="preserve">8.2 Current LTV Analysis by 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1560"/>
        <w:gridCol w:w="1600"/>
      </w:tblGrid>
      <w:tr>
        <w:tc>
          <w:tcPr>
            <w:tcW w:type="dxa" w:w="220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User Segment</w:t>
            </w:r>
          </w:p>
        </w:tc>
        <w:tc>
          <w:tcPr>
            <w:tcW w:type="dxa" w:w="200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Avg Monthly Pay</w:t>
            </w:r>
          </w:p>
        </w:tc>
        <w:tc>
          <w:tcPr>
            <w:tcW w:type="dxa" w:w="200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Avg Retention</w:t>
            </w:r>
          </w:p>
        </w:tc>
        <w:tc>
          <w:tcPr>
            <w:tcW w:type="dxa" w:w="156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 LTV</w:t>
            </w:r>
          </w:p>
        </w:tc>
        <w:tc>
          <w:tcPr>
            <w:tcW w:type="dxa" w:w="160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Health</w:t>
            </w:r>
          </w:p>
        </w:tc>
      </w:tr>
      <w:tr>
        <w:tc>
          <w:tcPr>
            <w:tcW w:type="dxa" w:w="22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Beginner (drops early)</w:t>
            </w:r>
          </w:p>
        </w:tc>
        <w:tc>
          <w:tcPr>
            <w:tcW w:type="dxa" w:w="20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₹250/month</w:t>
            </w:r>
          </w:p>
        </w:tc>
        <w:tc>
          <w:tcPr>
            <w:tcW w:type="dxa" w:w="20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1–2 months</w:t>
            </w:r>
          </w:p>
        </w:tc>
        <w:tc>
          <w:tcPr>
            <w:tcW w:type="dxa" w:w="156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₹250–500</w:t>
            </w:r>
          </w:p>
        </w:tc>
        <w:tc>
          <w:tcPr>
            <w:tcW w:type="dxa" w:w="16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20"/>
                <w:szCs w:val="20"/>
              </w:rPr>
              <w:t xml:space="preserve">🔴 Loss</w:t>
            </w:r>
          </w:p>
        </w:tc>
      </w:tr>
      <w:tr>
        <w:tc>
          <w:tcPr>
            <w:tcW w:type="dxa" w:w="22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Intermediate (moderate)</w:t>
            </w:r>
          </w:p>
        </w:tc>
        <w:tc>
          <w:tcPr>
            <w:tcW w:type="dxa" w:w="20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₹250/month</w:t>
            </w:r>
          </w:p>
        </w:tc>
        <w:tc>
          <w:tcPr>
            <w:tcW w:type="dxa" w:w="20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3–5 months</w:t>
            </w:r>
          </w:p>
        </w:tc>
        <w:tc>
          <w:tcPr>
            <w:tcW w:type="dxa" w:w="156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bCs/>
                <w:color w:val="F0A500"/>
                <w:sz w:val="20"/>
                <w:szCs w:val="20"/>
              </w:rPr>
              <w:t xml:space="preserve">₹750–1,250</w:t>
            </w:r>
          </w:p>
        </w:tc>
        <w:tc>
          <w:tcPr>
            <w:tcW w:type="dxa" w:w="16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20"/>
                <w:szCs w:val="20"/>
              </w:rPr>
              <w:t xml:space="preserve">🟡 Break-even</w:t>
            </w:r>
          </w:p>
        </w:tc>
      </w:tr>
      <w:tr>
        <w:tc>
          <w:tcPr>
            <w:tcW w:type="dxa" w:w="22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Advanced (ceiling)</w:t>
            </w:r>
          </w:p>
        </w:tc>
        <w:tc>
          <w:tcPr>
            <w:tcW w:type="dxa" w:w="20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₹250/month</w:t>
            </w:r>
          </w:p>
        </w:tc>
        <w:tc>
          <w:tcPr>
            <w:tcW w:type="dxa" w:w="20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5–7 months</w:t>
            </w:r>
          </w:p>
        </w:tc>
        <w:tc>
          <w:tcPr>
            <w:tcW w:type="dxa" w:w="156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₹1,250–1,750</w:t>
            </w:r>
          </w:p>
        </w:tc>
        <w:tc>
          <w:tcPr>
            <w:tcW w:type="dxa" w:w="16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20"/>
                <w:szCs w:val="20"/>
              </w:rPr>
              <w:t xml:space="preserve">🟢 Profitable</w:t>
            </w:r>
          </w:p>
        </w:tc>
      </w:tr>
      <w:tr>
        <w:tc>
          <w:tcPr>
            <w:tcW w:type="dxa" w:w="22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Professional (target)</w:t>
            </w:r>
          </w:p>
        </w:tc>
        <w:tc>
          <w:tcPr>
            <w:tcW w:type="dxa" w:w="20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₹500–800/month</w:t>
            </w:r>
          </w:p>
        </w:tc>
        <w:tc>
          <w:tcPr>
            <w:tcW w:type="dxa" w:w="20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6–12 months</w:t>
            </w:r>
          </w:p>
        </w:tc>
        <w:tc>
          <w:tcPr>
            <w:tcW w:type="dxa" w:w="156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₹3,000–9,600</w:t>
            </w:r>
          </w:p>
        </w:tc>
        <w:tc>
          <w:tcPr>
            <w:tcW w:type="dxa" w:w="16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20"/>
                <w:szCs w:val="20"/>
              </w:rPr>
              <w:t xml:space="preserve">🟢 Highly Profitable</w:t>
            </w:r>
          </w:p>
        </w:tc>
      </w:tr>
      <w:tr>
        <w:tc>
          <w:tcPr>
            <w:tcW w:type="dxa" w:w="22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B2B / Institutional</w:t>
            </w:r>
          </w:p>
        </w:tc>
        <w:tc>
          <w:tcPr>
            <w:tcW w:type="dxa" w:w="20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₹50K–2L/contract</w:t>
            </w:r>
          </w:p>
        </w:tc>
        <w:tc>
          <w:tcPr>
            <w:tcW w:type="dxa" w:w="20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12+ months</w:t>
            </w:r>
          </w:p>
        </w:tc>
        <w:tc>
          <w:tcPr>
            <w:tcW w:type="dxa" w:w="156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₹50K–2L+</w:t>
            </w:r>
          </w:p>
        </w:tc>
        <w:tc>
          <w:tcPr>
            <w:tcW w:type="dxa" w:w="16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20"/>
                <w:szCs w:val="20"/>
              </w:rPr>
              <w:t xml:space="preserve">🟢 Transformative</w:t>
            </w:r>
          </w:p>
        </w:tc>
      </w:tr>
    </w:tbl>
    <w:p>
      <w:pPr>
        <w:spacing w:after="80" w:before="0"/>
      </w:pPr>
      <w:r>
        <w:t xml:space="preserve"/>
      </w:r>
    </w:p>
    <w:p>
      <w:pPr>
        <w:spacing w:after="120" w:before="120"/>
        <w:jc w:val="center"/>
      </w:pPr>
      <w:r>
        <w:drawing>
          <wp:inline distT="0" distB="0" distL="0" distR="0">
            <wp:extent cx="6096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2857500"/>
                    </a:xfrm>
                    <a:prstGeom prst="rect">
                      <a:avLst/>
                    </a:prstGeom>
                  </pic:spPr>
                </pic:pic>
              </a:graphicData>
            </a:graphic>
          </wp:inline>
        </w:drawing>
      </w:r>
    </w:p>
    <w:p>
      <w:pPr>
        <w:spacing w:after="120" w:before="40"/>
        <w:jc w:val="center"/>
      </w:pPr>
      <w:r>
        <w:rPr>
          <w:rFonts w:ascii="Arial" w:cs="Arial" w:eastAsia="Arial" w:hAnsi="Arial"/>
          <w:i/>
          <w:iCs/>
          <w:color w:val="5D6D7E"/>
          <w:sz w:val="18"/>
          <w:szCs w:val="18"/>
        </w:rPr>
        <w:t xml:space="preserve">Figure 8.3 — Customer Acquisition Channel Mix: Current vs Target</w:t>
      </w:r>
    </w:p>
    <w:p>
      <w:pPr>
        <w:spacing w:after="80" w:before="0"/>
      </w:pPr>
      <w:r>
        <w:t xml:space="preserve"/>
      </w:r>
    </w:p>
    <w:p>
      <w:pPr>
        <w:pStyle w:val="Heading2"/>
        <w:spacing w:after="80" w:before="160"/>
      </w:pPr>
      <w:r>
        <w:rPr>
          <w:rFonts w:ascii="Arial" w:cs="Arial" w:eastAsia="Arial" w:hAnsi="Arial"/>
          <w:b/>
          <w:bCs/>
          <w:color w:val="1A5276"/>
          <w:sz w:val="26"/>
          <w:szCs w:val="26"/>
        </w:rPr>
        <w:t xml:space="preserve">8.3 Retention Strategy by User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400"/>
        <w:gridCol w:w="2400"/>
        <w:gridCol w:w="2880"/>
      </w:tblGrid>
      <w:tr>
        <w:tc>
          <w:tcPr>
            <w:tcW w:type="dxa" w:w="168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User Level</w:t>
            </w:r>
          </w:p>
        </w:tc>
        <w:tc>
          <w:tcPr>
            <w:tcW w:type="dxa" w:w="240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Primary Churn Risk</w:t>
            </w:r>
          </w:p>
        </w:tc>
        <w:tc>
          <w:tcPr>
            <w:tcW w:type="dxa" w:w="240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Community Approach</w:t>
            </w:r>
          </w:p>
        </w:tc>
        <w:tc>
          <w:tcPr>
            <w:tcW w:type="dxa" w:w="288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Retention Driver</w:t>
            </w:r>
          </w:p>
        </w:tc>
      </w:tr>
      <w:tr>
        <w:tc>
          <w:tcPr>
            <w:tcW w:type="dxa" w:w="1680"/>
            <w:tcBorders>
              <w:top w:val="single" w:color="D5E0EC" w:sz="1"/>
              <w:left w:val="single" w:color="D5E0EC" w:sz="1"/>
              <w:bottom w:val="single" w:color="D5E0EC" w:sz="1"/>
              <w:right w:val="single" w:color="D5E0E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Beginner</w:t>
            </w:r>
          </w:p>
        </w:tc>
        <w:tc>
          <w:tcPr>
            <w:tcW w:type="dxa" w:w="24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Fear of judgment and speaking anxiety; drops in first 14 days</w:t>
            </w:r>
          </w:p>
        </w:tc>
        <w:tc>
          <w:tcPr>
            <w:tcW w:type="dxa" w:w="24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Present but never pushed — AI practice is the primary experience</w:t>
            </w:r>
          </w:p>
        </w:tc>
        <w:tc>
          <w:tcPr>
            <w:tcW w:type="dxa" w:w="28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Safe AI environment + Emotional Coaching + early visible wins</w:t>
            </w:r>
          </w:p>
        </w:tc>
      </w:tr>
      <w:tr>
        <w:tc>
          <w:tcPr>
            <w:tcW w:type="dxa" w:w="1680"/>
            <w:tcBorders>
              <w:top w:val="single" w:color="D5E0EC" w:sz="1"/>
              <w:left w:val="single" w:color="D5E0EC" w:sz="1"/>
              <w:bottom w:val="single" w:color="D5E0EC" w:sz="1"/>
              <w:right w:val="single" w:color="D5E0EC" w:sz="1"/>
            </w:tcBorders>
            <w:shd w:fill="1F7A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Intermediate</w:t>
            </w:r>
          </w:p>
        </w:tc>
        <w:tc>
          <w:tcPr>
            <w:tcW w:type="dxa" w:w="24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Boredom from repetitive AI practice; plateau at 3–5 months</w:t>
            </w:r>
          </w:p>
        </w:tc>
        <w:tc>
          <w:tcPr>
            <w:tcW w:type="dxa" w:w="24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Gently introduced — user joins at own pace when they feel ready</w:t>
            </w:r>
          </w:p>
        </w:tc>
        <w:tc>
          <w:tcPr>
            <w:tcW w:type="dxa" w:w="28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Community variety combats boredom; weekly challenges re-ignite engagement</w:t>
            </w:r>
          </w:p>
        </w:tc>
      </w:tr>
      <w:tr>
        <w:tc>
          <w:tcPr>
            <w:tcW w:type="dxa" w:w="1680"/>
            <w:tcBorders>
              <w:top w:val="single" w:color="D5E0EC" w:sz="1"/>
              <w:left w:val="single" w:color="D5E0EC" w:sz="1"/>
              <w:bottom w:val="single" w:color="D5E0EC" w:sz="1"/>
              <w:right w:val="single" w:color="D5E0EC" w:sz="1"/>
            </w:tcBorders>
            <w:shd w:fill="F0A5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Advanced</w:t>
            </w:r>
          </w:p>
        </w:tc>
        <w:tc>
          <w:tcPr>
            <w:tcW w:type="dxa" w:w="24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Feeling they have outgrown the app — silent churn</w:t>
            </w:r>
          </w:p>
        </w:tc>
        <w:tc>
          <w:tcPr>
            <w:tcW w:type="dxa" w:w="24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Actively encouraged — community is the primary engagement layer</w:t>
            </w:r>
          </w:p>
        </w:tc>
        <w:tc>
          <w:tcPr>
            <w:tcW w:type="dxa" w:w="28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Peer belonging + career ambition replaces boredom entirely</w:t>
            </w:r>
          </w:p>
        </w:tc>
      </w:tr>
      <w:tr>
        <w:tc>
          <w:tcPr>
            <w:tcW w:type="dxa" w:w="1680"/>
            <w:tcBorders>
              <w:top w:val="single" w:color="D5E0EC" w:sz="1"/>
              <w:left w:val="single" w:color="D5E0EC" w:sz="1"/>
              <w:bottom w:val="single" w:color="D5E0EC" w:sz="1"/>
              <w:right w:val="single" w:color="D5E0EC" w:sz="1"/>
            </w:tcBorders>
            <w:shd w:fill="1E844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Professional</w:t>
            </w:r>
          </w:p>
        </w:tc>
        <w:tc>
          <w:tcPr>
            <w:tcW w:type="dxa" w:w="24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Time constraints; need efficient, relevant advanced content</w:t>
            </w:r>
          </w:p>
        </w:tc>
        <w:tc>
          <w:tcPr>
            <w:tcW w:type="dxa" w:w="24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Industry-specific community clubs and peer networks</w:t>
            </w:r>
          </w:p>
        </w:tc>
        <w:tc>
          <w:tcPr>
            <w:tcW w:type="dxa" w:w="28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Career outcomes + professional identity; employer-linked results</w:t>
            </w:r>
          </w:p>
        </w:tc>
      </w:tr>
    </w:tbl>
    <w:p>
      <w:pPr>
        <w:spacing w:after="80" w:before="0"/>
      </w:pPr>
      <w:r>
        <w:t xml:space="preserve"/>
      </w:r>
    </w:p>
    <w:p>
      <w:pPr>
        <w:pStyle w:val="Heading2"/>
        <w:spacing w:after="80" w:before="160"/>
      </w:pPr>
      <w:r>
        <w:rPr>
          <w:rFonts w:ascii="Arial" w:cs="Arial" w:eastAsia="Arial" w:hAnsi="Arial"/>
          <w:b/>
          <w:bCs/>
          <w:color w:val="1A5276"/>
          <w:sz w:val="26"/>
          <w:szCs w:val="26"/>
        </w:rPr>
        <w:t xml:space="preserve">8.4 CAC Reduction Strategies</w:t>
      </w:r>
    </w:p>
    <w:p>
      <w:pPr>
        <w:spacing w:after="80" w:before="40"/>
        <w:jc w:val="both"/>
      </w:pPr>
      <w:r>
        <w:rPr>
          <w:rFonts w:ascii="Arial" w:cs="Arial" w:eastAsia="Arial" w:hAnsi="Arial"/>
          <w:b/>
          <w:bCs/>
          <w:color w:val="0D1B2A"/>
          <w:sz w:val="21"/>
          <w:szCs w:val="21"/>
        </w:rPr>
        <w:t xml:space="preserve">Strategy 1 — Build a Referral Engine </w:t>
      </w:r>
      <w:r>
        <w:rPr>
          <w:rFonts w:ascii="Arial" w:cs="Arial" w:eastAsia="Arial" w:hAnsi="Arial"/>
          <w:color w:val="2C3E50"/>
          <w:sz w:val="21"/>
          <w:szCs w:val="21"/>
        </w:rPr>
        <w:t xml:space="preserve"/>
      </w:r>
    </w:p>
    <w:p>
      <w:pPr>
        <w:spacing w:after="80" w:before="40"/>
        <w:jc w:val="both"/>
      </w:pPr>
      <w:r>
        <w:rPr>
          <w:rFonts w:ascii="Arial" w:cs="Arial" w:eastAsia="Arial" w:hAnsi="Arial"/>
          <w:color w:val="1A1A2E"/>
          <w:sz w:val="21"/>
          <w:szCs w:val="21"/>
        </w:rPr>
        <w:t xml:space="preserve">Existing users are Supernova AI's lowest-cost and highest-quality acquisition channel. A structured referral program — where users receive one month free for every friend who subscribes — can dramatically shift the acquisition mix toward near-zero-cost, high-retention referral users. Referral users trust the platform before they join, form habits faster, and stay longer than paid ad users.</w:t>
      </w:r>
    </w:p>
    <w:p>
      <w:pPr>
        <w:spacing w:after="40" w:before="0"/>
      </w:pPr>
      <w:r>
        <w:t xml:space="preserve"/>
      </w:r>
    </w:p>
    <w:p>
      <w:pPr>
        <w:spacing w:after="80" w:before="40"/>
        <w:jc w:val="both"/>
      </w:pPr>
      <w:r>
        <w:rPr>
          <w:rFonts w:ascii="Arial" w:cs="Arial" w:eastAsia="Arial" w:hAnsi="Arial"/>
          <w:b/>
          <w:bCs/>
          <w:color w:val="0D1B2A"/>
          <w:sz w:val="21"/>
          <w:szCs w:val="21"/>
        </w:rPr>
        <w:t xml:space="preserve">Strategy 2 — Success Story Content Marketing </w:t>
      </w:r>
      <w:r>
        <w:rPr>
          <w:rFonts w:ascii="Arial" w:cs="Arial" w:eastAsia="Arial" w:hAnsi="Arial"/>
          <w:color w:val="2C3E50"/>
          <w:sz w:val="21"/>
          <w:szCs w:val="21"/>
        </w:rPr>
        <w:t xml:space="preserve"/>
      </w:r>
    </w:p>
    <w:p>
      <w:pPr>
        <w:spacing w:after="80" w:before="40"/>
        <w:jc w:val="both"/>
      </w:pPr>
      <w:r>
        <w:rPr>
          <w:rFonts w:ascii="Arial" w:cs="Arial" w:eastAsia="Arial" w:hAnsi="Arial"/>
          <w:color w:val="1A1A2E"/>
          <w:sz w:val="21"/>
          <w:szCs w:val="21"/>
        </w:rPr>
        <w:t xml:space="preserve">Every user who gets a job, passes an interview, or achieves a professional milestone through Supernova AI is a marketing asset. Their transformation story — told authentically in their own regional language and cultural context — builds brand credibility and drives organic downloads at near-zero cost. A systematic program to capture, produce, and distribute these stories across Instagram, YouTube, and WhatsApp can generate thousands of organic downloads per month.</w:t>
      </w:r>
    </w:p>
    <w:p>
      <w:pPr>
        <w:spacing w:after="40" w:before="0"/>
      </w:pPr>
      <w:r>
        <w:t xml:space="preserve"/>
      </w:r>
    </w:p>
    <w:p>
      <w:pPr>
        <w:spacing w:after="80" w:before="40"/>
        <w:jc w:val="both"/>
      </w:pPr>
      <w:r>
        <w:rPr>
          <w:rFonts w:ascii="Arial" w:cs="Arial" w:eastAsia="Arial" w:hAnsi="Arial"/>
          <w:b/>
          <w:bCs/>
          <w:color w:val="0D1B2A"/>
          <w:sz w:val="21"/>
          <w:szCs w:val="21"/>
        </w:rPr>
        <w:t xml:space="preserve">Strategy 3 — B2B Channel Development </w:t>
      </w:r>
      <w:r>
        <w:rPr>
          <w:rFonts w:ascii="Arial" w:cs="Arial" w:eastAsia="Arial" w:hAnsi="Arial"/>
          <w:color w:val="2C3E50"/>
          <w:sz w:val="21"/>
          <w:szCs w:val="21"/>
        </w:rPr>
        <w:t xml:space="preserve"/>
      </w:r>
    </w:p>
    <w:p>
      <w:pPr>
        <w:spacing w:after="80" w:before="40"/>
        <w:jc w:val="both"/>
      </w:pPr>
      <w:r>
        <w:rPr>
          <w:rFonts w:ascii="Arial" w:cs="Arial" w:eastAsia="Arial" w:hAnsi="Arial"/>
          <w:color w:val="1A1A2E"/>
          <w:sz w:val="21"/>
          <w:szCs w:val="21"/>
        </w:rPr>
        <w:t xml:space="preserve">Colleges, coaching centers, and employers represent group acquisition opportunities where one partnership delivers dozens or hundreds of users at a fraction of the per-user CAC of direct advertising. A dedicated B2B sales team pursuing college communication lab partnerships, placement preparation programs, and corporate communication training contracts can dramatically reduce overall CAC while simultaneously opening the highest-LTV revenue stream.</w:t>
      </w:r>
    </w:p>
    <w:p>
      <w:pPr>
        <w:spacing w:after="40" w:before="0"/>
      </w:pPr>
      <w:r>
        <w:t xml:space="preserve"/>
      </w:r>
    </w:p>
    <w:p>
      <w:pPr>
        <w:spacing w:after="80" w:before="0"/>
      </w:pPr>
      <w:r>
        <w:t xml:space="preserve"/>
      </w:r>
    </w:p>
    <w:p>
      <w:pPr>
        <w:pStyle w:val="Heading2"/>
        <w:spacing w:after="80" w:before="160"/>
      </w:pPr>
      <w:r>
        <w:rPr>
          <w:rFonts w:ascii="Arial" w:cs="Arial" w:eastAsia="Arial" w:hAnsi="Arial"/>
          <w:b/>
          <w:bCs/>
          <w:color w:val="1A5276"/>
          <w:sz w:val="26"/>
          <w:szCs w:val="26"/>
        </w:rPr>
        <w:t xml:space="preserve">8.5 LTV Improvement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LTV Lever</w:t>
            </w:r>
          </w:p>
        </w:tc>
        <w:tc>
          <w:tcPr>
            <w:tcW w:type="dxa" w:w="232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Current State</w:t>
            </w:r>
          </w:p>
        </w:tc>
        <w:tc>
          <w:tcPr>
            <w:tcW w:type="dxa" w:w="232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Proposed Action</w:t>
            </w:r>
          </w:p>
        </w:tc>
        <w:tc>
          <w:tcPr>
            <w:tcW w:type="dxa" w:w="232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LTV Impact</w:t>
            </w:r>
          </w:p>
        </w:tc>
      </w:tr>
      <w:tr>
        <w:tc>
          <w:tcPr>
            <w:tcW w:type="dxa" w:w="24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Retention Duration</w:t>
            </w:r>
          </w:p>
        </w:tc>
        <w:tc>
          <w:tcPr>
            <w:tcW w:type="dxa" w:w="232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1–4 months average</w:t>
            </w:r>
          </w:p>
        </w:tc>
        <w:tc>
          <w:tcPr>
            <w:tcW w:type="dxa" w:w="232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14-day habit program + community anchor</w:t>
            </w:r>
          </w:p>
        </w:tc>
        <w:tc>
          <w:tcPr>
            <w:tcW w:type="dxa" w:w="232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+3 to 6 months average retention</w:t>
            </w:r>
          </w:p>
        </w:tc>
      </w:tr>
      <w:tr>
        <w:tc>
          <w:tcPr>
            <w:tcW w:type="dxa" w:w="24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ARPU (Revenue per User)</w:t>
            </w:r>
          </w:p>
        </w:tc>
        <w:tc>
          <w:tcPr>
            <w:tcW w:type="dxa" w:w="232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₹250/month (students)</w:t>
            </w:r>
          </w:p>
        </w:tc>
        <w:tc>
          <w:tcPr>
            <w:tcW w:type="dxa" w:w="232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Professional tier at ₹500–800/month</w:t>
            </w:r>
          </w:p>
        </w:tc>
        <w:tc>
          <w:tcPr>
            <w:tcW w:type="dxa" w:w="232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+100–200% ARPU for professional segment</w:t>
            </w:r>
          </w:p>
        </w:tc>
      </w:tr>
      <w:tr>
        <w:tc>
          <w:tcPr>
            <w:tcW w:type="dxa" w:w="24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Upsell to Annual Plans</w:t>
            </w:r>
          </w:p>
        </w:tc>
        <w:tc>
          <w:tcPr>
            <w:tcW w:type="dxa" w:w="232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Not structured</w:t>
            </w:r>
          </w:p>
        </w:tc>
        <w:tc>
          <w:tcPr>
            <w:tcW w:type="dxa" w:w="232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Annual subscription at 3-month peak satisfaction</w:t>
            </w:r>
          </w:p>
        </w:tc>
        <w:tc>
          <w:tcPr>
            <w:tcW w:type="dxa" w:w="232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12-month LTV guaranteed upfront</w:t>
            </w:r>
          </w:p>
        </w:tc>
      </w:tr>
      <w:tr>
        <w:tc>
          <w:tcPr>
            <w:tcW w:type="dxa" w:w="24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B2B Contracts</w:t>
            </w:r>
          </w:p>
        </w:tc>
        <w:tc>
          <w:tcPr>
            <w:tcW w:type="dxa" w:w="232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Not developed</w:t>
            </w:r>
          </w:p>
        </w:tc>
        <w:tc>
          <w:tcPr>
            <w:tcW w:type="dxa" w:w="232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College and employer partnerships</w:t>
            </w:r>
          </w:p>
        </w:tc>
        <w:tc>
          <w:tcPr>
            <w:tcW w:type="dxa" w:w="232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₹50,000–2,00,000 per contract</w:t>
            </w:r>
          </w:p>
        </w:tc>
      </w:tr>
      <w:tr>
        <w:tc>
          <w:tcPr>
            <w:tcW w:type="dxa" w:w="24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Referral Users</w:t>
            </w:r>
          </w:p>
        </w:tc>
        <w:tc>
          <w:tcPr>
            <w:tcW w:type="dxa" w:w="232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Not structured</w:t>
            </w:r>
          </w:p>
        </w:tc>
        <w:tc>
          <w:tcPr>
            <w:tcW w:type="dxa" w:w="232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Referral program for existing subscribers</w:t>
            </w:r>
          </w:p>
        </w:tc>
        <w:tc>
          <w:tcPr>
            <w:tcW w:type="dxa" w:w="232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20–30% higher LTV vs paid ad users</w:t>
            </w:r>
          </w:p>
        </w:tc>
      </w:tr>
    </w:tbl>
    <w:p>
      <w:pPr>
        <w:pBdr>
          <w:left w:val="single" w:color="F0A500" w:sz="18" w:space="8"/>
        </w:pBdr>
        <w:shd w:fill="FEF9EC" w:val="clear"/>
        <w:spacing w:after="100" w:before="100"/>
        <w:jc w:val="both"/>
      </w:pPr>
      <w:r>
        <w:rPr>
          <w:rFonts w:ascii="Arial" w:cs="Arial" w:eastAsia="Arial" w:hAnsi="Arial"/>
          <w:i/>
          <w:iCs/>
          <w:color w:val="5D4037"/>
          <w:sz w:val="21"/>
          <w:szCs w:val="21"/>
        </w:rPr>
        <w:t xml:space="preserve">💡 Key Insight: The referral program is projected to shift 15–20% of new user acquisition from paid channels to organic referral within 18 months, reducing blended CAC by approximately 20–30%.</w:t>
      </w:r>
    </w:p>
    <w:p>
      <w:r>
        <w:br w:type="page"/>
      </w:r>
    </w:p>
    <w:p>
      <w:pPr>
        <w:pStyle w:val="Heading1"/>
        <w:pBdr>
          <w:bottom w:val="single" w:color="1A5276" w:sz="8" w:space="2"/>
        </w:pBdr>
        <w:spacing w:after="120" w:before="280"/>
      </w:pPr>
      <w:r>
        <w:rPr>
          <w:rFonts w:ascii="Arial" w:cs="Arial" w:eastAsia="Arial" w:hAnsi="Arial"/>
          <w:b/>
          <w:bCs/>
          <w:color w:val="1A5276"/>
          <w:sz w:val="32"/>
          <w:szCs w:val="32"/>
        </w:rPr>
        <w:t xml:space="preserve">9. UX/UI, Customer Journey &amp; Customer Psychology</w:t>
      </w:r>
    </w:p>
    <w:p>
      <w:pPr>
        <w:spacing w:after="80" w:before="40"/>
        <w:jc w:val="both"/>
      </w:pPr>
      <w:r>
        <w:rPr>
          <w:rFonts w:ascii="Arial" w:cs="Arial" w:eastAsia="Arial" w:hAnsi="Arial"/>
          <w:color w:val="1A1A2E"/>
          <w:sz w:val="21"/>
          <w:szCs w:val="21"/>
        </w:rPr>
        <w:t xml:space="preserve">Understanding how users experience Supernova AI — from the first ad to long-term loyalty — is critical to building a platform that retains as effectively as it acquires. This section analyses the full customer journey and the psychological drivers that determine whether a user stays or leaves.</w:t>
      </w:r>
    </w:p>
    <w:p>
      <w:pPr>
        <w:pStyle w:val="Heading2"/>
        <w:spacing w:after="80" w:before="160"/>
      </w:pPr>
      <w:r>
        <w:rPr>
          <w:rFonts w:ascii="Arial" w:cs="Arial" w:eastAsia="Arial" w:hAnsi="Arial"/>
          <w:b/>
          <w:bCs/>
          <w:color w:val="1A5276"/>
          <w:sz w:val="26"/>
          <w:szCs w:val="26"/>
        </w:rPr>
        <w:t xml:space="preserve">9.1 The Full Customer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2160"/>
        <w:gridCol w:w="1800"/>
        <w:gridCol w:w="200"/>
      </w:tblGrid>
      <w:tr>
        <w:tc>
          <w:tcPr>
            <w:tcW w:type="dxa" w:w="120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Stage</w:t>
            </w:r>
          </w:p>
        </w:tc>
        <w:tc>
          <w:tcPr>
            <w:tcW w:type="dxa" w:w="200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User Action</w:t>
            </w:r>
          </w:p>
        </w:tc>
        <w:tc>
          <w:tcPr>
            <w:tcW w:type="dxa" w:w="200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Emotional State</w:t>
            </w:r>
          </w:p>
        </w:tc>
        <w:tc>
          <w:tcPr>
            <w:tcW w:type="dxa" w:w="216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Need</w:t>
            </w:r>
          </w:p>
        </w:tc>
        <w:tc>
          <w:tcPr>
            <w:tcW w:type="dxa" w:w="180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Dropout Risk</w:t>
            </w:r>
          </w:p>
        </w:tc>
        <w:tc>
          <w:tcPr>
            <w:tcW w:type="dxa" w:w="20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r>
      <w:tr>
        <w:tc>
          <w:tcPr>
            <w:tcW w:type="dxa" w:w="12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1. Discovery</w:t>
            </w:r>
          </w:p>
        </w:tc>
        <w:tc>
          <w:tcPr>
            <w:tcW w:type="dxa" w:w="20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Sees ad on Instagram/YouTube</w:t>
            </w:r>
          </w:p>
        </w:tc>
        <w:tc>
          <w:tcPr>
            <w:tcW w:type="dxa" w:w="20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Curious, slightly hopeful</w:t>
            </w:r>
          </w:p>
        </w:tc>
        <w:tc>
          <w:tcPr>
            <w:tcW w:type="dxa" w:w="216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Relevance — does this solve my problem?</w:t>
            </w:r>
          </w:p>
        </w:tc>
        <w:tc>
          <w:tcPr>
            <w:tcW w:type="dxa" w:w="18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20"/>
                <w:szCs w:val="20"/>
              </w:rPr>
              <w:t xml:space="preserve">🟢 Low</w:t>
            </w:r>
          </w:p>
        </w:tc>
        <w:tc>
          <w:tcPr>
            <w:tcW w:type="dxa" w:w="2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
            </w:r>
          </w:p>
        </w:tc>
      </w:tr>
      <w:tr>
        <w:tc>
          <w:tcPr>
            <w:tcW w:type="dxa" w:w="12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2. Download</w:t>
            </w:r>
          </w:p>
        </w:tc>
        <w:tc>
          <w:tcPr>
            <w:tcW w:type="dxa" w:w="20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Downloads the app</w:t>
            </w:r>
          </w:p>
        </w:tc>
        <w:tc>
          <w:tcPr>
            <w:tcW w:type="dxa" w:w="20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Motivated, excited</w:t>
            </w:r>
          </w:p>
        </w:tc>
        <w:tc>
          <w:tcPr>
            <w:tcW w:type="dxa" w:w="216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Easy onboarding — no friction</w:t>
            </w:r>
          </w:p>
        </w:tc>
        <w:tc>
          <w:tcPr>
            <w:tcW w:type="dxa" w:w="18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20"/>
                <w:szCs w:val="20"/>
              </w:rPr>
              <w:t xml:space="preserve">🟢 Low</w:t>
            </w:r>
          </w:p>
        </w:tc>
        <w:tc>
          <w:tcPr>
            <w:tcW w:type="dxa" w:w="2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
            </w:r>
          </w:p>
        </w:tc>
      </w:tr>
      <w:tr>
        <w:tc>
          <w:tcPr>
            <w:tcW w:type="dxa" w:w="12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3. Free Trial</w:t>
            </w:r>
          </w:p>
        </w:tc>
        <w:tc>
          <w:tcPr>
            <w:tcW w:type="dxa" w:w="20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Explores the platform</w:t>
            </w:r>
          </w:p>
        </w:tc>
        <w:tc>
          <w:tcPr>
            <w:tcW w:type="dxa" w:w="20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Eager but evaluating</w:t>
            </w:r>
          </w:p>
        </w:tc>
        <w:tc>
          <w:tcPr>
            <w:tcW w:type="dxa" w:w="216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Quick wins — feel improvement fast</w:t>
            </w:r>
          </w:p>
        </w:tc>
        <w:tc>
          <w:tcPr>
            <w:tcW w:type="dxa" w:w="18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20"/>
                <w:szCs w:val="20"/>
              </w:rPr>
              <w:t xml:space="preserve">🟡 Medium</w:t>
            </w:r>
          </w:p>
        </w:tc>
        <w:tc>
          <w:tcPr>
            <w:tcW w:type="dxa" w:w="2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
            </w:r>
          </w:p>
        </w:tc>
      </w:tr>
      <w:tr>
        <w:tc>
          <w:tcPr>
            <w:tcW w:type="dxa" w:w="1200"/>
            <w:tcBorders>
              <w:top w:val="single" w:color="D5E0EC" w:sz="1"/>
              <w:left w:val="single" w:color="D5E0EC" w:sz="1"/>
              <w:bottom w:val="single" w:color="D5E0EC" w:sz="1"/>
              <w:right w:val="single" w:color="D5E0EC" w:sz="1"/>
            </w:tcBorders>
            <w:shd w:fill="FEF9EC" w:val="clear"/>
            <w:tcMar>
              <w:top w:type="dxa" w:w="80"/>
              <w:left w:type="dxa" w:w="120"/>
              <w:bottom w:type="dxa" w:w="80"/>
              <w:right w:type="dxa" w:w="120"/>
            </w:tcMar>
            <w:vAlign w:val="center"/>
          </w:tcPr>
          <w:p>
            <w:pPr>
              <w:jc w:val="left"/>
            </w:pPr>
            <w:r>
              <w:rPr>
                <w:rFonts w:ascii="Arial" w:cs="Arial" w:eastAsia="Arial" w:hAnsi="Arial"/>
                <w:b/>
                <w:bCs/>
                <w:color w:val="F0A500"/>
                <w:sz w:val="20"/>
                <w:szCs w:val="20"/>
              </w:rPr>
              <w:t xml:space="preserve">4. Decision Point</w:t>
            </w:r>
          </w:p>
        </w:tc>
        <w:tc>
          <w:tcPr>
            <w:tcW w:type="dxa" w:w="2000"/>
            <w:tcBorders>
              <w:top w:val="single" w:color="D5E0EC" w:sz="1"/>
              <w:left w:val="single" w:color="D5E0EC" w:sz="1"/>
              <w:bottom w:val="single" w:color="D5E0EC" w:sz="1"/>
              <w:right w:val="single" w:color="D5E0EC" w:sz="1"/>
            </w:tcBorders>
            <w:shd w:fill="FEF9EC"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Chooses to pay or leave</w:t>
            </w:r>
          </w:p>
        </w:tc>
        <w:tc>
          <w:tcPr>
            <w:tcW w:type="dxa" w:w="2000"/>
            <w:tcBorders>
              <w:top w:val="single" w:color="D5E0EC" w:sz="1"/>
              <w:left w:val="single" w:color="D5E0EC" w:sz="1"/>
              <w:bottom w:val="single" w:color="D5E0EC" w:sz="1"/>
              <w:right w:val="single" w:color="D5E0EC" w:sz="1"/>
            </w:tcBorders>
            <w:shd w:fill="FEF9EC"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Uncertain, weighing value</w:t>
            </w:r>
          </w:p>
        </w:tc>
        <w:tc>
          <w:tcPr>
            <w:tcW w:type="dxa" w:w="2160"/>
            <w:tcBorders>
              <w:top w:val="single" w:color="D5E0EC" w:sz="1"/>
              <w:left w:val="single" w:color="D5E0EC" w:sz="1"/>
              <w:bottom w:val="single" w:color="D5E0EC" w:sz="1"/>
              <w:right w:val="single" w:color="D5E0EC" w:sz="1"/>
            </w:tcBorders>
            <w:shd w:fill="FEF9EC"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Proof of value before paying</w:t>
            </w:r>
          </w:p>
        </w:tc>
        <w:tc>
          <w:tcPr>
            <w:tcW w:type="dxa" w:w="1800"/>
            <w:tcBorders>
              <w:top w:val="single" w:color="D5E0EC" w:sz="1"/>
              <w:left w:val="single" w:color="D5E0EC" w:sz="1"/>
              <w:bottom w:val="single" w:color="D5E0EC" w:sz="1"/>
              <w:right w:val="single" w:color="D5E0EC" w:sz="1"/>
            </w:tcBorders>
            <w:shd w:fill="FEF9EC"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20"/>
                <w:szCs w:val="20"/>
              </w:rPr>
              <w:t xml:space="preserve">🔴 Very High</w:t>
            </w:r>
          </w:p>
        </w:tc>
        <w:tc>
          <w:tcPr>
            <w:tcW w:type="dxa" w:w="200"/>
            <w:tcBorders>
              <w:top w:val="single" w:color="D5E0EC" w:sz="1"/>
              <w:left w:val="single" w:color="D5E0EC" w:sz="1"/>
              <w:bottom w:val="single" w:color="D5E0EC" w:sz="1"/>
              <w:right w:val="single" w:color="D5E0EC" w:sz="1"/>
            </w:tcBorders>
            <w:shd w:fill="FEF9EC"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
            </w:r>
          </w:p>
        </w:tc>
      </w:tr>
      <w:tr>
        <w:tc>
          <w:tcPr>
            <w:tcW w:type="dxa" w:w="12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5. Active Learning</w:t>
            </w:r>
          </w:p>
        </w:tc>
        <w:tc>
          <w:tcPr>
            <w:tcW w:type="dxa" w:w="20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Uses app daily</w:t>
            </w:r>
          </w:p>
        </w:tc>
        <w:tc>
          <w:tcPr>
            <w:tcW w:type="dxa" w:w="20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Engaged but fragile</w:t>
            </w:r>
          </w:p>
        </w:tc>
        <w:tc>
          <w:tcPr>
            <w:tcW w:type="dxa" w:w="216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Visible progress + emotional reward</w:t>
            </w:r>
          </w:p>
        </w:tc>
        <w:tc>
          <w:tcPr>
            <w:tcW w:type="dxa" w:w="18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20"/>
                <w:szCs w:val="20"/>
              </w:rPr>
              <w:t xml:space="preserve">🟡 Medium</w:t>
            </w:r>
          </w:p>
        </w:tc>
        <w:tc>
          <w:tcPr>
            <w:tcW w:type="dxa" w:w="2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
            </w:r>
          </w:p>
        </w:tc>
      </w:tr>
      <w:tr>
        <w:tc>
          <w:tcPr>
            <w:tcW w:type="dxa" w:w="12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6. Loyalty</w:t>
            </w:r>
          </w:p>
        </w:tc>
        <w:tc>
          <w:tcPr>
            <w:tcW w:type="dxa" w:w="20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Recommends app to others</w:t>
            </w:r>
          </w:p>
        </w:tc>
        <w:tc>
          <w:tcPr>
            <w:tcW w:type="dxa" w:w="20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Proud, confident, belonging</w:t>
            </w:r>
          </w:p>
        </w:tc>
        <w:tc>
          <w:tcPr>
            <w:tcW w:type="dxa" w:w="216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Community + career outcomes</w:t>
            </w:r>
          </w:p>
        </w:tc>
        <w:tc>
          <w:tcPr>
            <w:tcW w:type="dxa" w:w="18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20"/>
                <w:szCs w:val="20"/>
              </w:rPr>
              <w:t xml:space="preserve">🟢 Low</w:t>
            </w:r>
          </w:p>
        </w:tc>
        <w:tc>
          <w:tcPr>
            <w:tcW w:type="dxa" w:w="2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
            </w:r>
          </w:p>
        </w:tc>
      </w:tr>
    </w:tbl>
    <w:p>
      <w:pPr>
        <w:spacing w:after="80" w:before="0"/>
      </w:pPr>
      <w:r>
        <w:t xml:space="preserve"/>
      </w:r>
    </w:p>
    <w:p>
      <w:pPr>
        <w:pStyle w:val="Heading2"/>
        <w:spacing w:after="80" w:before="160"/>
      </w:pPr>
      <w:r>
        <w:rPr>
          <w:rFonts w:ascii="Arial" w:cs="Arial" w:eastAsia="Arial" w:hAnsi="Arial"/>
          <w:b/>
          <w:bCs/>
          <w:color w:val="1A5276"/>
          <w:sz w:val="26"/>
          <w:szCs w:val="26"/>
        </w:rPr>
        <w:t xml:space="preserve">9.2 Five Psychological Drivers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Psychological Driver</w:t>
            </w:r>
          </w:p>
        </w:tc>
        <w:tc>
          <w:tcPr>
            <w:tcW w:type="dxa" w:w="328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Means</w:t>
            </w:r>
          </w:p>
        </w:tc>
        <w:tc>
          <w:tcPr>
            <w:tcW w:type="dxa" w:w="328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How Supernova AI Must Respond</w:t>
            </w:r>
          </w:p>
        </w:tc>
      </w:tr>
      <w:tr>
        <w:tc>
          <w:tcPr>
            <w:tcW w:type="dxa" w:w="2800"/>
            <w:tcBorders>
              <w:top w:val="single" w:color="D5E0EC" w:sz="1"/>
              <w:left w:val="single" w:color="D5E0EC" w:sz="1"/>
              <w:bottom w:val="single" w:color="D5E0EC" w:sz="1"/>
              <w:right w:val="single" w:color="D5E0EC" w:sz="1"/>
            </w:tcBorders>
            <w:shd w:fill="E0EEF8"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Identity &amp; Aspiration</w:t>
            </w:r>
          </w:p>
        </w:tc>
        <w:tc>
          <w:tcPr>
            <w:tcW w:type="dxa" w:w="32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Users are not learning English — they are becoming someone. A confident professional. A student who gets the job.</w:t>
            </w:r>
          </w:p>
        </w:tc>
        <w:tc>
          <w:tcPr>
            <w:tcW w:type="dxa" w:w="32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Reinforce the identity aspiration at every touchpoint. Make using the app feel like becoming the person they want to be.</w:t>
            </w:r>
          </w:p>
        </w:tc>
      </w:tr>
      <w:tr>
        <w:tc>
          <w:tcPr>
            <w:tcW w:type="dxa" w:w="2800"/>
            <w:tcBorders>
              <w:top w:val="single" w:color="D5E0EC" w:sz="1"/>
              <w:left w:val="single" w:color="D5E0EC" w:sz="1"/>
              <w:bottom w:val="single" w:color="D5E0EC" w:sz="1"/>
              <w:right w:val="single" w:color="D5E0EC" w:sz="1"/>
            </w:tcBorders>
            <w:shd w:fill="EBF5FB"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Fear of Judgment (Shame Avoidance)</w:t>
            </w:r>
          </w:p>
        </w:tc>
        <w:tc>
          <w:tcPr>
            <w:tcW w:type="dxa" w:w="32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The fear of being laughed at, of freezing in interviews — these fears drive downloads more than any positive aspiration.</w:t>
            </w:r>
          </w:p>
        </w:tc>
        <w:tc>
          <w:tcPr>
            <w:tcW w:type="dxa" w:w="32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Create a safe, judgment-free environment where users feel protected, not evaluated. Never gamify failure.</w:t>
            </w:r>
          </w:p>
        </w:tc>
      </w:tr>
      <w:tr>
        <w:tc>
          <w:tcPr>
            <w:tcW w:type="dxa" w:w="2800"/>
            <w:tcBorders>
              <w:top w:val="single" w:color="D5E0EC" w:sz="1"/>
              <w:left w:val="single" w:color="D5E0EC" w:sz="1"/>
              <w:bottom w:val="single" w:color="D5E0EC" w:sz="1"/>
              <w:right w:val="single" w:color="D5E0EC" w:sz="1"/>
            </w:tcBorders>
            <w:shd w:fill="E0EEF8"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Sunk Cost Effect</w:t>
            </w:r>
          </w:p>
        </w:tc>
        <w:tc>
          <w:tcPr>
            <w:tcW w:type="dxa" w:w="32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Once invested in time and money, users are psychologically more likely to continue even when motivation dips.</w:t>
            </w:r>
          </w:p>
        </w:tc>
        <w:tc>
          <w:tcPr>
            <w:tcW w:type="dxa" w:w="32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Gently remind users of their streak, progress, community relationships — making leaving feel costly.</w:t>
            </w:r>
          </w:p>
        </w:tc>
      </w:tr>
      <w:tr>
        <w:tc>
          <w:tcPr>
            <w:tcW w:type="dxa" w:w="2800"/>
            <w:tcBorders>
              <w:top w:val="single" w:color="D5E0EC" w:sz="1"/>
              <w:left w:val="single" w:color="D5E0EC" w:sz="1"/>
              <w:bottom w:val="single" w:color="D5E0EC" w:sz="1"/>
              <w:right w:val="single" w:color="D5E0EC" w:sz="1"/>
            </w:tcBorders>
            <w:shd w:fill="EBF5FB"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Social Proof &amp; Belonging</w:t>
            </w:r>
          </w:p>
        </w:tc>
        <w:tc>
          <w:tcPr>
            <w:tcW w:type="dxa" w:w="32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Users who see others succeeding feel more motivated. Community members feel obligation to show up.</w:t>
            </w:r>
          </w:p>
        </w:tc>
        <w:tc>
          <w:tcPr>
            <w:tcW w:type="dxa" w:w="32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Leverage success stories, peer progress, community activity feeds, and shared milestone celebrations.</w:t>
            </w:r>
          </w:p>
        </w:tc>
      </w:tr>
      <w:tr>
        <w:tc>
          <w:tcPr>
            <w:tcW w:type="dxa" w:w="2800"/>
            <w:tcBorders>
              <w:top w:val="single" w:color="D5E0EC" w:sz="1"/>
              <w:left w:val="single" w:color="D5E0EC" w:sz="1"/>
              <w:bottom w:val="single" w:color="D5E0EC" w:sz="1"/>
              <w:right w:val="single" w:color="D5E0EC" w:sz="1"/>
            </w:tcBorders>
            <w:shd w:fill="E0EEF8"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The Progress Principle</w:t>
            </w:r>
          </w:p>
        </w:tc>
        <w:tc>
          <w:tcPr>
            <w:tcW w:type="dxa" w:w="32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The single most powerful motivator. Users who feel forward movement stay. Users who feel stuck leave.</w:t>
            </w:r>
          </w:p>
        </w:tc>
        <w:tc>
          <w:tcPr>
            <w:tcW w:type="dxa" w:w="32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Every session must end with at least one moment of clear, felt progress.</w:t>
            </w:r>
          </w:p>
        </w:tc>
      </w:tr>
    </w:tbl>
    <w:p>
      <w:r>
        <w:br w:type="page"/>
      </w:r>
    </w:p>
    <w:p>
      <w:pPr>
        <w:pStyle w:val="Heading1"/>
        <w:pBdr>
          <w:bottom w:val="single" w:color="1A5276" w:sz="8" w:space="2"/>
        </w:pBdr>
        <w:spacing w:after="120" w:before="280"/>
      </w:pPr>
      <w:r>
        <w:rPr>
          <w:rFonts w:ascii="Arial" w:cs="Arial" w:eastAsia="Arial" w:hAnsi="Arial"/>
          <w:b/>
          <w:bCs/>
          <w:color w:val="1A5276"/>
          <w:sz w:val="32"/>
          <w:szCs w:val="32"/>
        </w:rPr>
        <w:t xml:space="preserve">10. SWOT Analysis</w:t>
      </w:r>
    </w:p>
    <w:p>
      <w:pPr>
        <w:spacing w:after="80" w:before="40"/>
        <w:jc w:val="both"/>
      </w:pPr>
      <w:r>
        <w:rPr>
          <w:rFonts w:ascii="Arial" w:cs="Arial" w:eastAsia="Arial" w:hAnsi="Arial"/>
          <w:color w:val="1A1A2E"/>
          <w:sz w:val="21"/>
          <w:szCs w:val="21"/>
        </w:rPr>
        <w:t xml:space="preserve">A SWOT Analysis examines Supernova AI's internal Strengths and Weaknesses alongside external Opportunities and Threats — providing a clear picture of where the company stands strategically and what it must do to grow sustainably.</w:t>
      </w:r>
    </w:p>
    <w:p>
      <w:pPr>
        <w:spacing w:after="80" w:before="0"/>
      </w:pPr>
      <w:r>
        <w:t xml:space="preserve"/>
      </w:r>
    </w:p>
    <w:p>
      <w:pPr>
        <w:spacing w:after="120" w:before="120"/>
        <w:jc w:val="center"/>
      </w:pPr>
      <w:r>
        <w:drawing>
          <wp:inline distT="0" distB="0" distL="0" distR="0">
            <wp:extent cx="66675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667500" cy="4286250"/>
                    </a:xfrm>
                    <a:prstGeom prst="rect">
                      <a:avLst/>
                    </a:prstGeom>
                  </pic:spPr>
                </pic:pic>
              </a:graphicData>
            </a:graphic>
          </wp:inline>
        </w:drawing>
      </w:r>
    </w:p>
    <w:p>
      <w:pPr>
        <w:spacing w:after="120" w:before="40"/>
        <w:jc w:val="center"/>
      </w:pPr>
      <w:r>
        <w:rPr>
          <w:rFonts w:ascii="Arial" w:cs="Arial" w:eastAsia="Arial" w:hAnsi="Arial"/>
          <w:i/>
          <w:iCs/>
          <w:color w:val="5D6D7E"/>
          <w:sz w:val="18"/>
          <w:szCs w:val="18"/>
        </w:rPr>
        <w:t xml:space="preserve">Figure 10.1 — SWOT Analysis: Supernova AI Strategic Position</w:t>
      </w:r>
    </w:p>
    <w:p>
      <w:pPr>
        <w:spacing w:after="80" w:before="0"/>
      </w:pPr>
      <w:r>
        <w:t xml:space="preserve"/>
      </w:r>
    </w:p>
    <w:p>
      <w:pPr>
        <w:pStyle w:val="Heading2"/>
        <w:spacing w:after="80" w:before="160"/>
      </w:pPr>
      <w:r>
        <w:rPr>
          <w:rFonts w:ascii="Arial" w:cs="Arial" w:eastAsia="Arial" w:hAnsi="Arial"/>
          <w:b/>
          <w:bCs/>
          <w:color w:val="1A5276"/>
          <w:sz w:val="26"/>
          <w:szCs w:val="26"/>
        </w:rPr>
        <w:t xml:space="preserve">10.1 Strategic Implications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7680"/>
      </w:tblGrid>
      <w:tr>
        <w:tc>
          <w:tcPr>
            <w:tcW w:type="dxa" w:w="1680"/>
            <w:tcBorders>
              <w:top w:val="single" w:color="1E8449" w:sz="1"/>
              <w:left w:val="single" w:color="1E8449" w:sz="1"/>
              <w:bottom w:val="single" w:color="1E8449" w:sz="1"/>
              <w:right w:val="single" w:color="1E8449" w:sz="1"/>
            </w:tcBorders>
            <w:shd w:fill="1E8449"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SO Strategy
(Strengths +
Opportunities)</w:t>
            </w:r>
          </w:p>
        </w:tc>
        <w:tc>
          <w:tcPr>
            <w:tcW w:type="dxa" w:w="7680"/>
            <w:tcBorders>
              <w:top w:val="single" w:color="1E8449" w:sz="1"/>
              <w:left w:val="single" w:color="1E8449" w:sz="1"/>
              <w:bottom w:val="single" w:color="1E8449" w:sz="1"/>
              <w:right w:val="single" w:color="1E8449" w:sz="1"/>
            </w:tcBorders>
            <w:shd w:fill="F2F5F9" w:val="clear"/>
            <w:tcMar>
              <w:top w:type="dxa" w:w="80"/>
              <w:left w:type="dxa" w:w="160"/>
              <w:bottom w:type="dxa" w:w="80"/>
              <w:right w:type="dxa" w:w="120"/>
            </w:tcMar>
          </w:tcPr>
          <w:p>
            <w:pPr>
              <w:jc w:val="both"/>
            </w:pPr>
            <w:r>
              <w:rPr>
                <w:rFonts w:ascii="Arial" w:cs="Arial" w:eastAsia="Arial" w:hAnsi="Arial"/>
                <w:color w:val="2C3E50"/>
                <w:sz w:val="20"/>
                <w:szCs w:val="20"/>
              </w:rPr>
              <w:t xml:space="preserve">Leverage 10-language capability and Tier 2/3 focus to expand into underserved regional markets. Use Series A funding to build the Communication Confidence Network and Career Readiness Layer — turning the platform into a B2B solution for colleges and employers.</w:t>
            </w:r>
          </w:p>
        </w:tc>
      </w:tr>
      <w:tr>
        <w:tc>
          <w:tcPr>
            <w:tcW w:type="dxa" w:w="1680"/>
            <w:tcBorders>
              <w:top w:val="single" w:color="1A5276" w:sz="1"/>
              <w:left w:val="single" w:color="1A5276" w:sz="1"/>
              <w:bottom w:val="single" w:color="1A5276" w:sz="1"/>
              <w:right w:val="single" w:color="1A5276" w:sz="1"/>
            </w:tcBorders>
            <w:shd w:fill="1A527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WO Strategy
(Weaknesses +
Opportunities)</w:t>
            </w:r>
          </w:p>
        </w:tc>
        <w:tc>
          <w:tcPr>
            <w:tcW w:type="dxa" w:w="7680"/>
            <w:tcBorders>
              <w:top w:val="single" w:color="1A5276" w:sz="1"/>
              <w:left w:val="single" w:color="1A5276" w:sz="1"/>
              <w:bottom w:val="single" w:color="1A5276" w:sz="1"/>
              <w:right w:val="single" w:color="1A5276" w:sz="1"/>
            </w:tcBorders>
            <w:shd w:fill="F2F5F9" w:val="clear"/>
            <w:tcMar>
              <w:top w:type="dxa" w:w="80"/>
              <w:left w:type="dxa" w:w="160"/>
              <w:bottom w:type="dxa" w:w="80"/>
              <w:right w:type="dxa" w:w="120"/>
            </w:tcMar>
          </w:tcPr>
          <w:p>
            <w:pPr>
              <w:jc w:val="both"/>
            </w:pPr>
            <w:r>
              <w:rPr>
                <w:rFonts w:ascii="Arial" w:cs="Arial" w:eastAsia="Arial" w:hAnsi="Arial"/>
                <w:color w:val="2C3E50"/>
                <w:sz w:val="20"/>
                <w:szCs w:val="20"/>
              </w:rPr>
              <w:t xml:space="preserve">Address the advanced content gap by building professional English modules and career simulation features — directly unlocking the B2B corporate training opportunity. Fix subscription trust issues to improve conversion and protect brand credibility as the company scales.</w:t>
            </w:r>
          </w:p>
        </w:tc>
      </w:tr>
      <w:tr>
        <w:tc>
          <w:tcPr>
            <w:tcW w:type="dxa" w:w="1680"/>
            <w:tcBorders>
              <w:top w:val="single" w:color="F0A500" w:sz="1"/>
              <w:left w:val="single" w:color="F0A500" w:sz="1"/>
              <w:bottom w:val="single" w:color="F0A500" w:sz="1"/>
              <w:right w:val="single" w:color="F0A500" w:sz="1"/>
            </w:tcBorders>
            <w:shd w:fill="F0A500"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ST Strategy
(Strengths +
Threats)</w:t>
            </w:r>
          </w:p>
        </w:tc>
        <w:tc>
          <w:tcPr>
            <w:tcW w:type="dxa" w:w="7680"/>
            <w:tcBorders>
              <w:top w:val="single" w:color="F0A500" w:sz="1"/>
              <w:left w:val="single" w:color="F0A500" w:sz="1"/>
              <w:bottom w:val="single" w:color="F0A500" w:sz="1"/>
              <w:right w:val="single" w:color="F0A500" w:sz="1"/>
            </w:tcBorders>
            <w:shd w:fill="F2F5F9" w:val="clear"/>
            <w:tcMar>
              <w:top w:type="dxa" w:w="80"/>
              <w:left w:type="dxa" w:w="160"/>
              <w:bottom w:type="dxa" w:w="80"/>
              <w:right w:type="dxa" w:w="120"/>
            </w:tcMar>
          </w:tcPr>
          <w:p>
            <w:pPr>
              <w:jc w:val="both"/>
            </w:pPr>
            <w:r>
              <w:rPr>
                <w:rFonts w:ascii="Arial" w:cs="Arial" w:eastAsia="Arial" w:hAnsi="Arial"/>
                <w:color w:val="2C3E50"/>
                <w:sz w:val="20"/>
                <w:szCs w:val="20"/>
              </w:rPr>
              <w:t xml:space="preserve">Double down on the regional identity advantage — the 10-language depth, Tier 2/3 focus, and cultural understanding that global competitors like Duolingo structurally cannot replicate.</w:t>
            </w:r>
          </w:p>
        </w:tc>
      </w:tr>
      <w:tr>
        <w:tc>
          <w:tcPr>
            <w:tcW w:type="dxa" w:w="1680"/>
            <w:tcBorders>
              <w:top w:val="single" w:color="C0392B" w:sz="1"/>
              <w:left w:val="single" w:color="C0392B" w:sz="1"/>
              <w:bottom w:val="single" w:color="C0392B" w:sz="1"/>
              <w:right w:val="single" w:color="C0392B"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Strategy
(Weaknesses +
Threats)</w:t>
            </w:r>
          </w:p>
        </w:tc>
        <w:tc>
          <w:tcPr>
            <w:tcW w:type="dxa" w:w="7680"/>
            <w:tcBorders>
              <w:top w:val="single" w:color="C0392B" w:sz="1"/>
              <w:left w:val="single" w:color="C0392B" w:sz="1"/>
              <w:bottom w:val="single" w:color="C0392B" w:sz="1"/>
              <w:right w:val="single" w:color="C0392B" w:sz="1"/>
            </w:tcBorders>
            <w:shd w:fill="F2F5F9" w:val="clear"/>
            <w:tcMar>
              <w:top w:type="dxa" w:w="80"/>
              <w:left w:type="dxa" w:w="160"/>
              <w:bottom w:type="dxa" w:w="80"/>
              <w:right w:type="dxa" w:w="120"/>
            </w:tcMar>
          </w:tcPr>
          <w:p>
            <w:pPr>
              <w:jc w:val="both"/>
            </w:pPr>
            <w:r>
              <w:rPr>
                <w:rFonts w:ascii="Arial" w:cs="Arial" w:eastAsia="Arial" w:hAnsi="Arial"/>
                <w:color w:val="2C3E50"/>
                <w:sz w:val="20"/>
                <w:szCs w:val="20"/>
              </w:rPr>
              <w:t xml:space="preserve">Fix churn and emotional engagement before rising CAC makes customer acquisition unsustainable. A platform with 2–4 week average retention cannot survive competitive paid advertising regardless of product quality.</w:t>
            </w:r>
          </w:p>
        </w:tc>
      </w:tr>
    </w:tbl>
    <w:p>
      <w:r>
        <w:br w:type="page"/>
      </w:r>
    </w:p>
    <w:p>
      <w:pPr>
        <w:spacing w:after="80" w:before="0"/>
      </w:pPr>
      <w:r>
        <w:t xml:space="preserve"/>
      </w:r>
    </w:p>
    <w:p>
      <w:pPr>
        <w:pStyle w:val="Heading2"/>
        <w:spacing w:after="80" w:before="160"/>
      </w:pPr>
      <w:r>
        <w:rPr>
          <w:rFonts w:ascii="Arial" w:cs="Arial" w:eastAsia="Arial" w:hAnsi="Arial"/>
          <w:b/>
          <w:bCs/>
          <w:color w:val="1A5276"/>
          <w:sz w:val="26"/>
          <w:szCs w:val="26"/>
        </w:rPr>
        <w:t xml:space="preserve">10.2 Detailed SWOT Analysis</w:t>
      </w:r>
    </w:p>
    <w:p>
      <w:pPr>
        <w:pStyle w:val="Heading3"/>
        <w:spacing w:after="60" w:before="120"/>
      </w:pPr>
      <w:r>
        <w:rPr>
          <w:rFonts w:ascii="Arial" w:cs="Arial" w:eastAsia="Arial" w:hAnsi="Arial"/>
          <w:b/>
          <w:bCs/>
          <w:color w:val="0D1B2A"/>
          <w:sz w:val="22"/>
          <w:szCs w:val="22"/>
        </w:rPr>
        <w:t xml:space="preserve">Strengths — Internal Advantages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Strength</w:t>
            </w:r>
          </w:p>
        </w:tc>
        <w:tc>
          <w:tcPr>
            <w:tcW w:type="dxa" w:w="576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Strategic Significance</w:t>
            </w:r>
          </w:p>
        </w:tc>
      </w:tr>
      <w:tr>
        <w:tc>
          <w:tcPr>
            <w:tcW w:type="dxa" w:w="3600"/>
            <w:tcBorders>
              <w:top w:val="single" w:color="D5E0EC" w:sz="1"/>
              <w:left w:val="single" w:color="D5E0EC" w:sz="1"/>
              <w:bottom w:val="single" w:color="D5E0EC" w:sz="1"/>
              <w:right w:val="single" w:color="D5E0EC" w:sz="1"/>
            </w:tcBorders>
            <w:shd w:fill="E8EDF2"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16M+ downloads; 7 lakh+ active learners</w:t>
            </w:r>
          </w:p>
        </w:tc>
        <w:tc>
          <w:tcPr>
            <w:tcW w:type="dxa" w:w="576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Proven product-market fit at Series A — largest validation of platform relevance in Indian edtech</w:t>
            </w:r>
          </w:p>
        </w:tc>
      </w:tr>
      <w:tr>
        <w:tc>
          <w:tcPr>
            <w:tcW w:type="dxa" w:w="3600"/>
            <w:tcBorders>
              <w:top w:val="single" w:color="D5E0EC" w:sz="1"/>
              <w:left w:val="single" w:color="D5E0EC" w:sz="1"/>
              <w:bottom w:val="single" w:color="D5E0EC" w:sz="1"/>
              <w:right w:val="single" w:color="D5E0EC" w:sz="1"/>
            </w:tcBorders>
            <w:shd w:fill="EEF2F7"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10 Indian language support</w:t>
            </w:r>
          </w:p>
        </w:tc>
        <w:tc>
          <w:tcPr>
            <w:tcW w:type="dxa" w:w="576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Unmatched regional language depth no global competitor can replicate quickly — structural moat</w:t>
            </w:r>
          </w:p>
        </w:tc>
      </w:tr>
      <w:tr>
        <w:tc>
          <w:tcPr>
            <w:tcW w:type="dxa" w:w="3600"/>
            <w:tcBorders>
              <w:top w:val="single" w:color="D5E0EC" w:sz="1"/>
              <w:left w:val="single" w:color="D5E0EC" w:sz="1"/>
              <w:bottom w:val="single" w:color="D5E0EC" w:sz="1"/>
              <w:right w:val="single" w:color="D5E0EC" w:sz="1"/>
            </w:tcBorders>
            <w:shd w:fill="E8EDF2"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Miss Nova AI tutor</w:t>
            </w:r>
          </w:p>
        </w:tc>
        <w:tc>
          <w:tcPr>
            <w:tcW w:type="dxa" w:w="576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Personalized, bilingual, always-available AI companion — emotional anchor for user relationship</w:t>
            </w:r>
          </w:p>
        </w:tc>
      </w:tr>
      <w:tr>
        <w:tc>
          <w:tcPr>
            <w:tcW w:type="dxa" w:w="3600"/>
            <w:tcBorders>
              <w:top w:val="single" w:color="D5E0EC" w:sz="1"/>
              <w:left w:val="single" w:color="D5E0EC" w:sz="1"/>
              <w:bottom w:val="single" w:color="D5E0EC" w:sz="1"/>
              <w:right w:val="single" w:color="D5E0EC" w:sz="1"/>
            </w:tcBorders>
            <w:shd w:fill="EEF2F7"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Tier 2 &amp; Tier 3 city focus</w:t>
            </w:r>
          </w:p>
        </w:tc>
        <w:tc>
          <w:tcPr>
            <w:tcW w:type="dxa" w:w="576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Deep cultural understanding of India's underserved learner majority — price, aspiration, access all aligned</w:t>
            </w:r>
          </w:p>
        </w:tc>
      </w:tr>
      <w:tr>
        <w:tc>
          <w:tcPr>
            <w:tcW w:type="dxa" w:w="3600"/>
            <w:tcBorders>
              <w:top w:val="single" w:color="D5E0EC" w:sz="1"/>
              <w:left w:val="single" w:color="D5E0EC" w:sz="1"/>
              <w:bottom w:val="single" w:color="D5E0EC" w:sz="1"/>
              <w:right w:val="single" w:color="D5E0EC" w:sz="1"/>
            </w:tcBorders>
            <w:shd w:fill="E8EDF2"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Affordable pricing: ₹200–300/month</w:t>
            </w:r>
          </w:p>
        </w:tc>
        <w:tc>
          <w:tcPr>
            <w:tcW w:type="dxa" w:w="576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Accessible to the 250M price-sensitive Indian learners global platforms cannot serve profitably</w:t>
            </w:r>
          </w:p>
        </w:tc>
      </w:tr>
      <w:tr>
        <w:tc>
          <w:tcPr>
            <w:tcW w:type="dxa" w:w="3600"/>
            <w:tcBorders>
              <w:top w:val="single" w:color="D5E0EC" w:sz="1"/>
              <w:left w:val="single" w:color="D5E0EC" w:sz="1"/>
              <w:bottom w:val="single" w:color="D5E0EC" w:sz="1"/>
              <w:right w:val="single" w:color="D5E0EC" w:sz="1"/>
            </w:tcBorders>
            <w:shd w:fill="EEF2F7"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SuperFluency Method</w:t>
            </w:r>
          </w:p>
        </w:tc>
        <w:tc>
          <w:tcPr>
            <w:tcW w:type="dxa" w:w="576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Structured learning sequence unique to Supernova AI — proprietary pedagogy advantage</w:t>
            </w:r>
          </w:p>
        </w:tc>
      </w:tr>
      <w:tr>
        <w:tc>
          <w:tcPr>
            <w:tcW w:type="dxa" w:w="3600"/>
            <w:tcBorders>
              <w:top w:val="single" w:color="D5E0EC" w:sz="1"/>
              <w:left w:val="single" w:color="D5E0EC" w:sz="1"/>
              <w:bottom w:val="single" w:color="D5E0EC" w:sz="1"/>
              <w:right w:val="single" w:color="D5E0EC" w:sz="1"/>
            </w:tcBorders>
            <w:shd w:fill="E8EDF2"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Series A: $4.67M from Kae Capital, Lumikai, AdvantEdge</w:t>
            </w:r>
          </w:p>
        </w:tc>
        <w:tc>
          <w:tcPr>
            <w:tcW w:type="dxa" w:w="576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Institutional validation + capital runway for product investment through profitability</w:t>
            </w:r>
          </w:p>
        </w:tc>
      </w:tr>
      <w:tr>
        <w:tc>
          <w:tcPr>
            <w:tcW w:type="dxa" w:w="3600"/>
            <w:tcBorders>
              <w:top w:val="single" w:color="D5E0EC" w:sz="1"/>
              <w:left w:val="single" w:color="D5E0EC" w:sz="1"/>
              <w:bottom w:val="single" w:color="D5E0EC" w:sz="1"/>
              <w:right w:val="single" w:color="D5E0EC" w:sz="1"/>
            </w:tcBorders>
            <w:shd w:fill="EEF2F7" w:val="clear"/>
            <w:tcMar>
              <w:top w:type="dxa" w:w="80"/>
              <w:left w:type="dxa" w:w="120"/>
              <w:bottom w:type="dxa" w:w="80"/>
              <w:right w:type="dxa" w:w="120"/>
            </w:tcMar>
            <w:vAlign w:val="center"/>
          </w:tcPr>
          <w:p>
            <w:pPr>
              <w:jc w:val="left"/>
            </w:pPr>
            <w:r>
              <w:rPr>
                <w:rFonts w:ascii="Arial" w:cs="Arial" w:eastAsia="Arial" w:hAnsi="Arial"/>
                <w:b/>
                <w:bCs/>
                <w:color w:val="1A5276"/>
                <w:sz w:val="20"/>
                <w:szCs w:val="20"/>
              </w:rPr>
              <w:t xml:space="preserve">Revenue: ₹0.10 Cr (2021) → ₹8.93 Cr (2025)</w:t>
            </w:r>
          </w:p>
        </w:tc>
        <w:tc>
          <w:tcPr>
            <w:tcW w:type="dxa" w:w="576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90x revenue growth in 4 years demonstrates strong commercial trajectory</w:t>
            </w:r>
          </w:p>
        </w:tc>
      </w:tr>
    </w:tbl>
    <w:p>
      <w:pPr>
        <w:spacing w:after="80" w:before="0"/>
      </w:pPr>
      <w:r>
        <w:t xml:space="preserve"/>
      </w:r>
    </w:p>
    <w:p>
      <w:pPr>
        <w:pStyle w:val="Heading3"/>
        <w:spacing w:after="60" w:before="120"/>
      </w:pPr>
      <w:r>
        <w:rPr>
          <w:rFonts w:ascii="Arial" w:cs="Arial" w:eastAsia="Arial" w:hAnsi="Arial"/>
          <w:b/>
          <w:bCs/>
          <w:color w:val="0D1B2A"/>
          <w:sz w:val="22"/>
          <w:szCs w:val="22"/>
        </w:rPr>
        <w:t xml:space="preserve">Opportunities — External Growth Vectors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Opportunity</w:t>
            </w:r>
          </w:p>
        </w:tc>
        <w:tc>
          <w:tcPr>
            <w:tcW w:type="dxa" w:w="576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How Supernova AI Can Capture It</w:t>
            </w:r>
          </w:p>
        </w:tc>
      </w:tr>
      <w:tr>
        <w:tc>
          <w:tcPr>
            <w:tcW w:type="dxa" w:w="3600"/>
            <w:tcBorders>
              <w:top w:val="single" w:color="D5E0EC" w:sz="1"/>
              <w:left w:val="single" w:color="D5E0EC" w:sz="1"/>
              <w:bottom w:val="single" w:color="D5E0EC" w:sz="1"/>
              <w:right w:val="single" w:color="D5E0EC" w:sz="1"/>
            </w:tcBorders>
            <w:shd w:fill="DDF2E8"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250M+ underserved Indian learners</w:t>
            </w:r>
          </w:p>
        </w:tc>
        <w:tc>
          <w:tcPr>
            <w:tcW w:type="dxa" w:w="576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Build the Communication Confidence Ecosystem specifically for this demographic — no global rival can compete on price, language depth, or cultural context</w:t>
            </w:r>
          </w:p>
        </w:tc>
      </w:tr>
      <w:tr>
        <w:tc>
          <w:tcPr>
            <w:tcW w:type="dxa" w:w="3600"/>
            <w:tcBorders>
              <w:top w:val="single" w:color="D5E0EC" w:sz="1"/>
              <w:left w:val="single" w:color="D5E0EC" w:sz="1"/>
              <w:bottom w:val="single" w:color="D5E0EC" w:sz="1"/>
              <w:right w:val="single" w:color="D5E0EC" w:sz="1"/>
            </w:tcBorders>
            <w:shd w:fill="E8F8F0"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B2B: college &amp; employer partnerships</w:t>
            </w:r>
          </w:p>
        </w:tc>
        <w:tc>
          <w:tcPr>
            <w:tcW w:type="dxa" w:w="576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Pilot 3–5 college communication lab and employer training contracts in Phase 1 at near-zero cost; scale in Phase 2 with dedicated B2B team</w:t>
            </w:r>
          </w:p>
        </w:tc>
      </w:tr>
      <w:tr>
        <w:tc>
          <w:tcPr>
            <w:tcW w:type="dxa" w:w="3600"/>
            <w:tcBorders>
              <w:top w:val="single" w:color="D5E0EC" w:sz="1"/>
              <w:left w:val="single" w:color="D5E0EC" w:sz="1"/>
              <w:bottom w:val="single" w:color="D5E0EC" w:sz="1"/>
              <w:right w:val="single" w:color="D5E0EC" w:sz="1"/>
            </w:tcBorders>
            <w:shd w:fill="DDF2E8"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Growing Tier 2/3 smartphone penetration</w:t>
            </w:r>
          </w:p>
        </w:tc>
        <w:tc>
          <w:tcPr>
            <w:tcW w:type="dxa" w:w="576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Mobile-first product and regional language support already aligned — expand marketing investment in these markets ahead of competitors</w:t>
            </w:r>
          </w:p>
        </w:tc>
      </w:tr>
      <w:tr>
        <w:tc>
          <w:tcPr>
            <w:tcW w:type="dxa" w:w="3600"/>
            <w:tcBorders>
              <w:top w:val="single" w:color="D5E0EC" w:sz="1"/>
              <w:left w:val="single" w:color="D5E0EC" w:sz="1"/>
              <w:bottom w:val="single" w:color="D5E0EC" w:sz="1"/>
              <w:right w:val="single" w:color="D5E0EC" w:sz="1"/>
            </w:tcBorders>
            <w:shd w:fill="E8F8F0"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Employer communication hiring demand</w:t>
            </w:r>
          </w:p>
        </w:tc>
        <w:tc>
          <w:tcPr>
            <w:tcW w:type="dxa" w:w="576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Position Professional Suite as interview and workplace preparation tool; align with employer talent pipelines for B2B revenue</w:t>
            </w:r>
          </w:p>
        </w:tc>
      </w:tr>
      <w:tr>
        <w:tc>
          <w:tcPr>
            <w:tcW w:type="dxa" w:w="3600"/>
            <w:tcBorders>
              <w:top w:val="single" w:color="D5E0EC" w:sz="1"/>
              <w:left w:val="single" w:color="D5E0EC" w:sz="1"/>
              <w:bottom w:val="single" w:color="D5E0EC" w:sz="1"/>
              <w:right w:val="single" w:color="D5E0EC" w:sz="1"/>
            </w:tcBorders>
            <w:shd w:fill="DDF2E8"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Government skilling initiatives</w:t>
            </w:r>
          </w:p>
        </w:tc>
        <w:tc>
          <w:tcPr>
            <w:tcW w:type="dxa" w:w="576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Partner with national youth employability programs — institutional revenue + brand credibility as education policy partner</w:t>
            </w:r>
          </w:p>
        </w:tc>
      </w:tr>
      <w:tr>
        <w:tc>
          <w:tcPr>
            <w:tcW w:type="dxa" w:w="3600"/>
            <w:tcBorders>
              <w:top w:val="single" w:color="D5E0EC" w:sz="1"/>
              <w:left w:val="single" w:color="D5E0EC" w:sz="1"/>
              <w:bottom w:val="single" w:color="D5E0EC" w:sz="1"/>
              <w:right w:val="single" w:color="D5E0EC" w:sz="1"/>
            </w:tcBorders>
            <w:shd w:fill="E8F8F0"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Corporate training market</w:t>
            </w:r>
          </w:p>
        </w:tc>
        <w:tc>
          <w:tcPr>
            <w:tcW w:type="dxa" w:w="576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Communication training for employees is a ₹5,000+ Crore market in India — B2B Professional Suite directly addresses this</w:t>
            </w:r>
          </w:p>
        </w:tc>
      </w:tr>
      <w:tr>
        <w:tc>
          <w:tcPr>
            <w:tcW w:type="dxa" w:w="3600"/>
            <w:tcBorders>
              <w:top w:val="single" w:color="D5E0EC" w:sz="1"/>
              <w:left w:val="single" w:color="D5E0EC" w:sz="1"/>
              <w:bottom w:val="single" w:color="D5E0EC" w:sz="1"/>
              <w:right w:val="single" w:color="D5E0EC" w:sz="1"/>
            </w:tcBorders>
            <w:shd w:fill="DDF2E8"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Indian diaspora: UAE, UK, Canada, Australia</w:t>
            </w:r>
          </w:p>
        </w:tc>
        <w:tc>
          <w:tcPr>
            <w:tcW w:type="dxa" w:w="576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Non-resident Indians seeking professional communication improvement — Phase 3 international expansion opportunity with zero language localization required</w:t>
            </w:r>
          </w:p>
        </w:tc>
      </w:tr>
    </w:tbl>
    <w:p>
      <w:r>
        <w:br w:type="page"/>
      </w:r>
    </w:p>
    <w:p>
      <w:pPr>
        <w:pStyle w:val="Heading3"/>
        <w:spacing w:after="60" w:before="120"/>
      </w:pPr>
      <w:r>
        <w:rPr>
          <w:rFonts w:ascii="Arial" w:cs="Arial" w:eastAsia="Arial" w:hAnsi="Arial"/>
          <w:b/>
          <w:bCs/>
          <w:color w:val="0D1B2A"/>
          <w:sz w:val="22"/>
          <w:szCs w:val="22"/>
        </w:rPr>
        <w:t xml:space="preserve">Weaknesses &amp; Threats — Challenges to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80"/>
        <w:gridCol w:w="4680"/>
      </w:tblGrid>
      <w:tr>
        <w:tc>
          <w:tcPr>
            <w:tcW w:type="dxa" w:w="120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348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Challenge</w:t>
            </w:r>
          </w:p>
        </w:tc>
        <w:tc>
          <w:tcPr>
            <w:tcW w:type="dxa" w:w="468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 Strategy</w:t>
            </w:r>
          </w:p>
        </w:tc>
      </w:tr>
      <w:tr>
        <w:tc>
          <w:tcPr>
            <w:tcW w:type="dxa" w:w="1200"/>
            <w:tcBorders>
              <w:top w:val="single" w:color="D5E0EC" w:sz="1"/>
              <w:left w:val="single" w:color="D5E0EC" w:sz="1"/>
              <w:bottom w:val="single" w:color="D5E0EC" w:sz="1"/>
              <w:right w:val="single" w:color="D5E0EC" w:sz="1"/>
            </w:tcBorders>
            <w:shd w:fill="FAE0DD"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Weakness</w:t>
            </w:r>
          </w:p>
        </w:tc>
        <w:tc>
          <w:tcPr>
            <w:tcW w:type="dxa" w:w="34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High customer churn (2–4 week dropout)</w:t>
            </w:r>
          </w:p>
        </w:tc>
        <w:tc>
          <w:tcPr>
            <w:tcW w:type="dxa" w:w="46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14-day habit onboarding redesign; Emotional AI Coach; value-first subscription prompt</w:t>
            </w:r>
          </w:p>
        </w:tc>
      </w:tr>
      <w:tr>
        <w:tc>
          <w:tcPr>
            <w:tcW w:type="dxa" w:w="1200"/>
            <w:tcBorders>
              <w:top w:val="single" w:color="D5E0EC" w:sz="1"/>
              <w:left w:val="single" w:color="D5E0EC" w:sz="1"/>
              <w:bottom w:val="single" w:color="D5E0EC" w:sz="1"/>
              <w:right w:val="single" w:color="D5E0EC" w:sz="1"/>
            </w:tcBorders>
            <w:shd w:fill="FAE0DD"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Weakness</w:t>
            </w:r>
          </w:p>
        </w:tc>
        <w:tc>
          <w:tcPr>
            <w:tcW w:type="dxa" w:w="34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No peer community yet</w:t>
            </w:r>
          </w:p>
        </w:tc>
        <w:tc>
          <w:tcPr>
            <w:tcW w:type="dxa" w:w="46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Seed founding community in Phase 1; make it feel alive before broad launch</w:t>
            </w:r>
          </w:p>
        </w:tc>
      </w:tr>
      <w:tr>
        <w:tc>
          <w:tcPr>
            <w:tcW w:type="dxa" w:w="1200"/>
            <w:tcBorders>
              <w:top w:val="single" w:color="D5E0EC" w:sz="1"/>
              <w:left w:val="single" w:color="D5E0EC" w:sz="1"/>
              <w:bottom w:val="single" w:color="D5E0EC" w:sz="1"/>
              <w:right w:val="single" w:color="D5E0EC" w:sz="1"/>
            </w:tcBorders>
            <w:shd w:fill="FAE0DD"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Weakness</w:t>
            </w:r>
          </w:p>
        </w:tc>
        <w:tc>
          <w:tcPr>
            <w:tcW w:type="dxa" w:w="34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Subscription trust issues (UPI)</w:t>
            </w:r>
          </w:p>
        </w:tc>
        <w:tc>
          <w:tcPr>
            <w:tcW w:type="dxa" w:w="46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Resolve immediately — renewal alerts, one-tap cancel, proactive refunds</w:t>
            </w:r>
          </w:p>
        </w:tc>
      </w:tr>
      <w:tr>
        <w:tc>
          <w:tcPr>
            <w:tcW w:type="dxa" w:w="1200"/>
            <w:tcBorders>
              <w:top w:val="single" w:color="D5E0EC" w:sz="1"/>
              <w:left w:val="single" w:color="D5E0EC" w:sz="1"/>
              <w:bottom w:val="single" w:color="D5E0EC" w:sz="1"/>
              <w:right w:val="single" w:color="D5E0EC" w:sz="1"/>
            </w:tcBorders>
            <w:shd w:fill="FAE0DD"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Weakness</w:t>
            </w:r>
          </w:p>
        </w:tc>
        <w:tc>
          <w:tcPr>
            <w:tcW w:type="dxa" w:w="34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Low brand awareness outside South India</w:t>
            </w:r>
          </w:p>
        </w:tc>
        <w:tc>
          <w:tcPr>
            <w:tcW w:type="dxa" w:w="46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Regional success story content marketing in Hindi belt and East India markets</w:t>
            </w:r>
          </w:p>
        </w:tc>
      </w:tr>
      <w:tr>
        <w:tc>
          <w:tcPr>
            <w:tcW w:type="dxa" w:w="1200"/>
            <w:tcBorders>
              <w:top w:val="single" w:color="D5E0EC" w:sz="1"/>
              <w:left w:val="single" w:color="D5E0EC" w:sz="1"/>
              <w:bottom w:val="single" w:color="D5E0EC" w:sz="1"/>
              <w:right w:val="single" w:color="D5E0EC" w:sz="1"/>
            </w:tcBorders>
            <w:shd w:fill="FAE0DD"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Weakness</w:t>
            </w:r>
          </w:p>
        </w:tc>
        <w:tc>
          <w:tcPr>
            <w:tcW w:type="dxa" w:w="34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Still loss-making (₹0.80 Cr loss 2025)</w:t>
            </w:r>
          </w:p>
        </w:tc>
        <w:tc>
          <w:tcPr>
            <w:tcW w:type="dxa" w:w="46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Projected break-even 2026 via retention improvement and CAC reduction strategy</w:t>
            </w:r>
          </w:p>
        </w:tc>
      </w:tr>
      <w:tr>
        <w:tc>
          <w:tcPr>
            <w:tcW w:type="dxa" w:w="1200"/>
            <w:tcBorders>
              <w:top w:val="single" w:color="D5E0EC" w:sz="1"/>
              <w:left w:val="single" w:color="D5E0EC" w:sz="1"/>
              <w:bottom w:val="single" w:color="D5E0EC" w:sz="1"/>
              <w:right w:val="single" w:color="D5E0EC" w:sz="1"/>
            </w:tcBorders>
            <w:shd w:fill="FEF4D4" w:val="clear"/>
            <w:tcMar>
              <w:top w:type="dxa" w:w="80"/>
              <w:left w:type="dxa" w:w="120"/>
              <w:bottom w:type="dxa" w:w="80"/>
              <w:right w:type="dxa" w:w="120"/>
            </w:tcMar>
            <w:vAlign w:val="center"/>
          </w:tcPr>
          <w:p>
            <w:pPr>
              <w:jc w:val="center"/>
            </w:pPr>
            <w:r>
              <w:rPr>
                <w:rFonts w:ascii="Arial" w:cs="Arial" w:eastAsia="Arial" w:hAnsi="Arial"/>
                <w:b/>
                <w:bCs/>
                <w:color w:val="F0A500"/>
                <w:sz w:val="20"/>
                <w:szCs w:val="20"/>
              </w:rPr>
              <w:t xml:space="preserve">Threat</w:t>
            </w:r>
          </w:p>
        </w:tc>
        <w:tc>
          <w:tcPr>
            <w:tcW w:type="dxa" w:w="34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Duolingo (300M users, $2B+ scale)</w:t>
            </w:r>
          </w:p>
        </w:tc>
        <w:tc>
          <w:tcPr>
            <w:tcW w:type="dxa" w:w="46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Compete on regional depth, emotional coaching, career outcomes — dimensions Duolingo cannot match</w:t>
            </w:r>
          </w:p>
        </w:tc>
      </w:tr>
      <w:tr>
        <w:tc>
          <w:tcPr>
            <w:tcW w:type="dxa" w:w="1200"/>
            <w:tcBorders>
              <w:top w:val="single" w:color="D5E0EC" w:sz="1"/>
              <w:left w:val="single" w:color="D5E0EC" w:sz="1"/>
              <w:bottom w:val="single" w:color="D5E0EC" w:sz="1"/>
              <w:right w:val="single" w:color="D5E0EC" w:sz="1"/>
            </w:tcBorders>
            <w:shd w:fill="FEF4D4" w:val="clear"/>
            <w:tcMar>
              <w:top w:type="dxa" w:w="80"/>
              <w:left w:type="dxa" w:w="120"/>
              <w:bottom w:type="dxa" w:w="80"/>
              <w:right w:type="dxa" w:w="120"/>
            </w:tcMar>
            <w:vAlign w:val="center"/>
          </w:tcPr>
          <w:p>
            <w:pPr>
              <w:jc w:val="center"/>
            </w:pPr>
            <w:r>
              <w:rPr>
                <w:rFonts w:ascii="Arial" w:cs="Arial" w:eastAsia="Arial" w:hAnsi="Arial"/>
                <w:b/>
                <w:bCs/>
                <w:color w:val="F0A500"/>
                <w:sz w:val="20"/>
                <w:szCs w:val="20"/>
              </w:rPr>
              <w:t xml:space="preserve">Threat</w:t>
            </w:r>
          </w:p>
        </w:tc>
        <w:tc>
          <w:tcPr>
            <w:tcW w:type="dxa" w:w="34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SpeakX — direct India competitor</w:t>
            </w:r>
          </w:p>
        </w:tc>
        <w:tc>
          <w:tcPr>
            <w:tcW w:type="dxa" w:w="46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Differentiate on community, emotional intelligence, and full ecosystem — not just AI features</w:t>
            </w:r>
          </w:p>
        </w:tc>
      </w:tr>
      <w:tr>
        <w:tc>
          <w:tcPr>
            <w:tcW w:type="dxa" w:w="1200"/>
            <w:tcBorders>
              <w:top w:val="single" w:color="D5E0EC" w:sz="1"/>
              <w:left w:val="single" w:color="D5E0EC" w:sz="1"/>
              <w:bottom w:val="single" w:color="D5E0EC" w:sz="1"/>
              <w:right w:val="single" w:color="D5E0EC" w:sz="1"/>
            </w:tcBorders>
            <w:shd w:fill="FEF4D4" w:val="clear"/>
            <w:tcMar>
              <w:top w:type="dxa" w:w="80"/>
              <w:left w:type="dxa" w:w="120"/>
              <w:bottom w:type="dxa" w:w="80"/>
              <w:right w:type="dxa" w:w="120"/>
            </w:tcMar>
            <w:vAlign w:val="center"/>
          </w:tcPr>
          <w:p>
            <w:pPr>
              <w:jc w:val="center"/>
            </w:pPr>
            <w:r>
              <w:rPr>
                <w:rFonts w:ascii="Arial" w:cs="Arial" w:eastAsia="Arial" w:hAnsi="Arial"/>
                <w:b/>
                <w:bCs/>
                <w:color w:val="F0A500"/>
                <w:sz w:val="20"/>
                <w:szCs w:val="20"/>
              </w:rPr>
              <w:t xml:space="preserve">Threat</w:t>
            </w:r>
          </w:p>
        </w:tc>
        <w:tc>
          <w:tcPr>
            <w:tcW w:type="dxa" w:w="34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Rising CAC from digital ad competition</w:t>
            </w:r>
          </w:p>
        </w:tc>
        <w:tc>
          <w:tcPr>
            <w:tcW w:type="dxa" w:w="46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Build referral engine, success story marketing, and B2B channels to shift acquisition mix</w:t>
            </w:r>
          </w:p>
        </w:tc>
      </w:tr>
      <w:tr>
        <w:tc>
          <w:tcPr>
            <w:tcW w:type="dxa" w:w="1200"/>
            <w:tcBorders>
              <w:top w:val="single" w:color="D5E0EC" w:sz="1"/>
              <w:left w:val="single" w:color="D5E0EC" w:sz="1"/>
              <w:bottom w:val="single" w:color="D5E0EC" w:sz="1"/>
              <w:right w:val="single" w:color="D5E0EC" w:sz="1"/>
            </w:tcBorders>
            <w:shd w:fill="FEF4D4" w:val="clear"/>
            <w:tcMar>
              <w:top w:type="dxa" w:w="80"/>
              <w:left w:type="dxa" w:w="120"/>
              <w:bottom w:type="dxa" w:w="80"/>
              <w:right w:type="dxa" w:w="120"/>
            </w:tcMar>
            <w:vAlign w:val="center"/>
          </w:tcPr>
          <w:p>
            <w:pPr>
              <w:jc w:val="center"/>
            </w:pPr>
            <w:r>
              <w:rPr>
                <w:rFonts w:ascii="Arial" w:cs="Arial" w:eastAsia="Arial" w:hAnsi="Arial"/>
                <w:b/>
                <w:bCs/>
                <w:color w:val="F0A500"/>
                <w:sz w:val="20"/>
                <w:szCs w:val="20"/>
              </w:rPr>
              <w:t xml:space="preserve">Threat</w:t>
            </w:r>
          </w:p>
        </w:tc>
        <w:tc>
          <w:tcPr>
            <w:tcW w:type="dxa" w:w="34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Free alternatives (YouTube, AI tools)</w:t>
            </w:r>
          </w:p>
        </w:tc>
        <w:tc>
          <w:tcPr>
            <w:tcW w:type="dxa" w:w="46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Demonstrate career outcomes and community belonging that free tools cannot provide</w:t>
            </w:r>
          </w:p>
        </w:tc>
      </w:tr>
      <w:tr>
        <w:tc>
          <w:tcPr>
            <w:tcW w:type="dxa" w:w="1200"/>
            <w:tcBorders>
              <w:top w:val="single" w:color="D5E0EC" w:sz="1"/>
              <w:left w:val="single" w:color="D5E0EC" w:sz="1"/>
              <w:bottom w:val="single" w:color="D5E0EC" w:sz="1"/>
              <w:right w:val="single" w:color="D5E0EC" w:sz="1"/>
            </w:tcBorders>
            <w:shd w:fill="FEF4D4" w:val="clear"/>
            <w:tcMar>
              <w:top w:type="dxa" w:w="80"/>
              <w:left w:type="dxa" w:w="120"/>
              <w:bottom w:type="dxa" w:w="80"/>
              <w:right w:type="dxa" w:w="120"/>
            </w:tcMar>
            <w:vAlign w:val="center"/>
          </w:tcPr>
          <w:p>
            <w:pPr>
              <w:jc w:val="center"/>
            </w:pPr>
            <w:r>
              <w:rPr>
                <w:rFonts w:ascii="Arial" w:cs="Arial" w:eastAsia="Arial" w:hAnsi="Arial"/>
                <w:b/>
                <w:bCs/>
                <w:color w:val="F0A500"/>
                <w:sz w:val="20"/>
                <w:szCs w:val="20"/>
              </w:rPr>
              <w:t xml:space="preserve">Threat</w:t>
            </w:r>
          </w:p>
        </w:tc>
        <w:tc>
          <w:tcPr>
            <w:tcW w:type="dxa" w:w="34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Rapid AI advancement by global platforms</w:t>
            </w:r>
          </w:p>
        </w:tc>
        <w:tc>
          <w:tcPr>
            <w:tcW w:type="dxa" w:w="46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Build the community and regional trust moat that AI technology alone cannot replicate</w:t>
            </w:r>
          </w:p>
        </w:tc>
      </w:tr>
    </w:tbl>
    <w:p>
      <w:r>
        <w:br w:type="page"/>
      </w:r>
    </w:p>
    <w:p>
      <w:pPr>
        <w:pStyle w:val="Heading1"/>
        <w:pBdr>
          <w:bottom w:val="single" w:color="1A5276" w:sz="8" w:space="2"/>
        </w:pBdr>
        <w:spacing w:after="120" w:before="280"/>
      </w:pPr>
      <w:r>
        <w:rPr>
          <w:rFonts w:ascii="Arial" w:cs="Arial" w:eastAsia="Arial" w:hAnsi="Arial"/>
          <w:b/>
          <w:bCs/>
          <w:color w:val="1A5276"/>
          <w:sz w:val="32"/>
          <w:szCs w:val="32"/>
        </w:rPr>
        <w:t xml:space="preserve">11. Limitations &amp; Solutions</w:t>
      </w:r>
    </w:p>
    <w:p>
      <w:pPr>
        <w:spacing w:after="80" w:before="40"/>
        <w:jc w:val="both"/>
      </w:pPr>
      <w:r>
        <w:rPr>
          <w:rFonts w:ascii="Arial" w:cs="Arial" w:eastAsia="Arial" w:hAnsi="Arial"/>
          <w:color w:val="1A1A2E"/>
          <w:sz w:val="21"/>
          <w:szCs w:val="21"/>
        </w:rPr>
        <w:t xml:space="preserve">No strategic plan is complete without an honest assessment of its limitations. This section identifies eight key limitations of the proposed strategy and pairs each with a structured, practical solution.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800"/>
        <w:gridCol w:w="2600"/>
        <w:gridCol w:w="2800"/>
        <w:gridCol w:w="800"/>
      </w:tblGrid>
      <w:tr>
        <w:tc>
          <w:tcPr>
            <w:tcW w:type="dxa" w:w="36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80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Limitation</w:t>
            </w:r>
          </w:p>
        </w:tc>
        <w:tc>
          <w:tcPr>
            <w:tcW w:type="dxa" w:w="260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Solution</w:t>
            </w:r>
          </w:p>
        </w:tc>
        <w:tc>
          <w:tcPr>
            <w:tcW w:type="dxa" w:w="280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Implementation</w:t>
            </w:r>
          </w:p>
        </w:tc>
        <w:tc>
          <w:tcPr>
            <w:tcW w:type="dxa" w:w="80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r>
      <w:tr>
        <w:tc>
          <w:tcPr>
            <w:tcW w:type="dxa" w:w="36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bCs/>
                <w:color w:val="0D1B2A"/>
                <w:sz w:val="20"/>
                <w:szCs w:val="20"/>
              </w:rPr>
              <w:t xml:space="preserve">1</w:t>
            </w:r>
          </w:p>
        </w:tc>
        <w:tc>
          <w:tcPr>
            <w:tcW w:type="dxa" w:w="28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Community Building Is Slow to Scale</w:t>
            </w:r>
          </w:p>
        </w:tc>
        <w:tc>
          <w:tcPr>
            <w:tcW w:type="dxa" w:w="26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Seed 200–500 founding members before public launch; give them early access and recognition badges</w:t>
            </w:r>
          </w:p>
        </w:tc>
        <w:tc>
          <w:tcPr>
            <w:tcW w:type="dxa" w:w="28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Phase 1 (Months 3–9)</w:t>
            </w:r>
          </w:p>
        </w:tc>
        <w:tc>
          <w:tcPr>
            <w:tcW w:type="dxa" w:w="8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 High</w:t>
            </w:r>
          </w:p>
        </w:tc>
      </w:tr>
      <w:tr>
        <w:tc>
          <w:tcPr>
            <w:tcW w:type="dxa" w:w="36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D1B2A"/>
                <w:sz w:val="20"/>
                <w:szCs w:val="20"/>
              </w:rPr>
              <w:t xml:space="preserve">2</w:t>
            </w:r>
          </w:p>
        </w:tc>
        <w:tc>
          <w:tcPr>
            <w:tcW w:type="dxa" w:w="28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Emotional AI Coaching Is Unproven at Scale</w:t>
            </w:r>
          </w:p>
        </w:tc>
        <w:tc>
          <w:tcPr>
            <w:tcW w:type="dxa" w:w="26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Iterative development starting with simple signals (hesitation, pauses) and expanding sophistication</w:t>
            </w:r>
          </w:p>
        </w:tc>
        <w:tc>
          <w:tcPr>
            <w:tcW w:type="dxa" w:w="28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Phase 1–2 (Iterative)</w:t>
            </w:r>
          </w:p>
        </w:tc>
        <w:tc>
          <w:tcPr>
            <w:tcW w:type="dxa" w:w="8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 High</w:t>
            </w:r>
          </w:p>
        </w:tc>
      </w:tr>
      <w:tr>
        <w:tc>
          <w:tcPr>
            <w:tcW w:type="dxa" w:w="36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bCs/>
                <w:color w:val="0D1B2A"/>
                <w:sz w:val="20"/>
                <w:szCs w:val="20"/>
              </w:rPr>
              <w:t xml:space="preserve">3</w:t>
            </w:r>
          </w:p>
        </w:tc>
        <w:tc>
          <w:tcPr>
            <w:tcW w:type="dxa" w:w="28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Advanced Content Gap Cannot Be Filled Quickly</w:t>
            </w:r>
          </w:p>
        </w:tc>
        <w:tc>
          <w:tcPr>
            <w:tcW w:type="dxa" w:w="26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Launch 3 verticals first (IT, banking, retail) then expand incrementally based on user data</w:t>
            </w:r>
          </w:p>
        </w:tc>
        <w:tc>
          <w:tcPr>
            <w:tcW w:type="dxa" w:w="28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Phase 1 (Months 6–12)</w:t>
            </w:r>
          </w:p>
        </w:tc>
        <w:tc>
          <w:tcPr>
            <w:tcW w:type="dxa" w:w="8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 High</w:t>
            </w:r>
          </w:p>
        </w:tc>
      </w:tr>
      <w:tr>
        <w:tc>
          <w:tcPr>
            <w:tcW w:type="dxa" w:w="36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D1B2A"/>
                <w:sz w:val="20"/>
                <w:szCs w:val="20"/>
              </w:rPr>
              <w:t xml:space="preserve">4</w:t>
            </w:r>
          </w:p>
        </w:tc>
        <w:tc>
          <w:tcPr>
            <w:tcW w:type="dxa" w:w="28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Price Sensitivity Constrains Upsell</w:t>
            </w:r>
          </w:p>
        </w:tc>
        <w:tc>
          <w:tcPr>
            <w:tcW w:type="dxa" w:w="26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Progressive value ladder with milestone-triggered prompts and installment-based annual plan</w:t>
            </w:r>
          </w:p>
        </w:tc>
        <w:tc>
          <w:tcPr>
            <w:tcW w:type="dxa" w:w="28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Phase 1 (Months 4–8)</w:t>
            </w:r>
          </w:p>
        </w:tc>
        <w:tc>
          <w:tcPr>
            <w:tcW w:type="dxa" w:w="8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 Medium</w:t>
            </w:r>
          </w:p>
        </w:tc>
      </w:tr>
      <w:tr>
        <w:tc>
          <w:tcPr>
            <w:tcW w:type="dxa" w:w="36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bCs/>
                <w:color w:val="0D1B2A"/>
                <w:sz w:val="20"/>
                <w:szCs w:val="20"/>
              </w:rPr>
              <w:t xml:space="preserve">5</w:t>
            </w:r>
          </w:p>
        </w:tc>
        <w:tc>
          <w:tcPr>
            <w:tcW w:type="dxa" w:w="28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Regional Identity Risks Cultural Missteps</w:t>
            </w:r>
          </w:p>
        </w:tc>
        <w:tc>
          <w:tcPr>
            <w:tcW w:type="dxa" w:w="26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Co-develop all regional content with local cultural consultants; test extensively pre-launch</w:t>
            </w:r>
          </w:p>
        </w:tc>
        <w:tc>
          <w:tcPr>
            <w:tcW w:type="dxa" w:w="28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Ongoing (Pre-launch)</w:t>
            </w:r>
          </w:p>
        </w:tc>
        <w:tc>
          <w:tcPr>
            <w:tcW w:type="dxa" w:w="8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 Medium</w:t>
            </w:r>
          </w:p>
        </w:tc>
      </w:tr>
      <w:tr>
        <w:tc>
          <w:tcPr>
            <w:tcW w:type="dxa" w:w="36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D1B2A"/>
                <w:sz w:val="20"/>
                <w:szCs w:val="20"/>
              </w:rPr>
              <w:t xml:space="preserve">6</w:t>
            </w:r>
          </w:p>
        </w:tc>
        <w:tc>
          <w:tcPr>
            <w:tcW w:type="dxa" w:w="28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B2B Requires Capabilities Not Yet Built</w:t>
            </w:r>
          </w:p>
        </w:tc>
        <w:tc>
          <w:tcPr>
            <w:tcW w:type="dxa" w:w="26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Treat B2B as Phase 2; pilot 3–5 college partnerships at minimal cost to prove the model first</w:t>
            </w:r>
          </w:p>
        </w:tc>
        <w:tc>
          <w:tcPr>
            <w:tcW w:type="dxa" w:w="28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Phase 2 (Months 12–24)</w:t>
            </w:r>
          </w:p>
        </w:tc>
        <w:tc>
          <w:tcPr>
            <w:tcW w:type="dxa" w:w="8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 Medium</w:t>
            </w:r>
          </w:p>
        </w:tc>
      </w:tr>
      <w:tr>
        <w:tc>
          <w:tcPr>
            <w:tcW w:type="dxa" w:w="36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center"/>
            </w:pPr>
            <w:r>
              <w:rPr>
                <w:rFonts w:ascii="Arial" w:cs="Arial" w:eastAsia="Arial" w:hAnsi="Arial"/>
                <w:b/>
                <w:bCs/>
                <w:color w:val="0D1B2A"/>
                <w:sz w:val="20"/>
                <w:szCs w:val="20"/>
              </w:rPr>
              <w:t xml:space="preserve">7</w:t>
            </w:r>
          </w:p>
        </w:tc>
        <w:tc>
          <w:tcPr>
            <w:tcW w:type="dxa" w:w="28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UX Improvements Need Development Investment</w:t>
            </w:r>
          </w:p>
        </w:tc>
        <w:tc>
          <w:tcPr>
            <w:tcW w:type="dxa" w:w="26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Prioritize by impact-to-cost ratio — subscription screen and value-first prompt first</w:t>
            </w:r>
          </w:p>
        </w:tc>
        <w:tc>
          <w:tcPr>
            <w:tcW w:type="dxa" w:w="28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Phase 1 (Staged)</w:t>
            </w:r>
          </w:p>
        </w:tc>
        <w:tc>
          <w:tcPr>
            <w:tcW w:type="dxa" w:w="8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 High</w:t>
            </w:r>
          </w:p>
        </w:tc>
      </w:tr>
      <w:tr>
        <w:tc>
          <w:tcPr>
            <w:tcW w:type="dxa" w:w="36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D1B2A"/>
                <w:sz w:val="20"/>
                <w:szCs w:val="20"/>
              </w:rPr>
              <w:t xml:space="preserve">8</w:t>
            </w:r>
          </w:p>
        </w:tc>
        <w:tc>
          <w:tcPr>
            <w:tcW w:type="dxa" w:w="2800"/>
            <w:tcBorders>
              <w:top w:val="single" w:color="D5E0EC" w:sz="1"/>
              <w:left w:val="single" w:color="D5E0EC" w:sz="1"/>
              <w:bottom w:val="single" w:color="D5E0EC" w:sz="1"/>
              <w:right w:val="single" w:color="D5E0EC" w:sz="1"/>
            </w:tcBorders>
            <w:shd w:fill="FEF0F0"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Subscription Trust Crisis Must Be Resolved FIRST</w:t>
            </w:r>
          </w:p>
        </w:tc>
        <w:tc>
          <w:tcPr>
            <w:tcW w:type="dxa" w:w="2600"/>
            <w:tcBorders>
              <w:top w:val="single" w:color="D5E0EC" w:sz="1"/>
              <w:left w:val="single" w:color="D5E0EC" w:sz="1"/>
              <w:bottom w:val="single" w:color="D5E0EC" w:sz="1"/>
              <w:right w:val="single" w:color="D5E0EC" w:sz="1"/>
            </w:tcBorders>
            <w:shd w:fill="FEF0F0"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Mandatory 5-day and 1-day renewal alerts; one-tap cancel; proactive refund policy for past users</w:t>
            </w:r>
          </w:p>
        </w:tc>
        <w:tc>
          <w:tcPr>
            <w:tcW w:type="dxa" w:w="2800"/>
            <w:tcBorders>
              <w:top w:val="single" w:color="D5E0EC" w:sz="1"/>
              <w:left w:val="single" w:color="D5E0EC" w:sz="1"/>
              <w:bottom w:val="single" w:color="D5E0EC" w:sz="1"/>
              <w:right w:val="single" w:color="D5E0EC" w:sz="1"/>
            </w:tcBorders>
            <w:shd w:fill="FEF0F0"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IMMEDIATE</w:t>
            </w:r>
          </w:p>
        </w:tc>
        <w:tc>
          <w:tcPr>
            <w:tcW w:type="dxa" w:w="800"/>
            <w:tcBorders>
              <w:top w:val="single" w:color="D5E0EC" w:sz="1"/>
              <w:left w:val="single" w:color="D5E0EC" w:sz="1"/>
              <w:bottom w:val="single" w:color="D5E0EC" w:sz="1"/>
              <w:right w:val="single" w:color="D5E0EC" w:sz="1"/>
            </w:tcBorders>
            <w:shd w:fill="FEF0F0"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 Critical</w:t>
            </w:r>
          </w:p>
        </w:tc>
      </w:tr>
    </w:tbl>
    <w:p>
      <w:r>
        <w:br w:type="page"/>
      </w:r>
    </w:p>
    <w:p>
      <w:pPr>
        <w:pStyle w:val="Heading1"/>
        <w:pBdr>
          <w:bottom w:val="single" w:color="1A5276" w:sz="8" w:space="2"/>
        </w:pBdr>
        <w:spacing w:after="120" w:before="280"/>
      </w:pPr>
      <w:r>
        <w:rPr>
          <w:rFonts w:ascii="Arial" w:cs="Arial" w:eastAsia="Arial" w:hAnsi="Arial"/>
          <w:b/>
          <w:bCs/>
          <w:color w:val="1A5276"/>
          <w:sz w:val="32"/>
          <w:szCs w:val="32"/>
        </w:rPr>
        <w:t xml:space="preserve">12. Phased Implementation Roadmap</w:t>
      </w:r>
    </w:p>
    <w:p>
      <w:pPr>
        <w:spacing w:after="80" w:before="40"/>
        <w:jc w:val="both"/>
      </w:pPr>
      <w:r>
        <w:rPr>
          <w:rFonts w:ascii="Arial" w:cs="Arial" w:eastAsia="Arial" w:hAnsi="Arial"/>
          <w:color w:val="1A1A2E"/>
          <w:sz w:val="21"/>
          <w:szCs w:val="21"/>
        </w:rPr>
        <w:t xml:space="preserve">The Phased Implementation Roadmap translates the Communication Confidence Ecosystem strategy into a structured, three-phase execution plan. Each phase builds on the previous — beginning with the most urgent operational fixes, progressing to product and community development, and culminating in full-scale B2B expansion.</w:t>
      </w:r>
    </w:p>
    <w:p>
      <w:pPr>
        <w:spacing w:after="80" w:before="0"/>
      </w:pPr>
      <w:r>
        <w:t xml:space="preserve"/>
      </w:r>
    </w:p>
    <w:p>
      <w:pPr>
        <w:spacing w:after="120" w:before="120"/>
        <w:jc w:val="center"/>
      </w:pPr>
      <w:r>
        <w:drawing>
          <wp:inline distT="0" distB="0" distL="0" distR="0">
            <wp:extent cx="6667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667500" cy="3048000"/>
                    </a:xfrm>
                    <a:prstGeom prst="rect">
                      <a:avLst/>
                    </a:prstGeom>
                  </pic:spPr>
                </pic:pic>
              </a:graphicData>
            </a:graphic>
          </wp:inline>
        </w:drawing>
      </w:r>
    </w:p>
    <w:p>
      <w:pPr>
        <w:spacing w:after="120" w:before="40"/>
        <w:jc w:val="center"/>
      </w:pPr>
      <w:r>
        <w:rPr>
          <w:rFonts w:ascii="Arial" w:cs="Arial" w:eastAsia="Arial" w:hAnsi="Arial"/>
          <w:i/>
          <w:iCs/>
          <w:color w:val="5D6D7E"/>
          <w:sz w:val="18"/>
          <w:szCs w:val="18"/>
        </w:rPr>
        <w:t xml:space="preserve">Figure 12.1 — 36-Month Implementation Roadmap with Key Milestones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5276" w:sz="1"/>
              <w:left w:val="single" w:color="1A5276" w:sz="1"/>
              <w:bottom w:val="single" w:color="1A5276" w:sz="1"/>
              <w:right w:val="single" w:color="1A5276" w:sz="1"/>
            </w:tcBorders>
            <w:shd w:fill="1A5276" w:val="clear"/>
            <w:tcMar>
              <w:top w:type="dxa" w:w="80"/>
              <w:left w:type="dxa" w:w="80"/>
              <w:bottom w:type="dxa" w:w="80"/>
              <w:right w:type="dxa" w:w="80"/>
            </w:tcMar>
            <w:vAlign w:val="center"/>
          </w:tcPr>
          <w:p>
            <w:pPr>
              <w:jc w:val="center"/>
            </w:pPr>
            <w:r>
              <w:rPr>
                <w:rFonts w:ascii="Arial" w:cs="Arial" w:eastAsia="Arial" w:hAnsi="Arial"/>
                <w:b/>
                <w:bCs/>
                <w:color w:val="FFFFFF"/>
                <w:sz w:val="32"/>
                <w:szCs w:val="32"/>
              </w:rPr>
              <w:t xml:space="preserve">P1</w:t>
            </w:r>
          </w:p>
          <w:p>
            <w:pPr>
              <w:jc w:val="center"/>
            </w:pPr>
            <w:r>
              <w:rPr>
                <w:rFonts w:ascii="Arial" w:cs="Arial" w:eastAsia="Arial" w:hAnsi="Arial"/>
                <w:color w:val="FFFFFF"/>
                <w:sz w:val="16"/>
                <w:szCs w:val="16"/>
              </w:rPr>
              <w:t xml:space="preserve">Months 0–12</w:t>
            </w:r>
          </w:p>
        </w:tc>
        <w:tc>
          <w:tcPr>
            <w:tcW w:type="dxa" w:w="8160"/>
            <w:tcBorders>
              <w:top w:val="single" w:color="1A5276" w:sz="1"/>
              <w:left w:val="single" w:color="1A5276" w:sz="1"/>
              <w:bottom w:val="single" w:color="1A5276" w:sz="1"/>
              <w:right w:val="single" w:color="1A5276" w:sz="1"/>
            </w:tcBorders>
            <w:shd w:fill="EEF2F7" w:val="clear"/>
            <w:tcMar>
              <w:top w:type="dxa" w:w="80"/>
              <w:left w:type="dxa" w:w="160"/>
              <w:bottom w:type="dxa" w:w="80"/>
              <w:right w:type="dxa" w:w="120"/>
            </w:tcMar>
          </w:tcPr>
          <w:p>
            <w:pPr>
              <w:spacing w:after="30"/>
            </w:pPr>
            <w:r>
              <w:rPr>
                <w:rFonts w:ascii="Arial" w:cs="Arial" w:eastAsia="Arial" w:hAnsi="Arial"/>
                <w:b/>
                <w:bCs/>
                <w:color w:val="1A5276"/>
                <w:sz w:val="24"/>
                <w:szCs w:val="24"/>
              </w:rPr>
              <w:t xml:space="preserve">Fix, Build &amp; Retain</w:t>
            </w:r>
          </w:p>
          <w:p>
            <w:pPr>
              <w:spacing w:after="40"/>
            </w:pPr>
            <w:r>
              <w:rPr>
                <w:rFonts w:ascii="Arial" w:cs="Arial" w:eastAsia="Arial" w:hAnsi="Arial"/>
                <w:i/>
                <w:iCs/>
                <w:color w:val="5D6D7E"/>
                <w:sz w:val="19"/>
                <w:szCs w:val="19"/>
              </w:rPr>
              <w:t xml:space="preserve">Priority: Fix trust, build habits, seed community</w:t>
            </w:r>
          </w:p>
          <w:p>
            <w:pPr>
              <w:pStyle w:val="ListParagraph"/>
              <w:numPr>
                <w:ilvl w:val="0"/>
                <w:numId w:val="2"/>
              </w:numPr>
              <w:spacing w:after="20" w:before="20"/>
            </w:pPr>
            <w:r>
              <w:rPr>
                <w:rFonts w:ascii="Arial" w:cs="Arial" w:eastAsia="Arial" w:hAnsi="Arial"/>
                <w:color w:val="0D1B2A"/>
                <w:sz w:val="20"/>
                <w:szCs w:val="20"/>
              </w:rPr>
              <w:t xml:space="preserve">Resolve subscription billing trust crisis — mandatory renewal alerts and one-tap cancellation (Month 1)</w:t>
            </w:r>
          </w:p>
          <w:p>
            <w:pPr>
              <w:pStyle w:val="ListParagraph"/>
              <w:numPr>
                <w:ilvl w:val="0"/>
                <w:numId w:val="2"/>
              </w:numPr>
              <w:spacing w:after="20" w:before="20"/>
            </w:pPr>
            <w:r>
              <w:rPr>
                <w:rFonts w:ascii="Arial" w:cs="Arial" w:eastAsia="Arial" w:hAnsi="Arial"/>
                <w:color w:val="0D1B2A"/>
                <w:sz w:val="20"/>
                <w:szCs w:val="20"/>
              </w:rPr>
              <w:t xml:space="preserve">Redesign 14-day onboarding — emotional win in first 5 minutes, Emotional AI Coaching from day 1 (Month 2)</w:t>
            </w:r>
          </w:p>
          <w:p>
            <w:pPr>
              <w:pStyle w:val="ListParagraph"/>
              <w:numPr>
                <w:ilvl w:val="0"/>
                <w:numId w:val="2"/>
              </w:numPr>
              <w:spacing w:after="20" w:before="20"/>
            </w:pPr>
            <w:r>
              <w:rPr>
                <w:rFonts w:ascii="Arial" w:cs="Arial" w:eastAsia="Arial" w:hAnsi="Arial"/>
                <w:color w:val="0D1B2A"/>
                <w:sz w:val="20"/>
                <w:szCs w:val="20"/>
              </w:rPr>
              <w:t xml:space="preserve">Seed Communication Confidence Network with 200–500 founding members (Month 4)</w:t>
            </w:r>
          </w:p>
          <w:p>
            <w:pPr>
              <w:pStyle w:val="ListParagraph"/>
              <w:numPr>
                <w:ilvl w:val="0"/>
                <w:numId w:val="2"/>
              </w:numPr>
              <w:spacing w:after="20" w:before="20"/>
            </w:pPr>
            <w:r>
              <w:rPr>
                <w:rFonts w:ascii="Arial" w:cs="Arial" w:eastAsia="Arial" w:hAnsi="Arial"/>
                <w:color w:val="0D1B2A"/>
                <w:sz w:val="20"/>
                <w:szCs w:val="20"/>
              </w:rPr>
              <w:t xml:space="preserve">Launch weekly speaking challenges to combat intermediate plateau churn (Month 5)</w:t>
            </w:r>
          </w:p>
          <w:p>
            <w:pPr>
              <w:pStyle w:val="ListParagraph"/>
              <w:numPr>
                <w:ilvl w:val="0"/>
                <w:numId w:val="2"/>
              </w:numPr>
              <w:spacing w:after="20" w:before="20"/>
            </w:pPr>
            <w:r>
              <w:rPr>
                <w:rFonts w:ascii="Arial" w:cs="Arial" w:eastAsia="Arial" w:hAnsi="Arial"/>
                <w:color w:val="0D1B2A"/>
                <w:sz w:val="20"/>
                <w:szCs w:val="20"/>
              </w:rPr>
              <w:t xml:space="preserve">Release Professional Communication Suite v1 — IT, banking, retail verticals (Month 9)</w:t>
            </w:r>
          </w:p>
          <w:p>
            <w:pPr>
              <w:pStyle w:val="ListParagraph"/>
              <w:numPr>
                <w:ilvl w:val="0"/>
                <w:numId w:val="2"/>
              </w:numPr>
              <w:spacing w:after="20" w:before="20"/>
            </w:pPr>
            <w:r>
              <w:rPr>
                <w:rFonts w:ascii="Arial" w:cs="Arial" w:eastAsia="Arial" w:hAnsi="Arial"/>
                <w:color w:val="0D1B2A"/>
                <w:sz w:val="20"/>
                <w:szCs w:val="20"/>
              </w:rPr>
              <w:t xml:space="preserve">Activate referral program to shift acquisition away from paid-only channels (Month 10)</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7A8C" w:sz="1"/>
              <w:left w:val="single" w:color="1F7A8C" w:sz="1"/>
              <w:bottom w:val="single" w:color="1F7A8C" w:sz="1"/>
              <w:right w:val="single" w:color="1F7A8C" w:sz="1"/>
            </w:tcBorders>
            <w:shd w:fill="1F7A8C" w:val="clear"/>
            <w:tcMar>
              <w:top w:type="dxa" w:w="80"/>
              <w:left w:type="dxa" w:w="80"/>
              <w:bottom w:type="dxa" w:w="80"/>
              <w:right w:type="dxa" w:w="80"/>
            </w:tcMar>
            <w:vAlign w:val="center"/>
          </w:tcPr>
          <w:p>
            <w:pPr>
              <w:jc w:val="center"/>
            </w:pPr>
            <w:r>
              <w:rPr>
                <w:rFonts w:ascii="Arial" w:cs="Arial" w:eastAsia="Arial" w:hAnsi="Arial"/>
                <w:b/>
                <w:bCs/>
                <w:color w:val="FFFFFF"/>
                <w:sz w:val="32"/>
                <w:szCs w:val="32"/>
              </w:rPr>
              <w:t xml:space="preserve">P2</w:t>
            </w:r>
          </w:p>
          <w:p>
            <w:pPr>
              <w:jc w:val="center"/>
            </w:pPr>
            <w:r>
              <w:rPr>
                <w:rFonts w:ascii="Arial" w:cs="Arial" w:eastAsia="Arial" w:hAnsi="Arial"/>
                <w:color w:val="FFFFFF"/>
                <w:sz w:val="16"/>
                <w:szCs w:val="16"/>
              </w:rPr>
              <w:t xml:space="preserve">Months 12–24</w:t>
            </w:r>
          </w:p>
        </w:tc>
        <w:tc>
          <w:tcPr>
            <w:tcW w:type="dxa" w:w="8160"/>
            <w:tcBorders>
              <w:top w:val="single" w:color="1F7A8C" w:sz="1"/>
              <w:left w:val="single" w:color="1F7A8C" w:sz="1"/>
              <w:bottom w:val="single" w:color="1F7A8C" w:sz="1"/>
              <w:right w:val="single" w:color="1F7A8C" w:sz="1"/>
            </w:tcBorders>
            <w:shd w:fill="EEF2F7" w:val="clear"/>
            <w:tcMar>
              <w:top w:type="dxa" w:w="80"/>
              <w:left w:type="dxa" w:w="160"/>
              <w:bottom w:type="dxa" w:w="80"/>
              <w:right w:type="dxa" w:w="120"/>
            </w:tcMar>
          </w:tcPr>
          <w:p>
            <w:pPr>
              <w:spacing w:after="30"/>
            </w:pPr>
            <w:r>
              <w:rPr>
                <w:rFonts w:ascii="Arial" w:cs="Arial" w:eastAsia="Arial" w:hAnsi="Arial"/>
                <w:b/>
                <w:bCs/>
                <w:color w:val="1F7A8C"/>
                <w:sz w:val="24"/>
                <w:szCs w:val="24"/>
              </w:rPr>
              <w:t xml:space="preserve">Scale, Deepen &amp; Diversify</w:t>
            </w:r>
          </w:p>
          <w:p>
            <w:pPr>
              <w:spacing w:after="40"/>
            </w:pPr>
            <w:r>
              <w:rPr>
                <w:rFonts w:ascii="Arial" w:cs="Arial" w:eastAsia="Arial" w:hAnsi="Arial"/>
                <w:i/>
                <w:iCs/>
                <w:color w:val="5D6D7E"/>
                <w:sz w:val="19"/>
                <w:szCs w:val="19"/>
              </w:rPr>
              <w:t xml:space="preserve">Priority: Scale ecosystem, develop B2B, expand professional revenue</w:t>
            </w:r>
          </w:p>
          <w:p>
            <w:pPr>
              <w:pStyle w:val="ListParagraph"/>
              <w:numPr>
                <w:ilvl w:val="0"/>
                <w:numId w:val="2"/>
              </w:numPr>
              <w:spacing w:after="20" w:before="20"/>
            </w:pPr>
            <w:r>
              <w:rPr>
                <w:rFonts w:ascii="Arial" w:cs="Arial" w:eastAsia="Arial" w:hAnsi="Arial"/>
                <w:color w:val="0D1B2A"/>
                <w:sz w:val="20"/>
                <w:szCs w:val="20"/>
              </w:rPr>
              <w:t xml:space="preserve">Hire dedicated B2B sales team; pursue college and employer partnerships (Month 13)</w:t>
            </w:r>
          </w:p>
          <w:p>
            <w:pPr>
              <w:pStyle w:val="ListParagraph"/>
              <w:numPr>
                <w:ilvl w:val="0"/>
                <w:numId w:val="2"/>
              </w:numPr>
              <w:spacing w:after="20" w:before="20"/>
            </w:pPr>
            <w:r>
              <w:rPr>
                <w:rFonts w:ascii="Arial" w:cs="Arial" w:eastAsia="Arial" w:hAnsi="Arial"/>
                <w:color w:val="0D1B2A"/>
                <w:sz w:val="20"/>
                <w:szCs w:val="20"/>
              </w:rPr>
              <w:t xml:space="preserve">Launch AI Career Simulation World — interview, workplace, client communication practice (Month 14)</w:t>
            </w:r>
          </w:p>
          <w:p>
            <w:pPr>
              <w:pStyle w:val="ListParagraph"/>
              <w:numPr>
                <w:ilvl w:val="0"/>
                <w:numId w:val="2"/>
              </w:numPr>
              <w:spacing w:after="20" w:before="20"/>
            </w:pPr>
            <w:r>
              <w:rPr>
                <w:rFonts w:ascii="Arial" w:cs="Arial" w:eastAsia="Arial" w:hAnsi="Arial"/>
                <w:color w:val="0D1B2A"/>
                <w:sz w:val="20"/>
                <w:szCs w:val="20"/>
              </w:rPr>
              <w:t xml:space="preserve">Introduce 3-tier pricing (foundational / intermediate / professional) with milestone upsell prompts (Month 15)</w:t>
            </w:r>
          </w:p>
          <w:p>
            <w:pPr>
              <w:pStyle w:val="ListParagraph"/>
              <w:numPr>
                <w:ilvl w:val="0"/>
                <w:numId w:val="2"/>
              </w:numPr>
              <w:spacing w:after="20" w:before="20"/>
            </w:pPr>
            <w:r>
              <w:rPr>
                <w:rFonts w:ascii="Arial" w:cs="Arial" w:eastAsia="Arial" w:hAnsi="Arial"/>
                <w:color w:val="0D1B2A"/>
                <w:sz w:val="20"/>
                <w:szCs w:val="20"/>
              </w:rPr>
              <w:t xml:space="preserve">Systematize success story content marketing across regional language social channels (Month 16)</w:t>
            </w:r>
          </w:p>
          <w:p>
            <w:pPr>
              <w:pStyle w:val="ListParagraph"/>
              <w:numPr>
                <w:ilvl w:val="0"/>
                <w:numId w:val="2"/>
              </w:numPr>
              <w:spacing w:after="20" w:before="20"/>
            </w:pPr>
            <w:r>
              <w:rPr>
                <w:rFonts w:ascii="Arial" w:cs="Arial" w:eastAsia="Arial" w:hAnsi="Arial"/>
                <w:color w:val="0D1B2A"/>
                <w:sz w:val="20"/>
                <w:szCs w:val="20"/>
              </w:rPr>
              <w:t xml:space="preserve">Sign first 3–5 institutional contracts with colleges or employers (Month 18)</w:t>
            </w:r>
          </w:p>
          <w:p>
            <w:pPr>
              <w:pStyle w:val="ListParagraph"/>
              <w:numPr>
                <w:ilvl w:val="0"/>
                <w:numId w:val="2"/>
              </w:numPr>
              <w:spacing w:after="20" w:before="20"/>
            </w:pPr>
            <w:r>
              <w:rPr>
                <w:rFonts w:ascii="Arial" w:cs="Arial" w:eastAsia="Arial" w:hAnsi="Arial"/>
                <w:color w:val="0D1B2A"/>
                <w:sz w:val="20"/>
                <w:szCs w:val="20"/>
              </w:rPr>
              <w:t xml:space="preserve">Release Emotional AI Coach v2 — deeper sentiment and confidence-pattern analysis (Month 20)</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E8449" w:sz="1"/>
              <w:left w:val="single" w:color="1E8449" w:sz="1"/>
              <w:bottom w:val="single" w:color="1E8449" w:sz="1"/>
              <w:right w:val="single" w:color="1E8449" w:sz="1"/>
            </w:tcBorders>
            <w:shd w:fill="1E8449" w:val="clear"/>
            <w:tcMar>
              <w:top w:type="dxa" w:w="80"/>
              <w:left w:type="dxa" w:w="80"/>
              <w:bottom w:type="dxa" w:w="80"/>
              <w:right w:type="dxa" w:w="80"/>
            </w:tcMar>
            <w:vAlign w:val="center"/>
          </w:tcPr>
          <w:p>
            <w:pPr>
              <w:jc w:val="center"/>
            </w:pPr>
            <w:r>
              <w:rPr>
                <w:rFonts w:ascii="Arial" w:cs="Arial" w:eastAsia="Arial" w:hAnsi="Arial"/>
                <w:b/>
                <w:bCs/>
                <w:color w:val="FFFFFF"/>
                <w:sz w:val="32"/>
                <w:szCs w:val="32"/>
              </w:rPr>
              <w:t xml:space="preserve">P3</w:t>
            </w:r>
          </w:p>
          <w:p>
            <w:pPr>
              <w:jc w:val="center"/>
            </w:pPr>
            <w:r>
              <w:rPr>
                <w:rFonts w:ascii="Arial" w:cs="Arial" w:eastAsia="Arial" w:hAnsi="Arial"/>
                <w:color w:val="FFFFFF"/>
                <w:sz w:val="16"/>
                <w:szCs w:val="16"/>
              </w:rPr>
              <w:t xml:space="preserve">Months 24–36</w:t>
            </w:r>
          </w:p>
        </w:tc>
        <w:tc>
          <w:tcPr>
            <w:tcW w:type="dxa" w:w="8160"/>
            <w:tcBorders>
              <w:top w:val="single" w:color="1E8449" w:sz="1"/>
              <w:left w:val="single" w:color="1E8449" w:sz="1"/>
              <w:bottom w:val="single" w:color="1E8449" w:sz="1"/>
              <w:right w:val="single" w:color="1E8449" w:sz="1"/>
            </w:tcBorders>
            <w:shd w:fill="EEF2F7" w:val="clear"/>
            <w:tcMar>
              <w:top w:type="dxa" w:w="80"/>
              <w:left w:type="dxa" w:w="160"/>
              <w:bottom w:type="dxa" w:w="80"/>
              <w:right w:type="dxa" w:w="120"/>
            </w:tcMar>
          </w:tcPr>
          <w:p>
            <w:pPr>
              <w:spacing w:after="30"/>
            </w:pPr>
            <w:r>
              <w:rPr>
                <w:rFonts w:ascii="Arial" w:cs="Arial" w:eastAsia="Arial" w:hAnsi="Arial"/>
                <w:b/>
                <w:bCs/>
                <w:color w:val="1E8449"/>
                <w:sz w:val="24"/>
                <w:szCs w:val="24"/>
              </w:rPr>
              <w:t xml:space="preserve">Lead, Expand &amp; Sustain</w:t>
            </w:r>
          </w:p>
          <w:p>
            <w:pPr>
              <w:spacing w:after="40"/>
            </w:pPr>
            <w:r>
              <w:rPr>
                <w:rFonts w:ascii="Arial" w:cs="Arial" w:eastAsia="Arial" w:hAnsi="Arial"/>
                <w:i/>
                <w:iCs/>
                <w:color w:val="5D6D7E"/>
                <w:sz w:val="19"/>
                <w:szCs w:val="19"/>
              </w:rPr>
              <w:t xml:space="preserve">Priority: Market leadership, geographic expansion, Series B readiness</w:t>
            </w:r>
          </w:p>
          <w:p>
            <w:pPr>
              <w:pStyle w:val="ListParagraph"/>
              <w:numPr>
                <w:ilvl w:val="0"/>
                <w:numId w:val="2"/>
              </w:numPr>
              <w:spacing w:after="20" w:before="20"/>
            </w:pPr>
            <w:r>
              <w:rPr>
                <w:rFonts w:ascii="Arial" w:cs="Arial" w:eastAsia="Arial" w:hAnsi="Arial"/>
                <w:color w:val="0D1B2A"/>
                <w:sz w:val="20"/>
                <w:szCs w:val="20"/>
              </w:rPr>
              <w:t xml:space="preserve">Deploy Regional-to-Professional Identity Journey across all 10 Indian language markets (Month 26)</w:t>
            </w:r>
          </w:p>
          <w:p>
            <w:pPr>
              <w:pStyle w:val="ListParagraph"/>
              <w:numPr>
                <w:ilvl w:val="0"/>
                <w:numId w:val="2"/>
              </w:numPr>
              <w:spacing w:after="20" w:before="20"/>
            </w:pPr>
            <w:r>
              <w:rPr>
                <w:rFonts w:ascii="Arial" w:cs="Arial" w:eastAsia="Arial" w:hAnsi="Arial"/>
                <w:color w:val="0D1B2A"/>
                <w:sz w:val="20"/>
                <w:szCs w:val="20"/>
              </w:rPr>
              <w:t xml:space="preserve">Expand Professional Suite to 10+ industry verticals (Month 28)</w:t>
            </w:r>
          </w:p>
          <w:p>
            <w:pPr>
              <w:pStyle w:val="ListParagraph"/>
              <w:numPr>
                <w:ilvl w:val="0"/>
                <w:numId w:val="2"/>
              </w:numPr>
              <w:spacing w:after="20" w:before="20"/>
            </w:pPr>
            <w:r>
              <w:rPr>
                <w:rFonts w:ascii="Arial" w:cs="Arial" w:eastAsia="Arial" w:hAnsi="Arial"/>
                <w:color w:val="0D1B2A"/>
                <w:sz w:val="20"/>
                <w:szCs w:val="20"/>
              </w:rPr>
              <w:t xml:space="preserve">Sign government skilling initiative partnership for national youth employability programs (Month 30)</w:t>
            </w:r>
          </w:p>
          <w:p>
            <w:pPr>
              <w:pStyle w:val="ListParagraph"/>
              <w:numPr>
                <w:ilvl w:val="0"/>
                <w:numId w:val="2"/>
              </w:numPr>
              <w:spacing w:after="20" w:before="20"/>
            </w:pPr>
            <w:r>
              <w:rPr>
                <w:rFonts w:ascii="Arial" w:cs="Arial" w:eastAsia="Arial" w:hAnsi="Arial"/>
                <w:color w:val="0D1B2A"/>
                <w:sz w:val="20"/>
                <w:szCs w:val="20"/>
              </w:rPr>
              <w:t xml:space="preserve">Launch international pilot targeting Indian diaspora — UAE, UK, Canada, Australia (Month 32)</w:t>
            </w:r>
          </w:p>
          <w:p>
            <w:pPr>
              <w:pStyle w:val="ListParagraph"/>
              <w:numPr>
                <w:ilvl w:val="0"/>
                <w:numId w:val="2"/>
              </w:numPr>
              <w:spacing w:after="20" w:before="20"/>
            </w:pPr>
            <w:r>
              <w:rPr>
                <w:rFonts w:ascii="Arial" w:cs="Arial" w:eastAsia="Arial" w:hAnsi="Arial"/>
                <w:color w:val="0D1B2A"/>
                <w:sz w:val="20"/>
                <w:szCs w:val="20"/>
              </w:rPr>
              <w:t xml:space="preserve">Initiate Series B fundraise on strength of improved unit economics and B2B proof points (Month 34)</w:t>
            </w:r>
          </w:p>
          <w:p>
            <w:pPr>
              <w:pStyle w:val="ListParagraph"/>
              <w:numPr>
                <w:ilvl w:val="0"/>
                <w:numId w:val="2"/>
              </w:numPr>
              <w:spacing w:after="20" w:before="20"/>
            </w:pPr>
            <w:r>
              <w:rPr>
                <w:rFonts w:ascii="Arial" w:cs="Arial" w:eastAsia="Arial" w:hAnsi="Arial"/>
                <w:color w:val="0D1B2A"/>
                <w:sz w:val="20"/>
                <w:szCs w:val="20"/>
              </w:rPr>
              <w:t xml:space="preserve">Set 50 lakh (5 million) active learner target — positioning as India's #1 Communication Ecosystem (Month 36)</w:t>
            </w:r>
          </w:p>
        </w:tc>
      </w:tr>
    </w:tbl>
    <w:p>
      <w:r>
        <w:br w:type="page"/>
      </w:r>
    </w:p>
    <w:p>
      <w:pPr>
        <w:spacing w:after="100" w:before="0"/>
      </w:pPr>
      <w:r>
        <w:t xml:space="preserve"/>
      </w:r>
    </w:p>
    <w:p>
      <w:pPr>
        <w:pStyle w:val="Heading2"/>
        <w:spacing w:after="80" w:before="160"/>
      </w:pPr>
      <w:r>
        <w:rPr>
          <w:rFonts w:ascii="Arial" w:cs="Arial" w:eastAsia="Arial" w:hAnsi="Arial"/>
          <w:b/>
          <w:bCs/>
          <w:color w:val="1A5276"/>
          <w:sz w:val="26"/>
          <w:szCs w:val="26"/>
        </w:rPr>
        <w:t xml:space="preserve">12.4 Roadmap Summary — Phase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Dimension</w:t>
            </w:r>
          </w:p>
        </w:tc>
        <w:tc>
          <w:tcPr>
            <w:tcW w:type="dxa" w:w="232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 1 (0–12 mo)</w:t>
            </w:r>
          </w:p>
        </w:tc>
        <w:tc>
          <w:tcPr>
            <w:tcW w:type="dxa" w:w="232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 2 (12–24 mo)</w:t>
            </w:r>
          </w:p>
        </w:tc>
        <w:tc>
          <w:tcPr>
            <w:tcW w:type="dxa" w:w="232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 3 (24–36 mo)</w:t>
            </w:r>
          </w:p>
        </w:tc>
      </w:tr>
      <w:tr>
        <w:tc>
          <w:tcPr>
            <w:tcW w:type="dxa" w:w="24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Priority</w:t>
            </w:r>
          </w:p>
        </w:tc>
        <w:tc>
          <w:tcPr>
            <w:tcW w:type="dxa" w:w="2320"/>
            <w:tcBorders>
              <w:top w:val="single" w:color="D5E0EC" w:sz="1"/>
              <w:left w:val="single" w:color="D5E0EC" w:sz="1"/>
              <w:bottom w:val="single" w:color="D5E0EC" w:sz="1"/>
              <w:right w:val="single" w:color="D5E0EC" w:sz="1"/>
            </w:tcBorders>
            <w:shd w:fill="E8EDF2" w:val="clear"/>
            <w:tcMar>
              <w:top w:type="dxa" w:w="80"/>
              <w:left w:type="dxa" w:w="120"/>
              <w:bottom w:type="dxa" w:w="80"/>
              <w:right w:type="dxa" w:w="120"/>
            </w:tcMar>
            <w:vAlign w:val="center"/>
          </w:tcPr>
          <w:p>
            <w:pPr>
              <w:jc w:val="left"/>
            </w:pPr>
            <w:r>
              <w:rPr>
                <w:rFonts w:ascii="Arial" w:cs="Arial" w:eastAsia="Arial" w:hAnsi="Arial"/>
                <w:b w:val="false"/>
                <w:bCs w:val="false"/>
                <w:color w:val="1A5276"/>
                <w:sz w:val="20"/>
                <w:szCs w:val="20"/>
              </w:rPr>
              <w:t xml:space="preserve">Fix trust &amp; build habits</w:t>
            </w:r>
          </w:p>
        </w:tc>
        <w:tc>
          <w:tcPr>
            <w:tcW w:type="dxa" w:w="2320"/>
            <w:tcBorders>
              <w:top w:val="single" w:color="D5E0EC" w:sz="1"/>
              <w:left w:val="single" w:color="D5E0EC" w:sz="1"/>
              <w:bottom w:val="single" w:color="D5E0EC" w:sz="1"/>
              <w:right w:val="single" w:color="D5E0EC" w:sz="1"/>
            </w:tcBorders>
            <w:shd w:fill="DAF0EE" w:val="clear"/>
            <w:tcMar>
              <w:top w:type="dxa" w:w="80"/>
              <w:left w:type="dxa" w:w="120"/>
              <w:bottom w:type="dxa" w:w="80"/>
              <w:right w:type="dxa" w:w="120"/>
            </w:tcMar>
            <w:vAlign w:val="center"/>
          </w:tcPr>
          <w:p>
            <w:pPr>
              <w:jc w:val="left"/>
            </w:pPr>
            <w:r>
              <w:rPr>
                <w:rFonts w:ascii="Arial" w:cs="Arial" w:eastAsia="Arial" w:hAnsi="Arial"/>
                <w:b w:val="false"/>
                <w:bCs w:val="false"/>
                <w:color w:val="1F7A8C"/>
                <w:sz w:val="20"/>
                <w:szCs w:val="20"/>
              </w:rPr>
              <w:t xml:space="preserve">Scale ecosystem &amp; open B2B</w:t>
            </w:r>
          </w:p>
        </w:tc>
        <w:tc>
          <w:tcPr>
            <w:tcW w:type="dxa" w:w="2320"/>
            <w:tcBorders>
              <w:top w:val="single" w:color="D5E0EC" w:sz="1"/>
              <w:left w:val="single" w:color="D5E0EC" w:sz="1"/>
              <w:bottom w:val="single" w:color="D5E0EC" w:sz="1"/>
              <w:right w:val="single" w:color="D5E0EC" w:sz="1"/>
            </w:tcBorders>
            <w:shd w:fill="DDF2E8" w:val="clear"/>
            <w:tcMar>
              <w:top w:type="dxa" w:w="80"/>
              <w:left w:type="dxa" w:w="120"/>
              <w:bottom w:type="dxa" w:w="80"/>
              <w:right w:type="dxa" w:w="120"/>
            </w:tcMar>
            <w:vAlign w:val="center"/>
          </w:tcPr>
          <w:p>
            <w:pPr>
              <w:jc w:val="left"/>
            </w:pPr>
            <w:r>
              <w:rPr>
                <w:rFonts w:ascii="Arial" w:cs="Arial" w:eastAsia="Arial" w:hAnsi="Arial"/>
                <w:b w:val="false"/>
                <w:bCs w:val="false"/>
                <w:color w:val="1E8449"/>
                <w:sz w:val="20"/>
                <w:szCs w:val="20"/>
              </w:rPr>
              <w:t xml:space="preserve">Market leadership &amp; global expansion</w:t>
            </w:r>
          </w:p>
        </w:tc>
      </w:tr>
      <w:tr>
        <w:tc>
          <w:tcPr>
            <w:tcW w:type="dxa" w:w="24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Key Product Launch</w:t>
            </w:r>
          </w:p>
        </w:tc>
        <w:tc>
          <w:tcPr>
            <w:tcW w:type="dxa" w:w="2320"/>
            <w:tcBorders>
              <w:top w:val="single" w:color="D5E0EC" w:sz="1"/>
              <w:left w:val="single" w:color="D5E0EC" w:sz="1"/>
              <w:bottom w:val="single" w:color="D5E0EC" w:sz="1"/>
              <w:right w:val="single" w:color="D5E0E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A5276"/>
                <w:sz w:val="20"/>
                <w:szCs w:val="20"/>
              </w:rPr>
              <w:t xml:space="preserve">Onboarding redesign + Emotional AI Coach</w:t>
            </w:r>
          </w:p>
        </w:tc>
        <w:tc>
          <w:tcPr>
            <w:tcW w:type="dxa" w:w="2320"/>
            <w:tcBorders>
              <w:top w:val="single" w:color="D5E0EC" w:sz="1"/>
              <w:left w:val="single" w:color="D5E0EC" w:sz="1"/>
              <w:bottom w:val="single" w:color="D5E0EC" w:sz="1"/>
              <w:right w:val="single" w:color="D5E0EC" w:sz="1"/>
            </w:tcBorders>
            <w:shd w:fill="E4F4F3" w:val="clear"/>
            <w:tcMar>
              <w:top w:type="dxa" w:w="80"/>
              <w:left w:type="dxa" w:w="120"/>
              <w:bottom w:type="dxa" w:w="80"/>
              <w:right w:type="dxa" w:w="120"/>
            </w:tcMar>
            <w:vAlign w:val="center"/>
          </w:tcPr>
          <w:p>
            <w:pPr>
              <w:jc w:val="left"/>
            </w:pPr>
            <w:r>
              <w:rPr>
                <w:rFonts w:ascii="Arial" w:cs="Arial" w:eastAsia="Arial" w:hAnsi="Arial"/>
                <w:b w:val="false"/>
                <w:bCs w:val="false"/>
                <w:color w:val="1F7A8C"/>
                <w:sz w:val="20"/>
                <w:szCs w:val="20"/>
              </w:rPr>
              <w:t xml:space="preserve">AI Career Simulation World</w:t>
            </w:r>
          </w:p>
        </w:tc>
        <w:tc>
          <w:tcPr>
            <w:tcW w:type="dxa" w:w="2320"/>
            <w:tcBorders>
              <w:top w:val="single" w:color="D5E0EC" w:sz="1"/>
              <w:left w:val="single" w:color="D5E0EC" w:sz="1"/>
              <w:bottom w:val="single" w:color="D5E0EC" w:sz="1"/>
              <w:right w:val="single" w:color="D5E0EC" w:sz="1"/>
            </w:tcBorders>
            <w:shd w:fill="E8F8F0" w:val="clear"/>
            <w:tcMar>
              <w:top w:type="dxa" w:w="80"/>
              <w:left w:type="dxa" w:w="120"/>
              <w:bottom w:type="dxa" w:w="80"/>
              <w:right w:type="dxa" w:w="120"/>
            </w:tcMar>
            <w:vAlign w:val="center"/>
          </w:tcPr>
          <w:p>
            <w:pPr>
              <w:jc w:val="left"/>
            </w:pPr>
            <w:r>
              <w:rPr>
                <w:rFonts w:ascii="Arial" w:cs="Arial" w:eastAsia="Arial" w:hAnsi="Arial"/>
                <w:b w:val="false"/>
                <w:bCs w:val="false"/>
                <w:color w:val="1E8449"/>
                <w:sz w:val="20"/>
                <w:szCs w:val="20"/>
              </w:rPr>
              <w:t xml:space="preserve">Regional Identity Journey (all 10 languages)</w:t>
            </w:r>
          </w:p>
        </w:tc>
      </w:tr>
      <w:tr>
        <w:tc>
          <w:tcPr>
            <w:tcW w:type="dxa" w:w="24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Pricing</w:t>
            </w:r>
          </w:p>
        </w:tc>
        <w:tc>
          <w:tcPr>
            <w:tcW w:type="dxa" w:w="2320"/>
            <w:tcBorders>
              <w:top w:val="single" w:color="D5E0EC" w:sz="1"/>
              <w:left w:val="single" w:color="D5E0EC" w:sz="1"/>
              <w:bottom w:val="single" w:color="D5E0EC" w:sz="1"/>
              <w:right w:val="single" w:color="D5E0EC" w:sz="1"/>
            </w:tcBorders>
            <w:shd w:fill="E8EDF2" w:val="clear"/>
            <w:tcMar>
              <w:top w:type="dxa" w:w="80"/>
              <w:left w:type="dxa" w:w="120"/>
              <w:bottom w:type="dxa" w:w="80"/>
              <w:right w:type="dxa" w:w="120"/>
            </w:tcMar>
            <w:vAlign w:val="center"/>
          </w:tcPr>
          <w:p>
            <w:pPr>
              <w:jc w:val="left"/>
            </w:pPr>
            <w:r>
              <w:rPr>
                <w:rFonts w:ascii="Arial" w:cs="Arial" w:eastAsia="Arial" w:hAnsi="Arial"/>
                <w:b w:val="false"/>
                <w:bCs w:val="false"/>
                <w:color w:val="1A5276"/>
                <w:sz w:val="20"/>
                <w:szCs w:val="20"/>
              </w:rPr>
              <w:t xml:space="preserve">Existing tiers + referral program</w:t>
            </w:r>
          </w:p>
        </w:tc>
        <w:tc>
          <w:tcPr>
            <w:tcW w:type="dxa" w:w="2320"/>
            <w:tcBorders>
              <w:top w:val="single" w:color="D5E0EC" w:sz="1"/>
              <w:left w:val="single" w:color="D5E0EC" w:sz="1"/>
              <w:bottom w:val="single" w:color="D5E0EC" w:sz="1"/>
              <w:right w:val="single" w:color="D5E0EC" w:sz="1"/>
            </w:tcBorders>
            <w:shd w:fill="DAF0EE" w:val="clear"/>
            <w:tcMar>
              <w:top w:type="dxa" w:w="80"/>
              <w:left w:type="dxa" w:w="120"/>
              <w:bottom w:type="dxa" w:w="80"/>
              <w:right w:type="dxa" w:w="120"/>
            </w:tcMar>
            <w:vAlign w:val="center"/>
          </w:tcPr>
          <w:p>
            <w:pPr>
              <w:jc w:val="left"/>
            </w:pPr>
            <w:r>
              <w:rPr>
                <w:rFonts w:ascii="Arial" w:cs="Arial" w:eastAsia="Arial" w:hAnsi="Arial"/>
                <w:b w:val="false"/>
                <w:bCs w:val="false"/>
                <w:color w:val="1F7A8C"/>
                <w:sz w:val="20"/>
                <w:szCs w:val="20"/>
              </w:rPr>
              <w:t xml:space="preserve">3-tier pricing structure goes live</w:t>
            </w:r>
          </w:p>
        </w:tc>
        <w:tc>
          <w:tcPr>
            <w:tcW w:type="dxa" w:w="2320"/>
            <w:tcBorders>
              <w:top w:val="single" w:color="D5E0EC" w:sz="1"/>
              <w:left w:val="single" w:color="D5E0EC" w:sz="1"/>
              <w:bottom w:val="single" w:color="D5E0EC" w:sz="1"/>
              <w:right w:val="single" w:color="D5E0EC" w:sz="1"/>
            </w:tcBorders>
            <w:shd w:fill="DDF2E8" w:val="clear"/>
            <w:tcMar>
              <w:top w:type="dxa" w:w="80"/>
              <w:left w:type="dxa" w:w="120"/>
              <w:bottom w:type="dxa" w:w="80"/>
              <w:right w:type="dxa" w:w="120"/>
            </w:tcMar>
            <w:vAlign w:val="center"/>
          </w:tcPr>
          <w:p>
            <w:pPr>
              <w:jc w:val="left"/>
            </w:pPr>
            <w:r>
              <w:rPr>
                <w:rFonts w:ascii="Arial" w:cs="Arial" w:eastAsia="Arial" w:hAnsi="Arial"/>
                <w:b w:val="false"/>
                <w:bCs w:val="false"/>
                <w:color w:val="1E8449"/>
                <w:sz w:val="20"/>
                <w:szCs w:val="20"/>
              </w:rPr>
              <w:t xml:space="preserve">Premium &amp; institutional pricing matures</w:t>
            </w:r>
          </w:p>
        </w:tc>
      </w:tr>
      <w:tr>
        <w:tc>
          <w:tcPr>
            <w:tcW w:type="dxa" w:w="24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Revenue Focus</w:t>
            </w:r>
          </w:p>
        </w:tc>
        <w:tc>
          <w:tcPr>
            <w:tcW w:type="dxa" w:w="2320"/>
            <w:tcBorders>
              <w:top w:val="single" w:color="D5E0EC" w:sz="1"/>
              <w:left w:val="single" w:color="D5E0EC" w:sz="1"/>
              <w:bottom w:val="single" w:color="D5E0EC" w:sz="1"/>
              <w:right w:val="single" w:color="D5E0E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A5276"/>
                <w:sz w:val="20"/>
                <w:szCs w:val="20"/>
              </w:rPr>
              <w:t xml:space="preserve">Consumer subscription improvement</w:t>
            </w:r>
          </w:p>
        </w:tc>
        <w:tc>
          <w:tcPr>
            <w:tcW w:type="dxa" w:w="2320"/>
            <w:tcBorders>
              <w:top w:val="single" w:color="D5E0EC" w:sz="1"/>
              <w:left w:val="single" w:color="D5E0EC" w:sz="1"/>
              <w:bottom w:val="single" w:color="D5E0EC" w:sz="1"/>
              <w:right w:val="single" w:color="D5E0EC" w:sz="1"/>
            </w:tcBorders>
            <w:shd w:fill="E4F4F3" w:val="clear"/>
            <w:tcMar>
              <w:top w:type="dxa" w:w="80"/>
              <w:left w:type="dxa" w:w="120"/>
              <w:bottom w:type="dxa" w:w="80"/>
              <w:right w:type="dxa" w:w="120"/>
            </w:tcMar>
            <w:vAlign w:val="center"/>
          </w:tcPr>
          <w:p>
            <w:pPr>
              <w:jc w:val="left"/>
            </w:pPr>
            <w:r>
              <w:rPr>
                <w:rFonts w:ascii="Arial" w:cs="Arial" w:eastAsia="Arial" w:hAnsi="Arial"/>
                <w:b w:val="false"/>
                <w:bCs w:val="false"/>
                <w:color w:val="1F7A8C"/>
                <w:sz w:val="20"/>
                <w:szCs w:val="20"/>
              </w:rPr>
              <w:t xml:space="preserve">B2B pilot contracts signed</w:t>
            </w:r>
          </w:p>
        </w:tc>
        <w:tc>
          <w:tcPr>
            <w:tcW w:type="dxa" w:w="2320"/>
            <w:tcBorders>
              <w:top w:val="single" w:color="D5E0EC" w:sz="1"/>
              <w:left w:val="single" w:color="D5E0EC" w:sz="1"/>
              <w:bottom w:val="single" w:color="D5E0EC" w:sz="1"/>
              <w:right w:val="single" w:color="D5E0EC" w:sz="1"/>
            </w:tcBorders>
            <w:shd w:fill="E8F8F0" w:val="clear"/>
            <w:tcMar>
              <w:top w:type="dxa" w:w="80"/>
              <w:left w:type="dxa" w:w="120"/>
              <w:bottom w:type="dxa" w:w="80"/>
              <w:right w:type="dxa" w:w="120"/>
            </w:tcMar>
            <w:vAlign w:val="center"/>
          </w:tcPr>
          <w:p>
            <w:pPr>
              <w:jc w:val="left"/>
            </w:pPr>
            <w:r>
              <w:rPr>
                <w:rFonts w:ascii="Arial" w:cs="Arial" w:eastAsia="Arial" w:hAnsi="Arial"/>
                <w:b w:val="false"/>
                <w:bCs w:val="false"/>
                <w:color w:val="1E8449"/>
                <w:sz w:val="20"/>
                <w:szCs w:val="20"/>
              </w:rPr>
              <w:t xml:space="preserve">B2B scale + diaspora market</w:t>
            </w:r>
          </w:p>
        </w:tc>
      </w:tr>
      <w:tr>
        <w:tc>
          <w:tcPr>
            <w:tcW w:type="dxa" w:w="24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Community</w:t>
            </w:r>
          </w:p>
        </w:tc>
        <w:tc>
          <w:tcPr>
            <w:tcW w:type="dxa" w:w="2320"/>
            <w:tcBorders>
              <w:top w:val="single" w:color="D5E0EC" w:sz="1"/>
              <w:left w:val="single" w:color="D5E0EC" w:sz="1"/>
              <w:bottom w:val="single" w:color="D5E0EC" w:sz="1"/>
              <w:right w:val="single" w:color="D5E0EC" w:sz="1"/>
            </w:tcBorders>
            <w:shd w:fill="E8EDF2" w:val="clear"/>
            <w:tcMar>
              <w:top w:type="dxa" w:w="80"/>
              <w:left w:type="dxa" w:w="120"/>
              <w:bottom w:type="dxa" w:w="80"/>
              <w:right w:type="dxa" w:w="120"/>
            </w:tcMar>
            <w:vAlign w:val="center"/>
          </w:tcPr>
          <w:p>
            <w:pPr>
              <w:jc w:val="left"/>
            </w:pPr>
            <w:r>
              <w:rPr>
                <w:rFonts w:ascii="Arial" w:cs="Arial" w:eastAsia="Arial" w:hAnsi="Arial"/>
                <w:b w:val="false"/>
                <w:bCs w:val="false"/>
                <w:color w:val="1A5276"/>
                <w:sz w:val="20"/>
                <w:szCs w:val="20"/>
              </w:rPr>
              <w:t xml:space="preserve">Seed 200–500 founding members</w:t>
            </w:r>
          </w:p>
        </w:tc>
        <w:tc>
          <w:tcPr>
            <w:tcW w:type="dxa" w:w="2320"/>
            <w:tcBorders>
              <w:top w:val="single" w:color="D5E0EC" w:sz="1"/>
              <w:left w:val="single" w:color="D5E0EC" w:sz="1"/>
              <w:bottom w:val="single" w:color="D5E0EC" w:sz="1"/>
              <w:right w:val="single" w:color="D5E0EC" w:sz="1"/>
            </w:tcBorders>
            <w:shd w:fill="DAF0EE" w:val="clear"/>
            <w:tcMar>
              <w:top w:type="dxa" w:w="80"/>
              <w:left w:type="dxa" w:w="120"/>
              <w:bottom w:type="dxa" w:w="80"/>
              <w:right w:type="dxa" w:w="120"/>
            </w:tcMar>
            <w:vAlign w:val="center"/>
          </w:tcPr>
          <w:p>
            <w:pPr>
              <w:jc w:val="left"/>
            </w:pPr>
            <w:r>
              <w:rPr>
                <w:rFonts w:ascii="Arial" w:cs="Arial" w:eastAsia="Arial" w:hAnsi="Arial"/>
                <w:b w:val="false"/>
                <w:bCs w:val="false"/>
                <w:color w:val="1F7A8C"/>
                <w:sz w:val="20"/>
                <w:szCs w:val="20"/>
              </w:rPr>
              <w:t xml:space="preserve">Speaking clubs + peer interviews active</w:t>
            </w:r>
          </w:p>
        </w:tc>
        <w:tc>
          <w:tcPr>
            <w:tcW w:type="dxa" w:w="2320"/>
            <w:tcBorders>
              <w:top w:val="single" w:color="D5E0EC" w:sz="1"/>
              <w:left w:val="single" w:color="D5E0EC" w:sz="1"/>
              <w:bottom w:val="single" w:color="D5E0EC" w:sz="1"/>
              <w:right w:val="single" w:color="D5E0EC" w:sz="1"/>
            </w:tcBorders>
            <w:shd w:fill="DDF2E8" w:val="clear"/>
            <w:tcMar>
              <w:top w:type="dxa" w:w="80"/>
              <w:left w:type="dxa" w:w="120"/>
              <w:bottom w:type="dxa" w:w="80"/>
              <w:right w:type="dxa" w:w="120"/>
            </w:tcMar>
            <w:vAlign w:val="center"/>
          </w:tcPr>
          <w:p>
            <w:pPr>
              <w:jc w:val="left"/>
            </w:pPr>
            <w:r>
              <w:rPr>
                <w:rFonts w:ascii="Arial" w:cs="Arial" w:eastAsia="Arial" w:hAnsi="Arial"/>
                <w:b w:val="false"/>
                <w:bCs w:val="false"/>
                <w:color w:val="1E8449"/>
                <w:sz w:val="20"/>
                <w:szCs w:val="20"/>
              </w:rPr>
              <w:t xml:space="preserve">Language-specific clubs across all states</w:t>
            </w:r>
          </w:p>
        </w:tc>
      </w:tr>
      <w:tr>
        <w:tc>
          <w:tcPr>
            <w:tcW w:type="dxa" w:w="24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CAC Strategy</w:t>
            </w:r>
          </w:p>
        </w:tc>
        <w:tc>
          <w:tcPr>
            <w:tcW w:type="dxa" w:w="2320"/>
            <w:tcBorders>
              <w:top w:val="single" w:color="D5E0EC" w:sz="1"/>
              <w:left w:val="single" w:color="D5E0EC" w:sz="1"/>
              <w:bottom w:val="single" w:color="D5E0EC" w:sz="1"/>
              <w:right w:val="single" w:color="D5E0E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A5276"/>
                <w:sz w:val="20"/>
                <w:szCs w:val="20"/>
              </w:rPr>
              <w:t xml:space="preserve">Fix billing; activate referral engine</w:t>
            </w:r>
          </w:p>
        </w:tc>
        <w:tc>
          <w:tcPr>
            <w:tcW w:type="dxa" w:w="2320"/>
            <w:tcBorders>
              <w:top w:val="single" w:color="D5E0EC" w:sz="1"/>
              <w:left w:val="single" w:color="D5E0EC" w:sz="1"/>
              <w:bottom w:val="single" w:color="D5E0EC" w:sz="1"/>
              <w:right w:val="single" w:color="D5E0EC" w:sz="1"/>
            </w:tcBorders>
            <w:shd w:fill="E4F4F3" w:val="clear"/>
            <w:tcMar>
              <w:top w:type="dxa" w:w="80"/>
              <w:left w:type="dxa" w:w="120"/>
              <w:bottom w:type="dxa" w:w="80"/>
              <w:right w:type="dxa" w:w="120"/>
            </w:tcMar>
            <w:vAlign w:val="center"/>
          </w:tcPr>
          <w:p>
            <w:pPr>
              <w:jc w:val="left"/>
            </w:pPr>
            <w:r>
              <w:rPr>
                <w:rFonts w:ascii="Arial" w:cs="Arial" w:eastAsia="Arial" w:hAnsi="Arial"/>
                <w:b w:val="false"/>
                <w:bCs w:val="false"/>
                <w:color w:val="1F7A8C"/>
                <w:sz w:val="20"/>
                <w:szCs w:val="20"/>
              </w:rPr>
              <w:t xml:space="preserve">B2B reduces blended CAC significantly</w:t>
            </w:r>
          </w:p>
        </w:tc>
        <w:tc>
          <w:tcPr>
            <w:tcW w:type="dxa" w:w="2320"/>
            <w:tcBorders>
              <w:top w:val="single" w:color="D5E0EC" w:sz="1"/>
              <w:left w:val="single" w:color="D5E0EC" w:sz="1"/>
              <w:bottom w:val="single" w:color="D5E0EC" w:sz="1"/>
              <w:right w:val="single" w:color="D5E0EC" w:sz="1"/>
            </w:tcBorders>
            <w:shd w:fill="E8F8F0" w:val="clear"/>
            <w:tcMar>
              <w:top w:type="dxa" w:w="80"/>
              <w:left w:type="dxa" w:w="120"/>
              <w:bottom w:type="dxa" w:w="80"/>
              <w:right w:type="dxa" w:w="120"/>
            </w:tcMar>
            <w:vAlign w:val="center"/>
          </w:tcPr>
          <w:p>
            <w:pPr>
              <w:jc w:val="left"/>
            </w:pPr>
            <w:r>
              <w:rPr>
                <w:rFonts w:ascii="Arial" w:cs="Arial" w:eastAsia="Arial" w:hAnsi="Arial"/>
                <w:b w:val="false"/>
                <w:bCs w:val="false"/>
                <w:color w:val="1E8449"/>
                <w:sz w:val="20"/>
                <w:szCs w:val="20"/>
              </w:rPr>
              <w:t xml:space="preserve">Organic referrals = 40%+ of acquisition</w:t>
            </w:r>
          </w:p>
        </w:tc>
      </w:tr>
      <w:tr>
        <w:tc>
          <w:tcPr>
            <w:tcW w:type="dxa" w:w="24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LTV Target</w:t>
            </w:r>
          </w:p>
        </w:tc>
        <w:tc>
          <w:tcPr>
            <w:tcW w:type="dxa" w:w="2320"/>
            <w:tcBorders>
              <w:top w:val="single" w:color="D5E0EC" w:sz="1"/>
              <w:left w:val="single" w:color="D5E0EC" w:sz="1"/>
              <w:bottom w:val="single" w:color="D5E0EC" w:sz="1"/>
              <w:right w:val="single" w:color="D5E0EC" w:sz="1"/>
            </w:tcBorders>
            <w:shd w:fill="E8EDF2" w:val="clear"/>
            <w:tcMar>
              <w:top w:type="dxa" w:w="80"/>
              <w:left w:type="dxa" w:w="120"/>
              <w:bottom w:type="dxa" w:w="80"/>
              <w:right w:type="dxa" w:w="120"/>
            </w:tcMar>
            <w:vAlign w:val="center"/>
          </w:tcPr>
          <w:p>
            <w:pPr>
              <w:jc w:val="left"/>
            </w:pPr>
            <w:r>
              <w:rPr>
                <w:rFonts w:ascii="Arial" w:cs="Arial" w:eastAsia="Arial" w:hAnsi="Arial"/>
                <w:b w:val="false"/>
                <w:bCs w:val="false"/>
                <w:color w:val="1A5276"/>
                <w:sz w:val="20"/>
                <w:szCs w:val="20"/>
              </w:rPr>
              <w:t xml:space="preserve">₹500–1,000 per user</w:t>
            </w:r>
          </w:p>
        </w:tc>
        <w:tc>
          <w:tcPr>
            <w:tcW w:type="dxa" w:w="2320"/>
            <w:tcBorders>
              <w:top w:val="single" w:color="D5E0EC" w:sz="1"/>
              <w:left w:val="single" w:color="D5E0EC" w:sz="1"/>
              <w:bottom w:val="single" w:color="D5E0EC" w:sz="1"/>
              <w:right w:val="single" w:color="D5E0EC" w:sz="1"/>
            </w:tcBorders>
            <w:shd w:fill="DAF0EE" w:val="clear"/>
            <w:tcMar>
              <w:top w:type="dxa" w:w="80"/>
              <w:left w:type="dxa" w:w="120"/>
              <w:bottom w:type="dxa" w:w="80"/>
              <w:right w:type="dxa" w:w="120"/>
            </w:tcMar>
            <w:vAlign w:val="center"/>
          </w:tcPr>
          <w:p>
            <w:pPr>
              <w:jc w:val="left"/>
            </w:pPr>
            <w:r>
              <w:rPr>
                <w:rFonts w:ascii="Arial" w:cs="Arial" w:eastAsia="Arial" w:hAnsi="Arial"/>
                <w:b w:val="false"/>
                <w:bCs w:val="false"/>
                <w:color w:val="1F7A8C"/>
                <w:sz w:val="20"/>
                <w:szCs w:val="20"/>
              </w:rPr>
              <w:t xml:space="preserve">₹1,500–2,500 per user</w:t>
            </w:r>
          </w:p>
        </w:tc>
        <w:tc>
          <w:tcPr>
            <w:tcW w:type="dxa" w:w="2320"/>
            <w:tcBorders>
              <w:top w:val="single" w:color="D5E0EC" w:sz="1"/>
              <w:left w:val="single" w:color="D5E0EC" w:sz="1"/>
              <w:bottom w:val="single" w:color="D5E0EC" w:sz="1"/>
              <w:right w:val="single" w:color="D5E0EC" w:sz="1"/>
            </w:tcBorders>
            <w:shd w:fill="DDF2E8" w:val="clear"/>
            <w:tcMar>
              <w:top w:type="dxa" w:w="80"/>
              <w:left w:type="dxa" w:w="120"/>
              <w:bottom w:type="dxa" w:w="80"/>
              <w:right w:type="dxa" w:w="120"/>
            </w:tcMar>
            <w:vAlign w:val="center"/>
          </w:tcPr>
          <w:p>
            <w:pPr>
              <w:jc w:val="left"/>
            </w:pPr>
            <w:r>
              <w:rPr>
                <w:rFonts w:ascii="Arial" w:cs="Arial" w:eastAsia="Arial" w:hAnsi="Arial"/>
                <w:b w:val="false"/>
                <w:bCs w:val="false"/>
                <w:color w:val="1E8449"/>
                <w:sz w:val="20"/>
                <w:szCs w:val="20"/>
              </w:rPr>
              <w:t xml:space="preserve">₹2,500–3,500+ per user</w:t>
            </w:r>
          </w:p>
        </w:tc>
      </w:tr>
      <w:tr>
        <w:tc>
          <w:tcPr>
            <w:tcW w:type="dxa" w:w="24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Revenue Target</w:t>
            </w:r>
          </w:p>
        </w:tc>
        <w:tc>
          <w:tcPr>
            <w:tcW w:type="dxa" w:w="2320"/>
            <w:tcBorders>
              <w:top w:val="single" w:color="D5E0EC" w:sz="1"/>
              <w:left w:val="single" w:color="D5E0EC" w:sz="1"/>
              <w:bottom w:val="single" w:color="D5E0EC" w:sz="1"/>
              <w:right w:val="single" w:color="D5E0E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A5276"/>
                <w:sz w:val="20"/>
                <w:szCs w:val="20"/>
              </w:rPr>
              <w:t xml:space="preserve">₹13.50 Cr (2026)</w:t>
            </w:r>
          </w:p>
        </w:tc>
        <w:tc>
          <w:tcPr>
            <w:tcW w:type="dxa" w:w="2320"/>
            <w:tcBorders>
              <w:top w:val="single" w:color="D5E0EC" w:sz="1"/>
              <w:left w:val="single" w:color="D5E0EC" w:sz="1"/>
              <w:bottom w:val="single" w:color="D5E0EC" w:sz="1"/>
              <w:right w:val="single" w:color="D5E0EC" w:sz="1"/>
            </w:tcBorders>
            <w:shd w:fill="E4F4F3" w:val="clear"/>
            <w:tcMar>
              <w:top w:type="dxa" w:w="80"/>
              <w:left w:type="dxa" w:w="120"/>
              <w:bottom w:type="dxa" w:w="80"/>
              <w:right w:type="dxa" w:w="120"/>
            </w:tcMar>
            <w:vAlign w:val="center"/>
          </w:tcPr>
          <w:p>
            <w:pPr>
              <w:jc w:val="left"/>
            </w:pPr>
            <w:r>
              <w:rPr>
                <w:rFonts w:ascii="Arial" w:cs="Arial" w:eastAsia="Arial" w:hAnsi="Arial"/>
                <w:b w:val="false"/>
                <w:bCs w:val="false"/>
                <w:color w:val="1F7A8C"/>
                <w:sz w:val="20"/>
                <w:szCs w:val="20"/>
              </w:rPr>
              <w:t xml:space="preserve">₹22–28 Cr (2027)</w:t>
            </w:r>
          </w:p>
        </w:tc>
        <w:tc>
          <w:tcPr>
            <w:tcW w:type="dxa" w:w="2320"/>
            <w:tcBorders>
              <w:top w:val="single" w:color="D5E0EC" w:sz="1"/>
              <w:left w:val="single" w:color="D5E0EC" w:sz="1"/>
              <w:bottom w:val="single" w:color="D5E0EC" w:sz="1"/>
              <w:right w:val="single" w:color="D5E0EC" w:sz="1"/>
            </w:tcBorders>
            <w:shd w:fill="E8F8F0" w:val="clear"/>
            <w:tcMar>
              <w:top w:type="dxa" w:w="80"/>
              <w:left w:type="dxa" w:w="120"/>
              <w:bottom w:type="dxa" w:w="80"/>
              <w:right w:type="dxa" w:w="120"/>
            </w:tcMar>
            <w:vAlign w:val="center"/>
          </w:tcPr>
          <w:p>
            <w:pPr>
              <w:jc w:val="left"/>
            </w:pPr>
            <w:r>
              <w:rPr>
                <w:rFonts w:ascii="Arial" w:cs="Arial" w:eastAsia="Arial" w:hAnsi="Arial"/>
                <w:b w:val="false"/>
                <w:bCs w:val="false"/>
                <w:color w:val="1E8449"/>
                <w:sz w:val="20"/>
                <w:szCs w:val="20"/>
              </w:rPr>
              <w:t xml:space="preserve">₹40–50 Cr (2028)</w:t>
            </w:r>
          </w:p>
        </w:tc>
      </w:tr>
      <w:tr>
        <w:tc>
          <w:tcPr>
            <w:tcW w:type="dxa" w:w="24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Series Goal</w:t>
            </w:r>
          </w:p>
        </w:tc>
        <w:tc>
          <w:tcPr>
            <w:tcW w:type="dxa" w:w="2320"/>
            <w:tcBorders>
              <w:top w:val="single" w:color="D5E0EC" w:sz="1"/>
              <w:left w:val="single" w:color="D5E0EC" w:sz="1"/>
              <w:bottom w:val="single" w:color="D5E0EC" w:sz="1"/>
              <w:right w:val="single" w:color="D5E0EC" w:sz="1"/>
            </w:tcBorders>
            <w:shd w:fill="E8EDF2" w:val="clear"/>
            <w:tcMar>
              <w:top w:type="dxa" w:w="80"/>
              <w:left w:type="dxa" w:w="120"/>
              <w:bottom w:type="dxa" w:w="80"/>
              <w:right w:type="dxa" w:w="120"/>
            </w:tcMar>
            <w:vAlign w:val="center"/>
          </w:tcPr>
          <w:p>
            <w:pPr>
              <w:jc w:val="left"/>
            </w:pPr>
            <w:r>
              <w:rPr>
                <w:rFonts w:ascii="Arial" w:cs="Arial" w:eastAsia="Arial" w:hAnsi="Arial"/>
                <w:b w:val="false"/>
                <w:bCs w:val="false"/>
                <w:color w:val="1A5276"/>
                <w:sz w:val="20"/>
                <w:szCs w:val="20"/>
              </w:rPr>
              <w:t xml:space="preserve">Break-even profitability</w:t>
            </w:r>
          </w:p>
        </w:tc>
        <w:tc>
          <w:tcPr>
            <w:tcW w:type="dxa" w:w="2320"/>
            <w:tcBorders>
              <w:top w:val="single" w:color="D5E0EC" w:sz="1"/>
              <w:left w:val="single" w:color="D5E0EC" w:sz="1"/>
              <w:bottom w:val="single" w:color="D5E0EC" w:sz="1"/>
              <w:right w:val="single" w:color="D5E0EC" w:sz="1"/>
            </w:tcBorders>
            <w:shd w:fill="DAF0EE" w:val="clear"/>
            <w:tcMar>
              <w:top w:type="dxa" w:w="80"/>
              <w:left w:type="dxa" w:w="120"/>
              <w:bottom w:type="dxa" w:w="80"/>
              <w:right w:type="dxa" w:w="120"/>
            </w:tcMar>
            <w:vAlign w:val="center"/>
          </w:tcPr>
          <w:p>
            <w:pPr>
              <w:jc w:val="left"/>
            </w:pPr>
            <w:r>
              <w:rPr>
                <w:rFonts w:ascii="Arial" w:cs="Arial" w:eastAsia="Arial" w:hAnsi="Arial"/>
                <w:b w:val="false"/>
                <w:bCs w:val="false"/>
                <w:color w:val="1F7A8C"/>
                <w:sz w:val="20"/>
                <w:szCs w:val="20"/>
              </w:rPr>
              <w:t xml:space="preserve">First B2B proof points; LTV improvement</w:t>
            </w:r>
          </w:p>
        </w:tc>
        <w:tc>
          <w:tcPr>
            <w:tcW w:type="dxa" w:w="2320"/>
            <w:tcBorders>
              <w:top w:val="single" w:color="D5E0EC" w:sz="1"/>
              <w:left w:val="single" w:color="D5E0EC" w:sz="1"/>
              <w:bottom w:val="single" w:color="D5E0EC" w:sz="1"/>
              <w:right w:val="single" w:color="D5E0EC" w:sz="1"/>
            </w:tcBorders>
            <w:shd w:fill="DDF2E8" w:val="clear"/>
            <w:tcMar>
              <w:top w:type="dxa" w:w="80"/>
              <w:left w:type="dxa" w:w="120"/>
              <w:bottom w:type="dxa" w:w="80"/>
              <w:right w:type="dxa" w:w="120"/>
            </w:tcMar>
            <w:vAlign w:val="center"/>
          </w:tcPr>
          <w:p>
            <w:pPr>
              <w:jc w:val="left"/>
            </w:pPr>
            <w:r>
              <w:rPr>
                <w:rFonts w:ascii="Arial" w:cs="Arial" w:eastAsia="Arial" w:hAnsi="Arial"/>
                <w:b w:val="false"/>
                <w:bCs w:val="false"/>
                <w:color w:val="1E8449"/>
                <w:sz w:val="20"/>
                <w:szCs w:val="20"/>
              </w:rPr>
              <w:t xml:space="preserve">Series B fundraise readiness</w:t>
            </w:r>
          </w:p>
        </w:tc>
      </w:tr>
    </w:tbl>
    <w:p>
      <w:pPr>
        <w:pBdr>
          <w:left w:val="single" w:color="F0A500" w:sz="18" w:space="8"/>
        </w:pBdr>
        <w:shd w:fill="FEF9EC" w:val="clear"/>
        <w:spacing w:after="100" w:before="100"/>
        <w:jc w:val="both"/>
      </w:pPr>
      <w:r>
        <w:rPr>
          <w:rFonts w:ascii="Arial" w:cs="Arial" w:eastAsia="Arial" w:hAnsi="Arial"/>
          <w:i/>
          <w:iCs/>
          <w:color w:val="5D4037"/>
          <w:sz w:val="21"/>
          <w:szCs w:val="21"/>
        </w:rPr>
        <w:t xml:space="preserve">💡 Key Insight: The three-phase roadmap is built on one unifying principle: execute in the order that matters most. Fix trust before features. Build retention before community. Build community before B2B. Build B2B before expanding geographically.</w:t>
      </w:r>
    </w:p>
    <w:p>
      <w:r>
        <w:br w:type="page"/>
      </w:r>
    </w:p>
    <w:p>
      <w:pPr>
        <w:pStyle w:val="Heading1"/>
        <w:pBdr>
          <w:bottom w:val="single" w:color="1A5276" w:sz="8" w:space="2"/>
        </w:pBdr>
        <w:spacing w:after="120" w:before="280"/>
      </w:pPr>
      <w:r>
        <w:rPr>
          <w:rFonts w:ascii="Arial" w:cs="Arial" w:eastAsia="Arial" w:hAnsi="Arial"/>
          <w:b/>
          <w:bCs/>
          <w:color w:val="1A5276"/>
          <w:sz w:val="32"/>
          <w:szCs w:val="32"/>
        </w:rPr>
        <w:t xml:space="preserve">13. Expected Business Impact</w:t>
      </w:r>
    </w:p>
    <w:p>
      <w:pPr>
        <w:spacing w:after="80" w:before="40"/>
        <w:jc w:val="both"/>
      </w:pPr>
      <w:r>
        <w:rPr>
          <w:rFonts w:ascii="Arial" w:cs="Arial" w:eastAsia="Arial" w:hAnsi="Arial"/>
          <w:color w:val="1A1A2E"/>
          <w:sz w:val="21"/>
          <w:szCs w:val="21"/>
        </w:rPr>
        <w:t xml:space="preserve">The proposed Communication Confidence Ecosystem strategy is expected to generate measurable impact across five key business dimensions: retention, customer acquisition cost, lifetime value, revenue growth, and brand positioning.</w:t>
      </w:r>
    </w:p>
    <w:p>
      <w:pPr>
        <w:spacing w:after="80" w:before="0"/>
      </w:pPr>
      <w:r>
        <w:t xml:space="preserve"/>
      </w:r>
    </w:p>
    <w:p>
      <w:pPr>
        <w:spacing w:after="120" w:before="120"/>
        <w:jc w:val="center"/>
      </w:pPr>
      <w:r>
        <w:drawing>
          <wp:inline distT="0" distB="0" distL="0" distR="0">
            <wp:extent cx="6667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667500" cy="2476500"/>
                    </a:xfrm>
                    <a:prstGeom prst="rect">
                      <a:avLst/>
                    </a:prstGeom>
                  </pic:spPr>
                </pic:pic>
              </a:graphicData>
            </a:graphic>
          </wp:inline>
        </w:drawing>
      </w:r>
    </w:p>
    <w:p>
      <w:pPr>
        <w:spacing w:after="120" w:before="40"/>
        <w:jc w:val="center"/>
      </w:pPr>
      <w:r>
        <w:rPr>
          <w:rFonts w:ascii="Arial" w:cs="Arial" w:eastAsia="Arial" w:hAnsi="Arial"/>
          <w:i/>
          <w:iCs/>
          <w:color w:val="5D6D7E"/>
          <w:sz w:val="18"/>
          <w:szCs w:val="18"/>
        </w:rPr>
        <w:t xml:space="preserve">Figure 13.1 — Expected Business Impact: Key Metrics Summary</w:t>
      </w:r>
    </w:p>
    <w:p>
      <w:pPr>
        <w:spacing w:after="100" w:before="0"/>
      </w:pPr>
      <w:r>
        <w:t xml:space="preserve"/>
      </w:r>
    </w:p>
    <w:p>
      <w:pPr>
        <w:pStyle w:val="Heading2"/>
        <w:spacing w:after="80" w:before="160"/>
      </w:pPr>
      <w:r>
        <w:rPr>
          <w:rFonts w:ascii="Arial" w:cs="Arial" w:eastAsia="Arial" w:hAnsi="Arial"/>
          <w:b/>
          <w:bCs/>
          <w:color w:val="1A5276"/>
          <w:sz w:val="26"/>
          <w:szCs w:val="26"/>
        </w:rPr>
        <w:t xml:space="preserve">13.1 Impact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360"/>
        <w:gridCol w:w="2000"/>
      </w:tblGrid>
      <w:tr>
        <w:tc>
          <w:tcPr>
            <w:tcW w:type="dxa" w:w="260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 Area</w:t>
            </w:r>
          </w:p>
        </w:tc>
        <w:tc>
          <w:tcPr>
            <w:tcW w:type="dxa" w:w="240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Current State</w:t>
            </w:r>
          </w:p>
        </w:tc>
        <w:tc>
          <w:tcPr>
            <w:tcW w:type="dxa" w:w="236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Post-Strategy Target</w:t>
            </w:r>
          </w:p>
        </w:tc>
        <w:tc>
          <w:tcPr>
            <w:tcW w:type="dxa" w:w="200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Timeline</w:t>
            </w:r>
          </w:p>
        </w:tc>
      </w:tr>
      <w:tr>
        <w:tc>
          <w:tcPr>
            <w:tcW w:type="dxa" w:w="26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Retention (All Users)</w:t>
            </w:r>
          </w:p>
        </w:tc>
        <w:tc>
          <w:tcPr>
            <w:tcW w:type="dxa" w:w="24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3.5 months average</w:t>
            </w:r>
          </w:p>
        </w:tc>
        <w:tc>
          <w:tcPr>
            <w:tcW w:type="dxa" w:w="236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7–9 months average</w:t>
            </w:r>
          </w:p>
        </w:tc>
        <w:tc>
          <w:tcPr>
            <w:tcW w:type="dxa" w:w="20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Within 24 months</w:t>
            </w:r>
          </w:p>
        </w:tc>
      </w:tr>
      <w:tr>
        <w:tc>
          <w:tcPr>
            <w:tcW w:type="dxa" w:w="26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Beginner Conversion Rate</w:t>
            </w:r>
          </w:p>
        </w:tc>
        <w:tc>
          <w:tcPr>
            <w:tcW w:type="dxa" w:w="24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~20–25%</w:t>
            </w:r>
          </w:p>
        </w:tc>
        <w:tc>
          <w:tcPr>
            <w:tcW w:type="dxa" w:w="236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35–45%</w:t>
            </w:r>
          </w:p>
        </w:tc>
        <w:tc>
          <w:tcPr>
            <w:tcW w:type="dxa" w:w="20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Phase 1 (6 months)</w:t>
            </w:r>
          </w:p>
        </w:tc>
      </w:tr>
      <w:tr>
        <w:tc>
          <w:tcPr>
            <w:tcW w:type="dxa" w:w="26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Intermediate Retention</w:t>
            </w:r>
          </w:p>
        </w:tc>
        <w:tc>
          <w:tcPr>
            <w:tcW w:type="dxa" w:w="24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3–5 months</w:t>
            </w:r>
          </w:p>
        </w:tc>
        <w:tc>
          <w:tcPr>
            <w:tcW w:type="dxa" w:w="236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6–9 months</w:t>
            </w:r>
          </w:p>
        </w:tc>
        <w:tc>
          <w:tcPr>
            <w:tcW w:type="dxa" w:w="20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Phase 1–2</w:t>
            </w:r>
          </w:p>
        </w:tc>
      </w:tr>
      <w:tr>
        <w:tc>
          <w:tcPr>
            <w:tcW w:type="dxa" w:w="26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Advanced Churn</w:t>
            </w:r>
          </w:p>
        </w:tc>
        <w:tc>
          <w:tcPr>
            <w:tcW w:type="dxa" w:w="24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High (silent churn)</w:t>
            </w:r>
          </w:p>
        </w:tc>
        <w:tc>
          <w:tcPr>
            <w:tcW w:type="dxa" w:w="236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Reduced 50–70%</w:t>
            </w:r>
          </w:p>
        </w:tc>
        <w:tc>
          <w:tcPr>
            <w:tcW w:type="dxa" w:w="20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Phase 2</w:t>
            </w:r>
          </w:p>
        </w:tc>
      </w:tr>
      <w:tr>
        <w:tc>
          <w:tcPr>
            <w:tcW w:type="dxa" w:w="26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LTV per User</w:t>
            </w:r>
          </w:p>
        </w:tc>
        <w:tc>
          <w:tcPr>
            <w:tcW w:type="dxa" w:w="24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₹400–500</w:t>
            </w:r>
          </w:p>
        </w:tc>
        <w:tc>
          <w:tcPr>
            <w:tcW w:type="dxa" w:w="236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₹2,500–3,500</w:t>
            </w:r>
          </w:p>
        </w:tc>
        <w:tc>
          <w:tcPr>
            <w:tcW w:type="dxa" w:w="20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End of Phase 2</w:t>
            </w:r>
          </w:p>
        </w:tc>
      </w:tr>
      <w:tr>
        <w:tc>
          <w:tcPr>
            <w:tcW w:type="dxa" w:w="26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ARPU (Avg Revenue/User)</w:t>
            </w:r>
          </w:p>
        </w:tc>
        <w:tc>
          <w:tcPr>
            <w:tcW w:type="dxa" w:w="24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₹250/month</w:t>
            </w:r>
          </w:p>
        </w:tc>
        <w:tc>
          <w:tcPr>
            <w:tcW w:type="dxa" w:w="236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₹375–450/month</w:t>
            </w:r>
          </w:p>
        </w:tc>
        <w:tc>
          <w:tcPr>
            <w:tcW w:type="dxa" w:w="20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Phase 2 (3-tier pricing)</w:t>
            </w:r>
          </w:p>
        </w:tc>
      </w:tr>
      <w:tr>
        <w:tc>
          <w:tcPr>
            <w:tcW w:type="dxa" w:w="26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CAC (Blended)</w:t>
            </w:r>
          </w:p>
        </w:tc>
        <w:tc>
          <w:tcPr>
            <w:tcW w:type="dxa" w:w="24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₹800–1,200</w:t>
            </w:r>
          </w:p>
        </w:tc>
        <w:tc>
          <w:tcPr>
            <w:tcW w:type="dxa" w:w="236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20–30% lower</w:t>
            </w:r>
          </w:p>
        </w:tc>
        <w:tc>
          <w:tcPr>
            <w:tcW w:type="dxa" w:w="20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Phase 2 (referral engine)</w:t>
            </w:r>
          </w:p>
        </w:tc>
      </w:tr>
      <w:tr>
        <w:tc>
          <w:tcPr>
            <w:tcW w:type="dxa" w:w="26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Annual Revenue</w:t>
            </w:r>
          </w:p>
        </w:tc>
        <w:tc>
          <w:tcPr>
            <w:tcW w:type="dxa" w:w="24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₹8.93 Cr (2025)</w:t>
            </w:r>
          </w:p>
        </w:tc>
        <w:tc>
          <w:tcPr>
            <w:tcW w:type="dxa" w:w="236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₹40–50 Cr (2028)</w:t>
            </w:r>
          </w:p>
        </w:tc>
        <w:tc>
          <w:tcPr>
            <w:tcW w:type="dxa" w:w="20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Phase 3</w:t>
            </w:r>
          </w:p>
        </w:tc>
      </w:tr>
      <w:tr>
        <w:tc>
          <w:tcPr>
            <w:tcW w:type="dxa" w:w="26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Profitability</w:t>
            </w:r>
          </w:p>
        </w:tc>
        <w:tc>
          <w:tcPr>
            <w:tcW w:type="dxa" w:w="24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₹0.80 Cr loss (2025)</w:t>
            </w:r>
          </w:p>
        </w:tc>
        <w:tc>
          <w:tcPr>
            <w:tcW w:type="dxa" w:w="236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₹5–8 Cr profit (2028)</w:t>
            </w:r>
          </w:p>
        </w:tc>
        <w:tc>
          <w:tcPr>
            <w:tcW w:type="dxa" w:w="20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Phase 3</w:t>
            </w:r>
          </w:p>
        </w:tc>
      </w:tr>
      <w:tr>
        <w:tc>
          <w:tcPr>
            <w:tcW w:type="dxa" w:w="26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B2B Revenue Contribution</w:t>
            </w:r>
          </w:p>
        </w:tc>
        <w:tc>
          <w:tcPr>
            <w:tcW w:type="dxa" w:w="24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₹0 (not developed)</w:t>
            </w:r>
          </w:p>
        </w:tc>
        <w:tc>
          <w:tcPr>
            <w:tcW w:type="dxa" w:w="236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₹5–10 Cr annually</w:t>
            </w:r>
          </w:p>
        </w:tc>
        <w:tc>
          <w:tcPr>
            <w:tcW w:type="dxa" w:w="20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Phase 2–3</w:t>
            </w:r>
          </w:p>
        </w:tc>
      </w:tr>
    </w:tbl>
    <w:p>
      <w:pPr>
        <w:spacing w:after="100" w:before="0"/>
      </w:pPr>
      <w:r>
        <w:t xml:space="preserve"/>
      </w:r>
    </w:p>
    <w:p>
      <w:pPr>
        <w:spacing w:after="120" w:before="120"/>
        <w:jc w:val="center"/>
      </w:pPr>
      <w:r>
        <w:drawing>
          <wp:inline distT="0" distB="0" distL="0" distR="0">
            <wp:extent cx="6096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048000"/>
                    </a:xfrm>
                    <a:prstGeom prst="rect">
                      <a:avLst/>
                    </a:prstGeom>
                  </pic:spPr>
                </pic:pic>
              </a:graphicData>
            </a:graphic>
          </wp:inline>
        </w:drawing>
      </w:r>
    </w:p>
    <w:p>
      <w:pPr>
        <w:spacing w:after="120" w:before="40"/>
        <w:jc w:val="center"/>
      </w:pPr>
      <w:r>
        <w:rPr>
          <w:rFonts w:ascii="Arial" w:cs="Arial" w:eastAsia="Arial" w:hAnsi="Arial"/>
          <w:i/>
          <w:iCs/>
          <w:color w:val="5D6D7E"/>
          <w:sz w:val="18"/>
          <w:szCs w:val="18"/>
        </w:rPr>
        <w:t xml:space="preserve">Figure 13.2 — Revenue Growth Trajectory 2021–2028 with Strategy Deployment Point</w:t>
      </w:r>
    </w:p>
    <w:p>
      <w:pPr>
        <w:pBdr>
          <w:left w:val="single" w:color="F0A500" w:sz="18" w:space="8"/>
        </w:pBdr>
        <w:shd w:fill="FEF9EC" w:val="clear"/>
        <w:spacing w:after="100" w:before="100"/>
        <w:jc w:val="both"/>
      </w:pPr>
      <w:r>
        <w:rPr>
          <w:rFonts w:ascii="Arial" w:cs="Arial" w:eastAsia="Arial" w:hAnsi="Arial"/>
          <w:i/>
          <w:iCs/>
          <w:color w:val="5D4037"/>
          <w:sz w:val="21"/>
          <w:szCs w:val="21"/>
        </w:rPr>
        <w:t xml:space="preserve">💡 Key Insight: Every strategic initiative proposed in this report ultimately serves one financial goal: to make each user worth significantly more over their lifetime than it costs to acquire them.</w:t>
      </w:r>
    </w:p>
    <w:p>
      <w:r>
        <w:br w:type="page"/>
      </w:r>
    </w:p>
    <w:p>
      <w:pPr>
        <w:pStyle w:val="Heading1"/>
        <w:pBdr>
          <w:bottom w:val="single" w:color="1A5276" w:sz="8" w:space="2"/>
        </w:pBdr>
        <w:spacing w:after="120" w:before="280"/>
      </w:pPr>
      <w:r>
        <w:rPr>
          <w:rFonts w:ascii="Arial" w:cs="Arial" w:eastAsia="Arial" w:hAnsi="Arial"/>
          <w:b/>
          <w:bCs/>
          <w:color w:val="1A5276"/>
          <w:sz w:val="32"/>
          <w:szCs w:val="32"/>
        </w:rPr>
        <w:t xml:space="preserve">14. Strategic Diagrams &amp; Frameworks</w:t>
      </w:r>
    </w:p>
    <w:p>
      <w:pPr>
        <w:spacing w:after="80" w:before="40"/>
        <w:jc w:val="both"/>
      </w:pPr>
      <w:r>
        <w:rPr>
          <w:rFonts w:ascii="Arial" w:cs="Arial" w:eastAsia="Arial" w:hAnsi="Arial"/>
          <w:color w:val="1A1A2E"/>
          <w:sz w:val="21"/>
          <w:szCs w:val="21"/>
        </w:rPr>
        <w:t xml:space="preserve">This section presents four original strategic frameworks that underpin the Communication Confidence Ecosystem strategy. Each framework distils a core analytical concept into a clear, structured format.</w:t>
      </w:r>
    </w:p>
    <w:p>
      <w:pPr>
        <w:pStyle w:val="Heading2"/>
        <w:spacing w:after="80" w:before="160"/>
      </w:pPr>
      <w:r>
        <w:rPr>
          <w:rFonts w:ascii="Arial" w:cs="Arial" w:eastAsia="Arial" w:hAnsi="Arial"/>
          <w:b/>
          <w:bCs/>
          <w:color w:val="1A5276"/>
          <w:sz w:val="26"/>
          <w:szCs w:val="26"/>
        </w:rPr>
        <w:t xml:space="preserve">Framework 1 — The Communication Confidence Flywheel</w:t>
      </w:r>
    </w:p>
    <w:p>
      <w:pPr>
        <w:spacing w:after="80" w:before="40"/>
        <w:jc w:val="both"/>
      </w:pPr>
      <w:r>
        <w:rPr>
          <w:rFonts w:ascii="Arial" w:cs="Arial" w:eastAsia="Arial" w:hAnsi="Arial"/>
          <w:color w:val="1A1A2E"/>
          <w:sz w:val="21"/>
          <w:szCs w:val="21"/>
        </w:rPr>
        <w:t xml:space="preserve">The flywheel begins when AI practice builds early confidence → motivates payment → deepens usage → leads to community membership → generates career outcomes → produces success stories → drives organic referrals at near-zero CAC. Each revolution makes the next faster: community grows, referrals increase, brand strengthens, CAC falls while LTV rises.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20"/>
              <w:bottom w:val="single" w:color="1A5276" w:sz="1"/>
              <w:right w:val="single" w:color="1A5276" w:sz="1"/>
            </w:tcBorders>
            <w:shd w:fill="EBF5FB" w:val="clear"/>
            <w:tcMar>
              <w:top w:type="dxa" w:w="100"/>
              <w:left w:type="dxa" w:w="160"/>
              <w:bottom w:type="dxa" w:w="100"/>
              <w:right w:type="dxa" w:w="160"/>
            </w:tcMar>
          </w:tcPr>
          <w:p>
            <w:pPr>
              <w:jc w:val="center"/>
            </w:pPr>
            <w:r>
              <w:rPr>
                <w:rFonts w:ascii="Arial" w:cs="Arial" w:eastAsia="Arial" w:hAnsi="Arial"/>
                <w:b/>
                <w:bCs/>
                <w:color w:val="1A5276"/>
                <w:sz w:val="20"/>
                <w:szCs w:val="20"/>
              </w:rPr>
              <w:t xml:space="preserve">AI Practice → Early Confidence → Payment → Deeper Usage → Community → Career Outcomes → Success Stories → Organic Referrals → New Users → (Repeat)</w:t>
            </w:r>
          </w:p>
        </w:tc>
      </w:tr>
    </w:tbl>
    <w:p>
      <w:pPr>
        <w:spacing w:after="100" w:before="0"/>
      </w:pPr>
      <w:r>
        <w:t xml:space="preserve"/>
      </w:r>
    </w:p>
    <w:p>
      <w:pPr>
        <w:pStyle w:val="Heading2"/>
        <w:spacing w:after="80" w:before="160"/>
      </w:pPr>
      <w:r>
        <w:rPr>
          <w:rFonts w:ascii="Arial" w:cs="Arial" w:eastAsia="Arial" w:hAnsi="Arial"/>
          <w:b/>
          <w:bCs/>
          <w:color w:val="1A5276"/>
          <w:sz w:val="26"/>
          <w:szCs w:val="26"/>
        </w:rPr>
        <w:t xml:space="preserve">Framework 2 — The Four-Stage Value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E0EC" w:sz="1"/>
              <w:left w:val="single" w:color="D5E0EC" w:sz="1"/>
              <w:bottom w:val="single" w:color="D5E0EC" w:sz="1"/>
              <w:right w:val="single" w:color="D5E0E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Stage 1
LEARNING</w:t>
            </w:r>
          </w:p>
        </w:tc>
        <w:tc>
          <w:tcPr>
            <w:tcW w:type="dxa" w:w="2340"/>
            <w:tcBorders>
              <w:top w:val="single" w:color="D5E0EC" w:sz="1"/>
              <w:left w:val="single" w:color="D5E0EC" w:sz="1"/>
              <w:bottom w:val="single" w:color="D5E0EC" w:sz="1"/>
              <w:right w:val="single" w:color="D5E0EC" w:sz="1"/>
            </w:tcBorders>
            <w:shd w:fill="1F7A8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Stage 2
CONFIDENCE</w:t>
            </w:r>
          </w:p>
        </w:tc>
        <w:tc>
          <w:tcPr>
            <w:tcW w:type="dxa" w:w="2340"/>
            <w:tcBorders>
              <w:top w:val="single" w:color="D5E0EC" w:sz="1"/>
              <w:left w:val="single" w:color="D5E0EC" w:sz="1"/>
              <w:bottom w:val="single" w:color="D5E0EC" w:sz="1"/>
              <w:right w:val="single" w:color="D5E0EC" w:sz="1"/>
            </w:tcBorders>
            <w:shd w:fill="F0A500" w:val="clear"/>
            <w:tcMar>
              <w:top w:type="dxa" w:w="80"/>
              <w:left w:type="dxa" w:w="120"/>
              <w:bottom w:type="dxa" w:w="80"/>
              <w:right w:type="dxa" w:w="120"/>
            </w:tcMar>
            <w:vAlign w:val="center"/>
          </w:tcPr>
          <w:p>
            <w:pPr>
              <w:jc w:val="center"/>
            </w:pPr>
            <w:r>
              <w:rPr>
                <w:rFonts w:ascii="Arial" w:cs="Arial" w:eastAsia="Arial" w:hAnsi="Arial"/>
                <w:b/>
                <w:bCs/>
                <w:color w:val="0D1B2A"/>
                <w:sz w:val="22"/>
                <w:szCs w:val="22"/>
              </w:rPr>
              <w:t xml:space="preserve">Stage 3
IDENTITY</w:t>
            </w:r>
          </w:p>
        </w:tc>
        <w:tc>
          <w:tcPr>
            <w:tcW w:type="dxa" w:w="2340"/>
            <w:tcBorders>
              <w:top w:val="single" w:color="D5E0EC" w:sz="1"/>
              <w:left w:val="single" w:color="D5E0EC" w:sz="1"/>
              <w:bottom w:val="single" w:color="D5E0EC" w:sz="1"/>
              <w:right w:val="single" w:color="D5E0EC" w:sz="1"/>
            </w:tcBorders>
            <w:shd w:fill="1E844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Stage 4
CAREER READINESS</w:t>
            </w:r>
          </w:p>
        </w:tc>
      </w:tr>
      <w:tr>
        <w:tc>
          <w:tcPr>
            <w:tcW w:type="dxa" w:w="2340"/>
            <w:tcBorders>
              <w:top w:val="single" w:color="D5E0EC" w:sz="1"/>
              <w:left w:val="single" w:color="D5E0EC" w:sz="1"/>
              <w:bottom w:val="single" w:color="D5E0EC" w:sz="1"/>
              <w:right w:val="single" w:color="D5E0E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AI-powered language practice; pronunciation feedback; grammar correction; Miss Nova tutor</w:t>
            </w:r>
          </w:p>
        </w:tc>
        <w:tc>
          <w:tcPr>
            <w:tcW w:type="dxa" w:w="2340"/>
            <w:tcBorders>
              <w:top w:val="single" w:color="D5E0EC" w:sz="1"/>
              <w:left w:val="single" w:color="D5E0EC" w:sz="1"/>
              <w:bottom w:val="single" w:color="D5E0EC" w:sz="1"/>
              <w:right w:val="single" w:color="D5E0EC" w:sz="1"/>
            </w:tcBorders>
            <w:shd w:fill="E8F8F5"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Emotional AI Coach eliminates speaking anxiety; builds confidence journey map over time</w:t>
            </w:r>
          </w:p>
        </w:tc>
        <w:tc>
          <w:tcPr>
            <w:tcW w:type="dxa" w:w="2340"/>
            <w:tcBorders>
              <w:top w:val="single" w:color="D5E0EC" w:sz="1"/>
              <w:left w:val="single" w:color="D5E0EC" w:sz="1"/>
              <w:bottom w:val="single" w:color="D5E0EC" w:sz="1"/>
              <w:right w:val="single" w:color="D5E0EC" w:sz="1"/>
            </w:tcBorders>
            <w:shd w:fill="FEF9EC"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Regional-to-Professional identity transformation across all 10 Indian languages</w:t>
            </w:r>
          </w:p>
        </w:tc>
        <w:tc>
          <w:tcPr>
            <w:tcW w:type="dxa" w:w="2340"/>
            <w:tcBorders>
              <w:top w:val="single" w:color="D5E0EC" w:sz="1"/>
              <w:left w:val="single" w:color="D5E0EC" w:sz="1"/>
              <w:bottom w:val="single" w:color="D5E0EC" w:sz="1"/>
              <w:right w:val="single" w:color="D5E0EC" w:sz="1"/>
            </w:tcBorders>
            <w:shd w:fill="EAFAF1"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AI Career Simulation; peer community; employer outcomes; success story content</w:t>
            </w:r>
          </w:p>
        </w:tc>
      </w:tr>
    </w:tbl>
    <w:p>
      <w:pPr>
        <w:spacing w:after="100" w:before="0"/>
      </w:pPr>
      <w:r>
        <w:t xml:space="preserve"/>
      </w:r>
    </w:p>
    <w:p>
      <w:pPr>
        <w:pStyle w:val="Heading2"/>
        <w:spacing w:after="80" w:before="160"/>
      </w:pPr>
      <w:r>
        <w:rPr>
          <w:rFonts w:ascii="Arial" w:cs="Arial" w:eastAsia="Arial" w:hAnsi="Arial"/>
          <w:b/>
          <w:bCs/>
          <w:color w:val="1A5276"/>
          <w:sz w:val="26"/>
          <w:szCs w:val="26"/>
        </w:rPr>
        <w:t xml:space="preserve">Framework 3 — The Retention Pyramid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3600"/>
      </w:tblGrid>
      <w:tr>
        <w:tc>
          <w:tcPr>
            <w:tcW w:type="dxa" w:w="180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 (Bottom → Top)</w:t>
            </w:r>
          </w:p>
        </w:tc>
        <w:tc>
          <w:tcPr>
            <w:tcW w:type="dxa" w:w="396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Builds</w:t>
            </w:r>
          </w:p>
        </w:tc>
        <w:tc>
          <w:tcPr>
            <w:tcW w:type="dxa" w:w="360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Who Needs It</w:t>
            </w:r>
          </w:p>
        </w:tc>
      </w:tr>
      <w:tr>
        <w:tc>
          <w:tcPr>
            <w:tcW w:type="dxa" w:w="180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 1: HABIT</w:t>
            </w:r>
          </w:p>
        </w:tc>
        <w:tc>
          <w:tcPr>
            <w:tcW w:type="dxa" w:w="396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Daily practice sessions in first 14 days — the behavioural foundation</w:t>
            </w:r>
          </w:p>
        </w:tc>
        <w:tc>
          <w:tcPr>
            <w:tcW w:type="dxa" w:w="36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ALL users (without habit, no further layer works)</w:t>
            </w:r>
          </w:p>
        </w:tc>
      </w:tr>
      <w:tr>
        <w:tc>
          <w:tcPr>
            <w:tcW w:type="dxa" w:w="1800"/>
            <w:tcBorders>
              <w:top w:val="single" w:color="D5E0EC" w:sz="1"/>
              <w:left w:val="single" w:color="D5E0EC" w:sz="1"/>
              <w:bottom w:val="single" w:color="D5E0EC" w:sz="1"/>
              <w:right w:val="single" w:color="D5E0E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 2: PROGRESS VISIBILITY</w:t>
            </w:r>
          </w:p>
        </w:tc>
        <w:tc>
          <w:tcPr>
            <w:tcW w:type="dxa" w:w="396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Users who can see improvement continue; users who cannot see progress leave silently</w:t>
            </w:r>
          </w:p>
        </w:tc>
        <w:tc>
          <w:tcPr>
            <w:tcW w:type="dxa" w:w="36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Beginners &amp; Intermediates</w:t>
            </w:r>
          </w:p>
        </w:tc>
      </w:tr>
      <w:tr>
        <w:tc>
          <w:tcPr>
            <w:tcW w:type="dxa" w:w="1800"/>
            <w:tcBorders>
              <w:top w:val="single" w:color="D5E0EC" w:sz="1"/>
              <w:left w:val="single" w:color="D5E0EC" w:sz="1"/>
              <w:bottom w:val="single" w:color="D5E0EC" w:sz="1"/>
              <w:right w:val="single" w:color="D5E0EC" w:sz="1"/>
            </w:tcBorders>
            <w:shd w:fill="1F7A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 3: EMOTIONAL CONNECTION</w:t>
            </w:r>
          </w:p>
        </w:tc>
        <w:tc>
          <w:tcPr>
            <w:tcW w:type="dxa" w:w="396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AI Coach and judgment-free environment create a bond beyond functional value</w:t>
            </w:r>
          </w:p>
        </w:tc>
        <w:tc>
          <w:tcPr>
            <w:tcW w:type="dxa" w:w="36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Intermediate users</w:t>
            </w:r>
          </w:p>
        </w:tc>
      </w:tr>
      <w:tr>
        <w:tc>
          <w:tcPr>
            <w:tcW w:type="dxa" w:w="1800"/>
            <w:tcBorders>
              <w:top w:val="single" w:color="D5E0EC" w:sz="1"/>
              <w:left w:val="single" w:color="D5E0EC" w:sz="1"/>
              <w:bottom w:val="single" w:color="D5E0EC" w:sz="1"/>
              <w:right w:val="single" w:color="D5E0EC" w:sz="1"/>
            </w:tcBorders>
            <w:shd w:fill="F0A5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 4: COMMUNITY BELONGING</w:t>
            </w:r>
          </w:p>
        </w:tc>
        <w:tc>
          <w:tcPr>
            <w:tcW w:type="dxa" w:w="396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Peer ties make leaving feel like losing relationships, not just cancelling a subscription</w:t>
            </w:r>
          </w:p>
        </w:tc>
        <w:tc>
          <w:tcPr>
            <w:tcW w:type="dxa" w:w="36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Intermediate &amp; Advanced users</w:t>
            </w:r>
          </w:p>
        </w:tc>
      </w:tr>
      <w:tr>
        <w:tc>
          <w:tcPr>
            <w:tcW w:type="dxa" w:w="1800"/>
            <w:tcBorders>
              <w:top w:val="single" w:color="D5E0EC" w:sz="1"/>
              <w:left w:val="single" w:color="D5E0EC" w:sz="1"/>
              <w:bottom w:val="single" w:color="D5E0EC" w:sz="1"/>
              <w:right w:val="single" w:color="D5E0EC" w:sz="1"/>
            </w:tcBorders>
            <w:shd w:fill="1E844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 5: CAREER OUTCOMES</w:t>
            </w:r>
          </w:p>
        </w:tc>
        <w:tc>
          <w:tcPr>
            <w:tcW w:type="dxa" w:w="396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Platform contributes directly to professional success — loyalty becomes permanent</w:t>
            </w:r>
          </w:p>
        </w:tc>
        <w:tc>
          <w:tcPr>
            <w:tcW w:type="dxa" w:w="36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Advanced users &amp; Professionals</w:t>
            </w:r>
          </w:p>
        </w:tc>
      </w:tr>
    </w:tbl>
    <w:p>
      <w:pPr>
        <w:spacing w:after="100" w:before="0"/>
      </w:pPr>
      <w:r>
        <w:t xml:space="preserve"/>
      </w:r>
    </w:p>
    <w:p>
      <w:pPr>
        <w:pStyle w:val="Heading2"/>
        <w:spacing w:after="80" w:before="160"/>
      </w:pPr>
      <w:r>
        <w:rPr>
          <w:rFonts w:ascii="Arial" w:cs="Arial" w:eastAsia="Arial" w:hAnsi="Arial"/>
          <w:b/>
          <w:bCs/>
          <w:color w:val="1A5276"/>
          <w:sz w:val="26"/>
          <w:szCs w:val="26"/>
        </w:rPr>
        <w:t xml:space="preserve">Framework 4 — The Competitive Moat Matrix</w:t>
      </w:r>
    </w:p>
    <w:p>
      <w:pPr>
        <w:spacing w:after="80" w:before="40"/>
        <w:jc w:val="both"/>
      </w:pPr>
      <w:r>
        <w:rPr>
          <w:rFonts w:ascii="Arial" w:cs="Arial" w:eastAsia="Arial" w:hAnsi="Arial"/>
          <w:color w:val="1A1A2E"/>
          <w:sz w:val="21"/>
          <w:szCs w:val="21"/>
        </w:rPr>
        <w:t xml:space="preserve">The Competitive Moat Matrix evaluates Supernova AI's competitive advantages across two axes: user value and replication difficulty. The most sustainable moats are those that are both highly valuable to users AND extremely difficult for competitors to replicate.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80"/>
        <w:gridCol w:w="3280"/>
      </w:tblGrid>
      <w:tr>
        <w:tc>
          <w:tcPr>
            <w:tcW w:type="dxa" w:w="320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Competitive Advantage</w:t>
            </w:r>
          </w:p>
        </w:tc>
        <w:tc>
          <w:tcPr>
            <w:tcW w:type="dxa" w:w="288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User Value</w:t>
            </w:r>
          </w:p>
        </w:tc>
        <w:tc>
          <w:tcPr>
            <w:tcW w:type="dxa" w:w="328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Replication Difficulty</w:t>
            </w:r>
          </w:p>
        </w:tc>
      </w:tr>
      <w:tr>
        <w:tc>
          <w:tcPr>
            <w:tcW w:type="dxa" w:w="32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AI Technology (chatbots, pronunciation)</w:t>
            </w:r>
          </w:p>
        </w:tc>
        <w:tc>
          <w:tcPr>
            <w:tcW w:type="dxa" w:w="28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A5276"/>
                <w:sz w:val="20"/>
                <w:szCs w:val="20"/>
              </w:rPr>
              <w:t xml:space="preserve">⭐⭐⭐⭐ High</w:t>
            </w:r>
          </w:p>
        </w:tc>
        <w:tc>
          <w:tcPr>
            <w:tcW w:type="dxa" w:w="32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 Low — any funded competitor can copy</w:t>
            </w:r>
          </w:p>
        </w:tc>
      </w:tr>
      <w:tr>
        <w:tc>
          <w:tcPr>
            <w:tcW w:type="dxa" w:w="32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Regional Language Depth (10 languages)</w:t>
            </w:r>
          </w:p>
        </w:tc>
        <w:tc>
          <w:tcPr>
            <w:tcW w:type="dxa" w:w="28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5276"/>
                <w:sz w:val="20"/>
                <w:szCs w:val="20"/>
              </w:rPr>
              <w:t xml:space="preserve">⭐⭐⭐⭐⭐ Very High</w:t>
            </w:r>
          </w:p>
        </w:tc>
        <w:tc>
          <w:tcPr>
            <w:tcW w:type="dxa" w:w="32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 Very High — requires years of data &amp; cultural expertise</w:t>
            </w:r>
          </w:p>
        </w:tc>
      </w:tr>
      <w:tr>
        <w:tc>
          <w:tcPr>
            <w:tcW w:type="dxa" w:w="32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Community Culture &amp; Emotional Bonds</w:t>
            </w:r>
          </w:p>
        </w:tc>
        <w:tc>
          <w:tcPr>
            <w:tcW w:type="dxa" w:w="28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A5276"/>
                <w:sz w:val="20"/>
                <w:szCs w:val="20"/>
              </w:rPr>
              <w:t xml:space="preserve">⭐⭐⭐⭐⭐ Very High</w:t>
            </w:r>
          </w:p>
        </w:tc>
        <w:tc>
          <w:tcPr>
            <w:tcW w:type="dxa" w:w="32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 Very High — trust &amp; social norms take years to build</w:t>
            </w:r>
          </w:p>
        </w:tc>
      </w:tr>
      <w:tr>
        <w:tc>
          <w:tcPr>
            <w:tcW w:type="dxa" w:w="320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Career Outcomes &amp; Success Stories</w:t>
            </w:r>
          </w:p>
        </w:tc>
        <w:tc>
          <w:tcPr>
            <w:tcW w:type="dxa" w:w="28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5276"/>
                <w:sz w:val="20"/>
                <w:szCs w:val="20"/>
              </w:rPr>
              <w:t xml:space="preserve">⭐⭐⭐⭐⭐ Very High</w:t>
            </w:r>
          </w:p>
        </w:tc>
        <w:tc>
          <w:tcPr>
            <w:tcW w:type="dxa" w:w="32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 High — requires real user results accumulated over time</w:t>
            </w:r>
          </w:p>
        </w:tc>
      </w:tr>
      <w:tr>
        <w:tc>
          <w:tcPr>
            <w:tcW w:type="dxa" w:w="320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Affordable Pricing for Tier 2/3 India</w:t>
            </w:r>
          </w:p>
        </w:tc>
        <w:tc>
          <w:tcPr>
            <w:tcW w:type="dxa" w:w="28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1A5276"/>
                <w:sz w:val="20"/>
                <w:szCs w:val="20"/>
              </w:rPr>
              <w:t xml:space="preserve">⭐⭐⭐⭐ High</w:t>
            </w:r>
          </w:p>
        </w:tc>
        <w:tc>
          <w:tcPr>
            <w:tcW w:type="dxa" w:w="32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5D6D7E"/>
                <w:sz w:val="20"/>
                <w:szCs w:val="20"/>
              </w:rPr>
              <w:t xml:space="preserve">⭐⭐⭐ Medium — global platforms structurally resist low pricing</w:t>
            </w:r>
          </w:p>
        </w:tc>
      </w:tr>
    </w:tbl>
    <w:p>
      <w:pPr>
        <w:pBdr>
          <w:left w:val="single" w:color="F0A500" w:sz="18" w:space="8"/>
        </w:pBdr>
        <w:shd w:fill="FEF9EC" w:val="clear"/>
        <w:spacing w:after="100" w:before="100"/>
        <w:jc w:val="both"/>
      </w:pPr>
      <w:r>
        <w:rPr>
          <w:rFonts w:ascii="Arial" w:cs="Arial" w:eastAsia="Arial" w:hAnsi="Arial"/>
          <w:i/>
          <w:iCs/>
          <w:color w:val="5D4037"/>
          <w:sz w:val="21"/>
          <w:szCs w:val="21"/>
        </w:rPr>
        <w:t xml:space="preserve">💡 Key Insight: Supernova AI's true moats lie in regional depth, community culture, and career outcomes — not in AI technology. These are the areas where no competitor has a head start.</w:t>
      </w:r>
    </w:p>
    <w:p>
      <w:r>
        <w:br w:type="page"/>
      </w:r>
    </w:p>
    <w:p>
      <w:pPr>
        <w:pStyle w:val="Heading1"/>
        <w:pBdr>
          <w:bottom w:val="single" w:color="1A5276" w:sz="8" w:space="2"/>
        </w:pBdr>
        <w:spacing w:after="120" w:before="280"/>
      </w:pPr>
      <w:r>
        <w:rPr>
          <w:rFonts w:ascii="Arial" w:cs="Arial" w:eastAsia="Arial" w:hAnsi="Arial"/>
          <w:b/>
          <w:bCs/>
          <w:color w:val="1A5276"/>
          <w:sz w:val="32"/>
          <w:szCs w:val="32"/>
        </w:rPr>
        <w:t xml:space="preserve">15. Final Conclusion</w:t>
      </w:r>
    </w:p>
    <w:p>
      <w:pPr>
        <w:spacing w:after="80" w:before="40"/>
        <w:jc w:val="both"/>
      </w:pPr>
      <w:r>
        <w:rPr>
          <w:rFonts w:ascii="Arial" w:cs="Arial" w:eastAsia="Arial" w:hAnsi="Arial"/>
          <w:color w:val="1A1A2E"/>
          <w:sz w:val="21"/>
          <w:szCs w:val="21"/>
        </w:rPr>
        <w:t xml:space="preserve">This report has presented a comprehensive strategic analysis of Supernova AI — its market position, competitive landscape, customers, and the structural challenges it must overcome to build a sustainable, category-leading business in India's AI communication-learning market.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F0A500" w:sz="1"/>
              <w:left w:val="single" w:color="D5E0EC" w:sz="1"/>
              <w:bottom w:val="single" w:color="D5E0EC" w:sz="1"/>
              <w:right w:val="single" w:color="D5E0EC" w:sz="1"/>
            </w:tcBorders>
            <w:shd w:fill="0D1B2A" w:val="clear"/>
            <w:tcMar>
              <w:top w:type="dxa" w:w="100"/>
              <w:left w:type="dxa" w:w="80"/>
              <w:bottom w:type="dxa" w:w="100"/>
              <w:right w:type="dxa" w:w="80"/>
            </w:tcMar>
            <w:vAlign w:val="center"/>
          </w:tcPr>
          <w:p>
            <w:pPr>
              <w:spacing w:after="30"/>
              <w:jc w:val="center"/>
            </w:pPr>
            <w:r>
              <w:rPr>
                <w:rFonts w:ascii="Arial" w:cs="Arial" w:eastAsia="Arial" w:hAnsi="Arial"/>
                <w:b/>
                <w:bCs/>
                <w:color w:val="F0A500"/>
                <w:sz w:val="32"/>
                <w:szCs w:val="32"/>
              </w:rPr>
              <w:t xml:space="preserve">16M+</w:t>
            </w:r>
          </w:p>
          <w:p>
            <w:pPr>
              <w:jc w:val="center"/>
            </w:pPr>
            <w:r>
              <w:rPr>
                <w:rFonts w:ascii="Arial" w:cs="Arial" w:eastAsia="Arial" w:hAnsi="Arial"/>
                <w:color w:val="AED6F1"/>
                <w:sz w:val="17"/>
                <w:szCs w:val="17"/>
              </w:rPr>
              <w:t xml:space="preserve">Downloads Proven</w:t>
            </w:r>
          </w:p>
        </w:tc>
        <w:tc>
          <w:tcPr>
            <w:tcW w:type="dxa" w:w="1872"/>
            <w:tcBorders>
              <w:top w:val="single" w:color="F0A500" w:sz="1"/>
              <w:left w:val="single" w:color="D5E0EC" w:sz="1"/>
              <w:bottom w:val="single" w:color="D5E0EC" w:sz="1"/>
              <w:right w:val="single" w:color="D5E0EC" w:sz="1"/>
            </w:tcBorders>
            <w:shd w:fill="0D1B2A" w:val="clear"/>
            <w:tcMar>
              <w:top w:type="dxa" w:w="100"/>
              <w:left w:type="dxa" w:w="80"/>
              <w:bottom w:type="dxa" w:w="100"/>
              <w:right w:type="dxa" w:w="80"/>
            </w:tcMar>
            <w:vAlign w:val="center"/>
          </w:tcPr>
          <w:p>
            <w:pPr>
              <w:spacing w:after="30"/>
              <w:jc w:val="center"/>
            </w:pPr>
            <w:r>
              <w:rPr>
                <w:rFonts w:ascii="Arial" w:cs="Arial" w:eastAsia="Arial" w:hAnsi="Arial"/>
                <w:b/>
                <w:bCs/>
                <w:color w:val="F0A500"/>
                <w:sz w:val="32"/>
                <w:szCs w:val="32"/>
              </w:rPr>
              <w:t xml:space="preserve">₹8.93 Cr</w:t>
            </w:r>
          </w:p>
          <w:p>
            <w:pPr>
              <w:jc w:val="center"/>
            </w:pPr>
            <w:r>
              <w:rPr>
                <w:rFonts w:ascii="Arial" w:cs="Arial" w:eastAsia="Arial" w:hAnsi="Arial"/>
                <w:color w:val="AED6F1"/>
                <w:sz w:val="17"/>
                <w:szCs w:val="17"/>
              </w:rPr>
              <w:t xml:space="preserve">Revenue 2025</w:t>
            </w:r>
          </w:p>
        </w:tc>
        <w:tc>
          <w:tcPr>
            <w:tcW w:type="dxa" w:w="1872"/>
            <w:tcBorders>
              <w:top w:val="single" w:color="F0A500" w:sz="1"/>
              <w:left w:val="single" w:color="D5E0EC" w:sz="1"/>
              <w:bottom w:val="single" w:color="D5E0EC" w:sz="1"/>
              <w:right w:val="single" w:color="D5E0EC" w:sz="1"/>
            </w:tcBorders>
            <w:shd w:fill="0D1B2A" w:val="clear"/>
            <w:tcMar>
              <w:top w:type="dxa" w:w="100"/>
              <w:left w:type="dxa" w:w="80"/>
              <w:bottom w:type="dxa" w:w="100"/>
              <w:right w:type="dxa" w:w="80"/>
            </w:tcMar>
            <w:vAlign w:val="center"/>
          </w:tcPr>
          <w:p>
            <w:pPr>
              <w:spacing w:after="30"/>
              <w:jc w:val="center"/>
            </w:pPr>
            <w:r>
              <w:rPr>
                <w:rFonts w:ascii="Arial" w:cs="Arial" w:eastAsia="Arial" w:hAnsi="Arial"/>
                <w:b/>
                <w:bCs/>
                <w:color w:val="F0A500"/>
                <w:sz w:val="32"/>
                <w:szCs w:val="32"/>
              </w:rPr>
              <w:t xml:space="preserve">3.5 mo</w:t>
            </w:r>
          </w:p>
          <w:p>
            <w:pPr>
              <w:jc w:val="center"/>
            </w:pPr>
            <w:r>
              <w:rPr>
                <w:rFonts w:ascii="Arial" w:cs="Arial" w:eastAsia="Arial" w:hAnsi="Arial"/>
                <w:color w:val="AED6F1"/>
                <w:sz w:val="17"/>
                <w:szCs w:val="17"/>
              </w:rPr>
              <w:t xml:space="preserve">Avg Retention Now</w:t>
            </w:r>
          </w:p>
        </w:tc>
        <w:tc>
          <w:tcPr>
            <w:tcW w:type="dxa" w:w="1872"/>
            <w:tcBorders>
              <w:top w:val="single" w:color="F0A500" w:sz="1"/>
              <w:left w:val="single" w:color="D5E0EC" w:sz="1"/>
              <w:bottom w:val="single" w:color="D5E0EC" w:sz="1"/>
              <w:right w:val="single" w:color="D5E0EC" w:sz="1"/>
            </w:tcBorders>
            <w:shd w:fill="0D1B2A" w:val="clear"/>
            <w:tcMar>
              <w:top w:type="dxa" w:w="100"/>
              <w:left w:type="dxa" w:w="80"/>
              <w:bottom w:type="dxa" w:w="100"/>
              <w:right w:type="dxa" w:w="80"/>
            </w:tcMar>
            <w:vAlign w:val="center"/>
          </w:tcPr>
          <w:p>
            <w:pPr>
              <w:spacing w:after="30"/>
              <w:jc w:val="center"/>
            </w:pPr>
            <w:r>
              <w:rPr>
                <w:rFonts w:ascii="Arial" w:cs="Arial" w:eastAsia="Arial" w:hAnsi="Arial"/>
                <w:b/>
                <w:bCs/>
                <w:color w:val="F0A500"/>
                <w:sz w:val="32"/>
                <w:szCs w:val="32"/>
              </w:rPr>
              <w:t xml:space="preserve">7–9 mo</w:t>
            </w:r>
          </w:p>
          <w:p>
            <w:pPr>
              <w:jc w:val="center"/>
            </w:pPr>
            <w:r>
              <w:rPr>
                <w:rFonts w:ascii="Arial" w:cs="Arial" w:eastAsia="Arial" w:hAnsi="Arial"/>
                <w:color w:val="AED6F1"/>
                <w:sz w:val="17"/>
                <w:szCs w:val="17"/>
              </w:rPr>
              <w:t xml:space="preserve">Retention Target</w:t>
            </w:r>
          </w:p>
        </w:tc>
        <w:tc>
          <w:tcPr>
            <w:tcW w:type="dxa" w:w="1872"/>
            <w:tcBorders>
              <w:top w:val="single" w:color="F0A500" w:sz="1"/>
              <w:left w:val="single" w:color="D5E0EC" w:sz="1"/>
              <w:bottom w:val="single" w:color="D5E0EC" w:sz="1"/>
              <w:right w:val="single" w:color="D5E0EC" w:sz="1"/>
            </w:tcBorders>
            <w:shd w:fill="0D1B2A" w:val="clear"/>
            <w:tcMar>
              <w:top w:type="dxa" w:w="100"/>
              <w:left w:type="dxa" w:w="80"/>
              <w:bottom w:type="dxa" w:w="100"/>
              <w:right w:type="dxa" w:w="80"/>
            </w:tcMar>
            <w:vAlign w:val="center"/>
          </w:tcPr>
          <w:p>
            <w:pPr>
              <w:spacing w:after="30"/>
              <w:jc w:val="center"/>
            </w:pPr>
            <w:r>
              <w:rPr>
                <w:rFonts w:ascii="Arial" w:cs="Arial" w:eastAsia="Arial" w:hAnsi="Arial"/>
                <w:b/>
                <w:bCs/>
                <w:color w:val="F0A500"/>
                <w:sz w:val="32"/>
                <w:szCs w:val="32"/>
              </w:rPr>
              <w:t xml:space="preserve">₹45 Cr</w:t>
            </w:r>
          </w:p>
          <w:p>
            <w:pPr>
              <w:jc w:val="center"/>
            </w:pPr>
            <w:r>
              <w:rPr>
                <w:rFonts w:ascii="Arial" w:cs="Arial" w:eastAsia="Arial" w:hAnsi="Arial"/>
                <w:color w:val="AED6F1"/>
                <w:sz w:val="17"/>
                <w:szCs w:val="17"/>
              </w:rPr>
              <w:t xml:space="preserve">Revenue Target 2028</w:t>
            </w:r>
          </w:p>
        </w:tc>
      </w:tr>
    </w:tbl>
    <w:p>
      <w:pPr>
        <w:spacing w:after="100" w:before="0"/>
      </w:pPr>
      <w:r>
        <w:t xml:space="preserve"/>
      </w:r>
    </w:p>
    <w:p>
      <w:pPr>
        <w:spacing w:after="80" w:before="40"/>
        <w:jc w:val="both"/>
      </w:pPr>
      <w:r>
        <w:rPr>
          <w:rFonts w:ascii="Arial" w:cs="Arial" w:eastAsia="Arial" w:hAnsi="Arial"/>
          <w:color w:val="1A1A2E"/>
          <w:sz w:val="21"/>
          <w:szCs w:val="21"/>
        </w:rPr>
        <w:t xml:space="preserve">Supernova AI's foundation is genuinely strong. With 16 million downloads, over 7 lakh active learners, support for 10 Indian languages, and confirmed revenue of ₹8.93 Crore in 2025, the company has proven product-market fit in one of the most competitive edtech markets in the world. Its focus on Tier 2 and Tier 3 Indian learners — the 250 million people who understand English but cannot yet speak it confidently — gives it a defensible market position that no global competitor can replicate.</w:t>
      </w:r>
    </w:p>
    <w:p>
      <w:pPr>
        <w:spacing w:after="80" w:before="40"/>
        <w:jc w:val="both"/>
      </w:pPr>
      <w:r>
        <w:rPr>
          <w:rFonts w:ascii="Arial" w:cs="Arial" w:eastAsia="Arial" w:hAnsi="Arial"/>
          <w:color w:val="1A1A2E"/>
          <w:sz w:val="21"/>
          <w:szCs w:val="21"/>
        </w:rPr>
        <w:t xml:space="preserve">However, the analysis has made clear that Supernova AI faces serious structural vulnerabilities: high customer churn, a CAC-LTV gap at the student segment, absence of a peer community, and the subscription billing trust issue that — if left unaddressed — will undermine every other improvement.</w:t>
      </w:r>
    </w:p>
    <w:p>
      <w:pPr>
        <w:spacing w:after="80" w:before="40"/>
        <w:jc w:val="both"/>
      </w:pPr>
      <w:r>
        <w:rPr>
          <w:rFonts w:ascii="Arial" w:cs="Arial" w:eastAsia="Arial" w:hAnsi="Arial"/>
          <w:color w:val="1A1A2E"/>
          <w:sz w:val="21"/>
          <w:szCs w:val="21"/>
        </w:rPr>
        <w:t xml:space="preserve">The proposed Communication Confidence Ecosystem strategy directly addresses each vulnerability in a sequenced, realistic, and financially grounded manner. Fix trust first. Build retention second. Activate community third. Develop B2B fourth. Pursue geographic expansion fifth. Each phase strengthens the foundation for the next.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1"/>
              <w:left w:val="single" w:color="F0A500" w:sz="1"/>
              <w:bottom w:val="single" w:color="F0A500" w:sz="1"/>
              <w:right w:val="single" w:color="F0A500" w:sz="1"/>
            </w:tcBorders>
            <w:shd w:fill="0D1B2A" w:val="clear"/>
            <w:tcMar>
              <w:top w:type="dxa" w:w="120"/>
              <w:left w:type="dxa" w:w="200"/>
              <w:bottom w:type="dxa" w:w="120"/>
              <w:right w:type="dxa" w:w="200"/>
            </w:tcMar>
          </w:tcPr>
          <w:p>
            <w:pPr>
              <w:spacing w:after="60"/>
              <w:jc w:val="center"/>
            </w:pPr>
            <w:r>
              <w:rPr>
                <w:rFonts w:ascii="Arial" w:cs="Arial" w:eastAsia="Arial" w:hAnsi="Arial"/>
                <w:b/>
                <w:bCs/>
                <w:color w:val="F0A500"/>
                <w:sz w:val="24"/>
                <w:szCs w:val="24"/>
              </w:rPr>
              <w:t xml:space="preserve">"Supernova AI's users are not looking for a better English app.</w:t>
            </w:r>
          </w:p>
          <w:p>
            <w:pPr>
              <w:spacing w:after="60"/>
              <w:jc w:val="center"/>
            </w:pPr>
            <w:r>
              <w:rPr>
                <w:rFonts w:ascii="Arial" w:cs="Arial" w:eastAsia="Arial" w:hAnsi="Arial"/>
                <w:b/>
                <w:bCs/>
                <w:color w:val="F0A500"/>
                <w:sz w:val="24"/>
                <w:szCs w:val="24"/>
              </w:rPr>
              <w:t xml:space="preserve">They are looking for a better version of themselves."</w:t>
            </w:r>
          </w:p>
          <w:p>
            <w:pPr>
              <w:jc w:val="center"/>
            </w:pPr>
            <w:r>
              <w:rPr>
                <w:rFonts w:ascii="Arial" w:cs="Arial" w:eastAsia="Arial" w:hAnsi="Arial"/>
                <w:i/>
                <w:iCs/>
                <w:color w:val="AED6F1"/>
                <w:sz w:val="20"/>
                <w:szCs w:val="20"/>
              </w:rPr>
              <w:t xml:space="preserve">A platform that understands this truth will win loyalty no competitor can buy.</w:t>
            </w:r>
          </w:p>
        </w:tc>
      </w:tr>
    </w:tbl>
    <w:p>
      <w:pPr>
        <w:spacing w:after="100" w:before="0"/>
      </w:pPr>
      <w:r>
        <w:t xml:space="preserve"/>
      </w:r>
    </w:p>
    <w:p>
      <w:pPr>
        <w:spacing w:after="80" w:before="40"/>
        <w:jc w:val="both"/>
      </w:pPr>
      <w:r>
        <w:rPr>
          <w:rFonts w:ascii="Arial" w:cs="Arial" w:eastAsia="Arial" w:hAnsi="Arial"/>
          <w:color w:val="1A1A2E"/>
          <w:sz w:val="21"/>
          <w:szCs w:val="21"/>
        </w:rPr>
        <w:t xml:space="preserve">Supernova AI has the product, the mission, the market, and the momentum to become India's definitive Communication Confidence Ecosystem. The strategy proposed in this report is the roadmap to get there — not as another English learning app, but as the platform that changes what it means to speak, to succeed, and to belong in professional India.</w:t>
      </w:r>
    </w:p>
    <w:p>
      <w:r>
        <w:br w:type="page"/>
      </w:r>
    </w:p>
    <w:p>
      <w:pPr>
        <w:pStyle w:val="Heading1"/>
        <w:pBdr>
          <w:bottom w:val="single" w:color="1A5276" w:sz="8" w:space="2"/>
        </w:pBdr>
        <w:spacing w:after="120" w:before="280"/>
      </w:pPr>
      <w:r>
        <w:rPr>
          <w:rFonts w:ascii="Arial" w:cs="Arial" w:eastAsia="Arial" w:hAnsi="Arial"/>
          <w:b/>
          <w:bCs/>
          <w:color w:val="1A5276"/>
          <w:sz w:val="32"/>
          <w:szCs w:val="32"/>
        </w:rPr>
        <w:t xml:space="preserve">16. Project Resume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Project Title</w:t>
            </w:r>
          </w:p>
        </w:tc>
        <w:tc>
          <w:tcPr>
            <w:tcW w:type="dxa" w:w="6960"/>
            <w:tcBorders>
              <w:top w:val="single" w:color="D5E0EC" w:sz="1"/>
              <w:left w:val="single" w:color="D5E0EC" w:sz="1"/>
              <w:bottom w:val="single" w:color="D5E0EC" w:sz="1"/>
              <w:right w:val="single" w:color="D5E0E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Strategic Growth, Differentiation &amp; Retention Analysis — Supernova AI</w:t>
            </w:r>
          </w:p>
        </w:tc>
      </w:tr>
      <w:tr>
        <w:tc>
          <w:tcPr>
            <w:tcW w:type="dxa" w:w="240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Project Type</w:t>
            </w:r>
          </w:p>
        </w:tc>
        <w:tc>
          <w:tcPr>
            <w:tcW w:type="dxa" w:w="696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Independent Business Strategy Project | Student Report</w:t>
            </w:r>
          </w:p>
        </w:tc>
      </w:tr>
      <w:tr>
        <w:tc>
          <w:tcPr>
            <w:tcW w:type="dxa" w:w="240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Duration</w:t>
            </w:r>
          </w:p>
        </w:tc>
        <w:tc>
          <w:tcPr>
            <w:tcW w:type="dxa" w:w="6960"/>
            <w:tcBorders>
              <w:top w:val="single" w:color="D5E0EC" w:sz="1"/>
              <w:left w:val="single" w:color="D5E0EC" w:sz="1"/>
              <w:bottom w:val="single" w:color="D5E0EC" w:sz="1"/>
              <w:right w:val="single" w:color="D5E0E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May 2026</w:t>
            </w:r>
          </w:p>
        </w:tc>
      </w:tr>
      <w:tr>
        <w:tc>
          <w:tcPr>
            <w:tcW w:type="dxa" w:w="240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Sections Completed</w:t>
            </w:r>
          </w:p>
        </w:tc>
        <w:tc>
          <w:tcPr>
            <w:tcW w:type="dxa" w:w="696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16 comprehensive sections</w:t>
            </w:r>
          </w:p>
        </w:tc>
      </w:tr>
      <w:tr>
        <w:tc>
          <w:tcPr>
            <w:tcW w:type="dxa" w:w="240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 Tables Included</w:t>
            </w:r>
          </w:p>
        </w:tc>
        <w:tc>
          <w:tcPr>
            <w:tcW w:type="dxa" w:w="6960"/>
            <w:tcBorders>
              <w:top w:val="single" w:color="D5E0EC" w:sz="1"/>
              <w:left w:val="single" w:color="D5E0EC" w:sz="1"/>
              <w:bottom w:val="single" w:color="D5E0EC" w:sz="1"/>
              <w:right w:val="single" w:color="D5E0EC"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25+ structured data and analysis tables</w:t>
            </w:r>
          </w:p>
        </w:tc>
      </w:tr>
      <w:tr>
        <w:tc>
          <w:tcPr>
            <w:tcW w:type="dxa" w:w="2400"/>
            <w:tcBorders>
              <w:top w:val="single" w:color="D5E0EC" w:sz="1"/>
              <w:left w:val="single" w:color="D5E0EC" w:sz="1"/>
              <w:bottom w:val="single" w:color="D5E0EC" w:sz="1"/>
              <w:right w:val="single" w:color="D5E0E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Charts &amp; Visuals</w:t>
            </w:r>
          </w:p>
        </w:tc>
        <w:tc>
          <w:tcPr>
            <w:tcW w:type="dxa" w:w="696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0D1B2A"/>
                <w:sz w:val="20"/>
                <w:szCs w:val="20"/>
              </w:rPr>
              <w:t xml:space="preserve">8 original charts and diagrams</w:t>
            </w:r>
          </w:p>
        </w:tc>
      </w:tr>
    </w:tbl>
    <w:p>
      <w:pPr>
        <w:spacing w:after="100" w:before="0"/>
      </w:pPr>
      <w:r>
        <w:t xml:space="preserve"/>
      </w:r>
    </w:p>
    <w:p>
      <w:pPr>
        <w:pStyle w:val="Heading2"/>
        <w:spacing w:after="80" w:before="160"/>
      </w:pPr>
      <w:r>
        <w:rPr>
          <w:rFonts w:ascii="Arial" w:cs="Arial" w:eastAsia="Arial" w:hAnsi="Arial"/>
          <w:b/>
          <w:bCs/>
          <w:color w:val="1A5276"/>
          <w:sz w:val="26"/>
          <w:szCs w:val="26"/>
        </w:rPr>
        <w:t xml:space="preserve">Key Areas of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Company &amp; industry overview with revenue model and funding analysis</w:t>
            </w:r>
          </w:p>
        </w:tc>
        <w:tc>
          <w:tcPr>
            <w:tcW w:type="dxa" w:w="46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Market problem identification across 8 external and internal challenge dimensions</w:t>
            </w:r>
          </w:p>
        </w:tc>
      </w:tr>
      <w:tr>
        <w:tc>
          <w:tcPr>
            <w:tcW w:type="dxa" w:w="46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Deep customer segmentation by age, region, level, and psychological driver</w:t>
            </w:r>
          </w:p>
        </w:tc>
        <w:tc>
          <w:tcPr>
            <w:tcW w:type="dxa" w:w="46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Competitor analysis across 8 platforms covering pricing, features, threats, and capabilities</w:t>
            </w:r>
          </w:p>
        </w:tc>
      </w:tr>
      <w:tr>
        <w:tc>
          <w:tcPr>
            <w:tcW w:type="dxa" w:w="46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Strategic differentiation proposal with 5 original differentiation pillars</w:t>
            </w:r>
          </w:p>
        </w:tc>
        <w:tc>
          <w:tcPr>
            <w:tcW w:type="dxa" w:w="46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Original Communication Confidence Ecosystem model with 3 integrated layers</w:t>
            </w:r>
          </w:p>
        </w:tc>
      </w:tr>
      <w:tr>
        <w:tc>
          <w:tcPr>
            <w:tcW w:type="dxa" w:w="46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CAC, LTV, and retention strategy with quantified projections and scenario modelling</w:t>
            </w:r>
          </w:p>
        </w:tc>
        <w:tc>
          <w:tcPr>
            <w:tcW w:type="dxa" w:w="46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UX/UI and customer psychology analysis across 5 psychological drivers</w:t>
            </w:r>
          </w:p>
        </w:tc>
      </w:tr>
      <w:tr>
        <w:tc>
          <w:tcPr>
            <w:tcW w:type="dxa" w:w="46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Full SWOT analysis with 4-directional strategic implications (SO, WO, ST, WT)</w:t>
            </w:r>
          </w:p>
        </w:tc>
        <w:tc>
          <w:tcPr>
            <w:tcW w:type="dxa" w:w="4680"/>
            <w:tcBorders>
              <w:top w:val="single" w:color="D5E0EC" w:sz="1"/>
              <w:left w:val="single" w:color="D5E0EC" w:sz="1"/>
              <w:bottom w:val="single" w:color="D5E0EC" w:sz="1"/>
              <w:right w:val="single" w:color="D5E0EC" w:sz="1"/>
            </w:tcBorders>
            <w:shd w:fill="F4F7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Limitations analysis with 8 constraints and paired practical solutions</w:t>
            </w:r>
          </w:p>
        </w:tc>
      </w:tr>
      <w:tr>
        <w:tc>
          <w:tcPr>
            <w:tcW w:type="dxa" w:w="46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3-phase implementation roadmap with milestones across a 36-month timeline</w:t>
            </w:r>
          </w:p>
        </w:tc>
        <w:tc>
          <w:tcPr>
            <w:tcW w:type="dxa" w:w="4680"/>
            <w:tcBorders>
              <w:top w:val="single" w:color="D5E0EC" w:sz="1"/>
              <w:left w:val="single" w:color="D5E0EC" w:sz="1"/>
              <w:bottom w:val="single" w:color="D5E0EC" w:sz="1"/>
              <w:right w:val="single" w:color="D5E0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4 original strategic frameworks: Flywheel, Value Journey, Retention Pyramid, Moat Matrix</w:t>
            </w:r>
          </w:p>
        </w:tc>
      </w:tr>
    </w:tbl>
    <w:p>
      <w:pPr>
        <w:spacing w:after="100" w:before="0"/>
      </w:pPr>
      <w:r>
        <w:t xml:space="preserve"/>
      </w:r>
    </w:p>
    <w:p>
      <w:pPr>
        <w:pStyle w:val="Heading2"/>
        <w:spacing w:after="80" w:before="160"/>
      </w:pPr>
      <w:r>
        <w:rPr>
          <w:rFonts w:ascii="Arial" w:cs="Arial" w:eastAsia="Arial" w:hAnsi="Arial"/>
          <w:b/>
          <w:bCs/>
          <w:color w:val="1A5276"/>
          <w:sz w:val="26"/>
          <w:szCs w:val="26"/>
        </w:rPr>
        <w:t xml:space="preserve">Skills Developed &amp; Demonstrated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7080"/>
      </w:tblGrid>
      <w:tr>
        <w:tc>
          <w:tcPr>
            <w:tcW w:type="dxa" w:w="228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Business Strategy</w:t>
            </w:r>
          </w:p>
        </w:tc>
        <w:tc>
          <w:tcPr>
            <w:tcW w:type="dxa" w:w="7080"/>
            <w:tcBorders>
              <w:top w:val="single" w:color="1A5276" w:sz="1"/>
              <w:left w:val="single" w:color="1A5276" w:sz="1"/>
              <w:bottom w:val="single" w:color="1A5276" w:sz="1"/>
              <w:right w:val="single" w:color="1A5276" w:sz="1"/>
            </w:tcBorders>
            <w:shd w:fill="F5F7FA" w:val="clear"/>
            <w:tcMar>
              <w:top w:type="dxa" w:w="80"/>
              <w:left w:type="dxa" w:w="160"/>
              <w:bottom w:type="dxa" w:w="80"/>
              <w:right w:type="dxa" w:w="120"/>
            </w:tcMar>
          </w:tcPr>
          <w:p>
            <w:pPr>
              <w:jc w:val="both"/>
            </w:pPr>
            <w:r>
              <w:rPr>
                <w:rFonts w:ascii="Arial" w:cs="Arial" w:eastAsia="Arial" w:hAnsi="Arial"/>
                <w:color w:val="2C3E50"/>
                <w:sz w:val="20"/>
                <w:szCs w:val="20"/>
              </w:rPr>
              <w:t xml:space="preserve">Market positioning, differentiation strategy design, competitive analysis, ecosystem model thinking, category creation, and strategic framework development.</w:t>
            </w:r>
          </w:p>
        </w:tc>
      </w:tr>
      <w:tr>
        <w:tc>
          <w:tcPr>
            <w:tcW w:type="dxa" w:w="2280"/>
            <w:tcBorders>
              <w:top w:val="single" w:color="1F7A8C" w:sz="1"/>
              <w:left w:val="single" w:color="1F7A8C" w:sz="1"/>
              <w:bottom w:val="single" w:color="1F7A8C" w:sz="1"/>
              <w:right w:val="single" w:color="1F7A8C" w:sz="1"/>
            </w:tcBorders>
            <w:shd w:fill="1F7A8C"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Customer Psychology</w:t>
            </w:r>
          </w:p>
        </w:tc>
        <w:tc>
          <w:tcPr>
            <w:tcW w:type="dxa" w:w="7080"/>
            <w:tcBorders>
              <w:top w:val="single" w:color="1F7A8C" w:sz="1"/>
              <w:left w:val="single" w:color="1F7A8C" w:sz="1"/>
              <w:bottom w:val="single" w:color="1F7A8C" w:sz="1"/>
              <w:right w:val="single" w:color="1F7A8C" w:sz="1"/>
            </w:tcBorders>
            <w:shd w:fill="F5F7FA" w:val="clear"/>
            <w:tcMar>
              <w:top w:type="dxa" w:w="80"/>
              <w:left w:type="dxa" w:w="160"/>
              <w:bottom w:type="dxa" w:w="80"/>
              <w:right w:type="dxa" w:w="120"/>
            </w:tcMar>
          </w:tcPr>
          <w:p>
            <w:pPr>
              <w:jc w:val="both"/>
            </w:pPr>
            <w:r>
              <w:rPr>
                <w:rFonts w:ascii="Arial" w:cs="Arial" w:eastAsia="Arial" w:hAnsi="Arial"/>
                <w:color w:val="2C3E50"/>
                <w:sz w:val="20"/>
                <w:szCs w:val="20"/>
              </w:rPr>
              <w:t xml:space="preserve">Behavioural segmentation, motivation mapping, emotional driver analysis, sunk-cost psychology, social proof mechanics, and identity-aspiration marketing.</w:t>
            </w:r>
          </w:p>
        </w:tc>
      </w:tr>
      <w:tr>
        <w:tc>
          <w:tcPr>
            <w:tcW w:type="dxa" w:w="2280"/>
            <w:tcBorders>
              <w:top w:val="single" w:color="1E8449" w:sz="1"/>
              <w:left w:val="single" w:color="1E8449" w:sz="1"/>
              <w:bottom w:val="single" w:color="1E8449" w:sz="1"/>
              <w:right w:val="single" w:color="1E8449" w:sz="1"/>
            </w:tcBorders>
            <w:shd w:fill="1E8449"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Retention Systems</w:t>
            </w:r>
          </w:p>
        </w:tc>
        <w:tc>
          <w:tcPr>
            <w:tcW w:type="dxa" w:w="7080"/>
            <w:tcBorders>
              <w:top w:val="single" w:color="1E8449" w:sz="1"/>
              <w:left w:val="single" w:color="1E8449" w:sz="1"/>
              <w:bottom w:val="single" w:color="1E8449" w:sz="1"/>
              <w:right w:val="single" w:color="1E8449" w:sz="1"/>
            </w:tcBorders>
            <w:shd w:fill="F5F7FA" w:val="clear"/>
            <w:tcMar>
              <w:top w:type="dxa" w:w="80"/>
              <w:left w:type="dxa" w:w="160"/>
              <w:bottom w:type="dxa" w:w="80"/>
              <w:right w:type="dxa" w:w="120"/>
            </w:tcMar>
          </w:tcPr>
          <w:p>
            <w:pPr>
              <w:jc w:val="both"/>
            </w:pPr>
            <w:r>
              <w:rPr>
                <w:rFonts w:ascii="Arial" w:cs="Arial" w:eastAsia="Arial" w:hAnsi="Arial"/>
                <w:color w:val="2C3E50"/>
                <w:sz w:val="20"/>
                <w:szCs w:val="20"/>
              </w:rPr>
              <w:t xml:space="preserve">Churn analysis, habit loop design, CAC-LTV modelling, subscription conversion strategy, community anchor design, and multi-level retention architecture.</w:t>
            </w:r>
          </w:p>
        </w:tc>
      </w:tr>
      <w:tr>
        <w:tc>
          <w:tcPr>
            <w:tcW w:type="dxa" w:w="2280"/>
            <w:tcBorders>
              <w:top w:val="single" w:color="F0A500" w:sz="1"/>
              <w:left w:val="single" w:color="F0A500" w:sz="1"/>
              <w:bottom w:val="single" w:color="F0A500" w:sz="1"/>
              <w:right w:val="single" w:color="F0A500" w:sz="1"/>
            </w:tcBorders>
            <w:shd w:fill="F0A500"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Startup Scalability</w:t>
            </w:r>
          </w:p>
        </w:tc>
        <w:tc>
          <w:tcPr>
            <w:tcW w:type="dxa" w:w="7080"/>
            <w:tcBorders>
              <w:top w:val="single" w:color="F0A500" w:sz="1"/>
              <w:left w:val="single" w:color="F0A500" w:sz="1"/>
              <w:bottom w:val="single" w:color="F0A500" w:sz="1"/>
              <w:right w:val="single" w:color="F0A500" w:sz="1"/>
            </w:tcBorders>
            <w:shd w:fill="F5F7FA" w:val="clear"/>
            <w:tcMar>
              <w:top w:type="dxa" w:w="80"/>
              <w:left w:type="dxa" w:w="160"/>
              <w:bottom w:type="dxa" w:w="80"/>
              <w:right w:type="dxa" w:w="120"/>
            </w:tcMar>
          </w:tcPr>
          <w:p>
            <w:pPr>
              <w:jc w:val="both"/>
            </w:pPr>
            <w:r>
              <w:rPr>
                <w:rFonts w:ascii="Arial" w:cs="Arial" w:eastAsia="Arial" w:hAnsi="Arial"/>
                <w:color w:val="2C3E50"/>
                <w:sz w:val="20"/>
                <w:szCs w:val="20"/>
              </w:rPr>
              <w:t xml:space="preserve">Series A funding context, unit economics analysis, B2B channel development, phased resource allocation, and revenue diversification planning.</w:t>
            </w:r>
          </w:p>
        </w:tc>
      </w:tr>
      <w:tr>
        <w:tc>
          <w:tcPr>
            <w:tcW w:type="dxa" w:w="228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Product Differentiation</w:t>
            </w:r>
          </w:p>
        </w:tc>
        <w:tc>
          <w:tcPr>
            <w:tcW w:type="dxa" w:w="7080"/>
            <w:tcBorders>
              <w:top w:val="single" w:color="C0392B" w:sz="1"/>
              <w:left w:val="single" w:color="C0392B" w:sz="1"/>
              <w:bottom w:val="single" w:color="C0392B" w:sz="1"/>
              <w:right w:val="single" w:color="C0392B" w:sz="1"/>
            </w:tcBorders>
            <w:shd w:fill="F5F7FA" w:val="clear"/>
            <w:tcMar>
              <w:top w:type="dxa" w:w="80"/>
              <w:left w:type="dxa" w:w="160"/>
              <w:bottom w:type="dxa" w:w="80"/>
              <w:right w:type="dxa" w:w="120"/>
            </w:tcMar>
          </w:tcPr>
          <w:p>
            <w:pPr>
              <w:jc w:val="both"/>
            </w:pPr>
            <w:r>
              <w:rPr>
                <w:rFonts w:ascii="Arial" w:cs="Arial" w:eastAsia="Arial" w:hAnsi="Arial"/>
                <w:color w:val="2C3E50"/>
                <w:sz w:val="20"/>
                <w:szCs w:val="20"/>
              </w:rPr>
              <w:t xml:space="preserve">Identifying sustainable product moats, community-as-product thinking, emotional product design, and value proposition development.</w:t>
            </w:r>
          </w:p>
        </w:tc>
      </w:tr>
      <w:tr>
        <w:tc>
          <w:tcPr>
            <w:tcW w:type="dxa" w:w="2280"/>
            <w:tcBorders>
              <w:top w:val="single" w:color="5D6D7E" w:sz="1"/>
              <w:left w:val="single" w:color="5D6D7E" w:sz="1"/>
              <w:bottom w:val="single" w:color="5D6D7E" w:sz="1"/>
              <w:right w:val="single" w:color="5D6D7E" w:sz="1"/>
            </w:tcBorders>
            <w:shd w:fill="5D6D7E"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UX/UI Thinking</w:t>
            </w:r>
          </w:p>
        </w:tc>
        <w:tc>
          <w:tcPr>
            <w:tcW w:type="dxa" w:w="7080"/>
            <w:tcBorders>
              <w:top w:val="single" w:color="5D6D7E" w:sz="1"/>
              <w:left w:val="single" w:color="5D6D7E" w:sz="1"/>
              <w:bottom w:val="single" w:color="5D6D7E" w:sz="1"/>
              <w:right w:val="single" w:color="5D6D7E" w:sz="1"/>
            </w:tcBorders>
            <w:shd w:fill="F5F7FA" w:val="clear"/>
            <w:tcMar>
              <w:top w:type="dxa" w:w="80"/>
              <w:left w:type="dxa" w:w="160"/>
              <w:bottom w:type="dxa" w:w="80"/>
              <w:right w:type="dxa" w:w="120"/>
            </w:tcMar>
          </w:tcPr>
          <w:p>
            <w:pPr>
              <w:jc w:val="both"/>
            </w:pPr>
            <w:r>
              <w:rPr>
                <w:rFonts w:ascii="Arial" w:cs="Arial" w:eastAsia="Arial" w:hAnsi="Arial"/>
                <w:color w:val="2C3E50"/>
                <w:sz w:val="20"/>
                <w:szCs w:val="20"/>
              </w:rPr>
              <w:t xml:space="preserve">Customer journey mapping, friction reduction analysis, emotionally intelligent product design, onboarding experience architecture, and conversion optimization.</w:t>
            </w:r>
          </w:p>
        </w:tc>
      </w:tr>
    </w:tbl>
    <w:p>
      <w:pPr>
        <w:spacing w:after="100" w:before="0"/>
      </w:pPr>
      <w:r>
        <w:t xml:space="preserve"/>
      </w:r>
    </w:p>
    <w:p>
      <w:pPr>
        <w:pStyle w:val="Heading2"/>
        <w:spacing w:after="80" w:before="160"/>
      </w:pPr>
      <w:r>
        <w:rPr>
          <w:rFonts w:ascii="Arial" w:cs="Arial" w:eastAsia="Arial" w:hAnsi="Arial"/>
          <w:b/>
          <w:bCs/>
          <w:color w:val="1A5276"/>
          <w:sz w:val="26"/>
          <w:szCs w:val="26"/>
        </w:rPr>
        <w:t xml:space="preserve">Key Learnings &amp; Outcomes</w:t>
      </w:r>
    </w:p>
    <w:p>
      <w:pPr>
        <w:spacing w:after="80" w:before="40"/>
        <w:jc w:val="both"/>
      </w:pPr>
      <w:r>
        <w:rPr>
          <w:rFonts w:ascii="Arial" w:cs="Arial" w:eastAsia="Arial" w:hAnsi="Arial"/>
          <w:color w:val="1A1A2E"/>
          <w:sz w:val="21"/>
          <w:szCs w:val="21"/>
        </w:rPr>
        <w:t xml:space="preserve">This project developed a practical, real-world understanding of how successful startups build sustainable competitive advantages — not through technology alone, but through community, emotional intelligence, cultural specificity, and relentless focus on what customers actually need beneath their stated requests.</w:t>
      </w:r>
    </w:p>
    <w:p>
      <w:pPr>
        <w:spacing w:after="80" w:before="40"/>
        <w:jc w:val="both"/>
      </w:pPr>
      <w:r>
        <w:rPr>
          <w:rFonts w:ascii="Arial" w:cs="Arial" w:eastAsia="Arial" w:hAnsi="Arial"/>
          <w:color w:val="1A1A2E"/>
          <w:sz w:val="21"/>
          <w:szCs w:val="21"/>
        </w:rPr>
        <w:t xml:space="preserve">The project demonstrated that effective business strategy requires equal depth in financial analysis, customer psychology, product thinking, and execution planning. Most importantly, it revealed that the most powerful growth strategies align business objectives — higher LTV, lower CAC, stronger brand — with genuine user value: helping real people transform their lives in meaningful ways.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1"/>
              <w:left w:val="single" w:color="F0A500" w:sz="20"/>
              <w:bottom w:val="single" w:color="F0A500" w:sz="1"/>
              <w:right w:val="single" w:color="D5E0EC" w:sz="1"/>
            </w:tcBorders>
            <w:shd w:fill="F4F7FB" w:val="clear"/>
            <w:tcMar>
              <w:top w:type="dxa" w:w="100"/>
              <w:left w:type="dxa" w:w="180"/>
              <w:bottom w:type="dxa" w:w="100"/>
              <w:right w:type="dxa" w:w="120"/>
            </w:tcMar>
          </w:tcPr>
          <w:p>
            <w:pPr>
              <w:jc w:val="center"/>
            </w:pPr>
            <w:r>
              <w:rPr>
                <w:rFonts w:ascii="Arial" w:cs="Arial" w:eastAsia="Arial" w:hAnsi="Arial"/>
                <w:i/>
                <w:iCs/>
                <w:color w:val="5D6D7E"/>
                <w:sz w:val="19"/>
                <w:szCs w:val="19"/>
              </w:rPr>
              <w:t xml:space="preserve">Independent Business Strategy Project  |  Student Project Report  |  May 2026  |  Prepared by Aafreen Fathima.H</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0EC" w:sz="4" w:space="1"/>
      </w:pBdr>
      <w:tabs>
        <w:tab w:val="right" w:pos="9026"/>
      </w:tabs>
    </w:pPr>
    <w:r>
      <w:rPr>
        <w:rFonts w:ascii="Arial" w:cs="Arial" w:eastAsia="Arial" w:hAnsi="Arial"/>
        <w:color w:val="5D6D7E"/>
        <w:sz w:val="17"/>
        <w:szCs w:val="17"/>
      </w:rPr>
      <w:t xml:space="preserve">Strategic Business Analysis Project — Prepared by Aafreen Fathima.H</w:t>
    </w:r>
    <w:r>
      <w:rPr>
        <w:sz w:val="17"/>
        <w:szCs w:val="17"/>
      </w:rPr>
      <w:t xml:space="preserve">	</w:t>
    </w:r>
    <w:r>
      <w:rPr>
        <w:rFonts w:ascii="Arial" w:cs="Arial" w:eastAsia="Arial" w:hAnsi="Arial"/>
        <w:color w:val="5D6D7E"/>
        <w:sz w:val="17"/>
        <w:szCs w:val="17"/>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E0EC" w:sz="4" w:space="1"/>
      </w:pBdr>
      <w:tabs>
        <w:tab w:val="right" w:pos="9026"/>
      </w:tabs>
    </w:pPr>
    <w:r>
      <w:rPr>
        <w:rFonts w:ascii="Arial" w:cs="Arial" w:eastAsia="Arial" w:hAnsi="Arial"/>
        <w:color w:val="5D6D7E"/>
        <w:sz w:val="17"/>
        <w:szCs w:val="17"/>
      </w:rPr>
      <w:t xml:space="preserve">Supernova AI — Strategic Growth, Differentiation &amp; Retention Analysis</w:t>
    </w:r>
    <w:r>
      <w:rPr>
        <w:sz w:val="17"/>
        <w:szCs w:val="17"/>
      </w:rPr>
      <w:t xml:space="preserve">	</w:t>
    </w:r>
    <w:r>
      <w:rPr>
        <w:rFonts w:ascii="Arial" w:cs="Arial" w:eastAsia="Arial" w:hAnsi="Arial"/>
        <w:color w:val="5D6D7E"/>
        <w:sz w:val="17"/>
        <w:szCs w:val="17"/>
      </w:rPr>
      <w:t xml:space="preserve">May 2026  |  Independent Student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A5276"/>
      <w:sz w:val="32"/>
      <w:szCs w:val="32"/>
    </w:rPr>
  </w:style>
  <w:style w:type="paragraph" w:styleId="Heading2">
    <w:name w:val="Heading 2"/>
    <w:basedOn w:val="Normal"/>
    <w:next w:val="Normal"/>
    <w:qFormat/>
    <w:pPr>
      <w:spacing w:after="80" w:before="160"/>
      <w:outlineLvl w:val="1"/>
    </w:pPr>
    <w:rPr>
      <w:rFonts w:ascii="Arial" w:cs="Arial" w:eastAsia="Arial" w:hAnsi="Arial"/>
      <w:b/>
      <w:bCs/>
      <w:color w:val="1A5276"/>
      <w:sz w:val="26"/>
      <w:szCs w:val="26"/>
    </w:rPr>
  </w:style>
  <w:style w:type="paragraph" w:styleId="Heading3">
    <w:name w:val="Heading 3"/>
    <w:basedOn w:val="Normal"/>
    <w:next w:val="Normal"/>
    <w:qFormat/>
    <w:pPr>
      <w:spacing w:after="60" w:before="120"/>
      <w:outlineLvl w:val="2"/>
    </w:pPr>
    <w:rPr>
      <w:rFonts w:ascii="Arial" w:cs="Arial" w:eastAsia="Arial" w:hAnsi="Arial"/>
      <w:b/>
      <w:bCs/>
      <w:color w:val="0D1B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e7aa9e70b78d17a2b9eb6f1af41191d07f85475.png"/><Relationship Id="rId10" Type="http://schemas.openxmlformats.org/officeDocument/2006/relationships/image" Target="media/2d100b1d6e93c6f0f2e3f0eb2406924f1b9b3fb9.png"/><Relationship Id="rId11" Type="http://schemas.openxmlformats.org/officeDocument/2006/relationships/image" Target="media/a6eb9fd1edd7d61e771a276f5d4914e323fd67db.png"/><Relationship Id="rId12" Type="http://schemas.openxmlformats.org/officeDocument/2006/relationships/image" Target="media/56fdd27249dc64f843d69fda9d8284b826adb9e0.png"/><Relationship Id="rId13" Type="http://schemas.openxmlformats.org/officeDocument/2006/relationships/image" Target="media/3a2a91095a8d7574bf8e459e0d8f7c038e137529.png"/><Relationship Id="rId14" Type="http://schemas.openxmlformats.org/officeDocument/2006/relationships/image" Target="media/51ea5ab8b8a977c65229af2a45b0cf0c2f419d98.png"/><Relationship Id="rId15" Type="http://schemas.openxmlformats.org/officeDocument/2006/relationships/image" Target="media/5a076f1104374bf9c04c3f45aab5ee82f85fa56c.png"/><Relationship Id="rId16" Type="http://schemas.openxmlformats.org/officeDocument/2006/relationships/image" Target="media/8a46d0b49911dcec7057abfa8fde5e40d13bdd6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2026-05-25T09:58:47.024Z</dcterms:created>
  <dcterms:modified xsi:type="dcterms:W3CDTF">2026-05-25T09:58:47.024Z</dcterms:modified>
</cp:coreProperties>
</file>

<file path=docProps/custom.xml><?xml version="1.0" encoding="utf-8"?>
<Properties xmlns="http://schemas.openxmlformats.org/officeDocument/2006/custom-properties" xmlns:vt="http://schemas.openxmlformats.org/officeDocument/2006/docPropsVTypes"/>
</file>