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384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3C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E8A020"/>
                <w:sz w:val="14"/>
                <w:szCs w:val="14"/>
              </w:rPr>
              <w:t xml:space="preserve">STRATEGY CASE STUDY  •  MAY 2026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Supernova AI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DB4C8"/>
                <w:sz w:val="18"/>
                <w:szCs w:val="18"/>
              </w:rPr>
              <w:t xml:space="preserve">Growth, Differentiation &amp; Retention Strategy  —  Independent Business Analysis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3C" w:val="clear"/>
            <w:tcMar>
              <w:top w:type="dxa" w:w="100"/>
              <w:left w:type="dxa" w:w="160"/>
              <w:bottom w:type="dxa" w:w="100"/>
              <w:right w:type="dxa" w:w="200"/>
            </w:tcMar>
            <w:vAlign w:val="bottom"/>
          </w:tcPr>
          <w:p>
            <w:pPr>
              <w:spacing w:after="3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Business Strategy Project</w:t>
            </w:r>
          </w:p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Aafreen Fathima. H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9DB4C8"/>
                <w:sz w:val="16"/>
                <w:szCs w:val="16"/>
              </w:rPr>
              <w:t xml:space="preserve">17 Sections  |  25 Data Tables  |  5 Charts</w:t>
            </w:r>
          </w:p>
        </w:tc>
      </w:tr>
    </w:tbl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8"/>
        <w:gridCol w:w="2208"/>
        <w:gridCol w:w="2208"/>
        <w:gridCol w:w="2208"/>
        <w:gridCol w:w="2208"/>
      </w:tblGrid>
      <w:tr>
        <w:tc>
          <w:tcPr>
            <w:tcW w:type="dxa" w:w="22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02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3C"/>
                <w:sz w:val="22"/>
                <w:szCs w:val="22"/>
              </w:rPr>
              <w:t xml:space="preserve">16M+</w:t>
            </w:r>
          </w:p>
          <w:p>
            <w:pPr>
              <w:spacing w:before="10"/>
              <w:jc w:val="center"/>
            </w:pPr>
            <w:r>
              <w:rPr>
                <w:rFonts w:ascii="Arial" w:cs="Arial" w:eastAsia="Arial" w:hAnsi="Arial"/>
                <w:color w:val="1A2B3C"/>
                <w:sz w:val="16"/>
                <w:szCs w:val="16"/>
              </w:rPr>
              <w:t xml:space="preserve">Downloads</w:t>
            </w:r>
          </w:p>
        </w:tc>
        <w:tc>
          <w:tcPr>
            <w:tcW w:type="dxa" w:w="2208"/>
            <w:tcBorders>
              <w:top w:val="none" w:color="FFFFFF" w:sz="0"/>
              <w:left w:val="single" w:color="1A2B3C" w:sz="4"/>
              <w:bottom w:val="none" w:color="FFFFFF" w:sz="0"/>
              <w:right w:val="none" w:color="FFFFFF" w:sz="0"/>
            </w:tcBorders>
            <w:shd w:fill="E8A02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3C"/>
                <w:sz w:val="22"/>
                <w:szCs w:val="22"/>
              </w:rPr>
              <w:t xml:space="preserve">7 Lakh+</w:t>
            </w:r>
          </w:p>
          <w:p>
            <w:pPr>
              <w:spacing w:before="10"/>
              <w:jc w:val="center"/>
            </w:pPr>
            <w:r>
              <w:rPr>
                <w:rFonts w:ascii="Arial" w:cs="Arial" w:eastAsia="Arial" w:hAnsi="Arial"/>
                <w:color w:val="1A2B3C"/>
                <w:sz w:val="16"/>
                <w:szCs w:val="16"/>
              </w:rPr>
              <w:t xml:space="preserve">Active Learners</w:t>
            </w:r>
          </w:p>
        </w:tc>
        <w:tc>
          <w:tcPr>
            <w:tcW w:type="dxa" w:w="2208"/>
            <w:tcBorders>
              <w:top w:val="none" w:color="FFFFFF" w:sz="0"/>
              <w:left w:val="single" w:color="1A2B3C" w:sz="4"/>
              <w:bottom w:val="none" w:color="FFFFFF" w:sz="0"/>
              <w:right w:val="none" w:color="FFFFFF" w:sz="0"/>
            </w:tcBorders>
            <w:shd w:fill="E8A02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3C"/>
                <w:sz w:val="22"/>
                <w:szCs w:val="22"/>
              </w:rPr>
              <w:t xml:space="preserve">10</w:t>
            </w:r>
          </w:p>
          <w:p>
            <w:pPr>
              <w:spacing w:before="10"/>
              <w:jc w:val="center"/>
            </w:pPr>
            <w:r>
              <w:rPr>
                <w:rFonts w:ascii="Arial" w:cs="Arial" w:eastAsia="Arial" w:hAnsi="Arial"/>
                <w:color w:val="1A2B3C"/>
                <w:sz w:val="16"/>
                <w:szCs w:val="16"/>
              </w:rPr>
              <w:t xml:space="preserve">Indian Languages</w:t>
            </w:r>
          </w:p>
        </w:tc>
        <w:tc>
          <w:tcPr>
            <w:tcW w:type="dxa" w:w="2208"/>
            <w:tcBorders>
              <w:top w:val="none" w:color="FFFFFF" w:sz="0"/>
              <w:left w:val="single" w:color="1A2B3C" w:sz="4"/>
              <w:bottom w:val="none" w:color="FFFFFF" w:sz="0"/>
              <w:right w:val="none" w:color="FFFFFF" w:sz="0"/>
            </w:tcBorders>
            <w:shd w:fill="E8A02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3C"/>
                <w:sz w:val="22"/>
                <w:szCs w:val="22"/>
              </w:rPr>
              <w:t xml:space="preserve">Rs.8.93 Cr</w:t>
            </w:r>
          </w:p>
          <w:p>
            <w:pPr>
              <w:spacing w:before="10"/>
              <w:jc w:val="center"/>
            </w:pPr>
            <w:r>
              <w:rPr>
                <w:rFonts w:ascii="Arial" w:cs="Arial" w:eastAsia="Arial" w:hAnsi="Arial"/>
                <w:color w:val="1A2B3C"/>
                <w:sz w:val="16"/>
                <w:szCs w:val="16"/>
              </w:rPr>
              <w:t xml:space="preserve">2025 Revenue</w:t>
            </w:r>
          </w:p>
        </w:tc>
        <w:tc>
          <w:tcPr>
            <w:tcW w:type="dxa" w:w="2208"/>
            <w:tcBorders>
              <w:top w:val="none" w:color="FFFFFF" w:sz="0"/>
              <w:left w:val="single" w:color="1A2B3C" w:sz="4"/>
              <w:bottom w:val="none" w:color="FFFFFF" w:sz="0"/>
              <w:right w:val="none" w:color="FFFFFF" w:sz="0"/>
            </w:tcBorders>
            <w:shd w:fill="E8A02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3C"/>
                <w:sz w:val="22"/>
                <w:szCs w:val="22"/>
              </w:rPr>
              <w:t xml:space="preserve">Series A</w:t>
            </w:r>
          </w:p>
          <w:p>
            <w:pPr>
              <w:spacing w:before="10"/>
              <w:jc w:val="center"/>
            </w:pPr>
            <w:r>
              <w:rPr>
                <w:rFonts w:ascii="Arial" w:cs="Arial" w:eastAsia="Arial" w:hAnsi="Arial"/>
                <w:color w:val="1A2B3C"/>
                <w:sz w:val="16"/>
                <w:szCs w:val="16"/>
              </w:rPr>
              <w:t xml:space="preserve">Funded</w:t>
            </w:r>
          </w:p>
        </w:tc>
      </w:tr>
    </w:tbl>
    <w:p>
      <w:pPr>
        <w:spacing w:after="10" w:before="10"/>
      </w:pP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5680"/>
      </w:tblGrid>
      <w:tr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5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0"/>
              <w:gridCol w:w="4840"/>
            </w:tblGrid>
            <w:tr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A02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2B3C"/>
                      <w:sz w:val="18"/>
                      <w:szCs w:val="18"/>
                    </w:rPr>
                    <w:t xml:space="preserve">01</w:t>
                  </w:r>
                </w:p>
              </w:tc>
              <w:tc>
                <w:tcPr>
                  <w:tcW w:type="dxa" w:w="4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4057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THE PROBLEM</w:t>
                  </w:r>
                </w:p>
              </w:tc>
            </w:tr>
          </w:tbl>
          <w:p>
            <w:pPr>
              <w:spacing w:after="10" w:before="10"/>
            </w:pPr>
          </w:p>
          <w:tbl>
            <w:tblPr>
              <w:tblW w:type="dxa" w:w="5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360"/>
            </w:tblGrid>
            <w:tr>
              <w:tc>
                <w:tcPr>
                  <w:tcW w:type="dxa" w:w="5360"/>
                  <w:tcBorders>
                    <w:top w:val="single" w:color="D5D8DC" w:sz="1"/>
                    <w:left w:val="single" w:color="D5D8DC" w:sz="1"/>
                    <w:bottom w:val="single" w:color="D5D8DC" w:sz="1"/>
                    <w:right w:val="single" w:color="D5D8D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2E"/>
                      <w:sz w:val="17"/>
                      <w:szCs w:val="17"/>
                    </w:rPr>
                    <w:t xml:space="preserve">16M downloads — but loses most users before they pay. Three failure points: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7"/>
                      <w:szCs w:val="17"/>
                    </w:rPr>
                    <w:t xml:space="preserve">Beginners:  </w:t>
                  </w:r>
                  <w:r>
                    <w:rPr>
                      <w:rFonts w:ascii="Arial" w:cs="Arial" w:eastAsia="Arial" w:hAnsi="Arial"/>
                      <w:color w:val="1A1A2E"/>
                      <w:sz w:val="17"/>
                      <w:szCs w:val="17"/>
                    </w:rPr>
                    <w:t xml:space="preserve">Drop in 14 days — no emotional win, hard paywall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7"/>
                      <w:szCs w:val="17"/>
                    </w:rPr>
                    <w:t xml:space="preserve">Intermediate:  </w:t>
                  </w:r>
                  <w:r>
                    <w:rPr>
                      <w:rFonts w:ascii="Arial" w:cs="Arial" w:eastAsia="Arial" w:hAnsi="Arial"/>
                      <w:color w:val="1A1A2E"/>
                      <w:sz w:val="17"/>
                      <w:szCs w:val="17"/>
                    </w:rPr>
                    <w:t xml:space="preserve">Leave at 3–5 months — no community or challenge variety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7"/>
                      <w:szCs w:val="17"/>
                    </w:rPr>
                    <w:t xml:space="preserve">Advanced:  </w:t>
                  </w:r>
                  <w:r>
                    <w:rPr>
                      <w:rFonts w:ascii="Arial" w:cs="Arial" w:eastAsia="Arial" w:hAnsi="Arial"/>
                      <w:color w:val="1A1A2E"/>
                      <w:sz w:val="17"/>
                      <w:szCs w:val="17"/>
                    </w:rPr>
                    <w:t xml:space="preserve">Silent churn — no professional content or career tools</w:t>
                  </w:r>
                </w:p>
              </w:tc>
            </w:tr>
          </w:tbl>
          <w:p>
            <w:pPr>
              <w:spacing w:after="20" w:before="20"/>
            </w:pPr>
          </w:p>
          <w:tbl>
            <w:tblPr>
              <w:tblW w:type="dxa" w:w="5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0"/>
              <w:gridCol w:w="4840"/>
            </w:tblGrid>
            <w:tr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A02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2B3C"/>
                      <w:sz w:val="18"/>
                      <w:szCs w:val="18"/>
                    </w:rPr>
                    <w:t xml:space="preserve">02</w:t>
                  </w:r>
                </w:p>
              </w:tc>
              <w:tc>
                <w:tcPr>
                  <w:tcW w:type="dxa" w:w="4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4057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STRATEGIC APPROACH</w:t>
                  </w:r>
                </w:p>
              </w:tc>
            </w:tr>
          </w:tbl>
          <w:p>
            <w:pPr>
              <w:spacing w:after="10" w:before="10"/>
            </w:pPr>
          </w:p>
          <w:tbl>
            <w:tblPr>
              <w:tblW w:type="dxa" w:w="5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360"/>
            </w:tblGrid>
            <w:tr>
              <w:tc>
                <w:tcPr>
                  <w:tcW w:type="dxa" w:w="5360"/>
                  <w:tcBorders>
                    <w:top w:val="single" w:color="D5D8DC" w:sz="1"/>
                    <w:left w:val="single" w:color="D5D8DC" w:sz="1"/>
                    <w:bottom w:val="single" w:color="D5D8DC" w:sz="1"/>
                    <w:right w:val="single" w:color="D5D8D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5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4F8A"/>
                      <w:sz w:val="17"/>
                      <w:szCs w:val="17"/>
                    </w:rPr>
                    <w:t xml:space="preserve">Communication Confidence Ecosystem:</w:t>
                  </w:r>
                </w:p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55555"/>
                      <w:sz w:val="16"/>
                      <w:szCs w:val="16"/>
                    </w:rPr>
                    <w:t xml:space="preserve">Repositioning: English learning app → Career-transformation platform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7"/>
                      <w:szCs w:val="17"/>
                    </w:rPr>
                    <w:t xml:space="preserve">Emotional AI Coach:  </w:t>
                  </w:r>
                  <w:r>
                    <w:rPr>
                      <w:rFonts w:ascii="Arial" w:cs="Arial" w:eastAsia="Arial" w:hAnsi="Arial"/>
                      <w:color w:val="1A1A2E"/>
                      <w:sz w:val="17"/>
                      <w:szCs w:val="17"/>
                    </w:rPr>
                    <w:t xml:space="preserve">Detects anxiety, builds speaking confidence from day 1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7"/>
                      <w:szCs w:val="17"/>
                    </w:rPr>
                    <w:t xml:space="preserve">Peer Community Network:  </w:t>
                  </w:r>
                  <w:r>
                    <w:rPr>
                      <w:rFonts w:ascii="Arial" w:cs="Arial" w:eastAsia="Arial" w:hAnsi="Arial"/>
                      <w:color w:val="1A1A2E"/>
                      <w:sz w:val="17"/>
                      <w:szCs w:val="17"/>
                    </w:rPr>
                    <w:t xml:space="preserve">Speaking clubs, weekly challenges, social accountability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7"/>
                      <w:szCs w:val="17"/>
                    </w:rPr>
                    <w:t xml:space="preserve">AI Career Sim World:  </w:t>
                  </w:r>
                  <w:r>
                    <w:rPr>
                      <w:rFonts w:ascii="Arial" w:cs="Arial" w:eastAsia="Arial" w:hAnsi="Arial"/>
                      <w:color w:val="1A1A2E"/>
                      <w:sz w:val="17"/>
                      <w:szCs w:val="17"/>
                    </w:rPr>
                    <w:t xml:space="preserve">Interview, workplace &amp; client communication practice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7"/>
                      <w:szCs w:val="17"/>
                    </w:rPr>
                    <w:t xml:space="preserve">Professional Suite:  </w:t>
                  </w:r>
                  <w:r>
                    <w:rPr>
                      <w:rFonts w:ascii="Arial" w:cs="Arial" w:eastAsia="Arial" w:hAnsi="Arial"/>
                      <w:color w:val="1A1A2E"/>
                      <w:sz w:val="17"/>
                      <w:szCs w:val="17"/>
                    </w:rPr>
                    <w:t xml:space="preserve">Industry-specific content — IT, banking, retail verticals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7"/>
                      <w:szCs w:val="17"/>
                    </w:rPr>
                    <w:t xml:space="preserve">Regional Identity:  </w:t>
                  </w:r>
                  <w:r>
                    <w:rPr>
                      <w:rFonts w:ascii="Arial" w:cs="Arial" w:eastAsia="Arial" w:hAnsi="Arial"/>
                      <w:color w:val="1A1A2E"/>
                      <w:sz w:val="17"/>
                      <w:szCs w:val="17"/>
                    </w:rPr>
                    <w:t xml:space="preserve">10 Indian languages; Tier 2/3 aspiration-first marketing</w:t>
                  </w:r>
                </w:p>
              </w:tc>
            </w:tr>
          </w:tbl>
          <w:p>
            <w:pPr>
              <w:spacing w:after="20" w:before="20"/>
            </w:pPr>
          </w:p>
          <w:tbl>
            <w:tblPr>
              <w:tblW w:type="dxa" w:w="5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0"/>
              <w:gridCol w:w="4840"/>
            </w:tblGrid>
            <w:tr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A02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2B3C"/>
                      <w:sz w:val="18"/>
                      <w:szCs w:val="18"/>
                    </w:rPr>
                    <w:t xml:space="preserve">03</w:t>
                  </w:r>
                </w:p>
              </w:tc>
              <w:tc>
                <w:tcPr>
                  <w:tcW w:type="dxa" w:w="4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4057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KEY FINDINGS</w:t>
                  </w:r>
                </w:p>
              </w:tc>
            </w:tr>
          </w:tbl>
          <w:p>
            <w:pPr>
              <w:spacing w:after="10" w:before="10"/>
            </w:pPr>
          </w:p>
          <w:tbl>
            <w:tblPr>
              <w:tblW w:type="dxa" w:w="5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360"/>
            </w:tblGrid>
            <w:tr>
              <w:tc>
                <w:tcPr>
                  <w:tcW w:type="dxa" w:w="5360"/>
                  <w:tcBorders>
                    <w:top w:val="single" w:color="D5D8DC" w:sz="1"/>
                    <w:left w:val="single" w:color="D5D8DC" w:sz="1"/>
                    <w:bottom w:val="single" w:color="D5D8DC" w:sz="1"/>
                    <w:right w:val="single" w:color="D5D8D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7"/>
                      <w:szCs w:val="17"/>
                    </w:rPr>
                    <w:t xml:space="preserve">CAC Rising:  </w:t>
                  </w:r>
                  <w:r>
                    <w:rPr>
                      <w:rFonts w:ascii="Arial" w:cs="Arial" w:eastAsia="Arial" w:hAnsi="Arial"/>
                      <w:color w:val="1A1A2E"/>
                      <w:sz w:val="17"/>
                      <w:szCs w:val="17"/>
                    </w:rPr>
                    <w:t xml:space="preserve">Paid ads = 80% of acquisition — unsustainable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7"/>
                      <w:szCs w:val="17"/>
                    </w:rPr>
                    <w:t xml:space="preserve">LTV Gap:  </w:t>
                  </w:r>
                  <w:r>
                    <w:rPr>
                      <w:rFonts w:ascii="Arial" w:cs="Arial" w:eastAsia="Arial" w:hAnsi="Arial"/>
                      <w:color w:val="1A1A2E"/>
                      <w:sz w:val="17"/>
                      <w:szCs w:val="17"/>
                    </w:rPr>
                    <w:t xml:space="preserve">Avg LTV Rs.400–500 vs CAC Rs.1,200 — loss per user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7"/>
                      <w:szCs w:val="17"/>
                    </w:rPr>
                    <w:t xml:space="preserve">Trust Crisis:  </w:t>
                  </w:r>
                  <w:r>
                    <w:rPr>
                      <w:rFonts w:ascii="Arial" w:cs="Arial" w:eastAsia="Arial" w:hAnsi="Arial"/>
                      <w:color w:val="1A1A2E"/>
                      <w:sz w:val="17"/>
                      <w:szCs w:val="17"/>
                    </w:rPr>
                    <w:t xml:space="preserve">Unauthorised UPI deductions — #1 urgent brand risk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7"/>
                      <w:szCs w:val="17"/>
                    </w:rPr>
                    <w:t xml:space="preserve">No Community:  </w:t>
                  </w:r>
                  <w:r>
                    <w:rPr>
                      <w:rFonts w:ascii="Arial" w:cs="Arial" w:eastAsia="Arial" w:hAnsi="Arial"/>
                      <w:color w:val="1A1A2E"/>
                      <w:sz w:val="17"/>
                      <w:szCs w:val="17"/>
                    </w:rPr>
                    <w:t xml:space="preserve">Zero peer features — intermediates have no reason to stay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7"/>
                      <w:szCs w:val="17"/>
                    </w:rPr>
                    <w:t xml:space="preserve">Flat Pricing:  </w:t>
                  </w:r>
                  <w:r>
                    <w:rPr>
                      <w:rFonts w:ascii="Arial" w:cs="Arial" w:eastAsia="Arial" w:hAnsi="Arial"/>
                      <w:color w:val="1A1A2E"/>
                      <w:sz w:val="17"/>
                      <w:szCs w:val="17"/>
                    </w:rPr>
                    <w:t xml:space="preserve">No upsell path; advanced users under-monetised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7"/>
                      <w:szCs w:val="17"/>
                    </w:rPr>
                    <w:t xml:space="preserve">B2B Untapped:  </w:t>
                  </w:r>
                  <w:r>
                    <w:rPr>
                      <w:rFonts w:ascii="Arial" w:cs="Arial" w:eastAsia="Arial" w:hAnsi="Arial"/>
                      <w:color w:val="1A1A2E"/>
                      <w:sz w:val="17"/>
                      <w:szCs w:val="17"/>
                    </w:rPr>
                    <w:t xml:space="preserve">College &amp; corp deals = Rs.50K–2L each — untouched</w:t>
                  </w:r>
                </w:p>
              </w:tc>
            </w:tr>
          </w:tbl>
          <w:p/>
        </w:tc>
        <w:tc>
          <w:tcPr>
            <w:tcW w:type="dxa" w:w="5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0"/>
              <w:gridCol w:w="5160"/>
            </w:tblGrid>
            <w:tr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A02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2B3C"/>
                      <w:sz w:val="18"/>
                      <w:szCs w:val="18"/>
                    </w:rPr>
                    <w:t xml:space="preserve">04</w:t>
                  </w:r>
                </w:p>
              </w:tc>
              <w:tc>
                <w:tcPr>
                  <w:tcW w:type="dxa" w:w="5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4057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IMPLEMENTATION ROADMAP</w:t>
                  </w:r>
                </w:p>
              </w:tc>
            </w:tr>
          </w:tbl>
          <w:p>
            <w:pPr>
              <w:spacing w:after="10" w:before="10"/>
            </w:pPr>
          </w:p>
          <w:tbl>
            <w:tblPr>
              <w:tblW w:type="dxa" w:w="5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80"/>
            </w:tblGrid>
            <w:tr>
              <w:tc>
                <w:tcPr>
                  <w:tcW w:type="dxa" w:w="5680"/>
                  <w:tcBorders>
                    <w:top w:val="single" w:color="1A6B3C" w:sz="4"/>
                    <w:left w:val="single" w:color="1A6B3C" w:sz="8"/>
                    <w:bottom w:val="single" w:color="D5D8DC" w:sz="1"/>
                    <w:right w:val="single" w:color="D5D8DC" w:sz="1"/>
                  </w:tcBorders>
                  <w:shd w:fill="F8F9FA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6B3C"/>
                      <w:sz w:val="17"/>
                      <w:szCs w:val="17"/>
                    </w:rPr>
                    <w:t xml:space="preserve">Phase 1  </w:t>
                  </w:r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Months 0–12</w:t>
                  </w:r>
                </w:p>
                <w:p>
                  <w:pPr>
                    <w:spacing w:after="5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6B3C"/>
                      <w:sz w:val="17"/>
                      <w:szCs w:val="17"/>
                    </w:rPr>
                    <w:t xml:space="preserve">Fx. Build &amp; Retain</w:t>
                  </w:r>
                </w:p>
                <w:tbl>
                  <w:tblPr>
                    <w:tblW w:type="dxa" w:w="53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90"/>
                    <w:gridCol w:w="2690"/>
                  </w:tblGrid>
                  <w:tr>
                    <w:tc>
                      <w:tcPr>
                        <w:tcW w:type="dxa" w:w="269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45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1A1A2E"/>
                            <w:sz w:val="17"/>
                            <w:szCs w:val="17"/>
                          </w:rPr>
                          <w:t xml:space="preserve"/>
                        </w:r>
                        <w:r>
                          <w:rPr>
                            <w:rFonts w:ascii="Arial" w:cs="Arial" w:eastAsia="Arial" w:hAnsi="Arial"/>
                            <w:color w:val="1A1A2E"/>
                            <w:sz w:val="17"/>
                            <w:szCs w:val="17"/>
                          </w:rPr>
                          <w:t xml:space="preserve">Fix billing trust crisis</w:t>
                        </w:r>
                      </w:p>
                      <w:p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45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1A1A2E"/>
                            <w:sz w:val="17"/>
                            <w:szCs w:val="17"/>
                          </w:rPr>
                          <w:t xml:space="preserve"/>
                        </w:r>
                        <w:r>
                          <w:rPr>
                            <w:rFonts w:ascii="Arial" w:cs="Arial" w:eastAsia="Arial" w:hAnsi="Arial"/>
                            <w:color w:val="1A1A2E"/>
                            <w:sz w:val="17"/>
                            <w:szCs w:val="17"/>
                          </w:rPr>
                          <w:t xml:space="preserve">Redesign 14-day onboarding</w:t>
                        </w:r>
                      </w:p>
                    </w:tc>
                    <w:tc>
                      <w:tcPr>
                        <w:tcW w:type="dxa" w:w="269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45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1A1A2E"/>
                            <w:sz w:val="17"/>
                            <w:szCs w:val="17"/>
                          </w:rPr>
                          <w:t xml:space="preserve"/>
                        </w:r>
                        <w:r>
                          <w:rPr>
                            <w:rFonts w:ascii="Arial" w:cs="Arial" w:eastAsia="Arial" w:hAnsi="Arial"/>
                            <w:color w:val="1A1A2E"/>
                            <w:sz w:val="17"/>
                            <w:szCs w:val="17"/>
                          </w:rPr>
                          <w:t xml:space="preserve">Launch peer community</w:t>
                        </w:r>
                      </w:p>
                      <w:p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45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1A1A2E"/>
                            <w:sz w:val="17"/>
                            <w:szCs w:val="17"/>
                          </w:rPr>
                          <w:t xml:space="preserve"/>
                        </w:r>
                        <w:r>
                          <w:rPr>
                            <w:rFonts w:ascii="Arial" w:cs="Arial" w:eastAsia="Arial" w:hAnsi="Arial"/>
                            <w:color w:val="1A1A2E"/>
                            <w:sz w:val="17"/>
                            <w:szCs w:val="17"/>
                          </w:rPr>
                          <w:t xml:space="preserve">Activate referral program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10" w:before="10"/>
            </w:pPr>
          </w:p>
          <w:tbl>
            <w:tblPr>
              <w:tblW w:type="dxa" w:w="5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80"/>
            </w:tblGrid>
            <w:tr>
              <w:tc>
                <w:tcPr>
                  <w:tcW w:type="dxa" w:w="5680"/>
                  <w:tcBorders>
                    <w:top w:val="single" w:color="C47000" w:sz="4"/>
                    <w:left w:val="single" w:color="C47000" w:sz="8"/>
                    <w:bottom w:val="single" w:color="D5D8DC" w:sz="1"/>
                    <w:right w:val="single" w:color="D5D8DC" w:sz="1"/>
                  </w:tcBorders>
                  <w:shd w:fill="F8F9FA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47000"/>
                      <w:sz w:val="17"/>
                      <w:szCs w:val="17"/>
                    </w:rPr>
                    <w:t xml:space="preserve">Phase 2  </w:t>
                  </w:r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Months 12–24</w:t>
                  </w:r>
                </w:p>
                <w:p>
                  <w:pPr>
                    <w:spacing w:after="5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47000"/>
                      <w:sz w:val="17"/>
                      <w:szCs w:val="17"/>
                    </w:rPr>
                    <w:t xml:space="preserve">Scale &amp; Diversify</w:t>
                  </w:r>
                </w:p>
                <w:tbl>
                  <w:tblPr>
                    <w:tblW w:type="dxa" w:w="53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90"/>
                    <w:gridCol w:w="2690"/>
                  </w:tblGrid>
                  <w:tr>
                    <w:tc>
                      <w:tcPr>
                        <w:tcW w:type="dxa" w:w="269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45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1A1A2E"/>
                            <w:sz w:val="17"/>
                            <w:szCs w:val="17"/>
                          </w:rPr>
                          <w:t xml:space="preserve"/>
                        </w:r>
                        <w:r>
                          <w:rPr>
                            <w:rFonts w:ascii="Arial" w:cs="Arial" w:eastAsia="Arial" w:hAnsi="Arial"/>
                            <w:color w:val="1A1A2E"/>
                            <w:sz w:val="17"/>
                            <w:szCs w:val="17"/>
                          </w:rPr>
                          <w:t xml:space="preserve">AI Career Simulation World</w:t>
                        </w:r>
                      </w:p>
                      <w:p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45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1A1A2E"/>
                            <w:sz w:val="17"/>
                            <w:szCs w:val="17"/>
                          </w:rPr>
                          <w:t xml:space="preserve"/>
                        </w:r>
                        <w:r>
                          <w:rPr>
                            <w:rFonts w:ascii="Arial" w:cs="Arial" w:eastAsia="Arial" w:hAnsi="Arial"/>
                            <w:color w:val="1A1A2E"/>
                            <w:sz w:val="17"/>
                            <w:szCs w:val="17"/>
                          </w:rPr>
                          <w:t xml:space="preserve">3-tier pricing structure</w:t>
                        </w:r>
                      </w:p>
                    </w:tc>
                    <w:tc>
                      <w:tcPr>
                        <w:tcW w:type="dxa" w:w="269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45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1A1A2E"/>
                            <w:sz w:val="17"/>
                            <w:szCs w:val="17"/>
                          </w:rPr>
                          <w:t xml:space="preserve"/>
                        </w:r>
                        <w:r>
                          <w:rPr>
                            <w:rFonts w:ascii="Arial" w:cs="Arial" w:eastAsia="Arial" w:hAnsi="Arial"/>
                            <w:color w:val="1A1A2E"/>
                            <w:sz w:val="17"/>
                            <w:szCs w:val="17"/>
                          </w:rPr>
                          <w:t xml:space="preserve">Open B2B channel</w:t>
                        </w:r>
                      </w:p>
                      <w:p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45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1A1A2E"/>
                            <w:sz w:val="17"/>
                            <w:szCs w:val="17"/>
                          </w:rPr>
                          <w:t xml:space="preserve"/>
                        </w:r>
                        <w:r>
                          <w:rPr>
                            <w:rFonts w:ascii="Arial" w:cs="Arial" w:eastAsia="Arial" w:hAnsi="Arial"/>
                            <w:color w:val="1A1A2E"/>
                            <w:sz w:val="17"/>
                            <w:szCs w:val="17"/>
                          </w:rPr>
                          <w:t xml:space="preserve">Emotional AI Coach v2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10" w:before="10"/>
            </w:pPr>
          </w:p>
          <w:tbl>
            <w:tblPr>
              <w:tblW w:type="dxa" w:w="5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80"/>
            </w:tblGrid>
            <w:tr>
              <w:tc>
                <w:tcPr>
                  <w:tcW w:type="dxa" w:w="5680"/>
                  <w:tcBorders>
                    <w:top w:val="single" w:color="1B4F8A" w:sz="4"/>
                    <w:left w:val="single" w:color="1B4F8A" w:sz="8"/>
                    <w:bottom w:val="single" w:color="D5D8DC" w:sz="1"/>
                    <w:right w:val="single" w:color="D5D8DC" w:sz="1"/>
                  </w:tcBorders>
                  <w:shd w:fill="F8F9FA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17"/>
                      <w:szCs w:val="17"/>
                    </w:rPr>
                    <w:t xml:space="preserve">Phase 3  </w:t>
                  </w:r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Months 24–36</w:t>
                  </w:r>
                </w:p>
                <w:p>
                  <w:pPr>
                    <w:spacing w:after="5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4F8A"/>
                      <w:sz w:val="17"/>
                      <w:szCs w:val="17"/>
                    </w:rPr>
                    <w:t xml:space="preserve">Lead &amp; Expand</w:t>
                  </w:r>
                </w:p>
                <w:tbl>
                  <w:tblPr>
                    <w:tblW w:type="dxa" w:w="53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90"/>
                    <w:gridCol w:w="2690"/>
                  </w:tblGrid>
                  <w:tr>
                    <w:tc>
                      <w:tcPr>
                        <w:tcW w:type="dxa" w:w="269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45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1A1A2E"/>
                            <w:sz w:val="17"/>
                            <w:szCs w:val="17"/>
                          </w:rPr>
                          <w:t xml:space="preserve"/>
                        </w:r>
                        <w:r>
                          <w:rPr>
                            <w:rFonts w:ascii="Arial" w:cs="Arial" w:eastAsia="Arial" w:hAnsi="Arial"/>
                            <w:color w:val="1A1A2E"/>
                            <w:sz w:val="17"/>
                            <w:szCs w:val="17"/>
                          </w:rPr>
                          <w:t xml:space="preserve">Deploy 10 language markets</w:t>
                        </w:r>
                      </w:p>
                      <w:p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45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1A1A2E"/>
                            <w:sz w:val="17"/>
                            <w:szCs w:val="17"/>
                          </w:rPr>
                          <w:t xml:space="preserve"/>
                        </w:r>
                        <w:r>
                          <w:rPr>
                            <w:rFonts w:ascii="Arial" w:cs="Arial" w:eastAsia="Arial" w:hAnsi="Arial"/>
                            <w:color w:val="1A1A2E"/>
                            <w:sz w:val="17"/>
                            <w:szCs w:val="17"/>
                          </w:rPr>
                          <w:t xml:space="preserve">10+ industry verticals</w:t>
                        </w:r>
                      </w:p>
                    </w:tc>
                    <w:tc>
                      <w:tcPr>
                        <w:tcW w:type="dxa" w:w="269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</w:tcPr>
                      <w:p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45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1A1A2E"/>
                            <w:sz w:val="17"/>
                            <w:szCs w:val="17"/>
                          </w:rPr>
                          <w:t xml:space="preserve"/>
                        </w:r>
                        <w:r>
                          <w:rPr>
                            <w:rFonts w:ascii="Arial" w:cs="Arial" w:eastAsia="Arial" w:hAnsi="Arial"/>
                            <w:color w:val="1A1A2E"/>
                            <w:sz w:val="17"/>
                            <w:szCs w:val="17"/>
                          </w:rPr>
                          <w:t xml:space="preserve">Govt skilling partnership</w:t>
                        </w:r>
                      </w:p>
                      <w:p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45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1A1A2E"/>
                            <w:sz w:val="17"/>
                            <w:szCs w:val="17"/>
                          </w:rPr>
                          <w:t xml:space="preserve"/>
                        </w:r>
                        <w:r>
                          <w:rPr>
                            <w:rFonts w:ascii="Arial" w:cs="Arial" w:eastAsia="Arial" w:hAnsi="Arial"/>
                            <w:color w:val="1A1A2E"/>
                            <w:sz w:val="17"/>
                            <w:szCs w:val="17"/>
                          </w:rPr>
                          <w:t xml:space="preserve">Series B fundraise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15" w:before="15"/>
            </w:pPr>
          </w:p>
          <w:tbl>
            <w:tblPr>
              <w:tblW w:type="dxa" w:w="5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0"/>
              <w:gridCol w:w="5160"/>
            </w:tblGrid>
            <w:tr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A02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2B3C"/>
                      <w:sz w:val="18"/>
                      <w:szCs w:val="18"/>
                    </w:rPr>
                    <w:t xml:space="preserve">05</w:t>
                  </w:r>
                </w:p>
              </w:tc>
              <w:tc>
                <w:tcPr>
                  <w:tcW w:type="dxa" w:w="5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4057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TOP RECOMMENDATIONS</w:t>
                  </w:r>
                </w:p>
              </w:tc>
            </w:tr>
          </w:tbl>
          <w:p>
            <w:pPr>
              <w:spacing w:after="10" w:before="10"/>
            </w:pPr>
          </w:p>
          <w:tbl>
            <w:tblPr>
              <w:tblW w:type="dxa" w:w="5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80"/>
            </w:tblGrid>
            <w:tr>
              <w:tc>
                <w:tcPr>
                  <w:tcW w:type="dxa" w:w="5680"/>
                  <w:tcBorders>
                    <w:top w:val="single" w:color="D5D8DC" w:sz="1"/>
                    <w:left w:val="single" w:color="D5D8DC" w:sz="1"/>
                    <w:bottom w:val="single" w:color="D5D8DC" w:sz="1"/>
                    <w:right w:val="single" w:color="D5D8D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2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17"/>
                      <w:szCs w:val="17"/>
                    </w:rPr>
                    <w:t xml:space="preserve">1. Fix billing NOW:  </w:t>
                  </w:r>
                  <w:r>
                    <w:rPr>
                      <w:rFonts w:ascii="Arial" w:cs="Arial" w:eastAsia="Arial" w:hAnsi="Arial"/>
                      <w:color w:val="1A1A2E"/>
                      <w:sz w:val="17"/>
                      <w:szCs w:val="17"/>
                    </w:rPr>
                    <w:t xml:space="preserve">Transparent renewal alerts + 1-tap cancel — non-negotiable</w:t>
                  </w:r>
                </w:p>
                <w:p>
                  <w:pPr>
                    <w:spacing w:after="2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17"/>
                      <w:szCs w:val="17"/>
                    </w:rPr>
                    <w:t xml:space="preserve">2. Redesign onboarding:  </w:t>
                  </w:r>
                  <w:r>
                    <w:rPr>
                      <w:rFonts w:ascii="Arial" w:cs="Arial" w:eastAsia="Arial" w:hAnsi="Arial"/>
                      <w:color w:val="1A1A2E"/>
                      <w:sz w:val="17"/>
                      <w:szCs w:val="17"/>
                    </w:rPr>
                    <w:t xml:space="preserve">Emotional win in first 5 min; value-first subscription prompt</w:t>
                  </w:r>
                </w:p>
                <w:p>
                  <w:pPr>
                    <w:spacing w:after="2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17"/>
                      <w:szCs w:val="17"/>
                    </w:rPr>
                    <w:t xml:space="preserve">3. Launch community:  </w:t>
                  </w:r>
                  <w:r>
                    <w:rPr>
                      <w:rFonts w:ascii="Arial" w:cs="Arial" w:eastAsia="Arial" w:hAnsi="Arial"/>
                      <w:color w:val="1A1A2E"/>
                      <w:sz w:val="17"/>
                      <w:szCs w:val="17"/>
                    </w:rPr>
                    <w:t xml:space="preserve">Seed 200–500 founding members; weekly speaking rooms</w:t>
                  </w:r>
                </w:p>
                <w:p>
                  <w:pPr>
                    <w:spacing w:after="2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17"/>
                      <w:szCs w:val="17"/>
                    </w:rPr>
                    <w:t xml:space="preserve">4. 3-tier pricing:  </w:t>
                  </w:r>
                  <w:r>
                    <w:rPr>
                      <w:rFonts w:ascii="Arial" w:cs="Arial" w:eastAsia="Arial" w:hAnsi="Arial"/>
                      <w:color w:val="1A1A2E"/>
                      <w:sz w:val="17"/>
                      <w:szCs w:val="17"/>
                    </w:rPr>
                    <w:t xml:space="preserve">Rs.149 / Rs.299 / Rs.599 with milestone upsell triggers</w:t>
                  </w:r>
                </w:p>
                <w:p>
                  <w:pPr>
                    <w:spacing w:after="2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17"/>
                      <w:szCs w:val="17"/>
                    </w:rPr>
                    <w:t xml:space="preserve">5. Open B2B channel:  </w:t>
                  </w:r>
                  <w:r>
                    <w:rPr>
                      <w:rFonts w:ascii="Arial" w:cs="Arial" w:eastAsia="Arial" w:hAnsi="Arial"/>
                      <w:color w:val="1A1A2E"/>
                      <w:sz w:val="17"/>
                      <w:szCs w:val="17"/>
                    </w:rPr>
                    <w:t xml:space="preserve">Pilot 3–5 college partnerships in Phase 1 at minimal cost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17"/>
                      <w:szCs w:val="17"/>
                    </w:rPr>
                    <w:t xml:space="preserve">6. Success marketing:  </w:t>
                  </w:r>
                  <w:r>
                    <w:rPr>
                      <w:rFonts w:ascii="Arial" w:cs="Arial" w:eastAsia="Arial" w:hAnsi="Arial"/>
                      <w:color w:val="1A1A2E"/>
                      <w:sz w:val="17"/>
                      <w:szCs w:val="17"/>
                    </w:rPr>
                    <w:t xml:space="preserve">Regional success stories drive organic referrals near-zero CAC</w:t>
                  </w:r>
                </w:p>
              </w:tc>
            </w:tr>
          </w:tbl>
          <w:p/>
        </w:tc>
      </w:tr>
    </w:tbl>
    <w:p>
      <w:pPr>
        <w:spacing w:after="15" w:before="15"/>
      </w:pP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052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02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06</w:t>
            </w:r>
          </w:p>
        </w:tc>
        <w:tc>
          <w:tcPr>
            <w:tcW w:type="dxa" w:w="10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BUSINESS IMPACT</w:t>
            </w:r>
          </w:p>
        </w:tc>
      </w:tr>
    </w:tbl>
    <w:p>
      <w:pPr>
        <w:spacing w:after="10" w:before="10"/>
      </w:pP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760"/>
        <w:gridCol w:w="2760"/>
        <w:gridCol w:w="2760"/>
      </w:tblGrid>
      <w:tr>
        <w:tc>
          <w:tcPr>
            <w:tcW w:type="dxa" w:w="2760"/>
            <w:tcBorders>
              <w:top w:val="single" w:color="1A6B3C" w:sz="4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5"/>
                <w:szCs w:val="15"/>
              </w:rPr>
              <w:t xml:space="preserve">RETENTION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3.5 mo  →  7–9 mo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5"/>
                <w:szCs w:val="15"/>
              </w:rPr>
              <w:t xml:space="preserve">Target all user levels</w:t>
            </w:r>
          </w:p>
        </w:tc>
        <w:tc>
          <w:tcPr>
            <w:tcW w:type="dxa" w:w="2760"/>
            <w:tcBorders>
              <w:top w:val="single" w:color="C47000" w:sz="4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000"/>
                <w:sz w:val="15"/>
                <w:szCs w:val="15"/>
              </w:rPr>
              <w:t xml:space="preserve">LTV PER USER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Rs.400  →  Rs.2,500+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5"/>
                <w:szCs w:val="15"/>
              </w:rPr>
              <w:t xml:space="preserve">Post-strategy 24-month target</w:t>
            </w:r>
          </w:p>
        </w:tc>
        <w:tc>
          <w:tcPr>
            <w:tcW w:type="dxa" w:w="2760"/>
            <w:tcBorders>
              <w:top w:val="single" w:color="E8A020" w:sz="4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70D"/>
                <w:sz w:val="15"/>
                <w:szCs w:val="15"/>
              </w:rPr>
              <w:t xml:space="preserve">REVENUE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Rs.8.93Cr  →  Rs.45Cr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5"/>
                <w:szCs w:val="15"/>
              </w:rPr>
              <w:t xml:space="preserve">2025 confirmed → 2028 target</w:t>
            </w:r>
          </w:p>
        </w:tc>
        <w:tc>
          <w:tcPr>
            <w:tcW w:type="dxa" w:w="2760"/>
            <w:tcBorders>
              <w:top w:val="single" w:color="1B4F8A" w:sz="4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15"/>
                <w:szCs w:val="15"/>
              </w:rPr>
              <w:t xml:space="preserve">CAC REDUCTION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−25–30% lower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5"/>
                <w:szCs w:val="15"/>
              </w:rPr>
              <w:t xml:space="preserve">Via referral &amp; community growth</w:t>
            </w:r>
          </w:p>
        </w:tc>
      </w:tr>
    </w:tbl>
    <w:p>
      <w:pPr>
        <w:spacing w:after="15" w:before="15"/>
      </w:pP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800"/>
        <w:gridCol w:w="1700"/>
        <w:gridCol w:w="1500"/>
        <w:gridCol w:w="1600"/>
        <w:gridCol w:w="14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Business Strategy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Market Analysis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Competitive Research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Retention Systems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7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CAC/LTV Modelling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Product Thinking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UX Analysis</w:t>
            </w:r>
          </w:p>
        </w:tc>
      </w:tr>
    </w:tbl>
    <w:p>
      <w:pPr>
        <w:spacing w:after="10" w:before="10"/>
      </w:pP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3040"/>
      </w:tblGrid>
      <w:tr>
        <w:tc>
          <w:tcPr>
            <w:tcW w:type="dxa" w:w="8000"/>
            <w:tcBorders>
              <w:top w:val="single" w:color="E8A020" w:sz="4"/>
              <w:left w:val="none" w:color="FFFFFF" w:sz="0"/>
              <w:bottom w:val="none" w:color="FFFFFF" w:sz="0"/>
              <w:right w:val="none" w:color="FFFFFF" w:sz="0"/>
            </w:tcBorders>
            <w:shd w:fill="1A2B3C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9DB4C8"/>
                <w:sz w:val="15"/>
                <w:szCs w:val="15"/>
              </w:rPr>
              <w:t xml:space="preserve">Supernova AI — Strategic Growth &amp; Retention Analysis  |  Independent Business Strategy Project  |  May 2026</w:t>
            </w:r>
          </w:p>
          <w:p>
            <w:r>
              <w:rPr>
                <w:rFonts w:ascii="Arial" w:cs="Arial" w:eastAsia="Arial" w:hAnsi="Arial"/>
                <w:i/>
                <w:iCs/>
                <w:color w:val="9DB4C8"/>
                <w:sz w:val="15"/>
                <w:szCs w:val="15"/>
              </w:rPr>
              <w:t xml:space="preserve">Full 17-section report with 25 data tables and 5 charts available on request.  |  Prepared by: Aafreen Fathima. H</w:t>
            </w:r>
          </w:p>
        </w:tc>
        <w:tc>
          <w:tcPr>
            <w:tcW w:type="dxa" w:w="3040"/>
            <w:tcBorders>
              <w:top w:val="single" w:color="E8A020" w:sz="4"/>
              <w:left w:val="none" w:color="FFFFFF" w:sz="0"/>
              <w:bottom w:val="none" w:color="FFFFFF" w:sz="0"/>
              <w:right w:val="none" w:color="FFFFFF" w:sz="0"/>
            </w:tcBorders>
            <w:shd w:fill="1A2B3C" w:val="clear"/>
            <w:tcMar>
              <w:top w:type="dxa" w:w="70"/>
              <w:left w:type="dxa" w:w="120"/>
              <w:bottom w:type="dxa" w:w="7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DB4C8"/>
                <w:sz w:val="15"/>
                <w:szCs w:val="15"/>
              </w:rPr>
              <w:t xml:space="preserve">Page 1 of 1</w:t>
            </w:r>
          </w:p>
        </w:tc>
      </w:tr>
    </w:tbl>
    <w:sectPr>
      <w:pgSz w:w="12240" w:h="15840" w:orient="portrait"/>
      <w:pgMar w:top="420" w:right="600" w:bottom="42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2026-05-25T10:34:35.056Z</dcterms:created>
  <dcterms:modified xsi:type="dcterms:W3CDTF">2026-05-25T10:34:35.057Z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