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10553" w:rsidRPr="00210553" w:rsidTr="002105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0553" w:rsidRPr="00210553" w:rsidRDefault="00210553" w:rsidP="00210553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bookmarkStart w:id="0" w:name="natural"/>
            <w:bookmarkStart w:id="1" w:name="_GoBack" w:colFirst="0" w:colLast="0"/>
            <w:r w:rsidRPr="00210553">
              <w:rPr>
                <w:rFonts w:ascii="Verdana" w:eastAsia="Times New Roman" w:hAnsi="Verdana" w:cs="Times New Roman"/>
                <w:b/>
                <w:bCs/>
                <w:color w:val="117A72"/>
                <w:shd w:val="clear" w:color="auto" w:fill="ECF0B7"/>
              </w:rPr>
              <w:t>INDRODA NATURE PARK :</w:t>
            </w:r>
            <w:bookmarkEnd w:id="0"/>
          </w:p>
        </w:tc>
      </w:tr>
      <w:tr w:rsidR="00210553" w:rsidRPr="00210553" w:rsidTr="002105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0553" w:rsidRPr="00210553" w:rsidRDefault="00210553" w:rsidP="00210553">
            <w:pPr>
              <w:spacing w:before="100" w:beforeAutospacing="1" w:after="100" w:afterAutospacing="1" w:line="450" w:lineRule="atLeast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210553">
              <w:rPr>
                <w:rFonts w:ascii="Verdana" w:eastAsia="Times New Roman" w:hAnsi="Verdana" w:cs="Times New Roman"/>
                <w:b/>
                <w:bCs/>
                <w:color w:val="EB6741"/>
                <w:sz w:val="16"/>
                <w:szCs w:val="16"/>
              </w:rPr>
              <w:t>               </w:t>
            </w:r>
            <w:r w:rsidRPr="00210553">
              <w:rPr>
                <w:rFonts w:ascii="Verdana" w:eastAsia="Times New Roman" w:hAnsi="Verdana" w:cs="Times New Roman"/>
                <w:b/>
                <w:bCs/>
                <w:i/>
                <w:iCs/>
                <w:color w:val="EB6741"/>
                <w:sz w:val="16"/>
                <w:szCs w:val="16"/>
              </w:rPr>
              <w:t xml:space="preserve">A nature education and awareness </w:t>
            </w:r>
            <w:proofErr w:type="spellStart"/>
            <w:r w:rsidRPr="00210553">
              <w:rPr>
                <w:rFonts w:ascii="Verdana" w:eastAsia="Times New Roman" w:hAnsi="Verdana" w:cs="Times New Roman"/>
                <w:b/>
                <w:bCs/>
                <w:i/>
                <w:iCs/>
                <w:color w:val="EB6741"/>
                <w:sz w:val="16"/>
                <w:szCs w:val="16"/>
              </w:rPr>
              <w:t>centre</w:t>
            </w:r>
            <w:proofErr w:type="spellEnd"/>
          </w:p>
        </w:tc>
      </w:tr>
      <w:tr w:rsidR="00210553" w:rsidRPr="00210553" w:rsidTr="002105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0553" w:rsidRPr="00210553" w:rsidRDefault="00210553" w:rsidP="002105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1055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Indroda</w:t>
            </w:r>
            <w:proofErr w:type="spellEnd"/>
            <w:r w:rsidRPr="0021055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Nature Park (INP) is spread over an area of about 400 ha in Gandhinagar- the capital city of Gujarat. The Park is divided into two parts on the banks of river Sabarmati. The western part is known as </w:t>
            </w:r>
            <w:proofErr w:type="spellStart"/>
            <w:r w:rsidRPr="0021055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Indroda</w:t>
            </w:r>
            <w:proofErr w:type="spellEnd"/>
            <w:r w:rsidRPr="0021055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Nature Park and the eastern part of the river Sabarmati is known as Wilderness Park.</w:t>
            </w:r>
          </w:p>
          <w:p w:rsidR="00210553" w:rsidRPr="00210553" w:rsidRDefault="00210553" w:rsidP="0021055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10553">
              <w:rPr>
                <w:rFonts w:ascii="Calibri" w:eastAsia="Times New Roman" w:hAnsi="Calibri" w:cs="Times New Roman"/>
                <w:b/>
                <w:bCs/>
                <w:color w:val="008080"/>
                <w:sz w:val="24"/>
                <w:szCs w:val="24"/>
              </w:rPr>
              <w:t xml:space="preserve">The </w:t>
            </w:r>
            <w:proofErr w:type="spellStart"/>
            <w:r w:rsidRPr="00210553">
              <w:rPr>
                <w:rFonts w:ascii="Calibri" w:eastAsia="Times New Roman" w:hAnsi="Calibri" w:cs="Times New Roman"/>
                <w:b/>
                <w:bCs/>
                <w:color w:val="008080"/>
                <w:sz w:val="24"/>
                <w:szCs w:val="24"/>
              </w:rPr>
              <w:t>Indroda</w:t>
            </w:r>
            <w:proofErr w:type="spellEnd"/>
            <w:r w:rsidRPr="00210553">
              <w:rPr>
                <w:rFonts w:ascii="Calibri" w:eastAsia="Times New Roman" w:hAnsi="Calibri" w:cs="Times New Roman"/>
                <w:b/>
                <w:bCs/>
                <w:color w:val="008080"/>
                <w:sz w:val="24"/>
                <w:szCs w:val="24"/>
              </w:rPr>
              <w:t xml:space="preserve"> Nature Park is open for public from Tuesday to Sunday, 0800 </w:t>
            </w:r>
            <w:proofErr w:type="spellStart"/>
            <w:r w:rsidRPr="00210553">
              <w:rPr>
                <w:rFonts w:ascii="Calibri" w:eastAsia="Times New Roman" w:hAnsi="Calibri" w:cs="Times New Roman"/>
                <w:b/>
                <w:bCs/>
                <w:color w:val="008080"/>
                <w:sz w:val="24"/>
                <w:szCs w:val="24"/>
              </w:rPr>
              <w:t>hrs</w:t>
            </w:r>
            <w:proofErr w:type="spellEnd"/>
            <w:r w:rsidRPr="00210553">
              <w:rPr>
                <w:rFonts w:ascii="Calibri" w:eastAsia="Times New Roman" w:hAnsi="Calibri" w:cs="Times New Roman"/>
                <w:b/>
                <w:bCs/>
                <w:color w:val="008080"/>
                <w:sz w:val="24"/>
                <w:szCs w:val="24"/>
              </w:rPr>
              <w:t xml:space="preserve"> to 1800 hrs.</w:t>
            </w:r>
          </w:p>
          <w:p w:rsidR="00210553" w:rsidRPr="00210553" w:rsidRDefault="00210553" w:rsidP="0021055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10553">
              <w:rPr>
                <w:rFonts w:ascii="Cambria" w:eastAsia="Times New Roman" w:hAnsi="Cambria" w:cs="Times New Roman"/>
                <w:b/>
                <w:bCs/>
                <w:color w:val="117A72"/>
                <w:sz w:val="27"/>
                <w:szCs w:val="27"/>
              </w:rPr>
              <w:t xml:space="preserve">Entry Fees of </w:t>
            </w:r>
            <w:proofErr w:type="spellStart"/>
            <w:r w:rsidRPr="00210553">
              <w:rPr>
                <w:rFonts w:ascii="Cambria" w:eastAsia="Times New Roman" w:hAnsi="Cambria" w:cs="Times New Roman"/>
                <w:b/>
                <w:bCs/>
                <w:color w:val="117A72"/>
                <w:sz w:val="27"/>
                <w:szCs w:val="27"/>
              </w:rPr>
              <w:t>Indroda</w:t>
            </w:r>
            <w:proofErr w:type="spellEnd"/>
            <w:r w:rsidRPr="00210553">
              <w:rPr>
                <w:rFonts w:ascii="Cambria" w:eastAsia="Times New Roman" w:hAnsi="Cambria" w:cs="Times New Roman"/>
                <w:b/>
                <w:bCs/>
                <w:color w:val="117A72"/>
                <w:sz w:val="27"/>
                <w:szCs w:val="27"/>
              </w:rPr>
              <w:t xml:space="preserve"> Nature Park</w:t>
            </w:r>
          </w:p>
          <w:p w:rsidR="00210553" w:rsidRPr="00210553" w:rsidRDefault="00210553" w:rsidP="0021055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105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following rates for the </w:t>
            </w:r>
            <w:proofErr w:type="spellStart"/>
            <w:r w:rsidRPr="002105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Indroda</w:t>
            </w:r>
            <w:proofErr w:type="spellEnd"/>
            <w:r w:rsidRPr="002105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Nature Park are with effects from 01/06/2017 vide this office Letter No. EST/1/B-1863-64 Dated 16-05-2017.</w:t>
            </w:r>
          </w:p>
          <w:p w:rsidR="00210553" w:rsidRPr="00210553" w:rsidRDefault="00210553" w:rsidP="0021055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10553">
              <w:rPr>
                <w:rFonts w:ascii="Cambria" w:eastAsia="Times New Roman" w:hAnsi="Cambria" w:cs="Times New Roman"/>
                <w:b/>
                <w:bCs/>
                <w:color w:val="117A72"/>
                <w:sz w:val="24"/>
                <w:szCs w:val="24"/>
              </w:rPr>
              <w:t>Entry Fees for Visitors</w:t>
            </w:r>
          </w:p>
          <w:tbl>
            <w:tblPr>
              <w:tblW w:w="4500" w:type="pct"/>
              <w:jc w:val="center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6223"/>
              <w:gridCol w:w="1093"/>
            </w:tblGrid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Up to 5 Years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Free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5 - 12 Years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15.00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Above 12 years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30.00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Students from Schools / Colleges / Teachers etc.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8.00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Physically disabled 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Free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Institutional / General / Members of GEER Foundation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Free</w:t>
                  </w:r>
                </w:p>
              </w:tc>
            </w:tr>
          </w:tbl>
          <w:p w:rsidR="00210553" w:rsidRPr="00210553" w:rsidRDefault="00210553" w:rsidP="0021055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10553">
              <w:rPr>
                <w:rFonts w:ascii="Cambria" w:eastAsia="Times New Roman" w:hAnsi="Cambria" w:cs="Times New Roman"/>
                <w:b/>
                <w:bCs/>
                <w:color w:val="117A72"/>
                <w:sz w:val="24"/>
                <w:szCs w:val="24"/>
              </w:rPr>
              <w:t>Entry Fees for Vehicles [Up to Parking Place]</w:t>
            </w:r>
          </w:p>
          <w:tbl>
            <w:tblPr>
              <w:tblW w:w="4500" w:type="pct"/>
              <w:jc w:val="center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6223"/>
              <w:gridCol w:w="1093"/>
            </w:tblGrid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Two Wheeler- Scooter / Bike / Moped etc.  per vehicle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15.00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Light M.Vs [Car etc.] per vehicle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30.00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Heavy Vehicle- Luxury Bus, Truck etc. (from schools / colleges etc.)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90.00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Heavy Vehicle- Luxury Bus, Truck etc. - Private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120.00</w:t>
                  </w:r>
                </w:p>
              </w:tc>
            </w:tr>
          </w:tbl>
          <w:p w:rsidR="00210553" w:rsidRPr="00210553" w:rsidRDefault="00210553" w:rsidP="0021055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10553">
              <w:rPr>
                <w:rFonts w:ascii="Cambria" w:eastAsia="Times New Roman" w:hAnsi="Cambria" w:cs="Times New Roman"/>
                <w:b/>
                <w:bCs/>
                <w:color w:val="117A72"/>
                <w:sz w:val="24"/>
                <w:szCs w:val="24"/>
              </w:rPr>
              <w:t>Entry Fees for Film shooting</w:t>
            </w:r>
          </w:p>
          <w:tbl>
            <w:tblPr>
              <w:tblW w:w="4500" w:type="pct"/>
              <w:jc w:val="center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6223"/>
              <w:gridCol w:w="1093"/>
            </w:tblGrid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First Four Hours per Day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6000.00</w:t>
                  </w:r>
                </w:p>
              </w:tc>
            </w:tr>
            <w:tr w:rsidR="00210553" w:rsidRPr="00210553">
              <w:trPr>
                <w:jc w:val="center"/>
              </w:trPr>
              <w:tc>
                <w:tcPr>
                  <w:tcW w:w="6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More than four Hours per Day</w:t>
                  </w:r>
                </w:p>
              </w:tc>
              <w:tc>
                <w:tcPr>
                  <w:tcW w:w="11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0D0A3"/>
                  <w:vAlign w:val="center"/>
                  <w:hideMark/>
                </w:tcPr>
                <w:p w:rsidR="00210553" w:rsidRPr="00210553" w:rsidRDefault="00210553" w:rsidP="00210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0553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12000.00</w:t>
                  </w:r>
                </w:p>
              </w:tc>
            </w:tr>
          </w:tbl>
          <w:p w:rsidR="00210553" w:rsidRPr="00210553" w:rsidRDefault="00210553" w:rsidP="0021055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1055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schools / colleges coming for the educational purposes should submit an official letter with the list of students.</w:t>
            </w:r>
          </w:p>
        </w:tc>
      </w:tr>
      <w:bookmarkEnd w:id="1"/>
    </w:tbl>
    <w:p w:rsidR="00A06309" w:rsidRDefault="00A06309"/>
    <w:sectPr w:rsidR="00A0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4EDE"/>
    <w:rsid w:val="00210553"/>
    <w:rsid w:val="00714EDE"/>
    <w:rsid w:val="00A0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C16A6-9FEE-4191-A458-CD681E8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210553"/>
  </w:style>
  <w:style w:type="paragraph" w:styleId="NormalWeb">
    <w:name w:val="Normal (Web)"/>
    <w:basedOn w:val="Normal"/>
    <w:uiPriority w:val="99"/>
    <w:semiHidden/>
    <w:unhideWhenUsed/>
    <w:rsid w:val="00210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content">
    <w:name w:val="subcontent"/>
    <w:basedOn w:val="DefaultParagraphFont"/>
    <w:rsid w:val="0021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2018-09-18T10:22:00Z</dcterms:created>
  <dcterms:modified xsi:type="dcterms:W3CDTF">2018-09-18T10:23:00Z</dcterms:modified>
</cp:coreProperties>
</file>