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aps/>
          <w:color w:val="555555"/>
          <w:sz w:val="22"/>
          <w:szCs w:val="22"/>
        </w:rPr>
        <w:t xml:space="preserve">B.TECH FINAL YEAR PROJECT PROPOSAL</w:t>
      </w:r>
    </w:p>
    <w:p>
      <w:pPr>
        <w:spacing w:after="300" w:before="300"/>
        <w:jc w:val="center"/>
      </w:pPr>
      <w:r>
        <w:rPr>
          <w:b/>
          <w:bCs/>
          <w:color w:val="1F4E8C"/>
          <w:sz w:val="40"/>
          <w:szCs w:val="40"/>
        </w:rPr>
        <w:t xml:space="preserve">Privacy-Preserving Quantum-Enhanced Agentic Investment Advisor</w:t>
      </w:r>
    </w:p>
    <w:p>
      <w:pPr>
        <w:spacing w:after="700"/>
        <w:jc w:val="center"/>
      </w:pPr>
      <w:r>
        <w:rPr>
          <w:i/>
          <w:iCs/>
          <w:color w:val="12233F"/>
          <w:sz w:val="24"/>
          <w:szCs w:val="24"/>
        </w:rPr>
        <w:t xml:space="preserve">A Multi-Agent Advisory Platform Secured with Post-Quantum Homomorphic Encryption and Quantum-Optimized Portfolio Construction</w:t>
      </w:r>
    </w:p>
    <w:p>
      <w:pPr>
        <w:pBdr>
          <w:top w:val="single" w:color="1F4E8C" w:sz="6" w:space="8"/>
        </w:pBdr>
        <w:spacing w:after="80"/>
        <w:jc w:val="center"/>
      </w:pPr>
    </w:p>
    <w:p>
      <w:pPr>
        <w:spacing w:after="40" w:before="900"/>
        <w:jc w:val="center"/>
      </w:pPr>
      <w:r>
        <w:rPr>
          <w:color w:val="555555"/>
          <w:sz w:val="20"/>
          <w:szCs w:val="20"/>
        </w:rPr>
        <w:t xml:space="preserve">Submitted by</w:t>
      </w:r>
    </w:p>
    <w:p>
      <w:pPr>
        <w:spacing w:after="40"/>
        <w:jc w:val="center"/>
      </w:pPr>
      <w:r>
        <w:rPr>
          <w:b/>
          <w:bCs/>
          <w:color w:val="12233F"/>
          <w:sz w:val="24"/>
          <w:szCs w:val="24"/>
        </w:rPr>
        <w:t xml:space="preserve">Aayushman</w:t>
      </w:r>
    </w:p>
    <w:p>
      <w:pPr>
        <w:spacing w:after="40"/>
        <w:jc w:val="center"/>
      </w:pPr>
      <w:r>
        <w:rPr>
          <w:color w:val="555555"/>
          <w:sz w:val="20"/>
          <w:szCs w:val="20"/>
        </w:rPr>
        <w:t xml:space="preserve">B.Tech, Computer Science Engineering (AI/ML)</w:t>
      </w:r>
    </w:p>
    <w:p>
      <w:pPr>
        <w:spacing w:after="500"/>
        <w:jc w:val="center"/>
      </w:pPr>
      <w:r>
        <w:rPr>
          <w:color w:val="555555"/>
          <w:sz w:val="20"/>
          <w:szCs w:val="20"/>
        </w:rPr>
        <w:t xml:space="preserve">SRM University</w:t>
      </w:r>
    </w:p>
    <w:p>
      <w:pPr>
        <w:spacing w:after="40"/>
        <w:jc w:val="center"/>
      </w:pPr>
      <w:r>
        <w:rPr>
          <w:color w:val="555555"/>
          <w:sz w:val="20"/>
          <w:szCs w:val="20"/>
        </w:rPr>
        <w:t xml:space="preserve">Submitted to</w:t>
      </w:r>
    </w:p>
    <w:p>
      <w:pPr>
        <w:spacing w:after="500"/>
        <w:jc w:val="center"/>
      </w:pPr>
      <w:r>
        <w:rPr>
          <w:color w:val="12233F"/>
          <w:sz w:val="20"/>
          <w:szCs w:val="20"/>
        </w:rPr>
        <w:t xml:space="preserve">[Project Guide Name] — Department of Computer Science Engineering</w:t>
      </w:r>
    </w:p>
    <w:p>
      <w:pPr>
        <w:spacing w:after="40"/>
        <w:jc w:val="center"/>
      </w:pPr>
      <w:r>
        <w:rPr>
          <w:color w:val="555555"/>
          <w:sz w:val="20"/>
          <w:szCs w:val="20"/>
        </w:rPr>
        <w:t xml:space="preserve">August 2026</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4E8C"/>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4E8C"/>
          <w:sz w:val="30"/>
          <w:szCs w:val="30"/>
        </w:rPr>
        <w:t xml:space="preserve">Abstract</w:t>
      </w:r>
    </w:p>
    <w:p>
      <w:pPr>
        <w:spacing w:after="160" w:line="300"/>
        <w:jc w:val="both"/>
      </w:pPr>
      <w:r>
        <w:rPr>
          <w:i w:val="false"/>
          <w:iCs w:val="false"/>
          <w:color w:val="222222"/>
          <w:sz w:val="21"/>
          <w:szCs w:val="21"/>
        </w:rPr>
        <w:t xml:space="preserve">Retail investors increasingly want AI-driven portfolio guidance, but sharing raw holdings and trade history with a third-party advisory server creates a real privacy exposure — the data is valuable, sensitive, and a target regardless of how well the server is otherwise secured. This project proposes an agentic investment advisory platform in which a Planning Agent, Risk Agent, and Execution-Simulation Agent (orchestrated with LangGraph/CrewAI) reason entirely over homomorphically encrypted portfolio data using the CKKS scheme (Pyfhel/TenSEAL), so that the server never observes plaintext holdings at any point in the pipeline. The system's security guarantee is extended in two directions that are rarely combined in student-level work. First, because CKKS is built on the Ring-Learning-With-Errors (RLWE) hardness assumption — the same assumption underlying NIST's standardized post-quantum primitives — the encryption layer is quantum-resistant by construction, not merely "AES with extra steps." Second, the portfolio-optimization step performed by the Risk Agent is reformulated as a Quadratic Unconstrained Binary Optimization (QUBO) problem and solved using a simulated Quantum Approximate Optimization Algorithm (QAOA) in PennyLane/Qiskit, with the QUBO matrix itself obfuscated before it reaches the solver. The result is a double-blind privacy architecture: the classical server never sees the raw portfolio, and the quantum optimizer never sees the true problem structure. This document presents the problem statement, literature review, system architecture, technology stack, implementation plan, and evaluation strategy for the project.</w:t>
      </w:r>
    </w:p>
    <w:p>
      <w:pPr>
        <w:pStyle w:val="Heading1"/>
        <w:spacing w:after="160" w:before="360"/>
      </w:pPr>
      <w:r>
        <w:rPr>
          <w:b/>
          <w:bCs/>
          <w:color w:val="1F4E8C"/>
          <w:sz w:val="30"/>
          <w:szCs w:val="30"/>
        </w:rPr>
        <w:t xml:space="preserve">1. Introduction and Motivation</w:t>
      </w:r>
    </w:p>
    <w:p>
      <w:pPr>
        <w:spacing w:after="160" w:line="300"/>
        <w:jc w:val="both"/>
      </w:pPr>
      <w:r>
        <w:rPr>
          <w:i w:val="false"/>
          <w:iCs w:val="false"/>
          <w:color w:val="222222"/>
          <w:sz w:val="21"/>
          <w:szCs w:val="21"/>
        </w:rPr>
        <w:t xml:space="preserve">Consumer-facing robo-advisory and AI portfolio tools have grown quickly, but nearly all of them require the user to upload holdings, trade history, or brokerage credentials to a centralized server before any advice is generated. This is a structural privacy weakness: a portfolio reveals income level, risk appetite, employer (via ESOPs), and behavioural patterns, and once it sits decrypted on a server it is exposed to breaches, insider misuse, and subpoena. Encrypting the data in transit and at rest (the usual answer) does not solve this, because the server still needs to decrypt the data internally to run any analysis on it.</w:t>
      </w:r>
    </w:p>
    <w:p>
      <w:pPr>
        <w:spacing w:after="160" w:line="300"/>
        <w:jc w:val="both"/>
      </w:pPr>
      <w:r>
        <w:rPr>
          <w:i w:val="false"/>
          <w:iCs w:val="false"/>
          <w:color w:val="222222"/>
          <w:sz w:val="21"/>
          <w:szCs w:val="21"/>
        </w:rPr>
        <w:t xml:space="preserve">Homomorphic encryption (HE) removes this requirement by allowing computation directly on ciphertext, so the server can compute an encrypted output without ever holding a decrypted input. Applying HE to an agentic advisory workflow — where multiple LLM-driven agents plan, assess risk, and simulate execution — is still uncommon at any level, and doing it correctly (rather than encrypting only the transport layer) requires the agents to operate on encrypted feature representations throughout, not just on the initial upload.</w:t>
      </w:r>
    </w:p>
    <w:p>
      <w:pPr>
        <w:spacing w:after="160" w:line="300"/>
        <w:jc w:val="both"/>
      </w:pPr>
      <w:r>
        <w:rPr>
          <w:i w:val="false"/>
          <w:iCs w:val="false"/>
          <w:color w:val="222222"/>
          <w:sz w:val="21"/>
          <w:szCs w:val="21"/>
        </w:rPr>
        <w:t xml:space="preserve">Separately, quantum computing is already being explored for two adjacent problems in finance: post-quantum-secure communication for autonomous agents, and quantum/quantum-inspired optimization for portfolio construction. This project treats both as first-class components rather than decorative ones — the encryption scheme is chosen because it is provably quantum-resistant, and the optimizer is chosen because QAOA-based formulations have shown measurable performance gains on constrained portfolio selection. Combining agentic orchestration, homomorphic privacy, and quantum-assisted optimization into one coherent, privacy-preserving pipeline is the contribution of this work.</w:t>
      </w:r>
    </w:p>
    <w:p>
      <w:pPr>
        <w:pStyle w:val="Heading1"/>
        <w:spacing w:after="160" w:before="360"/>
      </w:pPr>
      <w:r>
        <w:rPr>
          <w:b/>
          <w:bCs/>
          <w:color w:val="1F4E8C"/>
          <w:sz w:val="30"/>
          <w:szCs w:val="30"/>
        </w:rPr>
        <w:t xml:space="preserve">2. Problem Statement</w:t>
      </w:r>
    </w:p>
    <w:p>
      <w:pPr>
        <w:spacing w:after="160" w:line="300"/>
        <w:jc w:val="both"/>
      </w:pPr>
      <w:r>
        <w:rPr>
          <w:i w:val="false"/>
          <w:iCs w:val="false"/>
          <w:color w:val="222222"/>
          <w:sz w:val="21"/>
          <w:szCs w:val="21"/>
        </w:rPr>
        <w:t xml:space="preserve">Design and implement an agentic investment advisory platform that generates portfolio-level planning, risk assessment, and execution-simulation recommendations without the server, the agent orchestration layer, or the optimization backend ever accessing a user's raw portfolio in plaintext — while ensuring that the cryptographic guarantees hold not only against classical adversaries but against adversaries equipped with cryptographically relevant quantum computers, and that the optimization step used to generate recommendations is itself resistant to being reverse-engineered by the party performing it.</w:t>
      </w:r>
    </w:p>
    <w:p>
      <w:pPr>
        <w:pStyle w:val="Heading3"/>
        <w:spacing w:after="100" w:before="200"/>
      </w:pPr>
      <w:r>
        <w:rPr>
          <w:b/>
          <w:bCs/>
          <w:color w:val="12233F"/>
          <w:sz w:val="21"/>
          <w:szCs w:val="21"/>
        </w:rPr>
        <w:t xml:space="preserve">2.1 Specific Objectives</w:t>
      </w:r>
    </w:p>
    <w:p>
      <w:pPr>
        <w:pStyle w:val="ListParagraph"/>
        <w:numPr>
          <w:ilvl w:val="0"/>
          <w:numId w:val="2"/>
        </w:numPr>
        <w:spacing w:after="90" w:line="280"/>
      </w:pPr>
      <w:r>
        <w:rPr>
          <w:color w:val="222222"/>
          <w:sz w:val="21"/>
          <w:szCs w:val="21"/>
        </w:rPr>
        <w:t xml:space="preserve">Build a client-side encryption layer using the CKKS homomorphic encryption scheme (Pyfhel/TenSEAL) so raw portfolio data never leaves the user's device in plaintext.</w:t>
      </w:r>
    </w:p>
    <w:p>
      <w:pPr>
        <w:pStyle w:val="ListParagraph"/>
        <w:numPr>
          <w:ilvl w:val="0"/>
          <w:numId w:val="2"/>
        </w:numPr>
        <w:spacing w:after="90" w:line="280"/>
      </w:pPr>
      <w:r>
        <w:rPr>
          <w:color w:val="222222"/>
          <w:sz w:val="21"/>
          <w:szCs w:val="21"/>
        </w:rPr>
        <w:t xml:space="preserve">Design a multi-agent advisory pipeline (Planning, Risk, Execution-Simulation) using LangGraph or CrewAI, where every agent operates on ciphertext or on encrypted-derived aggregate statistics.</w:t>
      </w:r>
    </w:p>
    <w:p>
      <w:pPr>
        <w:pStyle w:val="ListParagraph"/>
        <w:numPr>
          <w:ilvl w:val="0"/>
          <w:numId w:val="2"/>
        </w:numPr>
        <w:spacing w:after="90" w:line="280"/>
      </w:pPr>
      <w:r>
        <w:rPr>
          <w:color w:val="222222"/>
          <w:sz w:val="21"/>
          <w:szCs w:val="21"/>
        </w:rPr>
        <w:t xml:space="preserve">Reformulate the portfolio allocation problem as a QUBO and solve it with a simulated QAOA circuit (PennyLane/Qiskit), benchmarked against a classical mean-variance baseline.</w:t>
      </w:r>
    </w:p>
    <w:p>
      <w:pPr>
        <w:pStyle w:val="ListParagraph"/>
        <w:numPr>
          <w:ilvl w:val="0"/>
          <w:numId w:val="2"/>
        </w:numPr>
        <w:spacing w:after="90" w:line="280"/>
      </w:pPr>
      <w:r>
        <w:rPr>
          <w:color w:val="222222"/>
          <w:sz w:val="21"/>
          <w:szCs w:val="21"/>
        </w:rPr>
        <w:t xml:space="preserve">Apply matrix obfuscation to the QUBO before it reaches the quantum solver, so the optimization backend cannot reconstruct the true portfolio structure from the problem it is asked to solve.</w:t>
      </w:r>
    </w:p>
    <w:p>
      <w:pPr>
        <w:pStyle w:val="ListParagraph"/>
        <w:numPr>
          <w:ilvl w:val="0"/>
          <w:numId w:val="2"/>
        </w:numPr>
        <w:spacing w:after="90" w:line="280"/>
      </w:pPr>
      <w:r>
        <w:rPr>
          <w:color w:val="222222"/>
          <w:sz w:val="21"/>
          <w:szCs w:val="21"/>
        </w:rPr>
        <w:t xml:space="preserve">Produce a formal security analysis showing that the encryption layer's hardness assumption (RLWE) resists both classical and quantum (Shor's-algorithm-class) attacks, and document the threat model explicitly.</w:t>
      </w:r>
    </w:p>
    <w:p>
      <w:pPr>
        <w:pStyle w:val="ListParagraph"/>
        <w:numPr>
          <w:ilvl w:val="0"/>
          <w:numId w:val="2"/>
        </w:numPr>
        <w:spacing w:after="90" w:line="280"/>
      </w:pPr>
      <w:r>
        <w:rPr>
          <w:color w:val="222222"/>
          <w:sz w:val="21"/>
          <w:szCs w:val="21"/>
        </w:rPr>
        <w:t xml:space="preserve">Deliver a working React frontend and an encrypted data pipeline, benchmarked for correctness, latency overhead, and privacy leakage relative to a plaintext baseline.</w:t>
      </w:r>
    </w:p>
    <w:p>
      <w:r>
        <w:br w:type="page"/>
      </w:r>
    </w:p>
    <w:p>
      <w:pPr>
        <w:pStyle w:val="Heading1"/>
        <w:spacing w:after="160" w:before="360"/>
      </w:pPr>
      <w:r>
        <w:rPr>
          <w:b/>
          <w:bCs/>
          <w:color w:val="1F4E8C"/>
          <w:sz w:val="30"/>
          <w:szCs w:val="30"/>
        </w:rPr>
        <w:t xml:space="preserve">3. Literature Review</w:t>
      </w:r>
    </w:p>
    <w:p>
      <w:pPr>
        <w:spacing w:after="160" w:line="300"/>
        <w:jc w:val="both"/>
      </w:pPr>
      <w:r>
        <w:rPr>
          <w:i w:val="false"/>
          <w:iCs w:val="false"/>
          <w:color w:val="222222"/>
          <w:sz w:val="21"/>
          <w:szCs w:val="21"/>
        </w:rPr>
        <w:t xml:space="preserve">The related work spans five areas: agentic AI in financial trading, homomorphic encryption for privacy-preserving computation, post-quantum cryptography applied to agentic systems, quantum and quantum-inspired portfolio optimization, and privacy-preserving quantum computation. Each is summarized below, followed by the gap this project addresses.</w:t>
      </w:r>
    </w:p>
    <w:p>
      <w:pPr>
        <w:pStyle w:val="Heading2"/>
        <w:spacing w:after="120" w:before="260"/>
      </w:pPr>
      <w:r>
        <w:rPr>
          <w:b/>
          <w:bCs/>
          <w:color w:val="1F4E8C"/>
          <w:sz w:val="24"/>
          <w:szCs w:val="24"/>
        </w:rPr>
        <w:t xml:space="preserve">3.1 Agentic and Multi-Agent Systems in Financial Trading</w:t>
      </w:r>
    </w:p>
    <w:p>
      <w:pPr>
        <w:spacing w:after="160" w:line="300"/>
        <w:jc w:val="both"/>
      </w:pPr>
      <w:r>
        <w:rPr>
          <w:i w:val="false"/>
          <w:iCs w:val="false"/>
          <w:color w:val="222222"/>
          <w:sz w:val="21"/>
          <w:szCs w:val="21"/>
        </w:rPr>
        <w:t xml:space="preserve">Multi-agent reinforcement learning has been applied to trading and market analysis in several forms. One line of work builds next-generation multi-agent market simulators in which each agent learns to trade autonomously through model-free reinforcement learning, calibrated against real exchange data to reproduce realistic microstructure statistics. Another proposes a two-agent trading system combining quantum finance concepts with fuzzy reinforcement learning for buy/sell/hold decisions. A separate framework models manipulation detection as an adversarial game between manipulator and detector agents, fusing language-model-derived semantic features with on-chain market signals. None of these systems address the confidentiality of the underlying portfolio or trade data being reasoned over — the privacy problem is simply out of scope in this body of work.</w:t>
      </w:r>
    </w:p>
    <w:p>
      <w:pPr>
        <w:pStyle w:val="Heading2"/>
        <w:spacing w:after="120" w:before="260"/>
      </w:pPr>
      <w:r>
        <w:rPr>
          <w:b/>
          <w:bCs/>
          <w:color w:val="1F4E8C"/>
          <w:sz w:val="24"/>
          <w:szCs w:val="24"/>
        </w:rPr>
        <w:t xml:space="preserve">3.2 Homomorphic Encryption for Privacy-Preserving Computation</w:t>
      </w:r>
    </w:p>
    <w:p>
      <w:pPr>
        <w:spacing w:after="160" w:line="300"/>
        <w:jc w:val="both"/>
      </w:pPr>
      <w:r>
        <w:rPr>
          <w:i w:val="false"/>
          <w:iCs w:val="false"/>
          <w:color w:val="222222"/>
          <w:sz w:val="21"/>
          <w:szCs w:val="21"/>
        </w:rPr>
        <w:t xml:space="preserve">Homomorphic encryption schemes are increasingly evaluated for real-world privacy-preserving pipelines outside finance. A recent evaluation tests Brakerski-Fan-Vercauteren (BFV), Brakerski-Gentry-Vaikuntanathan (BGV), and Cheon-Kim-Kim-Song (CKKS) for vehicular communication, noting explicitly that these schemes are selected because they support both exact and approximate arithmetic and are built on the Ring-Learning-With-Errors hardness problem — the same problem family underlying NIST-standardized post-quantum key-encapsulation and signature schemes. This is the key fact this project's security framing rests on: CKKS is not merely a classical-security tool retrofitted for privacy, it is already a lattice-based, post-quantum-hard construction.</w:t>
      </w:r>
    </w:p>
    <w:p>
      <w:pPr>
        <w:pStyle w:val="Heading2"/>
        <w:spacing w:after="120" w:before="260"/>
      </w:pPr>
      <w:r>
        <w:rPr>
          <w:b/>
          <w:bCs/>
          <w:color w:val="1F4E8C"/>
          <w:sz w:val="24"/>
          <w:szCs w:val="24"/>
        </w:rPr>
        <w:t xml:space="preserve">3.3 Post-Quantum Cryptography for Agentic AI Systems</w:t>
      </w:r>
    </w:p>
    <w:p>
      <w:pPr>
        <w:spacing w:after="160" w:line="300"/>
        <w:jc w:val="both"/>
      </w:pPr>
      <w:r>
        <w:rPr>
          <w:i w:val="false"/>
          <w:iCs w:val="false"/>
          <w:color w:val="222222"/>
          <w:sz w:val="21"/>
          <w:szCs w:val="21"/>
        </w:rPr>
        <w:t xml:space="preserve">A growing body of work argues that agentic AI systems need to be treated as a distinct post-quantum migration class, separate from static enterprise infrastructure, because agent identities and trust relationships are negotiated at runtime rather than provisioned once. One governance-focused framework introduces quantum-resistant cryptographic protocols with formal, provable security guarantees for policy definition and enforcement between agents, while a related multi-agent framework applies large-language-model agents to quantum-security research itself, prioritizing cryptographic migration risk using a formal extension of Mosca's theorem. A further line of work applies joint post-quantum-cryptography and resource-allocation optimization to lightweight edge agents. These works establish that PQC-secured agent communication is an active and unresolved research area, but none of them are grounded in a specific financial-advisory or portfolio-management context — the application domain in this proposal.</w:t>
      </w:r>
    </w:p>
    <w:p>
      <w:pPr>
        <w:pStyle w:val="Heading2"/>
        <w:spacing w:after="120" w:before="260"/>
      </w:pPr>
      <w:r>
        <w:rPr>
          <w:b/>
          <w:bCs/>
          <w:color w:val="1F4E8C"/>
          <w:sz w:val="24"/>
          <w:szCs w:val="24"/>
        </w:rPr>
        <w:t xml:space="preserve">3.4 Quantum and Quantum-Inspired Portfolio Optimization</w:t>
      </w:r>
    </w:p>
    <w:p>
      <w:pPr>
        <w:spacing w:after="160" w:line="300"/>
        <w:jc w:val="both"/>
      </w:pPr>
      <w:r>
        <w:rPr>
          <w:i w:val="false"/>
          <w:iCs w:val="false"/>
          <w:color w:val="222222"/>
          <w:sz w:val="21"/>
          <w:szCs w:val="21"/>
        </w:rPr>
        <w:t xml:space="preserve">Quantum approaches to portfolio construction have matured from purely theoretical treatments toward benchmarked implementations. A 2026 study formulates cardinality-constrained portfolio selection (as used in direct indexing) as a QAOA problem using Dicke-state initialization and an XY-mixer Hamiltonian that strictly preserves feasibility, reporting a higher Sharpe ratio than both simulated annealing and hierarchical risk parity on a real equity basket, while noting the trade-off of higher portfolio turnover. Separately, a hybrid quantum-classical reinforcement learning study for sector rotation finds that quantum-enhanced policy networks achieve higher training reward but do not consistently outperform classical architectures on real investment metrics, cautioning that reward-design and NISQ-era circuit noise remain open problems. This project treats QAOA as a genuine optimization backend rather than a novelty layer, and benchmarks it honestly against a classical baseline rather than assuming a quantum advantage.</w:t>
      </w:r>
    </w:p>
    <w:p>
      <w:pPr>
        <w:pStyle w:val="Heading2"/>
        <w:spacing w:after="120" w:before="260"/>
      </w:pPr>
      <w:r>
        <w:rPr>
          <w:b/>
          <w:bCs/>
          <w:color w:val="1F4E8C"/>
          <w:sz w:val="24"/>
          <w:szCs w:val="24"/>
        </w:rPr>
        <w:t xml:space="preserve">3.5 Privacy-Preserving Quantum Computation</w:t>
      </w:r>
    </w:p>
    <w:p>
      <w:pPr>
        <w:spacing w:after="160" w:line="300"/>
        <w:jc w:val="both"/>
      </w:pPr>
      <w:r>
        <w:rPr>
          <w:i w:val="false"/>
          <w:iCs w:val="false"/>
          <w:color w:val="222222"/>
          <w:sz w:val="21"/>
          <w:szCs w:val="21"/>
        </w:rPr>
        <w:t xml:space="preserve">Because the QAOA solver in this project is itself a service the QUBO problem is sent to, its own privacy properties matter. Research on privacy risk in quantum optimization services shows that QUBO and Ising-model problem instances can leak information about the underlying application to the party operating the quantum solver, and proposes obfuscation techniques as a countermeasure. A directly relevant framework proposes concealing a QUBO matrix from a quantum annealing provider using digit-wise splitting and matrix permutation, reconstructing the correct solution afterward with high accuracy — this is the technique this project adapts for the optimization layer. Separately, work combining quantum key distribution with homomorphic encryption for secure edge computing establishes that pairing a quantum-secure channel with HE-based computation is a recognized systems pattern, though it has not previously been applied to agentic financial advisory. True quantum homomorphic encryption — computing directly on encrypted quantum data — exists only in early, low-complexity photonic-hardware demonstrations and is treated in this project as future work rather than a deliverable.</w:t>
      </w:r>
    </w:p>
    <w:p>
      <w:pPr>
        <w:pStyle w:val="Heading2"/>
        <w:spacing w:after="120" w:before="260"/>
      </w:pPr>
      <w:r>
        <w:rPr>
          <w:b/>
          <w:bCs/>
          <w:color w:val="1F4E8C"/>
          <w:sz w:val="24"/>
          <w:szCs w:val="24"/>
        </w:rPr>
        <w:t xml:space="preserve">3.6 Adjacent Work: Confidential Order Matching</w:t>
      </w:r>
    </w:p>
    <w:p>
      <w:pPr>
        <w:spacing w:after="160" w:line="300"/>
        <w:jc w:val="both"/>
      </w:pPr>
      <w:r>
        <w:rPr>
          <w:i w:val="false"/>
          <w:iCs w:val="false"/>
          <w:color w:val="222222"/>
          <w:sz w:val="21"/>
          <w:szCs w:val="21"/>
        </w:rPr>
        <w:t xml:space="preserve">Outside the agentic-AI literature, the idea of proving trade correctness without revealing trade details has existed since early proposals for secrecy-preserving dark-pool verification. A 2024 survey of zero-knowledge proof applications still lists private order-book exchanges and dark pools as open research frontiers, and separately notes that post-quantum zero-knowledge constructions based on lattice assumptions are an active area of investigation. This confirms that privacy-preserving finance broadly remains unsettled, reinforcing the motivation for this project's specific angle on retail advisory rather than institutional order matching.</w:t>
      </w:r>
    </w:p>
    <w:p>
      <w:pPr>
        <w:pStyle w:val="Heading2"/>
        <w:spacing w:after="120" w:before="260"/>
      </w:pPr>
      <w:r>
        <w:rPr>
          <w:b/>
          <w:bCs/>
          <w:color w:val="1F4E8C"/>
          <w:sz w:val="24"/>
          <w:szCs w:val="24"/>
        </w:rPr>
        <w:t xml:space="preserve">3.7 Summary of the Research Gap</w:t>
      </w:r>
    </w:p>
    <w:p>
      <w:pPr>
        <w:pStyle w:val="ListParagraph"/>
        <w:numPr>
          <w:ilvl w:val="0"/>
          <w:numId w:val="3"/>
        </w:numPr>
        <w:spacing w:after="90" w:line="280"/>
      </w:pPr>
      <w:r>
        <w:rPr>
          <w:color w:val="222222"/>
          <w:sz w:val="21"/>
          <w:szCs w:val="21"/>
        </w:rPr>
        <w:t xml:space="preserve">Agentic trading/advisory literature does not address confidentiality of the underlying portfolio.</w:t>
      </w:r>
    </w:p>
    <w:p>
      <w:pPr>
        <w:pStyle w:val="ListParagraph"/>
        <w:numPr>
          <w:ilvl w:val="0"/>
          <w:numId w:val="3"/>
        </w:numPr>
        <w:spacing w:after="90" w:line="280"/>
      </w:pPr>
      <w:r>
        <w:rPr>
          <w:color w:val="222222"/>
          <w:sz w:val="21"/>
          <w:szCs w:val="21"/>
        </w:rPr>
        <w:t xml:space="preserve">Post-quantum-secure agentic AI research exists but is generic (governance, identity, edge resource allocation) — not applied to a financial-advisory pipeline.</w:t>
      </w:r>
    </w:p>
    <w:p>
      <w:pPr>
        <w:pStyle w:val="ListParagraph"/>
        <w:numPr>
          <w:ilvl w:val="0"/>
          <w:numId w:val="3"/>
        </w:numPr>
        <w:spacing w:after="90" w:line="280"/>
      </w:pPr>
      <w:r>
        <w:rPr>
          <w:color w:val="222222"/>
          <w:sz w:val="21"/>
          <w:szCs w:val="21"/>
        </w:rPr>
        <w:t xml:space="preserve">Quantum/QAOA portfolio optimization research exists and is benchmarked, but assumes the optimizer is trusted with the true problem instance.</w:t>
      </w:r>
    </w:p>
    <w:p>
      <w:pPr>
        <w:pStyle w:val="ListParagraph"/>
        <w:numPr>
          <w:ilvl w:val="0"/>
          <w:numId w:val="3"/>
        </w:numPr>
        <w:spacing w:after="90" w:line="280"/>
      </w:pPr>
      <w:r>
        <w:rPr>
          <w:color w:val="222222"/>
          <w:sz w:val="21"/>
          <w:szCs w:val="21"/>
        </w:rPr>
        <w:t xml:space="preserve">Privacy-preserving quantum optimization (QUBO obfuscation) exists as a standalone cryptographic technique, not combined with an HE-secured agentic front end.</w:t>
      </w:r>
    </w:p>
    <w:p>
      <w:pPr>
        <w:pStyle w:val="ListParagraph"/>
        <w:numPr>
          <w:ilvl w:val="0"/>
          <w:numId w:val="3"/>
        </w:numPr>
        <w:spacing w:after="90" w:line="280"/>
      </w:pPr>
      <w:r>
        <w:rPr>
          <w:color w:val="222222"/>
          <w:sz w:val="21"/>
          <w:szCs w:val="21"/>
        </w:rPr>
        <w:t xml:space="preserve">No identified work combines all three: HE-secured agent reasoning, RLWE-grounded post-quantum framing, and obfuscated-QUBO quantum optimization, in one financial-advisory pipeline. This is the space this project occupies.</w:t>
      </w:r>
    </w:p>
    <w:p>
      <w:r>
        <w:br w:type="page"/>
      </w:r>
    </w:p>
    <w:p>
      <w:pPr>
        <w:pStyle w:val="Heading1"/>
        <w:spacing w:after="160" w:before="360"/>
      </w:pPr>
      <w:r>
        <w:rPr>
          <w:b/>
          <w:bCs/>
          <w:color w:val="1F4E8C"/>
          <w:sz w:val="30"/>
          <w:szCs w:val="30"/>
        </w:rPr>
        <w:t xml:space="preserve">4. Proposed System Architecture</w:t>
      </w:r>
    </w:p>
    <w:p>
      <w:pPr>
        <w:spacing w:after="160" w:line="300"/>
        <w:jc w:val="both"/>
      </w:pPr>
      <w:r>
        <w:rPr>
          <w:i w:val="false"/>
          <w:iCs w:val="false"/>
          <w:color w:val="222222"/>
          <w:sz w:val="21"/>
          <w:szCs w:val="21"/>
        </w:rPr>
        <w:t xml:space="preserve">The system is organized into four layers, each with an explicit trust boundary. The client is the only component that ever holds plaintext; the agent orchestration layer operates purely on ciphertext and encrypted aggregates; the quantum optimization layer operates purely on an obfuscated problem instance; and a post-quantum secure channel connects the layers.</w:t>
      </w:r>
    </w:p>
    <w:p>
      <w:pPr>
        <w:spacing w:before="200"/>
        <w:jc w:val="center"/>
      </w:pPr>
      <w:r>
        <w:drawing>
          <wp:inline distT="0" distB="0" distL="0" distR="0">
            <wp:extent cx="58102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962400"/>
                    </a:xfrm>
                    <a:prstGeom prst="rect">
                      <a:avLst/>
                    </a:prstGeom>
                  </pic:spPr>
                </pic:pic>
              </a:graphicData>
            </a:graphic>
          </wp:inline>
        </w:drawing>
      </w:r>
    </w:p>
    <w:p>
      <w:pPr>
        <w:spacing w:after="260" w:before="100"/>
        <w:jc w:val="center"/>
      </w:pPr>
      <w:r>
        <w:rPr>
          <w:i/>
          <w:iCs/>
          <w:color w:val="555555"/>
          <w:sz w:val="18"/>
          <w:szCs w:val="18"/>
        </w:rPr>
        <w:t xml:space="preserve">Figure 1. End-to-end system architecture and trust boundaries.</w:t>
      </w:r>
    </w:p>
    <w:p>
      <w:pPr>
        <w:pStyle w:val="Heading2"/>
        <w:spacing w:after="120" w:before="260"/>
      </w:pPr>
      <w:r>
        <w:rPr>
          <w:b/>
          <w:bCs/>
          <w:color w:val="1F4E8C"/>
          <w:sz w:val="24"/>
          <w:szCs w:val="24"/>
        </w:rPr>
        <w:t xml:space="preserve">4.1 Client Layer (React)</w:t>
      </w:r>
    </w:p>
    <w:p>
      <w:pPr>
        <w:spacing w:after="160" w:line="300"/>
        <w:jc w:val="both"/>
      </w:pPr>
      <w:r>
        <w:rPr>
          <w:i w:val="false"/>
          <w:iCs w:val="false"/>
          <w:color w:val="222222"/>
          <w:sz w:val="21"/>
          <w:szCs w:val="21"/>
        </w:rPr>
        <w:t xml:space="preserve">Generates and holds the CKKS key pair on-device. All portfolio data (holdings, cost basis, trade history) is encrypted locally before ever being transmitted. Decryption of the final recommendation also happens only on the client. The private key never leaves the device.</w:t>
      </w:r>
    </w:p>
    <w:p>
      <w:pPr>
        <w:pStyle w:val="Heading2"/>
        <w:spacing w:after="120" w:before="260"/>
      </w:pPr>
      <w:r>
        <w:rPr>
          <w:b/>
          <w:bCs/>
          <w:color w:val="1F4E8C"/>
          <w:sz w:val="24"/>
          <w:szCs w:val="24"/>
        </w:rPr>
        <w:t xml:space="preserve">4.2 Post-Quantum Secure Channel</w:t>
      </w:r>
    </w:p>
    <w:p>
      <w:pPr>
        <w:spacing w:after="160" w:line="300"/>
        <w:jc w:val="both"/>
      </w:pPr>
      <w:r>
        <w:rPr>
          <w:i w:val="false"/>
          <w:iCs w:val="false"/>
          <w:color w:val="222222"/>
          <w:sz w:val="21"/>
          <w:szCs w:val="21"/>
        </w:rPr>
        <w:t xml:space="preserve">All ciphertext transmitted between client and server travels over a channel secured by the same RLWE-hard assumptions as CKKS itself, which are shared with NIST-standardized post-quantum primitives. As a stretch goal, a simulated BB84 quantum key distribution handshake (built in Qiskit, run in simulation) can be layered in for session-key establishment, mirroring published architectures that pair QKD with homomorphic encryption for secure computing.</w:t>
      </w:r>
    </w:p>
    <w:p>
      <w:pPr>
        <w:pStyle w:val="Heading2"/>
        <w:spacing w:after="120" w:before="260"/>
      </w:pPr>
      <w:r>
        <w:rPr>
          <w:b/>
          <w:bCs/>
          <w:color w:val="1F4E8C"/>
          <w:sz w:val="24"/>
          <w:szCs w:val="24"/>
        </w:rPr>
        <w:t xml:space="preserve">4.3 Agent Orchestration Layer (LangGraph / CrewAI)</w:t>
      </w:r>
    </w:p>
    <w:p>
      <w:pPr>
        <w:spacing w:after="160" w:line="300"/>
        <w:jc w:val="both"/>
      </w:pPr>
      <w:r>
        <w:rPr>
          <w:i w:val="false"/>
          <w:iCs w:val="false"/>
          <w:color w:val="222222"/>
          <w:sz w:val="21"/>
          <w:szCs w:val="21"/>
        </w:rPr>
        <w:t xml:space="preserve">Three cooperating agents operate entirely on ciphertext or on values homomorphically derived from it:</w:t>
      </w:r>
    </w:p>
    <w:p>
      <w:pPr>
        <w:pStyle w:val="ListParagraph"/>
        <w:numPr>
          <w:ilvl w:val="0"/>
          <w:numId w:val="3"/>
        </w:numPr>
        <w:spacing w:after="90" w:line="280"/>
      </w:pPr>
      <w:r>
        <w:rPr>
          <w:color w:val="222222"/>
          <w:sz w:val="21"/>
          <w:szCs w:val="21"/>
        </w:rPr>
        <w:t xml:space="preserve">Planning Agent — interprets the user's stated goals and constraints (risk tolerance, horizon, sector preferences — themselves optionally encrypted categorical inputs) and produces a structured optimization request.</w:t>
      </w:r>
    </w:p>
    <w:p>
      <w:pPr>
        <w:pStyle w:val="ListParagraph"/>
        <w:numPr>
          <w:ilvl w:val="0"/>
          <w:numId w:val="3"/>
        </w:numPr>
        <w:spacing w:after="90" w:line="280"/>
      </w:pPr>
      <w:r>
        <w:rPr>
          <w:color w:val="222222"/>
          <w:sz w:val="21"/>
          <w:szCs w:val="21"/>
        </w:rPr>
        <w:t xml:space="preserve">Risk Agent — homomorphically computes aggregate encrypted statistics (covariance matrix, expected returns) over the encrypted holdings, and formulates the QUBO for the optimization layer.</w:t>
      </w:r>
    </w:p>
    <w:p>
      <w:pPr>
        <w:pStyle w:val="ListParagraph"/>
        <w:numPr>
          <w:ilvl w:val="0"/>
          <w:numId w:val="3"/>
        </w:numPr>
        <w:spacing w:after="90" w:line="280"/>
      </w:pPr>
      <w:r>
        <w:rPr>
          <w:color w:val="222222"/>
          <w:sz w:val="21"/>
          <w:szCs w:val="21"/>
        </w:rPr>
        <w:t xml:space="preserve">Execution-Simulation Agent — takes the (still-encrypted) optimizer output and simulates order execution, slippage, and rebalancing cost, returning an encrypted execution plan.</w:t>
      </w:r>
    </w:p>
    <w:p>
      <w:pPr>
        <w:spacing w:after="160" w:line="300"/>
        <w:jc w:val="both"/>
      </w:pPr>
      <w:r>
        <w:rPr>
          <w:i w:val="false"/>
          <w:iCs w:val="false"/>
          <w:color w:val="222222"/>
          <w:sz w:val="21"/>
          <w:szCs w:val="21"/>
        </w:rPr>
        <w:t xml:space="preserve">Because homomorphic operations under CKKS support addition and multiplication on ciphertext, the aggregate statistics an optimizer needs (sums, weighted sums, approximate products) can be computed without decryption. Only the resulting QUBO coefficients — never the underlying holdings — are the ones exposed to obfuscation and onward transmission.</w:t>
      </w:r>
    </w:p>
    <w:p>
      <w:pPr>
        <w:pStyle w:val="Heading2"/>
        <w:spacing w:after="120" w:before="260"/>
      </w:pPr>
      <w:r>
        <w:rPr>
          <w:b/>
          <w:bCs/>
          <w:color w:val="1F4E8C"/>
          <w:sz w:val="24"/>
          <w:szCs w:val="24"/>
        </w:rPr>
        <w:t xml:space="preserve">4.4 QUBO Obfuscation Module</w:t>
      </w:r>
    </w:p>
    <w:p>
      <w:pPr>
        <w:spacing w:after="160" w:line="300"/>
        <w:jc w:val="both"/>
      </w:pPr>
      <w:r>
        <w:rPr>
          <w:i w:val="false"/>
          <w:iCs w:val="false"/>
          <w:color w:val="222222"/>
          <w:sz w:val="21"/>
          <w:szCs w:val="21"/>
        </w:rPr>
        <w:t xml:space="preserve">Before the QUBO coefficients reach the quantum optimization backend, they are transformed using matrix permutation and digit-wise splitting, following the privacy-preserving QUBO obfuscation technique described in the literature review. This ensures that even the party operating the quantum solver cannot reconstruct the true asset relationships from the problem instance it is asked to solve, and the correct solution is recoverable afterward with high fidelity.</w:t>
      </w:r>
    </w:p>
    <w:p>
      <w:pPr>
        <w:pStyle w:val="Heading2"/>
        <w:spacing w:after="120" w:before="260"/>
      </w:pPr>
      <w:r>
        <w:rPr>
          <w:b/>
          <w:bCs/>
          <w:color w:val="1F4E8C"/>
          <w:sz w:val="24"/>
          <w:szCs w:val="24"/>
        </w:rPr>
        <w:t xml:space="preserve">4.5 Quantum Optimization Layer (Simulated QAOA)</w:t>
      </w:r>
    </w:p>
    <w:p>
      <w:pPr>
        <w:spacing w:after="160" w:line="300"/>
        <w:jc w:val="both"/>
      </w:pPr>
      <w:r>
        <w:rPr>
          <w:i w:val="false"/>
          <w:iCs w:val="false"/>
          <w:color w:val="222222"/>
          <w:sz w:val="21"/>
          <w:szCs w:val="21"/>
        </w:rPr>
        <w:t xml:space="preserve">The obfuscated QUBO is solved using a simulated Quantum Approximate Optimization Algorithm circuit built in PennyLane or Qiskit. A constraint-preserving ansatz (Dicke-state initialization with an XY-mixer, following recent published formulations) keeps the search restricted to feasible portfolios of the desired size, avoiding the penalty-function distortions of naive QAOA formulations. Output is a bitstring representing asset selection/weights, still expressed in the obfuscated basis until re-mapped by the Risk Agent.</w:t>
      </w:r>
    </w:p>
    <w:p>
      <w:pPr>
        <w:pStyle w:val="Heading2"/>
        <w:spacing w:after="120" w:before="260"/>
      </w:pPr>
      <w:r>
        <w:rPr>
          <w:b/>
          <w:bCs/>
          <w:color w:val="1F4E8C"/>
          <w:sz w:val="24"/>
          <w:szCs w:val="24"/>
        </w:rPr>
        <w:t xml:space="preserve">4.6 Data Flow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050"/>
      </w:tblGrid>
      <w:tr>
        <w:trPr>
          <w:tblHeader/>
        </w:trPr>
        <w:tc>
          <w:tcPr>
            <w:tcW w:type="dxa" w:w="1100"/>
            <w:shd w:fill="1F4E8C" w:val="clear"/>
            <w:tcMar>
              <w:top w:type="dxa" w:w="100"/>
              <w:left w:type="dxa" w:w="120"/>
              <w:bottom w:type="dxa" w:w="100"/>
              <w:right w:type="dxa" w:w="120"/>
            </w:tcMar>
            <w:vAlign w:val="center"/>
          </w:tcPr>
          <w:p>
            <w:r>
              <w:rPr>
                <w:b/>
                <w:bCs/>
                <w:color w:val="FFFFFF"/>
                <w:sz w:val="19"/>
                <w:szCs w:val="19"/>
              </w:rPr>
              <w:t xml:space="preserve">Step</w:t>
            </w:r>
          </w:p>
        </w:tc>
        <w:tc>
          <w:tcPr>
            <w:tcW w:type="dxa" w:w="4200"/>
            <w:shd w:fill="1F4E8C" w:val="clear"/>
            <w:tcMar>
              <w:top w:type="dxa" w:w="100"/>
              <w:left w:type="dxa" w:w="120"/>
              <w:bottom w:type="dxa" w:w="100"/>
              <w:right w:type="dxa" w:w="120"/>
            </w:tcMar>
            <w:vAlign w:val="center"/>
          </w:tcPr>
          <w:p>
            <w:r>
              <w:rPr>
                <w:b/>
                <w:bCs/>
                <w:color w:val="FFFFFF"/>
                <w:sz w:val="19"/>
                <w:szCs w:val="19"/>
              </w:rPr>
              <w:t xml:space="preserve">Component</w:t>
            </w:r>
          </w:p>
        </w:tc>
        <w:tc>
          <w:tcPr>
            <w:tcW w:type="dxa" w:w="4050"/>
            <w:shd w:fill="1F4E8C" w:val="clear"/>
            <w:tcMar>
              <w:top w:type="dxa" w:w="100"/>
              <w:left w:type="dxa" w:w="120"/>
              <w:bottom w:type="dxa" w:w="100"/>
              <w:right w:type="dxa" w:w="120"/>
            </w:tcMar>
            <w:vAlign w:val="center"/>
          </w:tcPr>
          <w:p>
            <w:r>
              <w:rPr>
                <w:b/>
                <w:bCs/>
                <w:color w:val="FFFFFF"/>
                <w:sz w:val="19"/>
                <w:szCs w:val="19"/>
              </w:rPr>
              <w:t xml:space="preserve">Data Visible</w:t>
            </w:r>
          </w:p>
        </w:tc>
      </w:tr>
      <w:tr>
        <w:tc>
          <w:tcPr>
            <w:tcW w:type="dxa" w:w="1100"/>
            <w:tcMar>
              <w:top w:type="dxa" w:w="100"/>
              <w:left w:type="dxa" w:w="120"/>
              <w:bottom w:type="dxa" w:w="100"/>
              <w:right w:type="dxa" w:w="120"/>
            </w:tcMar>
            <w:vAlign w:val="center"/>
          </w:tcPr>
          <w:p>
            <w:r>
              <w:rPr>
                <w:b w:val="false"/>
                <w:bCs w:val="false"/>
                <w:color w:val="222222"/>
                <w:sz w:val="19"/>
                <w:szCs w:val="19"/>
              </w:rPr>
              <w:t xml:space="preserve">1</w:t>
            </w:r>
          </w:p>
        </w:tc>
        <w:tc>
          <w:tcPr>
            <w:tcW w:type="dxa" w:w="4200"/>
            <w:tcMar>
              <w:top w:type="dxa" w:w="100"/>
              <w:left w:type="dxa" w:w="120"/>
              <w:bottom w:type="dxa" w:w="100"/>
              <w:right w:type="dxa" w:w="120"/>
            </w:tcMar>
            <w:vAlign w:val="center"/>
          </w:tcPr>
          <w:p>
            <w:r>
              <w:rPr>
                <w:b w:val="false"/>
                <w:bCs w:val="false"/>
                <w:color w:val="222222"/>
                <w:sz w:val="19"/>
                <w:szCs w:val="19"/>
              </w:rPr>
              <w:t xml:space="preserve">User enters portfolio data</w:t>
            </w:r>
          </w:p>
        </w:tc>
        <w:tc>
          <w:tcPr>
            <w:tcW w:type="dxa" w:w="4050"/>
            <w:tcMar>
              <w:top w:type="dxa" w:w="100"/>
              <w:left w:type="dxa" w:w="120"/>
              <w:bottom w:type="dxa" w:w="100"/>
              <w:right w:type="dxa" w:w="120"/>
            </w:tcMar>
            <w:vAlign w:val="center"/>
          </w:tcPr>
          <w:p>
            <w:r>
              <w:rPr>
                <w:b w:val="false"/>
                <w:bCs w:val="false"/>
                <w:color w:val="222222"/>
                <w:sz w:val="19"/>
                <w:szCs w:val="19"/>
              </w:rPr>
              <w:t xml:space="preserve">Plaintext — client only</w:t>
            </w:r>
          </w:p>
        </w:tc>
      </w:tr>
      <w:tr>
        <w:tc>
          <w:tcPr>
            <w:tcW w:type="dxa" w:w="1100"/>
            <w:shd w:fill="F4F7FB" w:val="clear"/>
            <w:tcMar>
              <w:top w:type="dxa" w:w="100"/>
              <w:left w:type="dxa" w:w="120"/>
              <w:bottom w:type="dxa" w:w="100"/>
              <w:right w:type="dxa" w:w="120"/>
            </w:tcMar>
            <w:vAlign w:val="center"/>
          </w:tcPr>
          <w:p>
            <w:r>
              <w:rPr>
                <w:b w:val="false"/>
                <w:bCs w:val="false"/>
                <w:color w:val="222222"/>
                <w:sz w:val="19"/>
                <w:szCs w:val="19"/>
              </w:rPr>
              <w:t xml:space="preserve">2</w:t>
            </w:r>
          </w:p>
        </w:tc>
        <w:tc>
          <w:tcPr>
            <w:tcW w:type="dxa" w:w="4200"/>
            <w:shd w:fill="F4F7FB" w:val="clear"/>
            <w:tcMar>
              <w:top w:type="dxa" w:w="100"/>
              <w:left w:type="dxa" w:w="120"/>
              <w:bottom w:type="dxa" w:w="100"/>
              <w:right w:type="dxa" w:w="120"/>
            </w:tcMar>
            <w:vAlign w:val="center"/>
          </w:tcPr>
          <w:p>
            <w:r>
              <w:rPr>
                <w:b w:val="false"/>
                <w:bCs w:val="false"/>
                <w:color w:val="222222"/>
                <w:sz w:val="19"/>
                <w:szCs w:val="19"/>
              </w:rPr>
              <w:t xml:space="preserve">Client encrypts with CKKS, sends over PQ channel</w:t>
            </w:r>
          </w:p>
        </w:tc>
        <w:tc>
          <w:tcPr>
            <w:tcW w:type="dxa" w:w="4050"/>
            <w:shd w:fill="F4F7FB" w:val="clear"/>
            <w:tcMar>
              <w:top w:type="dxa" w:w="100"/>
              <w:left w:type="dxa" w:w="120"/>
              <w:bottom w:type="dxa" w:w="100"/>
              <w:right w:type="dxa" w:w="120"/>
            </w:tcMar>
            <w:vAlign w:val="center"/>
          </w:tcPr>
          <w:p>
            <w:r>
              <w:rPr>
                <w:b w:val="false"/>
                <w:bCs w:val="false"/>
                <w:color w:val="222222"/>
                <w:sz w:val="19"/>
                <w:szCs w:val="19"/>
              </w:rPr>
              <w:t xml:space="preserve">Ciphertext only, in transit</w:t>
            </w:r>
          </w:p>
        </w:tc>
      </w:tr>
      <w:tr>
        <w:tc>
          <w:tcPr>
            <w:tcW w:type="dxa" w:w="1100"/>
            <w:tcMar>
              <w:top w:type="dxa" w:w="100"/>
              <w:left w:type="dxa" w:w="120"/>
              <w:bottom w:type="dxa" w:w="100"/>
              <w:right w:type="dxa" w:w="120"/>
            </w:tcMar>
            <w:vAlign w:val="center"/>
          </w:tcPr>
          <w:p>
            <w:r>
              <w:rPr>
                <w:b w:val="false"/>
                <w:bCs w:val="false"/>
                <w:color w:val="222222"/>
                <w:sz w:val="19"/>
                <w:szCs w:val="19"/>
              </w:rPr>
              <w:t xml:space="preserve">3</w:t>
            </w:r>
          </w:p>
        </w:tc>
        <w:tc>
          <w:tcPr>
            <w:tcW w:type="dxa" w:w="4200"/>
            <w:tcMar>
              <w:top w:type="dxa" w:w="100"/>
              <w:left w:type="dxa" w:w="120"/>
              <w:bottom w:type="dxa" w:w="100"/>
              <w:right w:type="dxa" w:w="120"/>
            </w:tcMar>
            <w:vAlign w:val="center"/>
          </w:tcPr>
          <w:p>
            <w:r>
              <w:rPr>
                <w:b w:val="false"/>
                <w:bCs w:val="false"/>
                <w:color w:val="222222"/>
                <w:sz w:val="19"/>
                <w:szCs w:val="19"/>
              </w:rPr>
              <w:t xml:space="preserve">Agents compute encrypted aggregates</w:t>
            </w:r>
          </w:p>
        </w:tc>
        <w:tc>
          <w:tcPr>
            <w:tcW w:type="dxa" w:w="4050"/>
            <w:tcMar>
              <w:top w:type="dxa" w:w="100"/>
              <w:left w:type="dxa" w:w="120"/>
              <w:bottom w:type="dxa" w:w="100"/>
              <w:right w:type="dxa" w:w="120"/>
            </w:tcMar>
            <w:vAlign w:val="center"/>
          </w:tcPr>
          <w:p>
            <w:r>
              <w:rPr>
                <w:b w:val="false"/>
                <w:bCs w:val="false"/>
                <w:color w:val="222222"/>
                <w:sz w:val="19"/>
                <w:szCs w:val="19"/>
              </w:rPr>
              <w:t xml:space="preserve">Ciphertext only, on server</w:t>
            </w:r>
          </w:p>
        </w:tc>
      </w:tr>
      <w:tr>
        <w:tc>
          <w:tcPr>
            <w:tcW w:type="dxa" w:w="1100"/>
            <w:shd w:fill="F4F7FB" w:val="clear"/>
            <w:tcMar>
              <w:top w:type="dxa" w:w="100"/>
              <w:left w:type="dxa" w:w="120"/>
              <w:bottom w:type="dxa" w:w="100"/>
              <w:right w:type="dxa" w:w="120"/>
            </w:tcMar>
            <w:vAlign w:val="center"/>
          </w:tcPr>
          <w:p>
            <w:r>
              <w:rPr>
                <w:b w:val="false"/>
                <w:bCs w:val="false"/>
                <w:color w:val="222222"/>
                <w:sz w:val="19"/>
                <w:szCs w:val="19"/>
              </w:rPr>
              <w:t xml:space="preserve">4</w:t>
            </w:r>
          </w:p>
        </w:tc>
        <w:tc>
          <w:tcPr>
            <w:tcW w:type="dxa" w:w="4200"/>
            <w:shd w:fill="F4F7FB" w:val="clear"/>
            <w:tcMar>
              <w:top w:type="dxa" w:w="100"/>
              <w:left w:type="dxa" w:w="120"/>
              <w:bottom w:type="dxa" w:w="100"/>
              <w:right w:type="dxa" w:w="120"/>
            </w:tcMar>
            <w:vAlign w:val="center"/>
          </w:tcPr>
          <w:p>
            <w:r>
              <w:rPr>
                <w:b w:val="false"/>
                <w:bCs w:val="false"/>
                <w:color w:val="222222"/>
                <w:sz w:val="19"/>
                <w:szCs w:val="19"/>
              </w:rPr>
              <w:t xml:space="preserve">Risk Agent builds QUBO from encrypted aggregates</w:t>
            </w:r>
          </w:p>
        </w:tc>
        <w:tc>
          <w:tcPr>
            <w:tcW w:type="dxa" w:w="4050"/>
            <w:shd w:fill="F4F7FB" w:val="clear"/>
            <w:tcMar>
              <w:top w:type="dxa" w:w="100"/>
              <w:left w:type="dxa" w:w="120"/>
              <w:bottom w:type="dxa" w:w="100"/>
              <w:right w:type="dxa" w:w="120"/>
            </w:tcMar>
            <w:vAlign w:val="center"/>
          </w:tcPr>
          <w:p>
            <w:r>
              <w:rPr>
                <w:b w:val="false"/>
                <w:bCs w:val="false"/>
                <w:color w:val="222222"/>
                <w:sz w:val="19"/>
                <w:szCs w:val="19"/>
              </w:rPr>
              <w:t xml:space="preserve">Encrypted-derived coefficients</w:t>
            </w:r>
          </w:p>
        </w:tc>
      </w:tr>
      <w:tr>
        <w:tc>
          <w:tcPr>
            <w:tcW w:type="dxa" w:w="1100"/>
            <w:tcMar>
              <w:top w:type="dxa" w:w="100"/>
              <w:left w:type="dxa" w:w="120"/>
              <w:bottom w:type="dxa" w:w="100"/>
              <w:right w:type="dxa" w:w="120"/>
            </w:tcMar>
            <w:vAlign w:val="center"/>
          </w:tcPr>
          <w:p>
            <w:r>
              <w:rPr>
                <w:b w:val="false"/>
                <w:bCs w:val="false"/>
                <w:color w:val="222222"/>
                <w:sz w:val="19"/>
                <w:szCs w:val="19"/>
              </w:rPr>
              <w:t xml:space="preserve">5</w:t>
            </w:r>
          </w:p>
        </w:tc>
        <w:tc>
          <w:tcPr>
            <w:tcW w:type="dxa" w:w="4200"/>
            <w:tcMar>
              <w:top w:type="dxa" w:w="100"/>
              <w:left w:type="dxa" w:w="120"/>
              <w:bottom w:type="dxa" w:w="100"/>
              <w:right w:type="dxa" w:w="120"/>
            </w:tcMar>
            <w:vAlign w:val="center"/>
          </w:tcPr>
          <w:p>
            <w:r>
              <w:rPr>
                <w:b w:val="false"/>
                <w:bCs w:val="false"/>
                <w:color w:val="222222"/>
                <w:sz w:val="19"/>
                <w:szCs w:val="19"/>
              </w:rPr>
              <w:t xml:space="preserve">QUBO obfuscated (permutation + splitting)</w:t>
            </w:r>
          </w:p>
        </w:tc>
        <w:tc>
          <w:tcPr>
            <w:tcW w:type="dxa" w:w="4050"/>
            <w:tcMar>
              <w:top w:type="dxa" w:w="100"/>
              <w:left w:type="dxa" w:w="120"/>
              <w:bottom w:type="dxa" w:w="100"/>
              <w:right w:type="dxa" w:w="120"/>
            </w:tcMar>
            <w:vAlign w:val="center"/>
          </w:tcPr>
          <w:p>
            <w:r>
              <w:rPr>
                <w:b w:val="false"/>
                <w:bCs w:val="false"/>
                <w:color w:val="222222"/>
                <w:sz w:val="19"/>
                <w:szCs w:val="19"/>
              </w:rPr>
              <w:t xml:space="preserve">Obfuscated coefficients</w:t>
            </w:r>
          </w:p>
        </w:tc>
      </w:tr>
      <w:tr>
        <w:tc>
          <w:tcPr>
            <w:tcW w:type="dxa" w:w="1100"/>
            <w:shd w:fill="F4F7FB" w:val="clear"/>
            <w:tcMar>
              <w:top w:type="dxa" w:w="100"/>
              <w:left w:type="dxa" w:w="120"/>
              <w:bottom w:type="dxa" w:w="100"/>
              <w:right w:type="dxa" w:w="120"/>
            </w:tcMar>
            <w:vAlign w:val="center"/>
          </w:tcPr>
          <w:p>
            <w:r>
              <w:rPr>
                <w:b w:val="false"/>
                <w:bCs w:val="false"/>
                <w:color w:val="222222"/>
                <w:sz w:val="19"/>
                <w:szCs w:val="19"/>
              </w:rPr>
              <w:t xml:space="preserve">6</w:t>
            </w:r>
          </w:p>
        </w:tc>
        <w:tc>
          <w:tcPr>
            <w:tcW w:type="dxa" w:w="4200"/>
            <w:shd w:fill="F4F7FB" w:val="clear"/>
            <w:tcMar>
              <w:top w:type="dxa" w:w="100"/>
              <w:left w:type="dxa" w:w="120"/>
              <w:bottom w:type="dxa" w:w="100"/>
              <w:right w:type="dxa" w:w="120"/>
            </w:tcMar>
            <w:vAlign w:val="center"/>
          </w:tcPr>
          <w:p>
            <w:r>
              <w:rPr>
                <w:b w:val="false"/>
                <w:bCs w:val="false"/>
                <w:color w:val="222222"/>
                <w:sz w:val="19"/>
                <w:szCs w:val="19"/>
              </w:rPr>
              <w:t xml:space="preserve">QAOA solves obfuscated QUBO</w:t>
            </w:r>
          </w:p>
        </w:tc>
        <w:tc>
          <w:tcPr>
            <w:tcW w:type="dxa" w:w="4050"/>
            <w:shd w:fill="F4F7FB" w:val="clear"/>
            <w:tcMar>
              <w:top w:type="dxa" w:w="100"/>
              <w:left w:type="dxa" w:w="120"/>
              <w:bottom w:type="dxa" w:w="100"/>
              <w:right w:type="dxa" w:w="120"/>
            </w:tcMar>
            <w:vAlign w:val="center"/>
          </w:tcPr>
          <w:p>
            <w:r>
              <w:rPr>
                <w:b w:val="false"/>
                <w:bCs w:val="false"/>
                <w:color w:val="222222"/>
                <w:sz w:val="19"/>
                <w:szCs w:val="19"/>
              </w:rPr>
              <w:t xml:space="preserve">Obfuscated problem only, on solver</w:t>
            </w:r>
          </w:p>
        </w:tc>
      </w:tr>
      <w:tr>
        <w:tc>
          <w:tcPr>
            <w:tcW w:type="dxa" w:w="1100"/>
            <w:tcMar>
              <w:top w:type="dxa" w:w="100"/>
              <w:left w:type="dxa" w:w="120"/>
              <w:bottom w:type="dxa" w:w="100"/>
              <w:right w:type="dxa" w:w="120"/>
            </w:tcMar>
            <w:vAlign w:val="center"/>
          </w:tcPr>
          <w:p>
            <w:r>
              <w:rPr>
                <w:b w:val="false"/>
                <w:bCs w:val="false"/>
                <w:color w:val="222222"/>
                <w:sz w:val="19"/>
                <w:szCs w:val="19"/>
              </w:rPr>
              <w:t xml:space="preserve">7</w:t>
            </w:r>
          </w:p>
        </w:tc>
        <w:tc>
          <w:tcPr>
            <w:tcW w:type="dxa" w:w="4200"/>
            <w:tcMar>
              <w:top w:type="dxa" w:w="100"/>
              <w:left w:type="dxa" w:w="120"/>
              <w:bottom w:type="dxa" w:w="100"/>
              <w:right w:type="dxa" w:w="120"/>
            </w:tcMar>
            <w:vAlign w:val="center"/>
          </w:tcPr>
          <w:p>
            <w:r>
              <w:rPr>
                <w:b w:val="false"/>
                <w:bCs w:val="false"/>
                <w:color w:val="222222"/>
                <w:sz w:val="19"/>
                <w:szCs w:val="19"/>
              </w:rPr>
              <w:t xml:space="preserve">Result re-mapped, still encrypted, returned to client</w:t>
            </w:r>
          </w:p>
        </w:tc>
        <w:tc>
          <w:tcPr>
            <w:tcW w:type="dxa" w:w="4050"/>
            <w:tcMar>
              <w:top w:type="dxa" w:w="100"/>
              <w:left w:type="dxa" w:w="120"/>
              <w:bottom w:type="dxa" w:w="100"/>
              <w:right w:type="dxa" w:w="120"/>
            </w:tcMar>
            <w:vAlign w:val="center"/>
          </w:tcPr>
          <w:p>
            <w:r>
              <w:rPr>
                <w:b w:val="false"/>
                <w:bCs w:val="false"/>
                <w:color w:val="222222"/>
                <w:sz w:val="19"/>
                <w:szCs w:val="19"/>
              </w:rPr>
              <w:t xml:space="preserve">Ciphertext only, in transit</w:t>
            </w:r>
          </w:p>
        </w:tc>
      </w:tr>
      <w:tr>
        <w:tc>
          <w:tcPr>
            <w:tcW w:type="dxa" w:w="1100"/>
            <w:shd w:fill="F4F7FB" w:val="clear"/>
            <w:tcMar>
              <w:top w:type="dxa" w:w="100"/>
              <w:left w:type="dxa" w:w="120"/>
              <w:bottom w:type="dxa" w:w="100"/>
              <w:right w:type="dxa" w:w="120"/>
            </w:tcMar>
            <w:vAlign w:val="center"/>
          </w:tcPr>
          <w:p>
            <w:r>
              <w:rPr>
                <w:b w:val="false"/>
                <w:bCs w:val="false"/>
                <w:color w:val="222222"/>
                <w:sz w:val="19"/>
                <w:szCs w:val="19"/>
              </w:rPr>
              <w:t xml:space="preserve">8</w:t>
            </w:r>
          </w:p>
        </w:tc>
        <w:tc>
          <w:tcPr>
            <w:tcW w:type="dxa" w:w="4200"/>
            <w:shd w:fill="F4F7FB" w:val="clear"/>
            <w:tcMar>
              <w:top w:type="dxa" w:w="100"/>
              <w:left w:type="dxa" w:w="120"/>
              <w:bottom w:type="dxa" w:w="100"/>
              <w:right w:type="dxa" w:w="120"/>
            </w:tcMar>
            <w:vAlign w:val="center"/>
          </w:tcPr>
          <w:p>
            <w:r>
              <w:rPr>
                <w:b w:val="false"/>
                <w:bCs w:val="false"/>
                <w:color w:val="222222"/>
                <w:sz w:val="19"/>
                <w:szCs w:val="19"/>
              </w:rPr>
              <w:t xml:space="preserve">Client decrypts final recommendation</w:t>
            </w:r>
          </w:p>
        </w:tc>
        <w:tc>
          <w:tcPr>
            <w:tcW w:type="dxa" w:w="4050"/>
            <w:shd w:fill="F4F7FB" w:val="clear"/>
            <w:tcMar>
              <w:top w:type="dxa" w:w="100"/>
              <w:left w:type="dxa" w:w="120"/>
              <w:bottom w:type="dxa" w:w="100"/>
              <w:right w:type="dxa" w:w="120"/>
            </w:tcMar>
            <w:vAlign w:val="center"/>
          </w:tcPr>
          <w:p>
            <w:r>
              <w:rPr>
                <w:b w:val="false"/>
                <w:bCs w:val="false"/>
                <w:color w:val="222222"/>
                <w:sz w:val="19"/>
                <w:szCs w:val="19"/>
              </w:rPr>
              <w:t xml:space="preserve">Plaintext — client only</w:t>
            </w:r>
          </w:p>
        </w:tc>
      </w:tr>
    </w:tbl>
    <w:p>
      <w:r>
        <w:br w:type="page"/>
      </w:r>
    </w:p>
    <w:p>
      <w:pPr>
        <w:pStyle w:val="Heading1"/>
        <w:spacing w:after="160" w:before="360"/>
      </w:pPr>
      <w:r>
        <w:rPr>
          <w:b/>
          <w:bCs/>
          <w:color w:val="1F4E8C"/>
          <w:sz w:val="30"/>
          <w:szCs w:val="30"/>
        </w:rPr>
        <w:t xml:space="preserve">5.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50"/>
      </w:tblGrid>
      <w:tr>
        <w:trPr>
          <w:tblHeader/>
        </w:trPr>
        <w:tc>
          <w:tcPr>
            <w:tcW w:type="dxa" w:w="2300"/>
            <w:shd w:fill="1F4E8C" w:val="clear"/>
            <w:tcMar>
              <w:top w:type="dxa" w:w="100"/>
              <w:left w:type="dxa" w:w="120"/>
              <w:bottom w:type="dxa" w:w="100"/>
              <w:right w:type="dxa" w:w="120"/>
            </w:tcMar>
            <w:vAlign w:val="center"/>
          </w:tcPr>
          <w:p>
            <w:r>
              <w:rPr>
                <w:b/>
                <w:bCs/>
                <w:color w:val="FFFFFF"/>
                <w:sz w:val="19"/>
                <w:szCs w:val="19"/>
              </w:rPr>
              <w:t xml:space="preserve">Layer</w:t>
            </w:r>
          </w:p>
        </w:tc>
        <w:tc>
          <w:tcPr>
            <w:tcW w:type="dxa" w:w="3300"/>
            <w:shd w:fill="1F4E8C" w:val="clear"/>
            <w:tcMar>
              <w:top w:type="dxa" w:w="100"/>
              <w:left w:type="dxa" w:w="120"/>
              <w:bottom w:type="dxa" w:w="100"/>
              <w:right w:type="dxa" w:w="120"/>
            </w:tcMar>
            <w:vAlign w:val="center"/>
          </w:tcPr>
          <w:p>
            <w:r>
              <w:rPr>
                <w:b/>
                <w:bCs/>
                <w:color w:val="FFFFFF"/>
                <w:sz w:val="19"/>
                <w:szCs w:val="19"/>
              </w:rPr>
              <w:t xml:space="preserve">Technology</w:t>
            </w:r>
          </w:p>
        </w:tc>
        <w:tc>
          <w:tcPr>
            <w:tcW w:type="dxa" w:w="3750"/>
            <w:shd w:fill="1F4E8C" w:val="clear"/>
            <w:tcMar>
              <w:top w:type="dxa" w:w="100"/>
              <w:left w:type="dxa" w:w="120"/>
              <w:bottom w:type="dxa" w:w="100"/>
              <w:right w:type="dxa" w:w="120"/>
            </w:tcMar>
            <w:vAlign w:val="center"/>
          </w:tcPr>
          <w:p>
            <w:r>
              <w:rPr>
                <w:b/>
                <w:bCs/>
                <w:color w:val="FFFFFF"/>
                <w:sz w:val="19"/>
                <w:szCs w:val="19"/>
              </w:rPr>
              <w:t xml:space="preserve">Purpose</w:t>
            </w:r>
          </w:p>
        </w:tc>
      </w:tr>
      <w:tr>
        <w:tc>
          <w:tcPr>
            <w:tcW w:type="dxa" w:w="2300"/>
            <w:tcMar>
              <w:top w:type="dxa" w:w="100"/>
              <w:left w:type="dxa" w:w="120"/>
              <w:bottom w:type="dxa" w:w="100"/>
              <w:right w:type="dxa" w:w="120"/>
            </w:tcMar>
            <w:vAlign w:val="center"/>
          </w:tcPr>
          <w:p>
            <w:r>
              <w:rPr>
                <w:b w:val="false"/>
                <w:bCs w:val="false"/>
                <w:color w:val="222222"/>
                <w:sz w:val="19"/>
                <w:szCs w:val="19"/>
              </w:rPr>
              <w:t xml:space="preserve">Homomorphic encryption</w:t>
            </w:r>
          </w:p>
        </w:tc>
        <w:tc>
          <w:tcPr>
            <w:tcW w:type="dxa" w:w="3300"/>
            <w:tcMar>
              <w:top w:type="dxa" w:w="100"/>
              <w:left w:type="dxa" w:w="120"/>
              <w:bottom w:type="dxa" w:w="100"/>
              <w:right w:type="dxa" w:w="120"/>
            </w:tcMar>
            <w:vAlign w:val="center"/>
          </w:tcPr>
          <w:p>
            <w:r>
              <w:rPr>
                <w:b w:val="false"/>
                <w:bCs w:val="false"/>
                <w:color w:val="222222"/>
                <w:sz w:val="19"/>
                <w:szCs w:val="19"/>
              </w:rPr>
              <w:t xml:space="preserve">Pyfhel / TenSEAL (CKKS)</w:t>
            </w:r>
          </w:p>
        </w:tc>
        <w:tc>
          <w:tcPr>
            <w:tcW w:type="dxa" w:w="3750"/>
            <w:tcMar>
              <w:top w:type="dxa" w:w="100"/>
              <w:left w:type="dxa" w:w="120"/>
              <w:bottom w:type="dxa" w:w="100"/>
              <w:right w:type="dxa" w:w="120"/>
            </w:tcMar>
            <w:vAlign w:val="center"/>
          </w:tcPr>
          <w:p>
            <w:r>
              <w:rPr>
                <w:b w:val="false"/>
                <w:bCs w:val="false"/>
                <w:color w:val="222222"/>
                <w:sz w:val="19"/>
                <w:szCs w:val="19"/>
              </w:rPr>
              <w:t xml:space="preserve">Client-side encryption; homomorphic aggregate computation on the server</w:t>
            </w:r>
          </w:p>
        </w:tc>
      </w:tr>
      <w:tr>
        <w:tc>
          <w:tcPr>
            <w:tcW w:type="dxa" w:w="2300"/>
            <w:shd w:fill="F4F7FB" w:val="clear"/>
            <w:tcMar>
              <w:top w:type="dxa" w:w="100"/>
              <w:left w:type="dxa" w:w="120"/>
              <w:bottom w:type="dxa" w:w="100"/>
              <w:right w:type="dxa" w:w="120"/>
            </w:tcMar>
            <w:vAlign w:val="center"/>
          </w:tcPr>
          <w:p>
            <w:r>
              <w:rPr>
                <w:b w:val="false"/>
                <w:bCs w:val="false"/>
                <w:color w:val="222222"/>
                <w:sz w:val="19"/>
                <w:szCs w:val="19"/>
              </w:rPr>
              <w:t xml:space="preserve">Agent orchestration</w:t>
            </w:r>
          </w:p>
        </w:tc>
        <w:tc>
          <w:tcPr>
            <w:tcW w:type="dxa" w:w="3300"/>
            <w:shd w:fill="F4F7FB" w:val="clear"/>
            <w:tcMar>
              <w:top w:type="dxa" w:w="100"/>
              <w:left w:type="dxa" w:w="120"/>
              <w:bottom w:type="dxa" w:w="100"/>
              <w:right w:type="dxa" w:w="120"/>
            </w:tcMar>
            <w:vAlign w:val="center"/>
          </w:tcPr>
          <w:p>
            <w:r>
              <w:rPr>
                <w:b w:val="false"/>
                <w:bCs w:val="false"/>
                <w:color w:val="222222"/>
                <w:sz w:val="19"/>
                <w:szCs w:val="19"/>
              </w:rPr>
              <w:t xml:space="preserve">LangGraph or CrewAI</w:t>
            </w:r>
          </w:p>
        </w:tc>
        <w:tc>
          <w:tcPr>
            <w:tcW w:type="dxa" w:w="3750"/>
            <w:shd w:fill="F4F7FB" w:val="clear"/>
            <w:tcMar>
              <w:top w:type="dxa" w:w="100"/>
              <w:left w:type="dxa" w:w="120"/>
              <w:bottom w:type="dxa" w:w="100"/>
              <w:right w:type="dxa" w:w="120"/>
            </w:tcMar>
            <w:vAlign w:val="center"/>
          </w:tcPr>
          <w:p>
            <w:r>
              <w:rPr>
                <w:b w:val="false"/>
                <w:bCs w:val="false"/>
                <w:color w:val="222222"/>
                <w:sz w:val="19"/>
                <w:szCs w:val="19"/>
              </w:rPr>
              <w:t xml:space="preserve">Planning, Risk, and Execution-Simulation agent coordination</w:t>
            </w:r>
          </w:p>
        </w:tc>
      </w:tr>
      <w:tr>
        <w:tc>
          <w:tcPr>
            <w:tcW w:type="dxa" w:w="2300"/>
            <w:tcMar>
              <w:top w:type="dxa" w:w="100"/>
              <w:left w:type="dxa" w:w="120"/>
              <w:bottom w:type="dxa" w:w="100"/>
              <w:right w:type="dxa" w:w="120"/>
            </w:tcMar>
            <w:vAlign w:val="center"/>
          </w:tcPr>
          <w:p>
            <w:r>
              <w:rPr>
                <w:b w:val="false"/>
                <w:bCs w:val="false"/>
                <w:color w:val="222222"/>
                <w:sz w:val="19"/>
                <w:szCs w:val="19"/>
              </w:rPr>
              <w:t xml:space="preserve">LLM backbone</w:t>
            </w:r>
          </w:p>
        </w:tc>
        <w:tc>
          <w:tcPr>
            <w:tcW w:type="dxa" w:w="3300"/>
            <w:tcMar>
              <w:top w:type="dxa" w:w="100"/>
              <w:left w:type="dxa" w:w="120"/>
              <w:bottom w:type="dxa" w:w="100"/>
              <w:right w:type="dxa" w:w="120"/>
            </w:tcMar>
            <w:vAlign w:val="center"/>
          </w:tcPr>
          <w:p>
            <w:r>
              <w:rPr>
                <w:b w:val="false"/>
                <w:bCs w:val="false"/>
                <w:color w:val="222222"/>
                <w:sz w:val="19"/>
                <w:szCs w:val="19"/>
              </w:rPr>
              <w:t xml:space="preserve">Claude / open-weight model via API</w:t>
            </w:r>
          </w:p>
        </w:tc>
        <w:tc>
          <w:tcPr>
            <w:tcW w:type="dxa" w:w="3750"/>
            <w:tcMar>
              <w:top w:type="dxa" w:w="100"/>
              <w:left w:type="dxa" w:w="120"/>
              <w:bottom w:type="dxa" w:w="100"/>
              <w:right w:type="dxa" w:w="120"/>
            </w:tcMar>
            <w:vAlign w:val="center"/>
          </w:tcPr>
          <w:p>
            <w:r>
              <w:rPr>
                <w:b w:val="false"/>
                <w:bCs w:val="false"/>
                <w:color w:val="222222"/>
                <w:sz w:val="19"/>
                <w:szCs w:val="19"/>
              </w:rPr>
              <w:t xml:space="preserve">Natural-language planning and explanation generation</w:t>
            </w:r>
          </w:p>
        </w:tc>
      </w:tr>
      <w:tr>
        <w:tc>
          <w:tcPr>
            <w:tcW w:type="dxa" w:w="2300"/>
            <w:shd w:fill="F4F7FB" w:val="clear"/>
            <w:tcMar>
              <w:top w:type="dxa" w:w="100"/>
              <w:left w:type="dxa" w:w="120"/>
              <w:bottom w:type="dxa" w:w="100"/>
              <w:right w:type="dxa" w:w="120"/>
            </w:tcMar>
            <w:vAlign w:val="center"/>
          </w:tcPr>
          <w:p>
            <w:r>
              <w:rPr>
                <w:b w:val="false"/>
                <w:bCs w:val="false"/>
                <w:color w:val="222222"/>
                <w:sz w:val="19"/>
                <w:szCs w:val="19"/>
              </w:rPr>
              <w:t xml:space="preserve">Quantum simulation</w:t>
            </w:r>
          </w:p>
        </w:tc>
        <w:tc>
          <w:tcPr>
            <w:tcW w:type="dxa" w:w="3300"/>
            <w:shd w:fill="F4F7FB" w:val="clear"/>
            <w:tcMar>
              <w:top w:type="dxa" w:w="100"/>
              <w:left w:type="dxa" w:w="120"/>
              <w:bottom w:type="dxa" w:w="100"/>
              <w:right w:type="dxa" w:w="120"/>
            </w:tcMar>
            <w:vAlign w:val="center"/>
          </w:tcPr>
          <w:p>
            <w:r>
              <w:rPr>
                <w:b w:val="false"/>
                <w:bCs w:val="false"/>
                <w:color w:val="222222"/>
                <w:sz w:val="19"/>
                <w:szCs w:val="19"/>
              </w:rPr>
              <w:t xml:space="preserve">PennyLane or Qiskit</w:t>
            </w:r>
          </w:p>
        </w:tc>
        <w:tc>
          <w:tcPr>
            <w:tcW w:type="dxa" w:w="3750"/>
            <w:shd w:fill="F4F7FB" w:val="clear"/>
            <w:tcMar>
              <w:top w:type="dxa" w:w="100"/>
              <w:left w:type="dxa" w:w="120"/>
              <w:bottom w:type="dxa" w:w="100"/>
              <w:right w:type="dxa" w:w="120"/>
            </w:tcMar>
            <w:vAlign w:val="center"/>
          </w:tcPr>
          <w:p>
            <w:r>
              <w:rPr>
                <w:b w:val="false"/>
                <w:bCs w:val="false"/>
                <w:color w:val="222222"/>
                <w:sz w:val="19"/>
                <w:szCs w:val="19"/>
              </w:rPr>
              <w:t xml:space="preserve">Simulated QAOA circuit for QUBO-formulated portfolio optimization</w:t>
            </w:r>
          </w:p>
        </w:tc>
      </w:tr>
      <w:tr>
        <w:tc>
          <w:tcPr>
            <w:tcW w:type="dxa" w:w="2300"/>
            <w:tcMar>
              <w:top w:type="dxa" w:w="100"/>
              <w:left w:type="dxa" w:w="120"/>
              <w:bottom w:type="dxa" w:w="100"/>
              <w:right w:type="dxa" w:w="120"/>
            </w:tcMar>
            <w:vAlign w:val="center"/>
          </w:tcPr>
          <w:p>
            <w:r>
              <w:rPr>
                <w:b w:val="false"/>
                <w:bCs w:val="false"/>
                <w:color w:val="222222"/>
                <w:sz w:val="19"/>
                <w:szCs w:val="19"/>
              </w:rPr>
              <w:t xml:space="preserve">QUBO formulation</w:t>
            </w:r>
          </w:p>
        </w:tc>
        <w:tc>
          <w:tcPr>
            <w:tcW w:type="dxa" w:w="3300"/>
            <w:tcMar>
              <w:top w:type="dxa" w:w="100"/>
              <w:left w:type="dxa" w:w="120"/>
              <w:bottom w:type="dxa" w:w="100"/>
              <w:right w:type="dxa" w:w="120"/>
            </w:tcMar>
            <w:vAlign w:val="center"/>
          </w:tcPr>
          <w:p>
            <w:r>
              <w:rPr>
                <w:b w:val="false"/>
                <w:bCs w:val="false"/>
                <w:color w:val="222222"/>
                <w:sz w:val="19"/>
                <w:szCs w:val="19"/>
              </w:rPr>
              <w:t xml:space="preserve">NumPy / custom solver bridge</w:t>
            </w:r>
          </w:p>
        </w:tc>
        <w:tc>
          <w:tcPr>
            <w:tcW w:type="dxa" w:w="3750"/>
            <w:tcMar>
              <w:top w:type="dxa" w:w="100"/>
              <w:left w:type="dxa" w:w="120"/>
              <w:bottom w:type="dxa" w:w="100"/>
              <w:right w:type="dxa" w:w="120"/>
            </w:tcMar>
            <w:vAlign w:val="center"/>
          </w:tcPr>
          <w:p>
            <w:r>
              <w:rPr>
                <w:b w:val="false"/>
                <w:bCs w:val="false"/>
                <w:color w:val="222222"/>
                <w:sz w:val="19"/>
                <w:szCs w:val="19"/>
              </w:rPr>
              <w:t xml:space="preserve">Mapping risk-return-cardinality constraints to QUBO coefficients</w:t>
            </w:r>
          </w:p>
        </w:tc>
      </w:tr>
      <w:tr>
        <w:tc>
          <w:tcPr>
            <w:tcW w:type="dxa" w:w="2300"/>
            <w:shd w:fill="F4F7FB" w:val="clear"/>
            <w:tcMar>
              <w:top w:type="dxa" w:w="100"/>
              <w:left w:type="dxa" w:w="120"/>
              <w:bottom w:type="dxa" w:w="100"/>
              <w:right w:type="dxa" w:w="120"/>
            </w:tcMar>
            <w:vAlign w:val="center"/>
          </w:tcPr>
          <w:p>
            <w:r>
              <w:rPr>
                <w:b w:val="false"/>
                <w:bCs w:val="false"/>
                <w:color w:val="222222"/>
                <w:sz w:val="19"/>
                <w:szCs w:val="19"/>
              </w:rPr>
              <w:t xml:space="preserve">Obfuscation module</w:t>
            </w:r>
          </w:p>
        </w:tc>
        <w:tc>
          <w:tcPr>
            <w:tcW w:type="dxa" w:w="3300"/>
            <w:shd w:fill="F4F7FB" w:val="clear"/>
            <w:tcMar>
              <w:top w:type="dxa" w:w="100"/>
              <w:left w:type="dxa" w:w="120"/>
              <w:bottom w:type="dxa" w:w="100"/>
              <w:right w:type="dxa" w:w="120"/>
            </w:tcMar>
            <w:vAlign w:val="center"/>
          </w:tcPr>
          <w:p>
            <w:r>
              <w:rPr>
                <w:b w:val="false"/>
                <w:bCs w:val="false"/>
                <w:color w:val="222222"/>
                <w:sz w:val="19"/>
                <w:szCs w:val="19"/>
              </w:rPr>
              <w:t xml:space="preserve">Custom Python (permutation + digit-splitting)</w:t>
            </w:r>
          </w:p>
        </w:tc>
        <w:tc>
          <w:tcPr>
            <w:tcW w:type="dxa" w:w="3750"/>
            <w:shd w:fill="F4F7FB" w:val="clear"/>
            <w:tcMar>
              <w:top w:type="dxa" w:w="100"/>
              <w:left w:type="dxa" w:w="120"/>
              <w:bottom w:type="dxa" w:w="100"/>
              <w:right w:type="dxa" w:w="120"/>
            </w:tcMar>
            <w:vAlign w:val="center"/>
          </w:tcPr>
          <w:p>
            <w:r>
              <w:rPr>
                <w:b w:val="false"/>
                <w:bCs w:val="false"/>
                <w:color w:val="222222"/>
                <w:sz w:val="19"/>
                <w:szCs w:val="19"/>
              </w:rPr>
              <w:t xml:space="preserve">Concealing QUBO structure from the quantum solver</w:t>
            </w:r>
          </w:p>
        </w:tc>
      </w:tr>
      <w:tr>
        <w:tc>
          <w:tcPr>
            <w:tcW w:type="dxa" w:w="2300"/>
            <w:tcMar>
              <w:top w:type="dxa" w:w="100"/>
              <w:left w:type="dxa" w:w="120"/>
              <w:bottom w:type="dxa" w:w="100"/>
              <w:right w:type="dxa" w:w="120"/>
            </w:tcMar>
            <w:vAlign w:val="center"/>
          </w:tcPr>
          <w:p>
            <w:r>
              <w:rPr>
                <w:b w:val="false"/>
                <w:bCs w:val="false"/>
                <w:color w:val="222222"/>
                <w:sz w:val="19"/>
                <w:szCs w:val="19"/>
              </w:rPr>
              <w:t xml:space="preserve">Backend/API</w:t>
            </w:r>
          </w:p>
        </w:tc>
        <w:tc>
          <w:tcPr>
            <w:tcW w:type="dxa" w:w="3300"/>
            <w:tcMar>
              <w:top w:type="dxa" w:w="100"/>
              <w:left w:type="dxa" w:w="120"/>
              <w:bottom w:type="dxa" w:w="100"/>
              <w:right w:type="dxa" w:w="120"/>
            </w:tcMar>
            <w:vAlign w:val="center"/>
          </w:tcPr>
          <w:p>
            <w:r>
              <w:rPr>
                <w:b w:val="false"/>
                <w:bCs w:val="false"/>
                <w:color w:val="222222"/>
                <w:sz w:val="19"/>
                <w:szCs w:val="19"/>
              </w:rPr>
              <w:t xml:space="preserve">FastAPI</w:t>
            </w:r>
          </w:p>
        </w:tc>
        <w:tc>
          <w:tcPr>
            <w:tcW w:type="dxa" w:w="3750"/>
            <w:tcMar>
              <w:top w:type="dxa" w:w="100"/>
              <w:left w:type="dxa" w:w="120"/>
              <w:bottom w:type="dxa" w:w="100"/>
              <w:right w:type="dxa" w:w="120"/>
            </w:tcMar>
            <w:vAlign w:val="center"/>
          </w:tcPr>
          <w:p>
            <w:r>
              <w:rPr>
                <w:b w:val="false"/>
                <w:bCs w:val="false"/>
                <w:color w:val="222222"/>
                <w:sz w:val="19"/>
                <w:szCs w:val="19"/>
              </w:rPr>
              <w:t xml:space="preserve">Orchestration endpoint between client, agents, and optimizer</w:t>
            </w:r>
          </w:p>
        </w:tc>
      </w:tr>
      <w:tr>
        <w:tc>
          <w:tcPr>
            <w:tcW w:type="dxa" w:w="2300"/>
            <w:shd w:fill="F4F7FB" w:val="clear"/>
            <w:tcMar>
              <w:top w:type="dxa" w:w="100"/>
              <w:left w:type="dxa" w:w="120"/>
              <w:bottom w:type="dxa" w:w="100"/>
              <w:right w:type="dxa" w:w="120"/>
            </w:tcMar>
            <w:vAlign w:val="center"/>
          </w:tcPr>
          <w:p>
            <w:r>
              <w:rPr>
                <w:b w:val="false"/>
                <w:bCs w:val="false"/>
                <w:color w:val="222222"/>
                <w:sz w:val="19"/>
                <w:szCs w:val="19"/>
              </w:rPr>
              <w:t xml:space="preserve">Frontend</w:t>
            </w:r>
          </w:p>
        </w:tc>
        <w:tc>
          <w:tcPr>
            <w:tcW w:type="dxa" w:w="3300"/>
            <w:shd w:fill="F4F7FB" w:val="clear"/>
            <w:tcMar>
              <w:top w:type="dxa" w:w="100"/>
              <w:left w:type="dxa" w:w="120"/>
              <w:bottom w:type="dxa" w:w="100"/>
              <w:right w:type="dxa" w:w="120"/>
            </w:tcMar>
            <w:vAlign w:val="center"/>
          </w:tcPr>
          <w:p>
            <w:r>
              <w:rPr>
                <w:b w:val="false"/>
                <w:bCs w:val="false"/>
                <w:color w:val="222222"/>
                <w:sz w:val="19"/>
                <w:szCs w:val="19"/>
              </w:rPr>
              <w:t xml:space="preserve">React</w:t>
            </w:r>
          </w:p>
        </w:tc>
        <w:tc>
          <w:tcPr>
            <w:tcW w:type="dxa" w:w="3750"/>
            <w:shd w:fill="F4F7FB" w:val="clear"/>
            <w:tcMar>
              <w:top w:type="dxa" w:w="100"/>
              <w:left w:type="dxa" w:w="120"/>
              <w:bottom w:type="dxa" w:w="100"/>
              <w:right w:type="dxa" w:w="120"/>
            </w:tcMar>
            <w:vAlign w:val="center"/>
          </w:tcPr>
          <w:p>
            <w:r>
              <w:rPr>
                <w:b w:val="false"/>
                <w:bCs w:val="false"/>
                <w:color w:val="222222"/>
                <w:sz w:val="19"/>
                <w:szCs w:val="19"/>
              </w:rPr>
              <w:t xml:space="preserve">Portfolio input, key management UI, recommendation display</w:t>
            </w:r>
          </w:p>
        </w:tc>
      </w:tr>
      <w:tr>
        <w:tc>
          <w:tcPr>
            <w:tcW w:type="dxa" w:w="2300"/>
            <w:tcMar>
              <w:top w:type="dxa" w:w="100"/>
              <w:left w:type="dxa" w:w="120"/>
              <w:bottom w:type="dxa" w:w="100"/>
              <w:right w:type="dxa" w:w="120"/>
            </w:tcMar>
            <w:vAlign w:val="center"/>
          </w:tcPr>
          <w:p>
            <w:r>
              <w:rPr>
                <w:b w:val="false"/>
                <w:bCs w:val="false"/>
                <w:color w:val="222222"/>
                <w:sz w:val="19"/>
                <w:szCs w:val="19"/>
              </w:rPr>
              <w:t xml:space="preserve">Post-quantum channel (stretch)</w:t>
            </w:r>
          </w:p>
        </w:tc>
        <w:tc>
          <w:tcPr>
            <w:tcW w:type="dxa" w:w="3300"/>
            <w:tcMar>
              <w:top w:type="dxa" w:w="100"/>
              <w:left w:type="dxa" w:w="120"/>
              <w:bottom w:type="dxa" w:w="100"/>
              <w:right w:type="dxa" w:w="120"/>
            </w:tcMar>
            <w:vAlign w:val="center"/>
          </w:tcPr>
          <w:p>
            <w:r>
              <w:rPr>
                <w:b w:val="false"/>
                <w:bCs w:val="false"/>
                <w:color w:val="222222"/>
                <w:sz w:val="19"/>
                <w:szCs w:val="19"/>
              </w:rPr>
              <w:t xml:space="preserve">Qiskit-simulated BB84</w:t>
            </w:r>
          </w:p>
        </w:tc>
        <w:tc>
          <w:tcPr>
            <w:tcW w:type="dxa" w:w="3750"/>
            <w:tcMar>
              <w:top w:type="dxa" w:w="100"/>
              <w:left w:type="dxa" w:w="120"/>
              <w:bottom w:type="dxa" w:w="100"/>
              <w:right w:type="dxa" w:w="120"/>
            </w:tcMar>
            <w:vAlign w:val="center"/>
          </w:tcPr>
          <w:p>
            <w:r>
              <w:rPr>
                <w:b w:val="false"/>
                <w:bCs w:val="false"/>
                <w:color w:val="222222"/>
                <w:sz w:val="19"/>
                <w:szCs w:val="19"/>
              </w:rPr>
              <w:t xml:space="preserve">Simulated quantum-secure session-key establishment</w:t>
            </w:r>
          </w:p>
        </w:tc>
      </w:tr>
      <w:tr>
        <w:tc>
          <w:tcPr>
            <w:tcW w:type="dxa" w:w="2300"/>
            <w:shd w:fill="F4F7FB" w:val="clear"/>
            <w:tcMar>
              <w:top w:type="dxa" w:w="100"/>
              <w:left w:type="dxa" w:w="120"/>
              <w:bottom w:type="dxa" w:w="100"/>
              <w:right w:type="dxa" w:w="120"/>
            </w:tcMar>
            <w:vAlign w:val="center"/>
          </w:tcPr>
          <w:p>
            <w:r>
              <w:rPr>
                <w:b w:val="false"/>
                <w:bCs w:val="false"/>
                <w:color w:val="222222"/>
                <w:sz w:val="19"/>
                <w:szCs w:val="19"/>
              </w:rPr>
              <w:t xml:space="preserve">Benchmarking</w:t>
            </w:r>
          </w:p>
        </w:tc>
        <w:tc>
          <w:tcPr>
            <w:tcW w:type="dxa" w:w="3300"/>
            <w:shd w:fill="F4F7FB" w:val="clear"/>
            <w:tcMar>
              <w:top w:type="dxa" w:w="100"/>
              <w:left w:type="dxa" w:w="120"/>
              <w:bottom w:type="dxa" w:w="100"/>
              <w:right w:type="dxa" w:w="120"/>
            </w:tcMar>
            <w:vAlign w:val="center"/>
          </w:tcPr>
          <w:p>
            <w:r>
              <w:rPr>
                <w:b w:val="false"/>
                <w:bCs w:val="false"/>
                <w:color w:val="222222"/>
                <w:sz w:val="19"/>
                <w:szCs w:val="19"/>
              </w:rPr>
              <w:t xml:space="preserve">Classical mean-variance optimizer (baseline)</w:t>
            </w:r>
          </w:p>
        </w:tc>
        <w:tc>
          <w:tcPr>
            <w:tcW w:type="dxa" w:w="3750"/>
            <w:shd w:fill="F4F7FB" w:val="clear"/>
            <w:tcMar>
              <w:top w:type="dxa" w:w="100"/>
              <w:left w:type="dxa" w:w="120"/>
              <w:bottom w:type="dxa" w:w="100"/>
              <w:right w:type="dxa" w:w="120"/>
            </w:tcMar>
            <w:vAlign w:val="center"/>
          </w:tcPr>
          <w:p>
            <w:r>
              <w:rPr>
                <w:b w:val="false"/>
                <w:bCs w:val="false"/>
                <w:color w:val="222222"/>
                <w:sz w:val="19"/>
                <w:szCs w:val="19"/>
              </w:rPr>
              <w:t xml:space="preserve">Comparison point for QAOA performance and privacy overhead</w:t>
            </w:r>
          </w:p>
        </w:tc>
      </w:tr>
    </w:tbl>
    <w:p>
      <w:r>
        <w:br w:type="page"/>
      </w:r>
    </w:p>
    <w:p>
      <w:pPr>
        <w:pStyle w:val="Heading1"/>
        <w:spacing w:after="160" w:before="360"/>
      </w:pPr>
      <w:r>
        <w:rPr>
          <w:b/>
          <w:bCs/>
          <w:color w:val="1F4E8C"/>
          <w:sz w:val="30"/>
          <w:szCs w:val="30"/>
        </w:rPr>
        <w:t xml:space="preserve">6. Implementation Plan</w:t>
      </w:r>
    </w:p>
    <w:p>
      <w:pPr>
        <w:spacing w:after="160" w:line="300"/>
        <w:jc w:val="both"/>
      </w:pPr>
      <w:r>
        <w:rPr>
          <w:i w:val="false"/>
          <w:iCs w:val="false"/>
          <w:color w:val="222222"/>
          <w:sz w:val="21"/>
          <w:szCs w:val="21"/>
        </w:rPr>
        <w:t xml:space="preserve">The project is structured across roughly six months, aligned to a typical two-semester final-year timeline. Each phase produces a demonstrable artifact rather than only design documentation.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50"/>
      </w:tblGrid>
      <w:tr>
        <w:trPr>
          <w:tblHeader/>
        </w:trPr>
        <w:tc>
          <w:tcPr>
            <w:tcW w:type="dxa" w:w="3400"/>
            <w:shd w:fill="1F4E8C" w:val="clear"/>
            <w:tcMar>
              <w:top w:type="dxa" w:w="100"/>
              <w:left w:type="dxa" w:w="120"/>
              <w:bottom w:type="dxa" w:w="100"/>
              <w:right w:type="dxa" w:w="120"/>
            </w:tcMar>
            <w:vAlign w:val="center"/>
          </w:tcPr>
          <w:p>
            <w:r>
              <w:rPr>
                <w:b/>
                <w:bCs/>
                <w:color w:val="FFFFFF"/>
                <w:sz w:val="19"/>
                <w:szCs w:val="19"/>
              </w:rPr>
              <w:t xml:space="preserve">Phase</w:t>
            </w:r>
          </w:p>
        </w:tc>
        <w:tc>
          <w:tcPr>
            <w:tcW w:type="dxa" w:w="1800"/>
            <w:shd w:fill="1F4E8C" w:val="clear"/>
            <w:tcMar>
              <w:top w:type="dxa" w:w="100"/>
              <w:left w:type="dxa" w:w="120"/>
              <w:bottom w:type="dxa" w:w="100"/>
              <w:right w:type="dxa" w:w="120"/>
            </w:tcMar>
            <w:vAlign w:val="center"/>
          </w:tcPr>
          <w:p>
            <w:r>
              <w:rPr>
                <w:b/>
                <w:bCs/>
                <w:color w:val="FFFFFF"/>
                <w:sz w:val="19"/>
                <w:szCs w:val="19"/>
              </w:rPr>
              <w:t xml:space="preserve">Duration</w:t>
            </w:r>
          </w:p>
        </w:tc>
        <w:tc>
          <w:tcPr>
            <w:tcW w:type="dxa" w:w="4150"/>
            <w:shd w:fill="1F4E8C" w:val="clear"/>
            <w:tcMar>
              <w:top w:type="dxa" w:w="100"/>
              <w:left w:type="dxa" w:w="120"/>
              <w:bottom w:type="dxa" w:w="100"/>
              <w:right w:type="dxa" w:w="120"/>
            </w:tcMar>
            <w:vAlign w:val="center"/>
          </w:tcPr>
          <w:p>
            <w:r>
              <w:rPr>
                <w:b/>
                <w:bCs/>
                <w:color w:val="FFFFFF"/>
                <w:sz w:val="19"/>
                <w:szCs w:val="19"/>
              </w:rPr>
              <w:t xml:space="preserve">Deliverable</w:t>
            </w:r>
          </w:p>
        </w:tc>
      </w:tr>
      <w:tr>
        <w:tc>
          <w:tcPr>
            <w:tcW w:type="dxa" w:w="3400"/>
            <w:tcMar>
              <w:top w:type="dxa" w:w="100"/>
              <w:left w:type="dxa" w:w="120"/>
              <w:bottom w:type="dxa" w:w="100"/>
              <w:right w:type="dxa" w:w="120"/>
            </w:tcMar>
            <w:vAlign w:val="center"/>
          </w:tcPr>
          <w:p>
            <w:r>
              <w:rPr>
                <w:b w:val="false"/>
                <w:bCs w:val="false"/>
                <w:color w:val="222222"/>
                <w:sz w:val="19"/>
                <w:szCs w:val="19"/>
              </w:rPr>
              <w:t xml:space="preserve">1. Literature study &amp; formal problem framing</w:t>
            </w:r>
          </w:p>
        </w:tc>
        <w:tc>
          <w:tcPr>
            <w:tcW w:type="dxa" w:w="1800"/>
            <w:tcMar>
              <w:top w:type="dxa" w:w="100"/>
              <w:left w:type="dxa" w:w="120"/>
              <w:bottom w:type="dxa" w:w="100"/>
              <w:right w:type="dxa" w:w="120"/>
            </w:tcMar>
            <w:vAlign w:val="center"/>
          </w:tcPr>
          <w:p>
            <w:r>
              <w:rPr>
                <w:b w:val="false"/>
                <w:bCs w:val="false"/>
                <w:color w:val="222222"/>
                <w:sz w:val="19"/>
                <w:szCs w:val="19"/>
              </w:rPr>
              <w:t xml:space="preserve">Weeks 1–3</w:t>
            </w:r>
          </w:p>
        </w:tc>
        <w:tc>
          <w:tcPr>
            <w:tcW w:type="dxa" w:w="4150"/>
            <w:tcMar>
              <w:top w:type="dxa" w:w="100"/>
              <w:left w:type="dxa" w:w="120"/>
              <w:bottom w:type="dxa" w:w="100"/>
              <w:right w:type="dxa" w:w="120"/>
            </w:tcMar>
            <w:vAlign w:val="center"/>
          </w:tcPr>
          <w:p>
            <w:r>
              <w:rPr>
                <w:b w:val="false"/>
                <w:bCs w:val="false"/>
                <w:color w:val="222222"/>
                <w:sz w:val="19"/>
                <w:szCs w:val="19"/>
              </w:rPr>
              <w:t xml:space="preserve">Finalized problem statement, threat model, and security-assumption writeup (this document, extended)</w:t>
            </w:r>
          </w:p>
        </w:tc>
      </w:tr>
      <w:tr>
        <w:tc>
          <w:tcPr>
            <w:tcW w:type="dxa" w:w="3400"/>
            <w:shd w:fill="F4F7FB" w:val="clear"/>
            <w:tcMar>
              <w:top w:type="dxa" w:w="100"/>
              <w:left w:type="dxa" w:w="120"/>
              <w:bottom w:type="dxa" w:w="100"/>
              <w:right w:type="dxa" w:w="120"/>
            </w:tcMar>
            <w:vAlign w:val="center"/>
          </w:tcPr>
          <w:p>
            <w:r>
              <w:rPr>
                <w:b w:val="false"/>
                <w:bCs w:val="false"/>
                <w:color w:val="222222"/>
                <w:sz w:val="19"/>
                <w:szCs w:val="19"/>
              </w:rPr>
              <w:t xml:space="preserve">2. HE pipeline</w:t>
            </w:r>
          </w:p>
        </w:tc>
        <w:tc>
          <w:tcPr>
            <w:tcW w:type="dxa" w:w="1800"/>
            <w:shd w:fill="F4F7FB" w:val="clear"/>
            <w:tcMar>
              <w:top w:type="dxa" w:w="100"/>
              <w:left w:type="dxa" w:w="120"/>
              <w:bottom w:type="dxa" w:w="100"/>
              <w:right w:type="dxa" w:w="120"/>
            </w:tcMar>
            <w:vAlign w:val="center"/>
          </w:tcPr>
          <w:p>
            <w:r>
              <w:rPr>
                <w:b w:val="false"/>
                <w:bCs w:val="false"/>
                <w:color w:val="222222"/>
                <w:sz w:val="19"/>
                <w:szCs w:val="19"/>
              </w:rPr>
              <w:t xml:space="preserve">Weeks 4–7</w:t>
            </w:r>
          </w:p>
        </w:tc>
        <w:tc>
          <w:tcPr>
            <w:tcW w:type="dxa" w:w="4150"/>
            <w:shd w:fill="F4F7FB" w:val="clear"/>
            <w:tcMar>
              <w:top w:type="dxa" w:w="100"/>
              <w:left w:type="dxa" w:w="120"/>
              <w:bottom w:type="dxa" w:w="100"/>
              <w:right w:type="dxa" w:w="120"/>
            </w:tcMar>
            <w:vAlign w:val="center"/>
          </w:tcPr>
          <w:p>
            <w:r>
              <w:rPr>
                <w:b w:val="false"/>
                <w:bCs w:val="false"/>
                <w:color w:val="222222"/>
                <w:sz w:val="19"/>
                <w:szCs w:val="19"/>
              </w:rPr>
              <w:t xml:space="preserve">Working CKKS encrypt/decrypt in Pyfhel or TenSEAL; homomorphic sum/covariance computation validated against plaintext baseline</w:t>
            </w:r>
          </w:p>
        </w:tc>
      </w:tr>
      <w:tr>
        <w:tc>
          <w:tcPr>
            <w:tcW w:type="dxa" w:w="3400"/>
            <w:tcMar>
              <w:top w:type="dxa" w:w="100"/>
              <w:left w:type="dxa" w:w="120"/>
              <w:bottom w:type="dxa" w:w="100"/>
              <w:right w:type="dxa" w:w="120"/>
            </w:tcMar>
            <w:vAlign w:val="center"/>
          </w:tcPr>
          <w:p>
            <w:r>
              <w:rPr>
                <w:b w:val="false"/>
                <w:bCs w:val="false"/>
                <w:color w:val="222222"/>
                <w:sz w:val="19"/>
                <w:szCs w:val="19"/>
              </w:rPr>
              <w:t xml:space="preserve">3. Agent orchestration</w:t>
            </w:r>
          </w:p>
        </w:tc>
        <w:tc>
          <w:tcPr>
            <w:tcW w:type="dxa" w:w="1800"/>
            <w:tcMar>
              <w:top w:type="dxa" w:w="100"/>
              <w:left w:type="dxa" w:w="120"/>
              <w:bottom w:type="dxa" w:w="100"/>
              <w:right w:type="dxa" w:w="120"/>
            </w:tcMar>
            <w:vAlign w:val="center"/>
          </w:tcPr>
          <w:p>
            <w:r>
              <w:rPr>
                <w:b w:val="false"/>
                <w:bCs w:val="false"/>
                <w:color w:val="222222"/>
                <w:sz w:val="19"/>
                <w:szCs w:val="19"/>
              </w:rPr>
              <w:t xml:space="preserve">Weeks 8–11</w:t>
            </w:r>
          </w:p>
        </w:tc>
        <w:tc>
          <w:tcPr>
            <w:tcW w:type="dxa" w:w="4150"/>
            <w:tcMar>
              <w:top w:type="dxa" w:w="100"/>
              <w:left w:type="dxa" w:w="120"/>
              <w:bottom w:type="dxa" w:w="100"/>
              <w:right w:type="dxa" w:w="120"/>
            </w:tcMar>
            <w:vAlign w:val="center"/>
          </w:tcPr>
          <w:p>
            <w:r>
              <w:rPr>
                <w:b w:val="false"/>
                <w:bCs w:val="false"/>
                <w:color w:val="222222"/>
                <w:sz w:val="19"/>
                <w:szCs w:val="19"/>
              </w:rPr>
              <w:t xml:space="preserve">Planning, Risk, and Execution-Simulation agents wired via LangGraph/CrewAI, operating on encrypted-derived data</w:t>
            </w:r>
          </w:p>
        </w:tc>
      </w:tr>
      <w:tr>
        <w:tc>
          <w:tcPr>
            <w:tcW w:type="dxa" w:w="3400"/>
            <w:shd w:fill="F4F7FB" w:val="clear"/>
            <w:tcMar>
              <w:top w:type="dxa" w:w="100"/>
              <w:left w:type="dxa" w:w="120"/>
              <w:bottom w:type="dxa" w:w="100"/>
              <w:right w:type="dxa" w:w="120"/>
            </w:tcMar>
            <w:vAlign w:val="center"/>
          </w:tcPr>
          <w:p>
            <w:r>
              <w:rPr>
                <w:b w:val="false"/>
                <w:bCs w:val="false"/>
                <w:color w:val="222222"/>
                <w:sz w:val="19"/>
                <w:szCs w:val="19"/>
              </w:rPr>
              <w:t xml:space="preserve">4. QUBO formulation + obfuscation</w:t>
            </w:r>
          </w:p>
        </w:tc>
        <w:tc>
          <w:tcPr>
            <w:tcW w:type="dxa" w:w="1800"/>
            <w:shd w:fill="F4F7FB" w:val="clear"/>
            <w:tcMar>
              <w:top w:type="dxa" w:w="100"/>
              <w:left w:type="dxa" w:w="120"/>
              <w:bottom w:type="dxa" w:w="100"/>
              <w:right w:type="dxa" w:w="120"/>
            </w:tcMar>
            <w:vAlign w:val="center"/>
          </w:tcPr>
          <w:p>
            <w:r>
              <w:rPr>
                <w:b w:val="false"/>
                <w:bCs w:val="false"/>
                <w:color w:val="222222"/>
                <w:sz w:val="19"/>
                <w:szCs w:val="19"/>
              </w:rPr>
              <w:t xml:space="preserve">Weeks 12–14</w:t>
            </w:r>
          </w:p>
        </w:tc>
        <w:tc>
          <w:tcPr>
            <w:tcW w:type="dxa" w:w="4150"/>
            <w:shd w:fill="F4F7FB" w:val="clear"/>
            <w:tcMar>
              <w:top w:type="dxa" w:w="100"/>
              <w:left w:type="dxa" w:w="120"/>
              <w:bottom w:type="dxa" w:w="100"/>
              <w:right w:type="dxa" w:w="120"/>
            </w:tcMar>
            <w:vAlign w:val="center"/>
          </w:tcPr>
          <w:p>
            <w:r>
              <w:rPr>
                <w:b w:val="false"/>
                <w:bCs w:val="false"/>
                <w:color w:val="222222"/>
                <w:sz w:val="19"/>
                <w:szCs w:val="19"/>
              </w:rPr>
              <w:t xml:space="preserve">Portfolio-to-QUBO mapping implemented; permutation/digit-splitting obfuscation validated for reconstruction accuracy</w:t>
            </w:r>
          </w:p>
        </w:tc>
      </w:tr>
      <w:tr>
        <w:tc>
          <w:tcPr>
            <w:tcW w:type="dxa" w:w="3400"/>
            <w:tcMar>
              <w:top w:type="dxa" w:w="100"/>
              <w:left w:type="dxa" w:w="120"/>
              <w:bottom w:type="dxa" w:w="100"/>
              <w:right w:type="dxa" w:w="120"/>
            </w:tcMar>
            <w:vAlign w:val="center"/>
          </w:tcPr>
          <w:p>
            <w:r>
              <w:rPr>
                <w:b w:val="false"/>
                <w:bCs w:val="false"/>
                <w:color w:val="222222"/>
                <w:sz w:val="19"/>
                <w:szCs w:val="19"/>
              </w:rPr>
              <w:t xml:space="preserve">5. Quantum optimization layer</w:t>
            </w:r>
          </w:p>
        </w:tc>
        <w:tc>
          <w:tcPr>
            <w:tcW w:type="dxa" w:w="1800"/>
            <w:tcMar>
              <w:top w:type="dxa" w:w="100"/>
              <w:left w:type="dxa" w:w="120"/>
              <w:bottom w:type="dxa" w:w="100"/>
              <w:right w:type="dxa" w:w="120"/>
            </w:tcMar>
            <w:vAlign w:val="center"/>
          </w:tcPr>
          <w:p>
            <w:r>
              <w:rPr>
                <w:b w:val="false"/>
                <w:bCs w:val="false"/>
                <w:color w:val="222222"/>
                <w:sz w:val="19"/>
                <w:szCs w:val="19"/>
              </w:rPr>
              <w:t xml:space="preserve">Weeks 15–18</w:t>
            </w:r>
          </w:p>
        </w:tc>
        <w:tc>
          <w:tcPr>
            <w:tcW w:type="dxa" w:w="4150"/>
            <w:tcMar>
              <w:top w:type="dxa" w:w="100"/>
              <w:left w:type="dxa" w:w="120"/>
              <w:bottom w:type="dxa" w:w="100"/>
              <w:right w:type="dxa" w:w="120"/>
            </w:tcMar>
            <w:vAlign w:val="center"/>
          </w:tcPr>
          <w:p>
            <w:r>
              <w:rPr>
                <w:b w:val="false"/>
                <w:bCs w:val="false"/>
                <w:color w:val="222222"/>
                <w:sz w:val="19"/>
                <w:szCs w:val="19"/>
              </w:rPr>
              <w:t xml:space="preserve">Simulated QAOA (Dicke-state + XY-mixer) solving obfuscated QUBO; benchmarked against classical mean-variance optimizer</w:t>
            </w:r>
          </w:p>
        </w:tc>
      </w:tr>
      <w:tr>
        <w:tc>
          <w:tcPr>
            <w:tcW w:type="dxa" w:w="3400"/>
            <w:shd w:fill="F4F7FB" w:val="clear"/>
            <w:tcMar>
              <w:top w:type="dxa" w:w="100"/>
              <w:left w:type="dxa" w:w="120"/>
              <w:bottom w:type="dxa" w:w="100"/>
              <w:right w:type="dxa" w:w="120"/>
            </w:tcMar>
            <w:vAlign w:val="center"/>
          </w:tcPr>
          <w:p>
            <w:r>
              <w:rPr>
                <w:b w:val="false"/>
                <w:bCs w:val="false"/>
                <w:color w:val="222222"/>
                <w:sz w:val="19"/>
                <w:szCs w:val="19"/>
              </w:rPr>
              <w:t xml:space="preserve">6. Frontend + integration</w:t>
            </w:r>
          </w:p>
        </w:tc>
        <w:tc>
          <w:tcPr>
            <w:tcW w:type="dxa" w:w="1800"/>
            <w:shd w:fill="F4F7FB" w:val="clear"/>
            <w:tcMar>
              <w:top w:type="dxa" w:w="100"/>
              <w:left w:type="dxa" w:w="120"/>
              <w:bottom w:type="dxa" w:w="100"/>
              <w:right w:type="dxa" w:w="120"/>
            </w:tcMar>
            <w:vAlign w:val="center"/>
          </w:tcPr>
          <w:p>
            <w:r>
              <w:rPr>
                <w:b w:val="false"/>
                <w:bCs w:val="false"/>
                <w:color w:val="222222"/>
                <w:sz w:val="19"/>
                <w:szCs w:val="19"/>
              </w:rPr>
              <w:t xml:space="preserve">Weeks 19–22</w:t>
            </w:r>
          </w:p>
        </w:tc>
        <w:tc>
          <w:tcPr>
            <w:tcW w:type="dxa" w:w="4150"/>
            <w:shd w:fill="F4F7FB" w:val="clear"/>
            <w:tcMar>
              <w:top w:type="dxa" w:w="100"/>
              <w:left w:type="dxa" w:w="120"/>
              <w:bottom w:type="dxa" w:w="100"/>
              <w:right w:type="dxa" w:w="120"/>
            </w:tcMar>
            <w:vAlign w:val="center"/>
          </w:tcPr>
          <w:p>
            <w:r>
              <w:rPr>
                <w:b w:val="false"/>
                <w:bCs w:val="false"/>
                <w:color w:val="222222"/>
                <w:sz w:val="19"/>
                <w:szCs w:val="19"/>
              </w:rPr>
              <w:t xml:space="preserve">React frontend, end-to-end encrypted pipeline, FastAPI backend integration</w:t>
            </w:r>
          </w:p>
        </w:tc>
      </w:tr>
      <w:tr>
        <w:tc>
          <w:tcPr>
            <w:tcW w:type="dxa" w:w="3400"/>
            <w:tcMar>
              <w:top w:type="dxa" w:w="100"/>
              <w:left w:type="dxa" w:w="120"/>
              <w:bottom w:type="dxa" w:w="100"/>
              <w:right w:type="dxa" w:w="120"/>
            </w:tcMar>
            <w:vAlign w:val="center"/>
          </w:tcPr>
          <w:p>
            <w:r>
              <w:rPr>
                <w:b w:val="false"/>
                <w:bCs w:val="false"/>
                <w:color w:val="222222"/>
                <w:sz w:val="19"/>
                <w:szCs w:val="19"/>
              </w:rPr>
              <w:t xml:space="preserve">7. Evaluation &amp; stretch goals</w:t>
            </w:r>
          </w:p>
        </w:tc>
        <w:tc>
          <w:tcPr>
            <w:tcW w:type="dxa" w:w="1800"/>
            <w:tcMar>
              <w:top w:type="dxa" w:w="100"/>
              <w:left w:type="dxa" w:w="120"/>
              <w:bottom w:type="dxa" w:w="100"/>
              <w:right w:type="dxa" w:w="120"/>
            </w:tcMar>
            <w:vAlign w:val="center"/>
          </w:tcPr>
          <w:p>
            <w:r>
              <w:rPr>
                <w:b w:val="false"/>
                <w:bCs w:val="false"/>
                <w:color w:val="222222"/>
                <w:sz w:val="19"/>
                <w:szCs w:val="19"/>
              </w:rPr>
              <w:t xml:space="preserve">Weeks 23–25</w:t>
            </w:r>
          </w:p>
        </w:tc>
        <w:tc>
          <w:tcPr>
            <w:tcW w:type="dxa" w:w="4150"/>
            <w:tcMar>
              <w:top w:type="dxa" w:w="100"/>
              <w:left w:type="dxa" w:w="120"/>
              <w:bottom w:type="dxa" w:w="100"/>
              <w:right w:type="dxa" w:w="120"/>
            </w:tcMar>
            <w:vAlign w:val="center"/>
          </w:tcPr>
          <w:p>
            <w:r>
              <w:rPr>
                <w:b w:val="false"/>
                <w:bCs w:val="false"/>
                <w:color w:val="222222"/>
                <w:sz w:val="19"/>
                <w:szCs w:val="19"/>
              </w:rPr>
              <w:t xml:space="preserve">Latency/accuracy/privacy benchmarking; optional BB84-simulated channel; formal security write-up</w:t>
            </w:r>
          </w:p>
        </w:tc>
      </w:tr>
      <w:tr>
        <w:tc>
          <w:tcPr>
            <w:tcW w:type="dxa" w:w="3400"/>
            <w:shd w:fill="F4F7FB" w:val="clear"/>
            <w:tcMar>
              <w:top w:type="dxa" w:w="100"/>
              <w:left w:type="dxa" w:w="120"/>
              <w:bottom w:type="dxa" w:w="100"/>
              <w:right w:type="dxa" w:w="120"/>
            </w:tcMar>
            <w:vAlign w:val="center"/>
          </w:tcPr>
          <w:p>
            <w:r>
              <w:rPr>
                <w:b w:val="false"/>
                <w:bCs w:val="false"/>
                <w:color w:val="222222"/>
                <w:sz w:val="19"/>
                <w:szCs w:val="19"/>
              </w:rPr>
              <w:t xml:space="preserve">8. Report, viva prep, and demo polish</w:t>
            </w:r>
          </w:p>
        </w:tc>
        <w:tc>
          <w:tcPr>
            <w:tcW w:type="dxa" w:w="1800"/>
            <w:shd w:fill="F4F7FB" w:val="clear"/>
            <w:tcMar>
              <w:top w:type="dxa" w:w="100"/>
              <w:left w:type="dxa" w:w="120"/>
              <w:bottom w:type="dxa" w:w="100"/>
              <w:right w:type="dxa" w:w="120"/>
            </w:tcMar>
            <w:vAlign w:val="center"/>
          </w:tcPr>
          <w:p>
            <w:r>
              <w:rPr>
                <w:b w:val="false"/>
                <w:bCs w:val="false"/>
                <w:color w:val="222222"/>
                <w:sz w:val="19"/>
                <w:szCs w:val="19"/>
              </w:rPr>
              <w:t xml:space="preserve">Week 26</w:t>
            </w:r>
          </w:p>
        </w:tc>
        <w:tc>
          <w:tcPr>
            <w:tcW w:type="dxa" w:w="4150"/>
            <w:shd w:fill="F4F7FB" w:val="clear"/>
            <w:tcMar>
              <w:top w:type="dxa" w:w="100"/>
              <w:left w:type="dxa" w:w="120"/>
              <w:bottom w:type="dxa" w:w="100"/>
              <w:right w:type="dxa" w:w="120"/>
            </w:tcMar>
            <w:vAlign w:val="center"/>
          </w:tcPr>
          <w:p>
            <w:r>
              <w:rPr>
                <w:b w:val="false"/>
                <w:bCs w:val="false"/>
                <w:color w:val="222222"/>
                <w:sz w:val="19"/>
                <w:szCs w:val="19"/>
              </w:rPr>
              <w:t xml:space="preserve">Final report, architecture defense, live demo</w:t>
            </w:r>
          </w:p>
        </w:tc>
      </w:tr>
    </w:tbl>
    <w:p>
      <w:pPr>
        <w:pStyle w:val="Heading1"/>
        <w:spacing w:after="160" w:before="360"/>
      </w:pPr>
      <w:r>
        <w:rPr>
          <w:b/>
          <w:bCs/>
          <w:color w:val="1F4E8C"/>
          <w:sz w:val="30"/>
          <w:szCs w:val="30"/>
        </w:rPr>
        <w:t xml:space="preserve">7. Evaluation Metrics</w:t>
      </w:r>
    </w:p>
    <w:p>
      <w:pPr>
        <w:pStyle w:val="ListParagraph"/>
        <w:numPr>
          <w:ilvl w:val="0"/>
          <w:numId w:val="3"/>
        </w:numPr>
        <w:spacing w:after="90" w:line="280"/>
      </w:pPr>
      <w:r>
        <w:rPr>
          <w:color w:val="222222"/>
          <w:sz w:val="21"/>
          <w:szCs w:val="21"/>
        </w:rPr>
        <w:t xml:space="preserve">Correctness — homomorphically computed aggregates (covariance, expected returns) match plaintext computation within CKKS's expected approximation error.</w:t>
      </w:r>
    </w:p>
    <w:p>
      <w:pPr>
        <w:pStyle w:val="ListParagraph"/>
        <w:numPr>
          <w:ilvl w:val="0"/>
          <w:numId w:val="3"/>
        </w:numPr>
        <w:spacing w:after="90" w:line="280"/>
      </w:pPr>
      <w:r>
        <w:rPr>
          <w:color w:val="222222"/>
          <w:sz w:val="21"/>
          <w:szCs w:val="21"/>
        </w:rPr>
        <w:t xml:space="preserve">Privacy — no component other than the client can reconstruct raw holdings; formally argued via the RLWE hardness assumption, and empirically checked by inspecting server-side memory/logs during a run.</w:t>
      </w:r>
    </w:p>
    <w:p>
      <w:pPr>
        <w:pStyle w:val="ListParagraph"/>
        <w:numPr>
          <w:ilvl w:val="0"/>
          <w:numId w:val="3"/>
        </w:numPr>
        <w:spacing w:after="90" w:line="280"/>
      </w:pPr>
      <w:r>
        <w:rPr>
          <w:color w:val="222222"/>
          <w:sz w:val="21"/>
          <w:szCs w:val="21"/>
        </w:rPr>
        <w:t xml:space="preserve">Obfuscation fidelity — the QUBO obfuscation module's reconstructed solution matches the true (unobfuscated) optimum, following the accuracy standard reported in the reference technique.</w:t>
      </w:r>
    </w:p>
    <w:p>
      <w:pPr>
        <w:pStyle w:val="ListParagraph"/>
        <w:numPr>
          <w:ilvl w:val="0"/>
          <w:numId w:val="3"/>
        </w:numPr>
        <w:spacing w:after="90" w:line="280"/>
      </w:pPr>
      <w:r>
        <w:rPr>
          <w:color w:val="222222"/>
          <w:sz w:val="21"/>
          <w:szCs w:val="21"/>
        </w:rPr>
        <w:t xml:space="preserve">Optimization quality — Sharpe ratio and portfolio turnover of the QAOA-derived allocation, benchmarked against a classical mean-variance optimizer on the same historical data.</w:t>
      </w:r>
    </w:p>
    <w:p>
      <w:pPr>
        <w:pStyle w:val="ListParagraph"/>
        <w:numPr>
          <w:ilvl w:val="0"/>
          <w:numId w:val="3"/>
        </w:numPr>
        <w:spacing w:after="90" w:line="280"/>
      </w:pPr>
      <w:r>
        <w:rPr>
          <w:color w:val="222222"/>
          <w:sz w:val="21"/>
          <w:szCs w:val="21"/>
        </w:rPr>
        <w:t xml:space="preserve">Latency overhead — end-to-end response time compared to an equivalent plaintext, non-agentic baseline, to quantify the practical cost of the privacy and quantum-simulation layers.</w:t>
      </w:r>
    </w:p>
    <w:p>
      <w:pPr>
        <w:pStyle w:val="Heading1"/>
        <w:spacing w:after="160" w:before="360"/>
      </w:pPr>
      <w:r>
        <w:rPr>
          <w:b/>
          <w:bCs/>
          <w:color w:val="1F4E8C"/>
          <w:sz w:val="30"/>
          <w:szCs w:val="30"/>
        </w:rPr>
        <w:t xml:space="preserve">8. Limitations and Future Work</w:t>
      </w:r>
    </w:p>
    <w:p>
      <w:pPr>
        <w:spacing w:after="160" w:line="300"/>
        <w:jc w:val="both"/>
      </w:pPr>
      <w:r>
        <w:rPr>
          <w:i w:val="false"/>
          <w:iCs w:val="false"/>
          <w:color w:val="222222"/>
          <w:sz w:val="21"/>
          <w:szCs w:val="21"/>
        </w:rPr>
        <w:t xml:space="preserve">This project deliberately does not implement true quantum homomorphic encryption (computation performed directly on encrypted quantum states) — current demonstrations of that technique are limited to low-complexity circuits on photonic hardware and are not a realistic target for a final-year implementation. It is documented here as an explicit future-work direction rather than an overstated claim.</w:t>
      </w:r>
    </w:p>
    <w:p>
      <w:pPr>
        <w:spacing w:after="160" w:line="300"/>
        <w:jc w:val="both"/>
      </w:pPr>
      <w:r>
        <w:rPr>
          <w:i w:val="false"/>
          <w:iCs w:val="false"/>
          <w:color w:val="222222"/>
          <w:sz w:val="21"/>
          <w:szCs w:val="21"/>
        </w:rPr>
        <w:t xml:space="preserve">The QAOA layer runs in simulation (PennyLane/Qiskit simulators) rather than on physical quantum hardware, consistent with standard practice in the cited literature at this problem size; porting to a real NISQ backend (e.g., IBM Quantum's free tier) is listed as a stretch goal, with the expectation of added circuit noise affecting solution quality. The simulated BB84 channel is a demonstration of the pattern, not a claim of unconditional security over an actual quantum network, which would require physical quantum-network infrastructure outside the scope of this project.</w:t>
      </w:r>
    </w:p>
    <w:p>
      <w:pPr>
        <w:pStyle w:val="Heading1"/>
        <w:spacing w:after="160" w:before="360"/>
      </w:pPr>
      <w:r>
        <w:rPr>
          <w:b/>
          <w:bCs/>
          <w:color w:val="1F4E8C"/>
          <w:sz w:val="30"/>
          <w:szCs w:val="30"/>
        </w:rPr>
        <w:t xml:space="preserve">9. References</w:t>
      </w:r>
    </w:p>
    <w:p>
      <w:pPr>
        <w:spacing w:after="140" w:line="270"/>
        <w:ind w:left="400" w:hanging="400"/>
      </w:pPr>
      <w:r>
        <w:rPr>
          <w:color w:val="222222"/>
          <w:sz w:val="20"/>
          <w:szCs w:val="20"/>
        </w:rPr>
        <w:t xml:space="preserve">Alquwayfili, A. (2025). Quantigence: A Multi-Agent AI Framework for Quantum Security Research. arXiv:2512.12989.</w:t>
      </w:r>
    </w:p>
    <w:p>
      <w:pPr>
        <w:spacing w:after="140" w:line="270"/>
        <w:ind w:left="400" w:hanging="400"/>
      </w:pPr>
      <w:r>
        <w:rPr>
          <w:color w:val="222222"/>
          <w:sz w:val="20"/>
          <w:szCs w:val="20"/>
        </w:rPr>
        <w:t xml:space="preserve">Avizheh, S., Mallick, T., Oprea, A., Nita-Rotaru, C., &amp; Safavi-Naini, R. (2026). MAGIQ: A Post-Quantum Multi-Agentic AI Governance System with Provable Security. arXiv:2605.06933.</w:t>
      </w:r>
    </w:p>
    <w:p>
      <w:pPr>
        <w:spacing w:after="140" w:line="270"/>
        <w:ind w:left="400" w:hanging="400"/>
      </w:pPr>
      <w:r>
        <w:rPr>
          <w:color w:val="222222"/>
          <w:sz w:val="20"/>
          <w:szCs w:val="20"/>
        </w:rPr>
        <w:t xml:space="preserve">Post-Quantum Cryptography Migration for Agentic AI Systems (2026). Computers, MDPI. https://doi.org/10.3390/computers15070434</w:t>
      </w:r>
    </w:p>
    <w:p>
      <w:pPr>
        <w:spacing w:after="140" w:line="270"/>
        <w:ind w:left="400" w:hanging="400"/>
      </w:pPr>
      <w:r>
        <w:rPr>
          <w:color w:val="222222"/>
          <w:sz w:val="20"/>
          <w:szCs w:val="20"/>
        </w:rPr>
        <w:t xml:space="preserve">Yao, Y., Xiao, W., Chen, M., Liu, A., Liu, Z., Chen, M., Farouk, A., &amp; Song, H. (2026). Lightweight Quantum Agent for Edge Systems: Joint PQC and NOMA Resource Allocation. arXiv:2604.25980.</w:t>
      </w:r>
    </w:p>
    <w:p>
      <w:pPr>
        <w:spacing w:after="140" w:line="270"/>
        <w:ind w:left="400" w:hanging="400"/>
      </w:pPr>
      <w:r>
        <w:rPr>
          <w:color w:val="222222"/>
          <w:sz w:val="20"/>
          <w:szCs w:val="20"/>
        </w:rPr>
        <w:t xml:space="preserve">Shi, R., Liu, Y., Feng, Y., Ai, L., Shi, B., &amp; Liu, Z. (2025). Hide-and-Shill: A Reinforcement Learning Framework for Market Manipulation Detection in Symphony. arXiv:2507.09179.</w:t>
      </w:r>
    </w:p>
    <w:p>
      <w:pPr>
        <w:spacing w:after="140" w:line="270"/>
        <w:ind w:left="400" w:hanging="400"/>
      </w:pPr>
      <w:r>
        <w:rPr>
          <w:color w:val="222222"/>
          <w:sz w:val="20"/>
          <w:szCs w:val="20"/>
        </w:rPr>
        <w:t xml:space="preserve">Quantum Finance and Fuzzy Reinforcement Learning-Based Multi-agent Trading System (QF-FRL) (2024). International Journal of Fuzzy Systems, Springer.</w:t>
      </w:r>
    </w:p>
    <w:p>
      <w:pPr>
        <w:spacing w:after="140" w:line="270"/>
        <w:ind w:left="400" w:hanging="400"/>
      </w:pPr>
      <w:r>
        <w:rPr>
          <w:color w:val="222222"/>
          <w:sz w:val="20"/>
          <w:szCs w:val="20"/>
        </w:rPr>
        <w:t xml:space="preserve">Chen, C.-S., Zhang, X., &amp; Chen, Y.-C. (2025). Quantum Reinforcement Learning Trading Agent for Sector Rotation in the Taiwan Stock Market. arXiv:2506.20930.</w:t>
      </w:r>
    </w:p>
    <w:p>
      <w:pPr>
        <w:spacing w:after="140" w:line="270"/>
        <w:ind w:left="400" w:hanging="400"/>
      </w:pPr>
      <w:r>
        <w:rPr>
          <w:color w:val="222222"/>
          <w:sz w:val="20"/>
          <w:szCs w:val="20"/>
        </w:rPr>
        <w:t xml:space="preserve">Mancilla, J., Bouloumis, T. D., &amp; Goguikian, F. (2026). Constrained Portfolio Optimization via Quantum Approximate Optimization Algorithm (QAOA) with XY-Mixers and Trotterized Initialization. arXiv:2602.14827.</w:t>
      </w:r>
    </w:p>
    <w:p>
      <w:pPr>
        <w:spacing w:after="140" w:line="270"/>
        <w:ind w:left="400" w:hanging="400"/>
      </w:pPr>
      <w:r>
        <w:rPr>
          <w:color w:val="222222"/>
          <w:sz w:val="20"/>
          <w:szCs w:val="20"/>
        </w:rPr>
        <w:t xml:space="preserve">Experimental Evaluation of Post-Quantum Homomorphic Encryption for Privacy-Preserving I2I Communication in ITS (2025). arXiv:2508.02461.</w:t>
      </w:r>
    </w:p>
    <w:p>
      <w:pPr>
        <w:spacing w:after="140" w:line="270"/>
        <w:ind w:left="400" w:hanging="400"/>
      </w:pPr>
      <w:r>
        <w:rPr>
          <w:color w:val="222222"/>
          <w:sz w:val="20"/>
          <w:szCs w:val="20"/>
        </w:rPr>
        <w:t xml:space="preserve">Qian, L., Li, Y., &amp; Zhao, J. (2025). QuHE: Optimizing Utility-Cost in Quantum Key Distribution and Homomorphic Encryption Enabled Secure Edge Computing Networks. arXiv:2507.06086.</w:t>
      </w:r>
    </w:p>
    <w:p>
      <w:pPr>
        <w:spacing w:after="140" w:line="270"/>
        <w:ind w:left="400" w:hanging="400"/>
      </w:pPr>
      <w:r>
        <w:rPr>
          <w:color w:val="222222"/>
          <w:sz w:val="20"/>
          <w:szCs w:val="20"/>
        </w:rPr>
        <w:t xml:space="preserve">Xie, M., Zhang, Y., Zhong, S., &amp; Li, Q. (2024). Privacy-Preserving Quantum Annealing for Quadratic Unconstrained Binary Optimization (QUBO) Problems. arXiv:2409.18601.</w:t>
      </w:r>
    </w:p>
    <w:p>
      <w:pPr>
        <w:spacing w:after="140" w:line="270"/>
        <w:ind w:left="400" w:hanging="400"/>
      </w:pPr>
      <w:r>
        <w:rPr>
          <w:color w:val="222222"/>
          <w:sz w:val="20"/>
          <w:szCs w:val="20"/>
        </w:rPr>
        <w:t xml:space="preserve">Quantum Homomorphic Encryption: Towards Practical and Private Computation on Untrusted Quantum Hardware (2026). arXiv:2604.19256.</w:t>
      </w:r>
    </w:p>
    <w:p>
      <w:pPr>
        <w:spacing w:after="140" w:line="270"/>
        <w:ind w:left="400" w:hanging="400"/>
      </w:pPr>
      <w:r>
        <w:rPr>
          <w:color w:val="222222"/>
          <w:sz w:val="20"/>
          <w:szCs w:val="20"/>
        </w:rPr>
        <w:t xml:space="preserve">Parkes, D. C., &amp; Thorpe, C. A. et al. Achieving Trust without Disclosure: Dark Pools and a Role for Secrecy-Preserving Verification.</w:t>
      </w:r>
    </w:p>
    <w:p>
      <w:pPr>
        <w:spacing w:after="140" w:line="270"/>
        <w:ind w:left="400" w:hanging="400"/>
      </w:pPr>
      <w:r>
        <w:rPr>
          <w:color w:val="222222"/>
          <w:sz w:val="20"/>
          <w:szCs w:val="20"/>
        </w:rPr>
        <w:t xml:space="preserve">A Survey on the Applications of Zero-Knowledge Proofs (2024). arXiv:2408.00243.</w:t>
      </w:r>
    </w:p>
    <w:p>
      <w:pPr>
        <w:spacing w:after="140" w:line="270"/>
        <w:ind w:left="400" w:hanging="400"/>
      </w:pPr>
      <w:r>
        <w:rPr>
          <w:color w:val="222222"/>
          <w:sz w:val="20"/>
          <w:szCs w:val="20"/>
        </w:rPr>
        <w:t xml:space="preserve">Unveiling Privacy Risks in Quantum Optimization Services (2025). Proceedings of the 20th ACM ASIA Conference on Computer and Communications Security.</w:t>
      </w:r>
    </w:p>
    <w:p>
      <w:pPr>
        <w:spacing w:after="140" w:line="270"/>
        <w:ind w:left="400" w:hanging="400"/>
      </w:pPr>
      <w:r>
        <w:rPr>
          <w:color w:val="222222"/>
          <w:sz w:val="20"/>
          <w:szCs w:val="20"/>
        </w:rPr>
        <w:t xml:space="preserve">Byrd, D. et al. Stock Market Microstructure Inference via Multi-Agent Reinforcement Learning. arXiv:1909.07748.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6"/>
        <w:szCs w:val="16"/>
      </w:rPr>
      <w:t xml:space="preserve">Privacy-Preserving Quantum-Enhanced Agentic Advisor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90396383e37031a3d7c27308b1e0d34374e98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2026-08-20T03:16:49.819Z</dcterms:created>
  <dcterms:modified xsi:type="dcterms:W3CDTF">2026-08-20T03:16:49.832Z</dcterms:modified>
</cp:coreProperties>
</file>

<file path=docProps/custom.xml><?xml version="1.0" encoding="utf-8"?>
<Properties xmlns="http://schemas.openxmlformats.org/officeDocument/2006/custom-properties" xmlns:vt="http://schemas.openxmlformats.org/officeDocument/2006/docPropsVTypes"/>
</file>