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Calibri" w:cs="Calibri" w:eastAsia="Calibri" w:hAnsi="Calibri"/>
          <w:b/>
          <w:bCs/>
          <w:color w:val="1B2A4A"/>
          <w:sz w:val="96"/>
          <w:szCs w:val="96"/>
        </w:rPr>
        <w:t xml:space="preserve">VIGIL</w:t>
      </w:r>
    </w:p>
    <w:p>
      <w:pPr>
        <w:spacing w:after="320" w:before="0"/>
        <w:jc w:val="center"/>
      </w:pPr>
      <w:r>
        <w:rPr>
          <w:rFonts w:ascii="Calibri" w:cs="Calibri" w:eastAsia="Calibri" w:hAnsi="Calibri"/>
          <w:i/>
          <w:iCs/>
          <w:color w:val="0D7377"/>
          <w:sz w:val="32"/>
          <w:szCs w:val="32"/>
        </w:rPr>
        <w:t xml:space="preserve">“Always watching. Always ready.”</w:t>
      </w:r>
    </w:p>
    <w:p>
      <w:pPr>
        <w:pBdr>
          <w:bottom w:val="single" w:color="0D7377" w:sz="6" w:space="1"/>
        </w:pBdr>
        <w:spacing w:after="320" w:before="0"/>
        <w:jc w:val="center"/>
      </w:pPr>
    </w:p>
    <w:p>
      <w:pPr>
        <w:spacing w:after="160" w:before="0"/>
        <w:jc w:val="center"/>
      </w:pPr>
      <w:r>
        <w:rPr>
          <w:rFonts w:ascii="Calibri" w:cs="Calibri" w:eastAsia="Calibri" w:hAnsi="Calibri"/>
          <w:b/>
          <w:bCs/>
          <w:color w:val="4A5568"/>
          <w:sz w:val="40"/>
          <w:szCs w:val="40"/>
        </w:rPr>
        <w:t xml:space="preserve">Product Requirements Document</w:t>
      </w:r>
    </w:p>
    <w:p>
      <w:pPr>
        <w:spacing w:after="480" w:before="0"/>
        <w:jc w:val="center"/>
      </w:pPr>
      <w:r>
        <w:rPr>
          <w:rFonts w:ascii="Calibri" w:cs="Calibri" w:eastAsia="Calibri" w:hAnsi="Calibri"/>
          <w:color w:val="4A5568"/>
          <w:sz w:val="26"/>
          <w:szCs w:val="26"/>
        </w:rPr>
        <w:t xml:space="preserve">Powered by ARIA — Advanced Risk Intelligence Analytics</w:t>
      </w:r>
    </w:p>
    <w:p>
      <w:pPr>
        <w:spacing w:after="0" w:before="480"/>
      </w:pPr>
      <w:r>
        <w:t xml:space="preserve"/>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Calibri" w:cs="Calibri" w:eastAsia="Calibri" w:hAnsi="Calibri"/>
                <w:b/>
                <w:bCs/>
                <w:color w:val="4A5568"/>
                <w:sz w:val="22"/>
                <w:szCs w:val="22"/>
              </w:rPr>
              <w:t xml:space="preserve">Version</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Calibri" w:cs="Calibri" w:eastAsia="Calibri" w:hAnsi="Calibri"/>
                <w:color w:val="2D3748"/>
                <w:sz w:val="22"/>
                <w:szCs w:val="22"/>
              </w:rPr>
              <w:t xml:space="preserve">1.0</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Calibri" w:cs="Calibri" w:eastAsia="Calibri" w:hAnsi="Calibri"/>
                <w:b/>
                <w:bCs/>
                <w:color w:val="4A5568"/>
                <w:sz w:val="22"/>
                <w:szCs w:val="22"/>
              </w:rPr>
              <w:t xml:space="preserve">Date</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Calibri" w:cs="Calibri" w:eastAsia="Calibri" w:hAnsi="Calibri"/>
                <w:color w:val="2D3748"/>
                <w:sz w:val="22"/>
                <w:szCs w:val="22"/>
              </w:rPr>
              <w:t xml:space="preserve">May 2026</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Calibri" w:cs="Calibri" w:eastAsia="Calibri" w:hAnsi="Calibri"/>
                <w:b/>
                <w:bCs/>
                <w:color w:val="4A5568"/>
                <w:sz w:val="22"/>
                <w:szCs w:val="22"/>
              </w:rPr>
              <w:t xml:space="preserve">Status</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Calibri" w:cs="Calibri" w:eastAsia="Calibri" w:hAnsi="Calibri"/>
                <w:color w:val="2D3748"/>
                <w:sz w:val="22"/>
                <w:szCs w:val="22"/>
              </w:rPr>
              <w:t xml:space="preserve">Draft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Calibri" w:cs="Calibri" w:eastAsia="Calibri" w:hAnsi="Calibri"/>
                <w:b/>
                <w:bCs/>
                <w:color w:val="4A5568"/>
                <w:sz w:val="22"/>
                <w:szCs w:val="22"/>
              </w:rPr>
              <w:t xml:space="preserve">Classification</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Calibri" w:cs="Calibri" w:eastAsia="Calibri" w:hAnsi="Calibri"/>
                <w:color w:val="2D3748"/>
                <w:sz w:val="22"/>
                <w:szCs w:val="22"/>
              </w:rPr>
              <w:t xml:space="preserve">Internal / Confidential</w:t>
            </w:r>
          </w:p>
        </w:tc>
      </w:tr>
    </w:tbl>
    <w:p>
      <w:r>
        <w:br w:type="page"/>
      </w:r>
    </w:p>
    <w:p>
      <w:pPr>
        <w:sectPr>
          <w:pgSz w:w="12240" w:h="15840"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rPr>
        <w:t xml:space="preserve">1. Executive Summary</w:t>
      </w:r>
    </w:p>
    <w:p>
      <w:pPr>
        <w:pBdr>
          <w:bottom w:val="single" w:color="0D7377" w:sz="4" w:space="1"/>
        </w:pBdr>
        <w:spacing w:after="120" w:before="120"/>
      </w:pPr>
    </w:p>
    <w:p>
      <w:pPr>
        <w:spacing w:after="80" w:before="80"/>
      </w:pPr>
      <w:r>
        <w:rPr>
          <w:rFonts w:ascii="Calibri" w:cs="Calibri" w:eastAsia="Calibri" w:hAnsi="Calibri"/>
          <w:color w:val="2D3748"/>
          <w:sz w:val="22"/>
          <w:szCs w:val="22"/>
        </w:rPr>
        <w:t xml:space="preserve">Vigil is an enterprise-grade threat intelligence and risk analytics platform that gives Security Operations Center (SOC) teams real-time visibility into threats, explainable risk scores, and compliance-ready audit evidence — all from a single command center.</w:t>
      </w:r>
    </w:p>
    <w:p>
      <w:pPr>
        <w:spacing w:after="80" w:before="80"/>
      </w:pPr>
      <w:r>
        <w:rPr>
          <w:rFonts w:ascii="Calibri" w:cs="Calibri" w:eastAsia="Calibri" w:hAnsi="Calibri"/>
          <w:color w:val="2D3748"/>
          <w:sz w:val="22"/>
          <w:szCs w:val="22"/>
        </w:rPr>
        <w:t xml:space="preserve">At its core, Vigil is powered by ARIA (Advanced Risk Intelligence Analytics), a hybrid batch and streaming data engine that continuously ingests threat data from public and proprietary feeds, processes it through a rules-based scoring engine, and serves actionable intelligence to analysts, managers, and executives.</w:t>
      </w:r>
    </w:p>
    <w:p>
      <w:pPr>
        <w:spacing w:after="0" w:before="80"/>
      </w:pPr>
      <w:r>
        <w:t xml:space="preserve"/>
      </w:r>
    </w:p>
    <w:p>
      <w:pPr>
        <w:spacing w:after="200" w:before="80"/>
      </w:pPr>
      <w:r>
        <w:rPr>
          <w:rFonts w:ascii="Calibri" w:cs="Calibri" w:eastAsia="Calibri" w:hAnsi="Calibri"/>
          <w:b/>
          <w:bCs/>
          <w:color w:val="0D7377"/>
          <w:sz w:val="22"/>
          <w:szCs w:val="22"/>
        </w:rPr>
        <w:t xml:space="preserve">Mission:  </w:t>
      </w:r>
      <w:r>
        <w:rPr>
          <w:rFonts w:ascii="Calibri" w:cs="Calibri" w:eastAsia="Calibri" w:hAnsi="Calibri"/>
          <w:i/>
          <w:iCs/>
          <w:color w:val="2D3748"/>
          <w:sz w:val="22"/>
          <w:szCs w:val="22"/>
        </w:rPr>
        <w:t xml:space="preserve">Reduce the time from threat signal to analyst action — and make every risk score explainable to both engineers and boardrooms.</w:t>
      </w:r>
    </w:p>
    <w:p>
      <w:pPr>
        <w:pStyle w:val="Heading1"/>
        <w:spacing w:after="160" w:before="320"/>
      </w:pPr>
      <w:r>
        <w:rPr>
          <w:rFonts w:ascii="Calibri" w:cs="Calibri" w:eastAsia="Calibri" w:hAnsi="Calibri"/>
          <w:b/>
          <w:bCs/>
        </w:rPr>
        <w:t xml:space="preserve">2. Problem Statement</w:t>
      </w:r>
    </w:p>
    <w:p>
      <w:pPr>
        <w:pBdr>
          <w:bottom w:val="single" w:color="0D7377" w:sz="4" w:space="1"/>
        </w:pBdr>
        <w:spacing w:after="120" w:before="120"/>
      </w:pPr>
    </w:p>
    <w:p>
      <w:pPr>
        <w:spacing w:after="80" w:before="80"/>
      </w:pPr>
      <w:r>
        <w:rPr>
          <w:rFonts w:ascii="Calibri" w:cs="Calibri" w:eastAsia="Calibri" w:hAnsi="Calibri"/>
          <w:color w:val="2D3748"/>
          <w:sz w:val="22"/>
          <w:szCs w:val="22"/>
        </w:rPr>
        <w:t xml:space="preserve">Security teams today face three compounding problems:</w:t>
      </w:r>
    </w:p>
    <w:p>
      <w:pPr>
        <w:pStyle w:val="ListParagraph"/>
        <w:numPr>
          <w:ilvl w:val="0"/>
          <w:numId w:val="2"/>
        </w:numPr>
        <w:spacing w:after="40" w:before="40"/>
      </w:pPr>
      <w:r>
        <w:rPr>
          <w:rFonts w:ascii="Calibri" w:cs="Calibri" w:eastAsia="Calibri" w:hAnsi="Calibri"/>
          <w:b/>
          <w:bCs/>
          <w:color w:val="2D3748"/>
          <w:sz w:val="22"/>
          <w:szCs w:val="22"/>
        </w:rPr>
        <w:t xml:space="preserve">1.  </w:t>
      </w:r>
      <w:r>
        <w:rPr>
          <w:rFonts w:ascii="Calibri" w:cs="Calibri" w:eastAsia="Calibri" w:hAnsi="Calibri"/>
          <w:color w:val="2D3748"/>
          <w:sz w:val="22"/>
          <w:szCs w:val="22"/>
        </w:rPr>
        <w:t xml:space="preserve"> Alert fatigue — SIEMs flood analysts with thousands of undifferentiated alerts, making effective triage nearly impossible.</w:t>
      </w:r>
    </w:p>
    <w:p>
      <w:pPr>
        <w:pStyle w:val="ListParagraph"/>
        <w:numPr>
          <w:ilvl w:val="0"/>
          <w:numId w:val="2"/>
        </w:numPr>
        <w:spacing w:after="40" w:before="40"/>
      </w:pPr>
      <w:r>
        <w:rPr>
          <w:rFonts w:ascii="Calibri" w:cs="Calibri" w:eastAsia="Calibri" w:hAnsi="Calibri"/>
          <w:b/>
          <w:bCs/>
          <w:color w:val="2D3748"/>
          <w:sz w:val="22"/>
          <w:szCs w:val="22"/>
        </w:rPr>
        <w:t xml:space="preserve">2.  </w:t>
      </w:r>
      <w:r>
        <w:rPr>
          <w:rFonts w:ascii="Calibri" w:cs="Calibri" w:eastAsia="Calibri" w:hAnsi="Calibri"/>
          <w:color w:val="2D3748"/>
          <w:sz w:val="22"/>
          <w:szCs w:val="22"/>
        </w:rPr>
        <w:t xml:space="preserve"> Opaque scoring — Risk scores from most tools are black boxes. Analysts cannot explain to leadership why an entity is high-risk.</w:t>
      </w:r>
    </w:p>
    <w:p>
      <w:pPr>
        <w:pStyle w:val="ListParagraph"/>
        <w:numPr>
          <w:ilvl w:val="0"/>
          <w:numId w:val="2"/>
        </w:numPr>
        <w:spacing w:after="40" w:before="40"/>
      </w:pPr>
      <w:r>
        <w:rPr>
          <w:rFonts w:ascii="Calibri" w:cs="Calibri" w:eastAsia="Calibri" w:hAnsi="Calibri"/>
          <w:b/>
          <w:bCs/>
          <w:color w:val="2D3748"/>
          <w:sz w:val="22"/>
          <w:szCs w:val="22"/>
        </w:rPr>
        <w:t xml:space="preserve">3.  </w:t>
      </w:r>
      <w:r>
        <w:rPr>
          <w:rFonts w:ascii="Calibri" w:cs="Calibri" w:eastAsia="Calibri" w:hAnsi="Calibri"/>
          <w:color w:val="2D3748"/>
          <w:sz w:val="22"/>
          <w:szCs w:val="22"/>
        </w:rPr>
        <w:t xml:space="preserve"> Fragmented compliance — Generating audit evidence for frameworks like PCI-DSS or SOC 2 is a manual, time-consuming process disconnected from live threat data.</w:t>
      </w:r>
    </w:p>
    <w:p>
      <w:pPr>
        <w:spacing w:after="0" w:before="80"/>
      </w:pPr>
      <w:r>
        <w:t xml:space="preserve"/>
      </w:r>
    </w:p>
    <w:p>
      <w:pPr>
        <w:spacing w:after="80" w:before="80"/>
      </w:pPr>
      <w:r>
        <w:rPr>
          <w:rFonts w:ascii="Calibri" w:cs="Calibri" w:eastAsia="Calibri" w:hAnsi="Calibri"/>
          <w:color w:val="2D3748"/>
          <w:sz w:val="22"/>
          <w:szCs w:val="22"/>
        </w:rPr>
        <w:t xml:space="preserve">Vigil solves all three by combining a real-time threat pipeline (ARIA) with an explainable, rule-based risk scoring engine and a built-in compliance evidence module.</w:t>
      </w:r>
    </w:p>
    <w:p>
      <w:pPr>
        <w:spacing w:after="0" w:before="80"/>
      </w:pPr>
      <w:r>
        <w:t xml:space="preserve"/>
      </w:r>
    </w:p>
    <w:p>
      <w:pPr>
        <w:pStyle w:val="Heading1"/>
        <w:spacing w:after="160" w:before="320"/>
      </w:pPr>
      <w:r>
        <w:rPr>
          <w:rFonts w:ascii="Calibri" w:cs="Calibri" w:eastAsia="Calibri" w:hAnsi="Calibri"/>
          <w:b/>
          <w:bCs/>
        </w:rPr>
        <w:t xml:space="preserve">3. Goals &amp; Success Metrics</w:t>
      </w:r>
    </w:p>
    <w:p>
      <w:pPr>
        <w:pBdr>
          <w:bottom w:val="single" w:color="0D7377" w:sz="4" w:space="1"/>
        </w:pBdr>
        <w:spacing w:after="120" w:before="120"/>
      </w:pPr>
    </w:p>
    <w:p>
      <w:pPr>
        <w:pStyle w:val="Heading2"/>
        <w:spacing w:after="120" w:before="240"/>
      </w:pPr>
      <w:r>
        <w:rPr>
          <w:rFonts w:ascii="Calibri" w:cs="Calibri" w:eastAsia="Calibri" w:hAnsi="Calibri"/>
          <w:b/>
          <w:bCs/>
        </w:rPr>
        <w:t xml:space="preserve">3.1  Primary Goals</w:t>
      </w:r>
    </w:p>
    <w:p>
      <w:pPr>
        <w:pStyle w:val="ListParagraph"/>
        <w:numPr>
          <w:ilvl w:val="0"/>
          <w:numId w:val="2"/>
        </w:numPr>
        <w:spacing w:after="40" w:before="40"/>
      </w:pPr>
      <w:r>
        <w:rPr>
          <w:rFonts w:ascii="Calibri" w:cs="Calibri" w:eastAsia="Calibri" w:hAnsi="Calibri"/>
          <w:color w:val="2D3748"/>
          <w:sz w:val="22"/>
          <w:szCs w:val="22"/>
        </w:rPr>
        <w:t xml:space="preserve">Reduce Mean Time to Triage (MTTT) by 60% vs. manual SIEM workflows</w:t>
      </w:r>
    </w:p>
    <w:p>
      <w:pPr>
        <w:pStyle w:val="ListParagraph"/>
        <w:numPr>
          <w:ilvl w:val="0"/>
          <w:numId w:val="2"/>
        </w:numPr>
        <w:spacing w:after="40" w:before="40"/>
      </w:pPr>
      <w:r>
        <w:rPr>
          <w:rFonts w:ascii="Calibri" w:cs="Calibri" w:eastAsia="Calibri" w:hAnsi="Calibri"/>
          <w:color w:val="2D3748"/>
          <w:sz w:val="22"/>
          <w:szCs w:val="22"/>
        </w:rPr>
        <w:t xml:space="preserve">Achieve 100% explainability for every risk score surfaced to analysts</w:t>
      </w:r>
    </w:p>
    <w:p>
      <w:pPr>
        <w:pStyle w:val="ListParagraph"/>
        <w:numPr>
          <w:ilvl w:val="0"/>
          <w:numId w:val="2"/>
        </w:numPr>
        <w:spacing w:after="40" w:before="40"/>
      </w:pPr>
      <w:r>
        <w:rPr>
          <w:rFonts w:ascii="Calibri" w:cs="Calibri" w:eastAsia="Calibri" w:hAnsi="Calibri"/>
          <w:color w:val="2D3748"/>
          <w:sz w:val="22"/>
          <w:szCs w:val="22"/>
        </w:rPr>
        <w:t xml:space="preserve">Reduce compliance evidence preparation time from days to minutes</w:t>
      </w:r>
    </w:p>
    <w:p>
      <w:pPr>
        <w:pStyle w:val="ListParagraph"/>
        <w:numPr>
          <w:ilvl w:val="0"/>
          <w:numId w:val="2"/>
        </w:numPr>
        <w:spacing w:after="40" w:before="40"/>
      </w:pPr>
      <w:r>
        <w:rPr>
          <w:rFonts w:ascii="Calibri" w:cs="Calibri" w:eastAsia="Calibri" w:hAnsi="Calibri"/>
          <w:color w:val="2D3748"/>
          <w:sz w:val="22"/>
          <w:szCs w:val="22"/>
        </w:rPr>
        <w:t xml:space="preserve">Support organisations from 50 to 50,000+ users without architectural changes</w:t>
      </w:r>
    </w:p>
    <w:p>
      <w:pPr>
        <w:spacing w:after="0" w:before="120"/>
      </w:pPr>
      <w:r>
        <w:t xml:space="preserve"/>
      </w:r>
    </w:p>
    <w:p>
      <w:pPr>
        <w:pStyle w:val="Heading2"/>
        <w:spacing w:after="120" w:before="240"/>
      </w:pPr>
      <w:r>
        <w:rPr>
          <w:rFonts w:ascii="Calibri" w:cs="Calibri" w:eastAsia="Calibri" w:hAnsi="Calibri"/>
          <w:b/>
          <w:bCs/>
        </w:rPr>
        <w:t xml:space="preserve">3.2  Key Success Metrics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Metric</w:t>
            </w:r>
          </w:p>
        </w:tc>
        <w:tc>
          <w:tcPr>
            <w:tcW w:type="dxa" w:w="55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Target</w:t>
            </w:r>
          </w:p>
        </w:tc>
      </w:tr>
      <w:tr>
        <w:tc>
          <w:tcPr>
            <w:tcW w:type="dxa" w:w="4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API availability</w:t>
            </w:r>
          </w:p>
        </w:tc>
        <w:tc>
          <w:tcPr>
            <w:tcW w:type="dxa" w:w="55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99.5% (rolling 24 h)</w:t>
            </w:r>
          </w:p>
        </w:tc>
      </w:tr>
      <w:tr>
        <w:tc>
          <w:tcPr>
            <w:tcW w:type="dxa" w:w="4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API p95 response latency</w:t>
            </w:r>
          </w:p>
        </w:tc>
        <w:tc>
          <w:tcPr>
            <w:tcW w:type="dxa" w:w="55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750 ms</w:t>
            </w:r>
          </w:p>
        </w:tc>
      </w:tr>
      <w:tr>
        <w:tc>
          <w:tcPr>
            <w:tcW w:type="dxa" w:w="4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Stream data freshness</w:t>
            </w:r>
          </w:p>
        </w:tc>
        <w:tc>
          <w:tcPr>
            <w:tcW w:type="dxa" w:w="55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15 minutes lag</w:t>
            </w:r>
          </w:p>
        </w:tc>
      </w:tr>
      <w:tr>
        <w:tc>
          <w:tcPr>
            <w:tcW w:type="dxa" w:w="4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Risk score explainability</w:t>
            </w:r>
          </w:p>
        </w:tc>
        <w:tc>
          <w:tcPr>
            <w:tcW w:type="dxa" w:w="55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100% of scores carry human-readable reasons</w:t>
            </w:r>
          </w:p>
        </w:tc>
      </w:tr>
      <w:tr>
        <w:tc>
          <w:tcPr>
            <w:tcW w:type="dxa" w:w="4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Compliance export time</w:t>
            </w:r>
          </w:p>
        </w:tc>
        <w:tc>
          <w:tcPr>
            <w:tcW w:type="dxa" w:w="55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&lt; 60 seconds for any supported framework</w:t>
            </w:r>
          </w:p>
        </w:tc>
      </w:tr>
      <w:tr>
        <w:tc>
          <w:tcPr>
            <w:tcW w:type="dxa" w:w="4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Analyst onboarding time</w:t>
            </w:r>
          </w:p>
        </w:tc>
        <w:tc>
          <w:tcPr>
            <w:tcW w:type="dxa" w:w="55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&lt; 30 minutes from login to first triage</w:t>
            </w:r>
          </w:p>
        </w:tc>
      </w:tr>
    </w:tbl>
    <w:p>
      <w:pPr>
        <w:spacing w:after="0" w:before="160"/>
      </w:pPr>
      <w:r>
        <w:t xml:space="preserve"/>
      </w:r>
    </w:p>
    <w:p>
      <w:pPr>
        <w:pStyle w:val="Heading1"/>
        <w:spacing w:after="160" w:before="320"/>
      </w:pPr>
      <w:r>
        <w:rPr>
          <w:rFonts w:ascii="Calibri" w:cs="Calibri" w:eastAsia="Calibri" w:hAnsi="Calibri"/>
          <w:b/>
          <w:bCs/>
        </w:rPr>
        <w:t xml:space="preserve">4. Target Audience &amp; Personas</w:t>
      </w:r>
    </w:p>
    <w:p>
      <w:pPr>
        <w:pBdr>
          <w:bottom w:val="single" w:color="0D7377" w:sz="4" w:space="1"/>
        </w:pBdr>
        <w:spacing w:after="120" w:before="120"/>
      </w:pPr>
    </w:p>
    <w:p>
      <w:pPr>
        <w:pStyle w:val="Heading2"/>
        <w:spacing w:after="120" w:before="240"/>
      </w:pPr>
      <w:r>
        <w:rPr>
          <w:rFonts w:ascii="Calibri" w:cs="Calibri" w:eastAsia="Calibri" w:hAnsi="Calibri"/>
          <w:b/>
          <w:bCs/>
        </w:rPr>
        <w:t xml:space="preserve">4.1  Primary Users</w:t>
      </w:r>
    </w:p>
    <w:p>
      <w:pPr>
        <w:pStyle w:val="Heading3"/>
        <w:spacing w:after="80" w:before="180"/>
      </w:pPr>
      <w:r>
        <w:rPr>
          <w:rFonts w:ascii="Calibri" w:cs="Calibri" w:eastAsia="Calibri" w:hAnsi="Calibri"/>
          <w:b/>
          <w:bCs/>
        </w:rPr>
        <w:t xml:space="preserve">L1 SOC Analyst</w:t>
      </w:r>
    </w:p>
    <w:p>
      <w:pPr>
        <w:pStyle w:val="ListParagraph"/>
        <w:numPr>
          <w:ilvl w:val="0"/>
          <w:numId w:val="2"/>
        </w:numPr>
        <w:spacing w:after="40" w:before="40"/>
      </w:pPr>
      <w:r>
        <w:rPr>
          <w:rFonts w:ascii="Calibri" w:cs="Calibri" w:eastAsia="Calibri" w:hAnsi="Calibri"/>
          <w:color w:val="2D3748"/>
          <w:sz w:val="22"/>
          <w:szCs w:val="22"/>
        </w:rPr>
        <w:t xml:space="preserve">Monitors the Vigil Command Center dashboard</w:t>
      </w:r>
    </w:p>
    <w:p>
      <w:pPr>
        <w:pStyle w:val="ListParagraph"/>
        <w:numPr>
          <w:ilvl w:val="0"/>
          <w:numId w:val="2"/>
        </w:numPr>
        <w:spacing w:after="40" w:before="40"/>
      </w:pPr>
      <w:r>
        <w:rPr>
          <w:rFonts w:ascii="Calibri" w:cs="Calibri" w:eastAsia="Calibri" w:hAnsi="Calibri"/>
          <w:color w:val="2D3748"/>
          <w:sz w:val="22"/>
          <w:szCs w:val="22"/>
        </w:rPr>
        <w:t xml:space="preserve">Triages incoming risk alerts and views entity risk queue</w:t>
      </w:r>
    </w:p>
    <w:p>
      <w:pPr>
        <w:pStyle w:val="ListParagraph"/>
        <w:numPr>
          <w:ilvl w:val="0"/>
          <w:numId w:val="2"/>
        </w:numPr>
        <w:spacing w:after="40" w:before="40"/>
      </w:pPr>
      <w:r>
        <w:rPr>
          <w:rFonts w:ascii="Calibri" w:cs="Calibri" w:eastAsia="Calibri" w:hAnsi="Calibri"/>
          <w:color w:val="2D3748"/>
          <w:sz w:val="22"/>
          <w:szCs w:val="22"/>
        </w:rPr>
        <w:t xml:space="preserve">Reads incident timelines; escalates to L2 — read-only access</w:t>
      </w:r>
    </w:p>
    <w:p>
      <w:pPr>
        <w:spacing w:after="0" w:before="80"/>
      </w:pPr>
      <w:r>
        <w:t xml:space="preserve"/>
      </w:r>
    </w:p>
    <w:p>
      <w:pPr>
        <w:pStyle w:val="Heading3"/>
        <w:spacing w:after="80" w:before="180"/>
      </w:pPr>
      <w:r>
        <w:rPr>
          <w:rFonts w:ascii="Calibri" w:cs="Calibri" w:eastAsia="Calibri" w:hAnsi="Calibri"/>
          <w:b/>
          <w:bCs/>
        </w:rPr>
        <w:t xml:space="preserve">L2 SOC Analyst</w:t>
      </w:r>
    </w:p>
    <w:p>
      <w:pPr>
        <w:pStyle w:val="ListParagraph"/>
        <w:numPr>
          <w:ilvl w:val="0"/>
          <w:numId w:val="2"/>
        </w:numPr>
        <w:spacing w:after="40" w:before="40"/>
      </w:pPr>
      <w:r>
        <w:rPr>
          <w:rFonts w:ascii="Calibri" w:cs="Calibri" w:eastAsia="Calibri" w:hAnsi="Calibri"/>
          <w:color w:val="2D3748"/>
          <w:sz w:val="22"/>
          <w:szCs w:val="22"/>
        </w:rPr>
        <w:t xml:space="preserve">Full investigation access across all dashboard views</w:t>
      </w:r>
    </w:p>
    <w:p>
      <w:pPr>
        <w:pStyle w:val="ListParagraph"/>
        <w:numPr>
          <w:ilvl w:val="0"/>
          <w:numId w:val="2"/>
        </w:numPr>
        <w:spacing w:after="40" w:before="40"/>
      </w:pPr>
      <w:r>
        <w:rPr>
          <w:rFonts w:ascii="Calibri" w:cs="Calibri" w:eastAsia="Calibri" w:hAnsi="Calibri"/>
          <w:color w:val="2D3748"/>
          <w:sz w:val="22"/>
          <w:szCs w:val="22"/>
        </w:rPr>
        <w:t xml:space="preserve">Acknowledges incidents, marks entities as investigated</w:t>
      </w:r>
    </w:p>
    <w:p>
      <w:pPr>
        <w:pStyle w:val="ListParagraph"/>
        <w:numPr>
          <w:ilvl w:val="0"/>
          <w:numId w:val="2"/>
        </w:numPr>
        <w:spacing w:after="40" w:before="40"/>
      </w:pPr>
      <w:r>
        <w:rPr>
          <w:rFonts w:ascii="Calibri" w:cs="Calibri" w:eastAsia="Calibri" w:hAnsi="Calibri"/>
          <w:color w:val="2D3748"/>
          <w:sz w:val="22"/>
          <w:szCs w:val="22"/>
        </w:rPr>
        <w:t xml:space="preserve">Primary responder for High and Critical risk entities</w:t>
      </w:r>
    </w:p>
    <w:p>
      <w:pPr>
        <w:spacing w:after="0" w:before="80"/>
      </w:pPr>
      <w:r>
        <w:t xml:space="preserve"/>
      </w:r>
    </w:p>
    <w:p>
      <w:pPr>
        <w:pStyle w:val="Heading3"/>
        <w:spacing w:after="80" w:before="180"/>
      </w:pPr>
      <w:r>
        <w:rPr>
          <w:rFonts w:ascii="Calibri" w:cs="Calibri" w:eastAsia="Calibri" w:hAnsi="Calibri"/>
          <w:b/>
          <w:bCs/>
        </w:rPr>
        <w:t xml:space="preserve">SOC Manager</w:t>
      </w:r>
    </w:p>
    <w:p>
      <w:pPr>
        <w:pStyle w:val="ListParagraph"/>
        <w:numPr>
          <w:ilvl w:val="0"/>
          <w:numId w:val="2"/>
        </w:numPr>
        <w:spacing w:after="40" w:before="40"/>
      </w:pPr>
      <w:r>
        <w:rPr>
          <w:rFonts w:ascii="Calibri" w:cs="Calibri" w:eastAsia="Calibri" w:hAnsi="Calibri"/>
          <w:color w:val="2D3748"/>
          <w:sz w:val="22"/>
          <w:szCs w:val="22"/>
        </w:rPr>
        <w:t xml:space="preserve">Oversees team workload and incident assignment</w:t>
      </w:r>
    </w:p>
    <w:p>
      <w:pPr>
        <w:pStyle w:val="ListParagraph"/>
        <w:numPr>
          <w:ilvl w:val="0"/>
          <w:numId w:val="2"/>
        </w:numPr>
        <w:spacing w:after="40" w:before="40"/>
      </w:pPr>
      <w:r>
        <w:rPr>
          <w:rFonts w:ascii="Calibri" w:cs="Calibri" w:eastAsia="Calibri" w:hAnsi="Calibri"/>
          <w:color w:val="2D3748"/>
          <w:sz w:val="22"/>
          <w:szCs w:val="22"/>
        </w:rPr>
        <w:t xml:space="preserve">Manages incident status and named analyst assignments</w:t>
      </w:r>
    </w:p>
    <w:p>
      <w:pPr>
        <w:pStyle w:val="ListParagraph"/>
        <w:numPr>
          <w:ilvl w:val="0"/>
          <w:numId w:val="2"/>
        </w:numPr>
        <w:spacing w:after="40" w:before="40"/>
      </w:pPr>
      <w:r>
        <w:rPr>
          <w:rFonts w:ascii="Calibri" w:cs="Calibri" w:eastAsia="Calibri" w:hAnsi="Calibri"/>
          <w:color w:val="2D3748"/>
          <w:sz w:val="22"/>
          <w:szCs w:val="22"/>
        </w:rPr>
        <w:t xml:space="preserve">Exports compliance evidence; accesses all workflow management actions</w:t>
      </w:r>
    </w:p>
    <w:p>
      <w:pPr>
        <w:spacing w:after="0" w:before="120"/>
      </w:pPr>
      <w:r>
        <w:t xml:space="preserve"/>
      </w:r>
    </w:p>
    <w:p>
      <w:pPr>
        <w:pStyle w:val="Heading2"/>
        <w:spacing w:after="120" w:before="240"/>
      </w:pPr>
      <w:r>
        <w:rPr>
          <w:rFonts w:ascii="Calibri" w:cs="Calibri" w:eastAsia="Calibri" w:hAnsi="Calibri"/>
          <w:b/>
          <w:bCs/>
        </w:rPr>
        <w:t xml:space="preserve">4.2  Secondary Users</w:t>
      </w:r>
    </w:p>
    <w:p>
      <w:pPr>
        <w:pStyle w:val="Heading3"/>
        <w:spacing w:after="80" w:before="180"/>
      </w:pPr>
      <w:r>
        <w:rPr>
          <w:rFonts w:ascii="Calibri" w:cs="Calibri" w:eastAsia="Calibri" w:hAnsi="Calibri"/>
          <w:b/>
          <w:bCs/>
        </w:rPr>
        <w:t xml:space="preserve">CISO</w:t>
      </w:r>
    </w:p>
    <w:p>
      <w:pPr>
        <w:pStyle w:val="ListParagraph"/>
        <w:numPr>
          <w:ilvl w:val="0"/>
          <w:numId w:val="2"/>
        </w:numPr>
        <w:spacing w:after="40" w:before="40"/>
      </w:pPr>
      <w:r>
        <w:rPr>
          <w:rFonts w:ascii="Calibri" w:cs="Calibri" w:eastAsia="Calibri" w:hAnsi="Calibri"/>
          <w:color w:val="2D3748"/>
          <w:sz w:val="22"/>
          <w:szCs w:val="22"/>
        </w:rPr>
        <w:t xml:space="preserve">Executive-level overview of organisational risk posture</w:t>
      </w:r>
    </w:p>
    <w:p>
      <w:pPr>
        <w:pStyle w:val="ListParagraph"/>
        <w:numPr>
          <w:ilvl w:val="0"/>
          <w:numId w:val="2"/>
        </w:numPr>
        <w:spacing w:after="40" w:before="40"/>
      </w:pPr>
      <w:r>
        <w:rPr>
          <w:rFonts w:ascii="Calibri" w:cs="Calibri" w:eastAsia="Calibri" w:hAnsi="Calibri"/>
          <w:color w:val="2D3748"/>
          <w:sz w:val="22"/>
          <w:szCs w:val="22"/>
        </w:rPr>
        <w:t xml:space="preserve">High-level risk trending; board-ready summaries, not raw event data</w:t>
      </w:r>
    </w:p>
    <w:p>
      <w:pPr>
        <w:spacing w:after="0" w:before="80"/>
      </w:pPr>
      <w:r>
        <w:t xml:space="preserve"/>
      </w:r>
    </w:p>
    <w:p>
      <w:pPr>
        <w:pStyle w:val="Heading3"/>
        <w:spacing w:after="80" w:before="180"/>
      </w:pPr>
      <w:r>
        <w:rPr>
          <w:rFonts w:ascii="Calibri" w:cs="Calibri" w:eastAsia="Calibri" w:hAnsi="Calibri"/>
          <w:b/>
          <w:bCs/>
        </w:rPr>
        <w:t xml:space="preserve">Compliance Officer</w:t>
      </w:r>
    </w:p>
    <w:p>
      <w:pPr>
        <w:pStyle w:val="ListParagraph"/>
        <w:numPr>
          <w:ilvl w:val="0"/>
          <w:numId w:val="2"/>
        </w:numPr>
        <w:spacing w:after="40" w:before="40"/>
      </w:pPr>
      <w:r>
        <w:rPr>
          <w:rFonts w:ascii="Calibri" w:cs="Calibri" w:eastAsia="Calibri" w:hAnsi="Calibri"/>
          <w:color w:val="2D3748"/>
          <w:sz w:val="22"/>
          <w:szCs w:val="22"/>
        </w:rPr>
        <w:t xml:space="preserve">Focused on the Vigil Comply module</w:t>
      </w:r>
    </w:p>
    <w:p>
      <w:pPr>
        <w:pStyle w:val="ListParagraph"/>
        <w:numPr>
          <w:ilvl w:val="0"/>
          <w:numId w:val="2"/>
        </w:numPr>
        <w:spacing w:after="40" w:before="40"/>
      </w:pPr>
      <w:r>
        <w:rPr>
          <w:rFonts w:ascii="Calibri" w:cs="Calibri" w:eastAsia="Calibri" w:hAnsi="Calibri"/>
          <w:color w:val="2D3748"/>
          <w:sz w:val="22"/>
          <w:szCs w:val="22"/>
        </w:rPr>
        <w:t xml:space="preserve">Exports PCI-DSS and SOC 2 audit evidence directly from the platform</w:t>
      </w:r>
    </w:p>
    <w:p>
      <w:pPr>
        <w:pStyle w:val="ListParagraph"/>
        <w:numPr>
          <w:ilvl w:val="0"/>
          <w:numId w:val="2"/>
        </w:numPr>
        <w:spacing w:after="40" w:before="40"/>
      </w:pPr>
      <w:r>
        <w:rPr>
          <w:rFonts w:ascii="Calibri" w:cs="Calibri" w:eastAsia="Calibri" w:hAnsi="Calibri"/>
          <w:color w:val="2D3748"/>
          <w:sz w:val="22"/>
          <w:szCs w:val="22"/>
        </w:rPr>
        <w:t xml:space="preserve">Does not require access to live threat feeds</w:t>
      </w:r>
    </w:p>
    <w:p>
      <w:pPr>
        <w:spacing w:after="0" w:before="80"/>
      </w:pPr>
      <w:r>
        <w:t xml:space="preserve"/>
      </w:r>
    </w:p>
    <w:p>
      <w:pPr>
        <w:pStyle w:val="Heading1"/>
        <w:spacing w:after="160" w:before="320"/>
      </w:pPr>
      <w:r>
        <w:rPr>
          <w:rFonts w:ascii="Calibri" w:cs="Calibri" w:eastAsia="Calibri" w:hAnsi="Calibri"/>
          <w:b/>
          <w:bCs/>
        </w:rPr>
        <w:t xml:space="preserve">5. Feature Overview</w:t>
      </w:r>
    </w:p>
    <w:p>
      <w:pPr>
        <w:pBdr>
          <w:bottom w:val="single" w:color="0D7377" w:sz="4" w:space="1"/>
        </w:pBdr>
        <w:spacing w:after="120" w:before="120"/>
      </w:pPr>
    </w:p>
    <w:p>
      <w:pPr>
        <w:pStyle w:val="Heading2"/>
        <w:spacing w:after="120" w:before="240"/>
      </w:pPr>
      <w:r>
        <w:rPr>
          <w:rFonts w:ascii="Calibri" w:cs="Calibri" w:eastAsia="Calibri" w:hAnsi="Calibri"/>
          <w:b/>
          <w:bCs/>
        </w:rPr>
        <w:t xml:space="preserve">5.1  ARIA Ingest — Threat Data Ingestion Engine</w:t>
      </w:r>
    </w:p>
    <w:p>
      <w:pPr>
        <w:spacing w:after="80" w:before="80"/>
      </w:pPr>
      <w:r>
        <w:rPr>
          <w:rFonts w:ascii="Calibri" w:cs="Calibri" w:eastAsia="Calibri" w:hAnsi="Calibri"/>
          <w:color w:val="2D3748"/>
          <w:sz w:val="22"/>
          <w:szCs w:val="22"/>
        </w:rPr>
        <w:t xml:space="preserve">Vigil ingests threat data from multiple public and configurable sources through ARIA's hybrid batch + streaming pipeline.</w:t>
      </w:r>
    </w:p>
    <w:p>
      <w:pPr>
        <w:spacing w:after="0" w:before="80"/>
      </w:pPr>
      <w:r>
        <w:t xml:space="preserve"/>
      </w:r>
    </w:p>
    <w:p>
      <w:pPr>
        <w:pStyle w:val="Heading3"/>
        <w:spacing w:after="80" w:before="180"/>
      </w:pPr>
      <w:r>
        <w:rPr>
          <w:rFonts w:ascii="Calibri" w:cs="Calibri" w:eastAsia="Calibri" w:hAnsi="Calibri"/>
          <w:b/>
          <w:bCs/>
        </w:rPr>
        <w:t xml:space="preserve">Data Sources (v1.0)</w:t>
      </w:r>
    </w:p>
    <w:p>
      <w:pPr>
        <w:pStyle w:val="ListParagraph"/>
        <w:numPr>
          <w:ilvl w:val="0"/>
          <w:numId w:val="2"/>
        </w:numPr>
        <w:spacing w:after="40" w:before="40"/>
      </w:pPr>
      <w:r>
        <w:rPr>
          <w:rFonts w:ascii="Calibri" w:cs="Calibri" w:eastAsia="Calibri" w:hAnsi="Calibri"/>
          <w:b/>
          <w:bCs/>
          <w:color w:val="2D3748"/>
          <w:sz w:val="22"/>
          <w:szCs w:val="22"/>
        </w:rPr>
        <w:t xml:space="preserve">CISA KEV: </w:t>
      </w:r>
      <w:r>
        <w:rPr>
          <w:rFonts w:ascii="Calibri" w:cs="Calibri" w:eastAsia="Calibri" w:hAnsi="Calibri"/>
          <w:color w:val="2D3748"/>
          <w:sz w:val="22"/>
          <w:szCs w:val="22"/>
        </w:rPr>
        <w:t xml:space="preserve"> CISA Known Exploited Vulnerabilities (KEV) — Authoritative list of vulnerabilities actively exploited in the wild. Ingested via scheduled batch jobs.</w:t>
      </w:r>
    </w:p>
    <w:p>
      <w:pPr>
        <w:pStyle w:val="ListParagraph"/>
        <w:numPr>
          <w:ilvl w:val="0"/>
          <w:numId w:val="2"/>
        </w:numPr>
        <w:spacing w:after="40" w:before="40"/>
      </w:pPr>
      <w:r>
        <w:rPr>
          <w:rFonts w:ascii="Calibri" w:cs="Calibri" w:eastAsia="Calibri" w:hAnsi="Calibri"/>
          <w:b/>
          <w:bCs/>
          <w:color w:val="2D3748"/>
          <w:sz w:val="22"/>
          <w:szCs w:val="22"/>
        </w:rPr>
        <w:t xml:space="preserve">URLhaus (abuse.ch): </w:t>
      </w:r>
      <w:r>
        <w:rPr>
          <w:rFonts w:ascii="Calibri" w:cs="Calibri" w:eastAsia="Calibri" w:hAnsi="Calibri"/>
          <w:color w:val="2D3748"/>
          <w:sz w:val="22"/>
          <w:szCs w:val="22"/>
        </w:rPr>
        <w:t xml:space="preserve"> Continuous feed of malicious URLs and malware infrastructure. Ingested via real-time streaming pipeline.</w:t>
      </w:r>
    </w:p>
    <w:p>
      <w:pPr>
        <w:pStyle w:val="ListParagraph"/>
        <w:numPr>
          <w:ilvl w:val="0"/>
          <w:numId w:val="2"/>
        </w:numPr>
        <w:spacing w:after="40" w:before="40"/>
      </w:pPr>
      <w:r>
        <w:rPr>
          <w:rFonts w:ascii="Calibri" w:cs="Calibri" w:eastAsia="Calibri" w:hAnsi="Calibri"/>
          <w:b/>
          <w:bCs/>
          <w:color w:val="2D3748"/>
          <w:sz w:val="22"/>
          <w:szCs w:val="22"/>
        </w:rPr>
        <w:t xml:space="preserve">GitHub Security Events: </w:t>
      </w:r>
      <w:r>
        <w:rPr>
          <w:rFonts w:ascii="Calibri" w:cs="Calibri" w:eastAsia="Calibri" w:hAnsi="Calibri"/>
          <w:color w:val="2D3748"/>
          <w:sz w:val="22"/>
          <w:szCs w:val="22"/>
        </w:rPr>
        <w:t xml:space="preserve"> Security signals from code repository activity.</w:t>
      </w:r>
    </w:p>
    <w:p>
      <w:pPr>
        <w:pStyle w:val="ListParagraph"/>
        <w:numPr>
          <w:ilvl w:val="0"/>
          <w:numId w:val="2"/>
        </w:numPr>
        <w:spacing w:after="40" w:before="40"/>
      </w:pPr>
      <w:r>
        <w:rPr>
          <w:rFonts w:ascii="Calibri" w:cs="Calibri" w:eastAsia="Calibri" w:hAnsi="Calibri"/>
          <w:b/>
          <w:bCs/>
          <w:color w:val="2D3748"/>
          <w:sz w:val="22"/>
          <w:szCs w:val="22"/>
        </w:rPr>
        <w:t xml:space="preserve">Simulated SOC Events: </w:t>
      </w:r>
      <w:r>
        <w:rPr>
          <w:rFonts w:ascii="Calibri" w:cs="Calibri" w:eastAsia="Calibri" w:hAnsi="Calibri"/>
          <w:color w:val="2D3748"/>
          <w:sz w:val="22"/>
          <w:szCs w:val="22"/>
        </w:rPr>
        <w:t xml:space="preserve"> Configurable deterministic event scenarios for training and demo environments.</w:t>
      </w:r>
    </w:p>
    <w:p>
      <w:pPr>
        <w:spacing w:after="0" w:before="80"/>
      </w:pPr>
      <w:r>
        <w:t xml:space="preserve"/>
      </w:r>
    </w:p>
    <w:p>
      <w:pPr>
        <w:pStyle w:val="Heading3"/>
        <w:spacing w:after="80" w:before="180"/>
      </w:pPr>
      <w:r>
        <w:rPr>
          <w:rFonts w:ascii="Calibri" w:cs="Calibri" w:eastAsia="Calibri" w:hAnsi="Calibri"/>
          <w:b/>
          <w:bCs/>
        </w:rPr>
        <w:t xml:space="preserve">Pipeline Design</w:t>
      </w:r>
    </w:p>
    <w:p>
      <w:pPr>
        <w:pStyle w:val="ListParagraph"/>
        <w:numPr>
          <w:ilvl w:val="0"/>
          <w:numId w:val="2"/>
        </w:numPr>
        <w:spacing w:after="40" w:before="40"/>
      </w:pPr>
      <w:r>
        <w:rPr>
          <w:rFonts w:ascii="Calibri" w:cs="Calibri" w:eastAsia="Calibri" w:hAnsi="Calibri"/>
          <w:color w:val="2D3748"/>
          <w:sz w:val="22"/>
          <w:szCs w:val="22"/>
        </w:rPr>
        <w:t xml:space="preserve">Batch jobs write immutable snapshots to the Bronze data lake (MinIO / S3-compatible)</w:t>
      </w:r>
    </w:p>
    <w:p>
      <w:pPr>
        <w:pStyle w:val="ListParagraph"/>
        <w:numPr>
          <w:ilvl w:val="0"/>
          <w:numId w:val="2"/>
        </w:numPr>
        <w:spacing w:after="40" w:before="40"/>
      </w:pPr>
      <w:r>
        <w:rPr>
          <w:rFonts w:ascii="Calibri" w:cs="Calibri" w:eastAsia="Calibri" w:hAnsi="Calibri"/>
          <w:color w:val="2D3748"/>
          <w:sz w:val="22"/>
          <w:szCs w:val="22"/>
        </w:rPr>
        <w:t xml:space="preserve">Streaming events flow through Redpanda (Kafka-compatible) with at-least-once delivery guarantees</w:t>
      </w:r>
    </w:p>
    <w:p>
      <w:pPr>
        <w:pStyle w:val="ListParagraph"/>
        <w:numPr>
          <w:ilvl w:val="0"/>
          <w:numId w:val="2"/>
        </w:numPr>
        <w:spacing w:after="40" w:before="40"/>
      </w:pPr>
      <w:r>
        <w:rPr>
          <w:rFonts w:ascii="Calibri" w:cs="Calibri" w:eastAsia="Calibri" w:hAnsi="Calibri"/>
          <w:color w:val="2D3748"/>
          <w:sz w:val="22"/>
          <w:szCs w:val="22"/>
        </w:rPr>
        <w:t xml:space="preserve">All data lands in Postgres (raw schema) via idempotent upserts</w:t>
      </w:r>
    </w:p>
    <w:p>
      <w:pPr>
        <w:pStyle w:val="ListParagraph"/>
        <w:numPr>
          <w:ilvl w:val="0"/>
          <w:numId w:val="2"/>
        </w:numPr>
        <w:spacing w:after="40" w:before="40"/>
      </w:pPr>
      <w:r>
        <w:rPr>
          <w:rFonts w:ascii="Calibri" w:cs="Calibri" w:eastAsia="Calibri" w:hAnsi="Calibri"/>
          <w:color w:val="2D3748"/>
          <w:sz w:val="22"/>
          <w:szCs w:val="22"/>
        </w:rPr>
        <w:t xml:space="preserve">dbt Core builds staging views and curated data marts with incremental refresh</w:t>
      </w:r>
    </w:p>
    <w:p>
      <w:pPr>
        <w:spacing w:after="0" w:before="120"/>
      </w:pPr>
      <w:r>
        <w:t xml:space="preserve"/>
      </w:r>
    </w:p>
    <w:p>
      <w:pPr>
        <w:pStyle w:val="Heading2"/>
        <w:spacing w:after="120" w:before="240"/>
      </w:pPr>
      <w:r>
        <w:rPr>
          <w:rFonts w:ascii="Calibri" w:cs="Calibri" w:eastAsia="Calibri" w:hAnsi="Calibri"/>
          <w:b/>
          <w:bCs/>
        </w:rPr>
        <w:t xml:space="preserve">5.2  ARIA Rules Engine — Explainable Risk Scoring</w:t>
      </w:r>
    </w:p>
    <w:p>
      <w:pPr>
        <w:spacing w:after="80" w:before="80"/>
      </w:pPr>
      <w:r>
        <w:rPr>
          <w:rFonts w:ascii="Calibri" w:cs="Calibri" w:eastAsia="Calibri" w:hAnsi="Calibri"/>
          <w:color w:val="2D3748"/>
          <w:sz w:val="22"/>
          <w:szCs w:val="22"/>
        </w:rPr>
        <w:t xml:space="preserve">Every risk score in Vigil is produced by ARIA's deterministic, human-readable rules engine. Scores range from 0–100 and are capped to prevent single-event score inflation.</w:t>
      </w:r>
    </w:p>
    <w:p>
      <w:pPr>
        <w:spacing w:after="0" w:before="80"/>
      </w:pPr>
      <w:r>
        <w:t xml:space="preserve"/>
      </w:r>
    </w:p>
    <w:p>
      <w:pPr>
        <w:pStyle w:val="Heading3"/>
        <w:spacing w:after="80" w:before="180"/>
      </w:pPr>
      <w:r>
        <w:rPr>
          <w:rFonts w:ascii="Calibri" w:cs="Calibri" w:eastAsia="Calibri" w:hAnsi="Calibri"/>
          <w:b/>
          <w:bCs/>
        </w:rPr>
        <w:t xml:space="preserve">Scoring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680"/>
      </w:tblGrid>
      <w:tr>
        <w:trPr>
          <w:tblHeader/>
        </w:trPr>
        <w:tc>
          <w:tcPr>
            <w:tcW w:type="dxa" w:w="3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Detection Rule</w:t>
            </w:r>
          </w:p>
        </w:tc>
        <w:tc>
          <w:tcPr>
            <w:tcW w:type="dxa" w:w="1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Points</w:t>
            </w:r>
          </w:p>
        </w:tc>
        <w:tc>
          <w:tcPr>
            <w:tcW w:type="dxa" w:w="56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Example Trigger</w:t>
            </w:r>
          </w:p>
        </w:tc>
      </w:tr>
      <w:tr>
        <w:tc>
          <w:tcPr>
            <w:tcW w:type="dxa" w:w="3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Privilege escalation</w:t>
            </w:r>
          </w:p>
        </w:tc>
        <w:tc>
          <w:tcPr>
            <w:tcW w:type="dxa" w:w="1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25</w:t>
            </w:r>
          </w:p>
        </w:tc>
        <w:tc>
          <w:tcPr>
            <w:tcW w:type="dxa" w:w="5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Developer account added to Domain Admins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Critical / high asset access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20</w:t>
            </w:r>
          </w:p>
        </w:tc>
        <w:tc>
          <w:tcPr>
            <w:tcW w:type="dxa" w:w="5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Access to payment processing database</w:t>
            </w:r>
          </w:p>
        </w:tc>
      </w:tr>
      <w:tr>
        <w:tc>
          <w:tcPr>
            <w:tcW w:type="dxa" w:w="3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Outside business hours</w:t>
            </w:r>
          </w:p>
        </w:tc>
        <w:tc>
          <w:tcPr>
            <w:tcW w:type="dxa" w:w="1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15</w:t>
            </w:r>
          </w:p>
        </w:tc>
        <w:tc>
          <w:tcPr>
            <w:tcW w:type="dxa" w:w="5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Database access at 2:47 AM</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Failed login burst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15</w:t>
            </w:r>
          </w:p>
        </w:tc>
        <w:tc>
          <w:tcPr>
            <w:tcW w:type="dxa" w:w="5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5+ failed logins in 15 minutes</w:t>
            </w:r>
          </w:p>
        </w:tc>
      </w:tr>
      <w:tr>
        <w:tc>
          <w:tcPr>
            <w:tcW w:type="dxa" w:w="3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Endpoint malware alert</w:t>
            </w:r>
          </w:p>
        </w:tc>
        <w:tc>
          <w:tcPr>
            <w:tcW w:type="dxa" w:w="1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25</w:t>
            </w:r>
          </w:p>
        </w:tc>
        <w:tc>
          <w:tcPr>
            <w:tcW w:type="dxa" w:w="5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Suspicious encoded PowerShell detected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Lateral movement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30</w:t>
            </w:r>
          </w:p>
        </w:tc>
        <w:tc>
          <w:tcPr>
            <w:tcW w:type="dxa" w:w="5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Workstation reaches production DB via remote admin</w:t>
            </w:r>
          </w:p>
        </w:tc>
      </w:tr>
      <w:tr>
        <w:tc>
          <w:tcPr>
            <w:tcW w:type="dxa" w:w="3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Threat-intel outbound connection</w:t>
            </w:r>
          </w:p>
        </w:tc>
        <w:tc>
          <w:tcPr>
            <w:tcW w:type="dxa" w:w="1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30</w:t>
            </w:r>
          </w:p>
        </w:tc>
        <w:tc>
          <w:tcPr>
            <w:tcW w:type="dxa" w:w="5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Connection to known malicious IP</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Vendor sensitive access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20</w:t>
            </w:r>
          </w:p>
        </w:tc>
        <w:tc>
          <w:tcPr>
            <w:tcW w:type="dxa" w:w="5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Contractor account accesses high-sensitivity asset</w:t>
            </w:r>
          </w:p>
        </w:tc>
      </w:tr>
      <w:tr>
        <w:tc>
          <w:tcPr>
            <w:tcW w:type="dxa" w:w="3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Badge / digital location mismatch</w:t>
            </w:r>
          </w:p>
        </w:tc>
        <w:tc>
          <w:tcPr>
            <w:tcW w:type="dxa" w:w="12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20</w:t>
            </w:r>
          </w:p>
        </w:tc>
        <w:tc>
          <w:tcPr>
            <w:tcW w:type="dxa" w:w="5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Badge scanned in Austin; VPN session from Amsterdam</w:t>
            </w:r>
          </w:p>
        </w:tc>
      </w:tr>
    </w:tbl>
    <w:p>
      <w:pPr>
        <w:spacing w:after="0" w:before="120"/>
      </w:pPr>
      <w:r>
        <w:t xml:space="preserve"/>
      </w:r>
    </w:p>
    <w:p>
      <w:pPr>
        <w:pStyle w:val="Heading3"/>
        <w:spacing w:after="80" w:before="180"/>
      </w:pPr>
      <w:r>
        <w:rPr>
          <w:rFonts w:ascii="Calibri" w:cs="Calibri" w:eastAsia="Calibri" w:hAnsi="Calibri"/>
          <w:b/>
          <w:bCs/>
        </w:rPr>
        <w:t xml:space="preserve">Risk Bands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Band</w:t>
            </w:r>
          </w:p>
        </w:tc>
        <w:tc>
          <w:tcPr>
            <w:tcW w:type="dxa" w:w="25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Score Range</w:t>
            </w:r>
          </w:p>
        </w:tc>
        <w:tc>
          <w:tcPr>
            <w:tcW w:type="dxa" w:w="50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Recommended Action</w:t>
            </w:r>
          </w:p>
        </w:tc>
      </w:tr>
      <w:tr>
        <w:tc>
          <w:tcPr>
            <w:tcW w:type="dxa" w:w="2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Low</w:t>
            </w:r>
          </w:p>
        </w:tc>
        <w:tc>
          <w:tcPr>
            <w:tcW w:type="dxa" w:w="2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0–29</w:t>
            </w:r>
          </w:p>
        </w:tc>
        <w:tc>
          <w:tcPr>
            <w:tcW w:type="dxa" w:w="50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Monitor</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Medium</w:t>
            </w:r>
          </w:p>
        </w:tc>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30–59</w:t>
            </w:r>
          </w:p>
        </w:tc>
        <w:tc>
          <w:tcPr>
            <w:tcW w:type="dxa" w:w="50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Investigate</w:t>
            </w:r>
          </w:p>
        </w:tc>
      </w:tr>
      <w:tr>
        <w:tc>
          <w:tcPr>
            <w:tcW w:type="dxa" w:w="2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High</w:t>
            </w:r>
          </w:p>
        </w:tc>
        <w:tc>
          <w:tcPr>
            <w:tcW w:type="dxa" w:w="2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60–79</w:t>
            </w:r>
          </w:p>
        </w:tc>
        <w:tc>
          <w:tcPr>
            <w:tcW w:type="dxa" w:w="50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Escalate immediately</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Critical</w:t>
            </w:r>
          </w:p>
        </w:tc>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80</w:t>
            </w:r>
          </w:p>
        </w:tc>
        <w:tc>
          <w:tcPr>
            <w:tcW w:type="dxa" w:w="50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Incident response</w:t>
            </w:r>
          </w:p>
        </w:tc>
      </w:tr>
    </w:tbl>
    <w:p>
      <w:pPr>
        <w:spacing w:after="0" w:before="160"/>
      </w:pPr>
      <w:r>
        <w:t xml:space="preserve"/>
      </w:r>
    </w:p>
    <w:p>
      <w:pPr>
        <w:pStyle w:val="Heading2"/>
        <w:spacing w:after="120" w:before="240"/>
      </w:pPr>
      <w:r>
        <w:rPr>
          <w:rFonts w:ascii="Calibri" w:cs="Calibri" w:eastAsia="Calibri" w:hAnsi="Calibri"/>
          <w:b/>
          <w:bCs/>
        </w:rPr>
        <w:t xml:space="preserve">5.3  Vigil Command Center — SOC Dashboard</w:t>
      </w:r>
    </w:p>
    <w:p>
      <w:pPr>
        <w:spacing w:after="80" w:before="80"/>
      </w:pPr>
      <w:r>
        <w:rPr>
          <w:rFonts w:ascii="Calibri" w:cs="Calibri" w:eastAsia="Calibri" w:hAnsi="Calibri"/>
          <w:color w:val="2D3748"/>
          <w:sz w:val="22"/>
          <w:szCs w:val="22"/>
        </w:rPr>
        <w:t xml:space="preserve">The primary analyst interface. A React-based web application consuming data from the ARIA API in real-time.</w:t>
      </w:r>
    </w:p>
    <w:p>
      <w:pPr>
        <w:spacing w:after="0" w:before="80"/>
      </w:pPr>
      <w:r>
        <w:t xml:space="preserve"/>
      </w:r>
    </w:p>
    <w:p>
      <w:pPr>
        <w:pStyle w:val="Heading3"/>
        <w:spacing w:after="80" w:before="180"/>
      </w:pPr>
      <w:r>
        <w:rPr>
          <w:rFonts w:ascii="Calibri" w:cs="Calibri" w:eastAsia="Calibri" w:hAnsi="Calibri"/>
          <w:b/>
          <w:bCs/>
        </w:rPr>
        <w:t xml:space="preserve">Dashboard Views</w:t>
      </w:r>
    </w:p>
    <w:p>
      <w:pPr>
        <w:pStyle w:val="ListParagraph"/>
        <w:numPr>
          <w:ilvl w:val="0"/>
          <w:numId w:val="2"/>
        </w:numPr>
        <w:spacing w:after="40" w:before="40"/>
      </w:pPr>
      <w:r>
        <w:rPr>
          <w:rFonts w:ascii="Calibri" w:cs="Calibri" w:eastAsia="Calibri" w:hAnsi="Calibri"/>
          <w:b/>
          <w:bCs/>
          <w:color w:val="2D3748"/>
          <w:sz w:val="22"/>
          <w:szCs w:val="22"/>
        </w:rPr>
        <w:t xml:space="preserve">Overview: </w:t>
      </w:r>
      <w:r>
        <w:rPr>
          <w:rFonts w:ascii="Calibri" w:cs="Calibri" w:eastAsia="Calibri" w:hAnsi="Calibri"/>
          <w:color w:val="2D3748"/>
          <w:sz w:val="22"/>
          <w:szCs w:val="22"/>
        </w:rPr>
        <w:t xml:space="preserve"> Organisational risk posture at a glance. Active incidents, critical entity count, risk band distribution.</w:t>
      </w:r>
    </w:p>
    <w:p>
      <w:pPr>
        <w:pStyle w:val="ListParagraph"/>
        <w:numPr>
          <w:ilvl w:val="0"/>
          <w:numId w:val="2"/>
        </w:numPr>
        <w:spacing w:after="40" w:before="40"/>
      </w:pPr>
      <w:r>
        <w:rPr>
          <w:rFonts w:ascii="Calibri" w:cs="Calibri" w:eastAsia="Calibri" w:hAnsi="Calibri"/>
          <w:b/>
          <w:bCs/>
          <w:color w:val="2D3748"/>
          <w:sz w:val="22"/>
          <w:szCs w:val="22"/>
        </w:rPr>
        <w:t xml:space="preserve">Entity Risk Queue: </w:t>
      </w:r>
      <w:r>
        <w:rPr>
          <w:rFonts w:ascii="Calibri" w:cs="Calibri" w:eastAsia="Calibri" w:hAnsi="Calibri"/>
          <w:color w:val="2D3748"/>
          <w:sz w:val="22"/>
          <w:szCs w:val="22"/>
        </w:rPr>
        <w:t xml:space="preserve"> Ranked list of all entities (users, assets, vendors) by Vigil Score. Filterable, sortable, searchable. Shows score, risk band, contributing rules, and recommended action.</w:t>
      </w:r>
    </w:p>
    <w:p>
      <w:pPr>
        <w:pStyle w:val="ListParagraph"/>
        <w:numPr>
          <w:ilvl w:val="0"/>
          <w:numId w:val="2"/>
        </w:numPr>
        <w:spacing w:after="40" w:before="40"/>
      </w:pPr>
      <w:r>
        <w:rPr>
          <w:rFonts w:ascii="Calibri" w:cs="Calibri" w:eastAsia="Calibri" w:hAnsi="Calibri"/>
          <w:b/>
          <w:bCs/>
          <w:color w:val="2D3748"/>
          <w:sz w:val="22"/>
          <w:szCs w:val="22"/>
        </w:rPr>
        <w:t xml:space="preserve">Incident Timeline: </w:t>
      </w:r>
      <w:r>
        <w:rPr>
          <w:rFonts w:ascii="Calibri" w:cs="Calibri" w:eastAsia="Calibri" w:hAnsi="Calibri"/>
          <w:color w:val="2D3748"/>
          <w:sz w:val="22"/>
          <w:szCs w:val="22"/>
        </w:rPr>
        <w:t xml:space="preserve"> Full chronological chain of events for an active incident, mapping attacker progression from initial access to lateral movement.</w:t>
      </w:r>
    </w:p>
    <w:p>
      <w:pPr>
        <w:pStyle w:val="ListParagraph"/>
        <w:numPr>
          <w:ilvl w:val="0"/>
          <w:numId w:val="2"/>
        </w:numPr>
        <w:spacing w:after="40" w:before="40"/>
      </w:pPr>
      <w:r>
        <w:rPr>
          <w:rFonts w:ascii="Calibri" w:cs="Calibri" w:eastAsia="Calibri" w:hAnsi="Calibri"/>
          <w:b/>
          <w:bCs/>
          <w:color w:val="2D3748"/>
          <w:sz w:val="22"/>
          <w:szCs w:val="22"/>
        </w:rPr>
        <w:t xml:space="preserve">Triage Report: </w:t>
      </w:r>
      <w:r>
        <w:rPr>
          <w:rFonts w:ascii="Calibri" w:cs="Calibri" w:eastAsia="Calibri" w:hAnsi="Calibri"/>
          <w:color w:val="2D3748"/>
          <w:sz w:val="22"/>
          <w:szCs w:val="22"/>
        </w:rPr>
        <w:t xml:space="preserve"> Auto-generated analyst brief including entity summary, contributing events, ARIA rule hits, and suggested remediation steps.</w:t>
      </w:r>
    </w:p>
    <w:p>
      <w:pPr>
        <w:pStyle w:val="ListParagraph"/>
        <w:numPr>
          <w:ilvl w:val="0"/>
          <w:numId w:val="2"/>
        </w:numPr>
        <w:spacing w:after="40" w:before="40"/>
      </w:pPr>
      <w:r>
        <w:rPr>
          <w:rFonts w:ascii="Calibri" w:cs="Calibri" w:eastAsia="Calibri" w:hAnsi="Calibri"/>
          <w:b/>
          <w:bCs/>
          <w:color w:val="2D3748"/>
          <w:sz w:val="22"/>
          <w:szCs w:val="22"/>
        </w:rPr>
        <w:t xml:space="preserve">Q&amp;A / Analyst Assistant: </w:t>
      </w:r>
      <w:r>
        <w:rPr>
          <w:rFonts w:ascii="Calibri" w:cs="Calibri" w:eastAsia="Calibri" w:hAnsi="Calibri"/>
          <w:color w:val="2D3748"/>
          <w:sz w:val="22"/>
          <w:szCs w:val="22"/>
        </w:rPr>
        <w:t xml:space="preserve"> Structured question templates mapped to live data (e.g. "Which entities accessed the payment database after hours in the last 24 h?").</w:t>
      </w:r>
    </w:p>
    <w:p>
      <w:pPr>
        <w:pStyle w:val="ListParagraph"/>
        <w:numPr>
          <w:ilvl w:val="0"/>
          <w:numId w:val="2"/>
        </w:numPr>
        <w:spacing w:after="40" w:before="40"/>
      </w:pPr>
      <w:r>
        <w:rPr>
          <w:rFonts w:ascii="Calibri" w:cs="Calibri" w:eastAsia="Calibri" w:hAnsi="Calibri"/>
          <w:b/>
          <w:bCs/>
          <w:color w:val="2D3748"/>
          <w:sz w:val="22"/>
          <w:szCs w:val="22"/>
        </w:rPr>
        <w:t xml:space="preserve">Vigil Comply: </w:t>
      </w:r>
      <w:r>
        <w:rPr>
          <w:rFonts w:ascii="Calibri" w:cs="Calibri" w:eastAsia="Calibri" w:hAnsi="Calibri"/>
          <w:color w:val="2D3748"/>
          <w:sz w:val="22"/>
          <w:szCs w:val="22"/>
        </w:rPr>
        <w:t xml:space="preserve"> Compliance evidence view with one-click export for PCI-DSS and SOC 2 frameworks.</w:t>
      </w:r>
    </w:p>
    <w:p>
      <w:pPr>
        <w:spacing w:after="0" w:before="80"/>
      </w:pPr>
      <w:r>
        <w:t xml:space="preserve"/>
      </w:r>
    </w:p>
    <w:p>
      <w:pPr>
        <w:pStyle w:val="Heading3"/>
        <w:spacing w:after="80" w:before="180"/>
      </w:pPr>
      <w:r>
        <w:rPr>
          <w:rFonts w:ascii="Calibri" w:cs="Calibri" w:eastAsia="Calibri" w:hAnsi="Calibri"/>
          <w:b/>
          <w:bCs/>
        </w:rPr>
        <w:t xml:space="preserve">Analyst Workflow Actions</w:t>
      </w:r>
    </w:p>
    <w:p>
      <w:pPr>
        <w:pStyle w:val="ListParagraph"/>
        <w:numPr>
          <w:ilvl w:val="0"/>
          <w:numId w:val="2"/>
        </w:numPr>
        <w:spacing w:after="40" w:before="40"/>
      </w:pPr>
      <w:r>
        <w:rPr>
          <w:rFonts w:ascii="Calibri" w:cs="Calibri" w:eastAsia="Calibri" w:hAnsi="Calibri"/>
          <w:color w:val="2D3748"/>
          <w:sz w:val="22"/>
          <w:szCs w:val="22"/>
        </w:rPr>
        <w:t xml:space="preserve">Acknowledge active incident</w:t>
      </w:r>
    </w:p>
    <w:p>
      <w:pPr>
        <w:pStyle w:val="ListParagraph"/>
        <w:numPr>
          <w:ilvl w:val="0"/>
          <w:numId w:val="2"/>
        </w:numPr>
        <w:spacing w:after="40" w:before="40"/>
      </w:pPr>
      <w:r>
        <w:rPr>
          <w:rFonts w:ascii="Calibri" w:cs="Calibri" w:eastAsia="Calibri" w:hAnsi="Calibri"/>
          <w:color w:val="2D3748"/>
          <w:sz w:val="22"/>
          <w:szCs w:val="22"/>
        </w:rPr>
        <w:t xml:space="preserve">Assign incident to named analyst</w:t>
      </w:r>
    </w:p>
    <w:p>
      <w:pPr>
        <w:pStyle w:val="ListParagraph"/>
        <w:numPr>
          <w:ilvl w:val="0"/>
          <w:numId w:val="2"/>
        </w:numPr>
        <w:spacing w:after="40" w:before="40"/>
      </w:pPr>
      <w:r>
        <w:rPr>
          <w:rFonts w:ascii="Calibri" w:cs="Calibri" w:eastAsia="Calibri" w:hAnsi="Calibri"/>
          <w:color w:val="2D3748"/>
          <w:sz w:val="22"/>
          <w:szCs w:val="22"/>
        </w:rPr>
        <w:t xml:space="preserve">Mark entity as investigated</w:t>
      </w:r>
    </w:p>
    <w:p>
      <w:pPr>
        <w:pStyle w:val="ListParagraph"/>
        <w:numPr>
          <w:ilvl w:val="0"/>
          <w:numId w:val="2"/>
        </w:numPr>
        <w:spacing w:after="40" w:before="40"/>
      </w:pPr>
      <w:r>
        <w:rPr>
          <w:rFonts w:ascii="Calibri" w:cs="Calibri" w:eastAsia="Calibri" w:hAnsi="Calibri"/>
          <w:color w:val="2D3748"/>
          <w:sz w:val="22"/>
          <w:szCs w:val="22"/>
        </w:rPr>
        <w:t xml:space="preserve">Export compliance evidence</w:t>
      </w:r>
    </w:p>
    <w:p>
      <w:pPr>
        <w:pStyle w:val="ListParagraph"/>
        <w:numPr>
          <w:ilvl w:val="0"/>
          <w:numId w:val="2"/>
        </w:numPr>
        <w:spacing w:after="40" w:before="40"/>
      </w:pPr>
      <w:r>
        <w:rPr>
          <w:rFonts w:ascii="Calibri" w:cs="Calibri" w:eastAsia="Calibri" w:hAnsi="Calibri"/>
          <w:color w:val="2D3748"/>
          <w:sz w:val="22"/>
          <w:szCs w:val="22"/>
        </w:rPr>
        <w:t xml:space="preserve">Auto-refresh every 60 seconds (manual refresh always available)</w:t>
      </w:r>
    </w:p>
    <w:p>
      <w:pPr>
        <w:spacing w:after="0" w:before="80"/>
      </w:pPr>
      <w:r>
        <w:t xml:space="preserve"/>
      </w:r>
    </w:p>
    <w:p>
      <w:pPr>
        <w:pStyle w:val="Heading3"/>
        <w:spacing w:after="80" w:before="180"/>
      </w:pPr>
      <w:r>
        <w:rPr>
          <w:rFonts w:ascii="Calibri" w:cs="Calibri" w:eastAsia="Calibri" w:hAnsi="Calibri"/>
          <w:b/>
          <w:bCs/>
        </w:rPr>
        <w:t xml:space="preserve">Offline Mode</w:t>
      </w:r>
    </w:p>
    <w:p>
      <w:pPr>
        <w:spacing w:after="80" w:before="80"/>
      </w:pPr>
      <w:r>
        <w:rPr>
          <w:rFonts w:ascii="Calibri" w:cs="Calibri" w:eastAsia="Calibri" w:hAnsi="Calibri"/>
          <w:color w:val="2D3748"/>
          <w:sz w:val="22"/>
          <w:szCs w:val="22"/>
        </w:rPr>
        <w:t xml:space="preserve">If the ARIA API is unreachable, the Command Center enters offline mode and renders the last known incident state for continuity. Connection error reason is surfaced in the page header to distinguish auth failures from network or server errors.</w:t>
      </w:r>
    </w:p>
    <w:p>
      <w:pPr>
        <w:spacing w:after="0" w:before="120"/>
      </w:pPr>
      <w:r>
        <w:t xml:space="preserve"/>
      </w:r>
    </w:p>
    <w:p>
      <w:pPr>
        <w:pStyle w:val="Heading2"/>
        <w:spacing w:after="120" w:before="240"/>
      </w:pPr>
      <w:r>
        <w:rPr>
          <w:rFonts w:ascii="Calibri" w:cs="Calibri" w:eastAsia="Calibri" w:hAnsi="Calibri"/>
          <w:b/>
          <w:bCs/>
        </w:rPr>
        <w:t xml:space="preserve">5.4  Real-Time Streaming — WebSocket Live Updates</w:t>
      </w:r>
    </w:p>
    <w:p>
      <w:pPr>
        <w:spacing w:after="80" w:before="80"/>
      </w:pPr>
      <w:r>
        <w:rPr>
          <w:rFonts w:ascii="Calibri" w:cs="Calibri" w:eastAsia="Calibri" w:hAnsi="Calibri"/>
          <w:color w:val="2D3748"/>
          <w:sz w:val="22"/>
          <w:szCs w:val="22"/>
        </w:rPr>
        <w:t xml:space="preserve">Vigil supports live push updates to the Command Center via a persistent WebSocket connection (/v1/soc/stream). Analysts see risk score changes and new events without manual refresh, ensuring the view is always current.</w:t>
      </w:r>
    </w:p>
    <w:p>
      <w:pPr>
        <w:spacing w:after="0" w:before="120"/>
      </w:pPr>
      <w:r>
        <w:t xml:space="preserve"/>
      </w:r>
    </w:p>
    <w:p>
      <w:pPr>
        <w:pStyle w:val="Heading2"/>
        <w:spacing w:after="120" w:before="240"/>
      </w:pPr>
      <w:r>
        <w:rPr>
          <w:rFonts w:ascii="Calibri" w:cs="Calibri" w:eastAsia="Calibri" w:hAnsi="Calibri"/>
          <w:b/>
          <w:bCs/>
        </w:rPr>
        <w:t xml:space="preserve">5.5  Pipeline Health &amp; SLO Monitoring</w:t>
      </w:r>
    </w:p>
    <w:p>
      <w:pPr>
        <w:spacing w:after="80" w:before="80"/>
      </w:pPr>
      <w:r>
        <w:rPr>
          <w:rFonts w:ascii="Calibri" w:cs="Calibri" w:eastAsia="Calibri" w:hAnsi="Calibri"/>
          <w:color w:val="2D3748"/>
          <w:sz w:val="22"/>
          <w:szCs w:val="22"/>
        </w:rPr>
        <w:t xml:space="preserve">Built-in observability for the ARIA engine, powered by Prometheus and Grafana.</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SLO</w:t>
            </w:r>
          </w:p>
        </w:tc>
        <w:tc>
          <w:tcPr>
            <w:tcW w:type="dxa" w:w="55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Target</w:t>
            </w:r>
          </w:p>
        </w:tc>
      </w:tr>
      <w:tr>
        <w:tc>
          <w:tcPr>
            <w:tcW w:type="dxa" w:w="4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API availability</w:t>
            </w:r>
          </w:p>
        </w:tc>
        <w:tc>
          <w:tcPr>
            <w:tcW w:type="dxa" w:w="55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99.5% non-5xx over rolling window</w:t>
            </w:r>
          </w:p>
        </w:tc>
      </w:tr>
      <w:tr>
        <w:tc>
          <w:tcPr>
            <w:tcW w:type="dxa" w:w="4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API p95 latency</w:t>
            </w:r>
          </w:p>
        </w:tc>
        <w:tc>
          <w:tcPr>
            <w:tcW w:type="dxa" w:w="55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750 ms</w:t>
            </w:r>
          </w:p>
        </w:tc>
      </w:tr>
      <w:tr>
        <w:tc>
          <w:tcPr>
            <w:tcW w:type="dxa" w:w="4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Stream data freshness</w:t>
            </w:r>
          </w:p>
        </w:tc>
        <w:tc>
          <w:tcPr>
            <w:tcW w:type="dxa" w:w="55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15 minutes lag</w:t>
            </w:r>
          </w:p>
        </w:tc>
      </w:tr>
      <w:tr>
        <w:tc>
          <w:tcPr>
            <w:tcW w:type="dxa" w:w="4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Pipeline run success</w:t>
            </w:r>
          </w:p>
        </w:tc>
        <w:tc>
          <w:tcPr>
            <w:tcW w:type="dxa" w:w="55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 99% over 30 minutes</w:t>
            </w:r>
          </w:p>
        </w:tc>
      </w:tr>
    </w:tbl>
    <w:p>
      <w:pPr>
        <w:spacing w:after="0" w:before="80"/>
      </w:pPr>
      <w:r>
        <w:t xml:space="preserve"/>
      </w:r>
    </w:p>
    <w:p>
      <w:pPr>
        <w:pStyle w:val="Heading3"/>
        <w:spacing w:after="80" w:before="180"/>
      </w:pPr>
      <w:r>
        <w:rPr>
          <w:rFonts w:ascii="Calibri" w:cs="Calibri" w:eastAsia="Calibri" w:hAnsi="Calibri"/>
          <w:b/>
          <w:bCs/>
        </w:rPr>
        <w:t xml:space="preserve">Active Alert Rules</w:t>
      </w:r>
    </w:p>
    <w:p>
      <w:pPr>
        <w:pStyle w:val="ListParagraph"/>
        <w:numPr>
          <w:ilvl w:val="0"/>
          <w:numId w:val="2"/>
        </w:numPr>
        <w:spacing w:after="40" w:before="40"/>
      </w:pPr>
      <w:r>
        <w:rPr>
          <w:rFonts w:ascii="Calibri" w:cs="Calibri" w:eastAsia="Calibri" w:hAnsi="Calibri"/>
          <w:color w:val="2D3748"/>
          <w:sz w:val="22"/>
          <w:szCs w:val="22"/>
        </w:rPr>
        <w:t xml:space="preserve">HighApi5xxRate — Warning when 5xx rate exceeds 5% for 2 minutes</w:t>
      </w:r>
    </w:p>
    <w:p>
      <w:pPr>
        <w:pStyle w:val="ListParagraph"/>
        <w:numPr>
          <w:ilvl w:val="0"/>
          <w:numId w:val="2"/>
        </w:numPr>
        <w:spacing w:after="40" w:before="40"/>
      </w:pPr>
      <w:r>
        <w:rPr>
          <w:rFonts w:ascii="Calibri" w:cs="Calibri" w:eastAsia="Calibri" w:hAnsi="Calibri"/>
          <w:color w:val="2D3748"/>
          <w:sz w:val="22"/>
          <w:szCs w:val="22"/>
        </w:rPr>
        <w:t xml:space="preserve">ApiP95LatencyHigh — Warning when p95 latency exceeds 750 ms for 5 minutes</w:t>
      </w:r>
    </w:p>
    <w:p>
      <w:pPr>
        <w:pStyle w:val="ListParagraph"/>
        <w:numPr>
          <w:ilvl w:val="0"/>
          <w:numId w:val="2"/>
        </w:numPr>
        <w:spacing w:after="40" w:before="40"/>
      </w:pPr>
      <w:r>
        <w:rPr>
          <w:rFonts w:ascii="Calibri" w:cs="Calibri" w:eastAsia="Calibri" w:hAnsi="Calibri"/>
          <w:color w:val="2D3748"/>
          <w:sz w:val="22"/>
          <w:szCs w:val="22"/>
        </w:rPr>
        <w:t xml:space="preserve">StreamIngestLagHigh — Warning when stream lag exceeds 15 minutes for 5 minutes</w:t>
      </w:r>
    </w:p>
    <w:p>
      <w:pPr>
        <w:spacing w:after="0" w:before="120"/>
      </w:pPr>
      <w:r>
        <w:t xml:space="preserve"/>
      </w:r>
    </w:p>
    <w:p>
      <w:pPr>
        <w:pStyle w:val="Heading2"/>
        <w:spacing w:after="120" w:before="240"/>
      </w:pPr>
      <w:r>
        <w:rPr>
          <w:rFonts w:ascii="Calibri" w:cs="Calibri" w:eastAsia="Calibri" w:hAnsi="Calibri"/>
          <w:b/>
          <w:bCs/>
        </w:rPr>
        <w:t xml:space="preserve">5.6  Vigil Comply — Compliance Evidence Module</w:t>
      </w:r>
    </w:p>
    <w:p>
      <w:pPr>
        <w:spacing w:after="80" w:before="80"/>
      </w:pPr>
      <w:r>
        <w:rPr>
          <w:rFonts w:ascii="Calibri" w:cs="Calibri" w:eastAsia="Calibri" w:hAnsi="Calibri"/>
          <w:color w:val="2D3748"/>
          <w:sz w:val="22"/>
          <w:szCs w:val="22"/>
        </w:rPr>
        <w:t xml:space="preserve">Vigil generates audit-ready evidence directly from live threat and event data. No manual evidence collection required.</w:t>
      </w:r>
    </w:p>
    <w:p>
      <w:pPr>
        <w:spacing w:after="0" w:before="80"/>
      </w:pPr>
      <w:r>
        <w:t xml:space="preserve"/>
      </w:r>
    </w:p>
    <w:p>
      <w:pPr>
        <w:pStyle w:val="Heading3"/>
        <w:spacing w:after="80" w:before="180"/>
      </w:pPr>
      <w:r>
        <w:rPr>
          <w:rFonts w:ascii="Calibri" w:cs="Calibri" w:eastAsia="Calibri" w:hAnsi="Calibri"/>
          <w:b/>
          <w:bCs/>
        </w:rPr>
        <w:t xml:space="preserve">Supported Frameworks (v1.0)</w:t>
      </w:r>
    </w:p>
    <w:p>
      <w:pPr>
        <w:pStyle w:val="ListParagraph"/>
        <w:numPr>
          <w:ilvl w:val="0"/>
          <w:numId w:val="2"/>
        </w:numPr>
        <w:spacing w:after="40" w:before="40"/>
      </w:pPr>
      <w:r>
        <w:rPr>
          <w:rFonts w:ascii="Calibri" w:cs="Calibri" w:eastAsia="Calibri" w:hAnsi="Calibri"/>
          <w:color w:val="2D3748"/>
          <w:sz w:val="22"/>
          <w:szCs w:val="22"/>
        </w:rPr>
        <w:t xml:space="preserve">PCI-DSS</w:t>
      </w:r>
    </w:p>
    <w:p>
      <w:pPr>
        <w:pStyle w:val="ListParagraph"/>
        <w:numPr>
          <w:ilvl w:val="0"/>
          <w:numId w:val="2"/>
        </w:numPr>
        <w:spacing w:after="40" w:before="40"/>
      </w:pPr>
      <w:r>
        <w:rPr>
          <w:rFonts w:ascii="Calibri" w:cs="Calibri" w:eastAsia="Calibri" w:hAnsi="Calibri"/>
          <w:color w:val="2D3748"/>
          <w:sz w:val="22"/>
          <w:szCs w:val="22"/>
        </w:rPr>
        <w:t xml:space="preserve">SOC 2</w:t>
      </w:r>
    </w:p>
    <w:p>
      <w:pPr>
        <w:spacing w:after="0" w:before="80"/>
      </w:pPr>
      <w:r>
        <w:t xml:space="preserve"/>
      </w:r>
    </w:p>
    <w:p>
      <w:pPr>
        <w:spacing w:after="80" w:before="80"/>
      </w:pPr>
      <w:r>
        <w:rPr>
          <w:rFonts w:ascii="Calibri" w:cs="Calibri" w:eastAsia="Calibri" w:hAnsi="Calibri"/>
          <w:color w:val="2D3748"/>
          <w:sz w:val="22"/>
          <w:szCs w:val="22"/>
        </w:rPr>
        <w:t xml:space="preserve">Compliance officers can export a structured evidence report for any supported framework in under 60 seconds.</w:t>
      </w:r>
    </w:p>
    <w:p>
      <w:pPr>
        <w:spacing w:after="0" w:before="120"/>
      </w:pPr>
      <w:r>
        <w:t xml:space="preserve"/>
      </w:r>
    </w:p>
    <w:p>
      <w:pPr>
        <w:pStyle w:val="Heading2"/>
        <w:spacing w:after="120" w:before="240"/>
      </w:pPr>
      <w:r>
        <w:rPr>
          <w:rFonts w:ascii="Calibri" w:cs="Calibri" w:eastAsia="Calibri" w:hAnsi="Calibri"/>
          <w:b/>
          <w:bCs/>
        </w:rPr>
        <w:t xml:space="preserve">5.7  Role-Based Access Control (RBAC)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480"/>
      </w:tblGrid>
      <w:tr>
        <w:trPr>
          <w:tblHeader/>
        </w:trPr>
        <w:tc>
          <w:tcPr>
            <w:tcW w:type="dxa" w:w="21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c>
          <w:tcPr>
            <w:tcW w:type="dxa" w:w="35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Accessible Views</w:t>
            </w:r>
          </w:p>
        </w:tc>
        <w:tc>
          <w:tcPr>
            <w:tcW w:type="dxa" w:w="44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Permitted Actions</w:t>
            </w:r>
          </w:p>
        </w:tc>
      </w:tr>
      <w:tr>
        <w:tc>
          <w:tcPr>
            <w:tcW w:type="dxa" w:w="21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L1 Analyst</w:t>
            </w:r>
          </w:p>
        </w:tc>
        <w:tc>
          <w:tcPr>
            <w:tcW w:type="dxa" w:w="3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Overview, Timeline, Entity Risk</w:t>
            </w:r>
          </w:p>
        </w:tc>
        <w:tc>
          <w:tcPr>
            <w:tcW w:type="dxa" w:w="44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Read-only</w:t>
            </w:r>
          </w:p>
        </w:tc>
      </w:tr>
      <w:tr>
        <w:tc>
          <w:tcPr>
            <w:tcW w:type="dxa" w:w="21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L2 Analyst</w:t>
            </w:r>
          </w:p>
        </w:tc>
        <w:tc>
          <w:tcPr>
            <w:tcW w:type="dxa" w:w="3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All views</w:t>
            </w:r>
          </w:p>
        </w:tc>
        <w:tc>
          <w:tcPr>
            <w:tcW w:type="dxa" w:w="4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Acknowledge, mark-investigated</w:t>
            </w:r>
          </w:p>
        </w:tc>
      </w:tr>
      <w:tr>
        <w:tc>
          <w:tcPr>
            <w:tcW w:type="dxa" w:w="21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SOC Manager</w:t>
            </w:r>
          </w:p>
        </w:tc>
        <w:tc>
          <w:tcPr>
            <w:tcW w:type="dxa" w:w="3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All views</w:t>
            </w:r>
          </w:p>
        </w:tc>
        <w:tc>
          <w:tcPr>
            <w:tcW w:type="dxa" w:w="44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All actions + assignment + incident status + compliance export</w:t>
            </w:r>
          </w:p>
        </w:tc>
      </w:tr>
      <w:tr>
        <w:tc>
          <w:tcPr>
            <w:tcW w:type="dxa" w:w="21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CISO</w:t>
            </w:r>
          </w:p>
        </w:tc>
        <w:tc>
          <w:tcPr>
            <w:tcW w:type="dxa" w:w="3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Overview only</w:t>
            </w:r>
          </w:p>
        </w:tc>
        <w:tc>
          <w:tcPr>
            <w:tcW w:type="dxa" w:w="4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Read-only</w:t>
            </w:r>
          </w:p>
        </w:tc>
      </w:tr>
      <w:tr>
        <w:tc>
          <w:tcPr>
            <w:tcW w:type="dxa" w:w="21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Compliance Officer</w:t>
            </w:r>
          </w:p>
        </w:tc>
        <w:tc>
          <w:tcPr>
            <w:tcW w:type="dxa" w:w="35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Overview + Evidence</w:t>
            </w:r>
          </w:p>
        </w:tc>
        <w:tc>
          <w:tcPr>
            <w:tcW w:type="dxa" w:w="44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Export only</w:t>
            </w:r>
          </w:p>
        </w:tc>
      </w:tr>
    </w:tbl>
    <w:p>
      <w:pPr>
        <w:spacing w:after="0" w:before="160"/>
      </w:pPr>
      <w:r>
        <w:t xml:space="preserve"/>
      </w:r>
    </w:p>
    <w:p>
      <w:pPr>
        <w:pStyle w:val="Heading2"/>
        <w:spacing w:after="120" w:before="240"/>
      </w:pPr>
      <w:r>
        <w:rPr>
          <w:rFonts w:ascii="Calibri" w:cs="Calibri" w:eastAsia="Calibri" w:hAnsi="Calibri"/>
          <w:b/>
          <w:bCs/>
        </w:rPr>
        <w:t xml:space="preserve">5.8  ARIA API — REST + WebSocket Interface</w:t>
      </w:r>
    </w:p>
    <w:p>
      <w:pPr>
        <w:spacing w:after="80" w:before="80"/>
      </w:pPr>
      <w:r>
        <w:rPr>
          <w:rFonts w:ascii="Calibri" w:cs="Calibri" w:eastAsia="Calibri" w:hAnsi="Calibri"/>
          <w:color w:val="2D3748"/>
          <w:sz w:val="22"/>
          <w:szCs w:val="22"/>
        </w:rPr>
        <w:t xml:space="preserve">All Vigil data is served through the ARIA API — a FastAPI-based service with rate limiting, API key authentication, and Prometheus metrics instrumentation.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Endpoint Group</w:t>
            </w:r>
          </w:p>
        </w:tc>
        <w:tc>
          <w:tcPr>
            <w:tcW w:type="dxa" w:w="72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Key Endpoints</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Health &amp; Metrics</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/health,  /metrics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Pipeline Intelligence</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/v1/pipeline/summary,  /v1/trends/threat-events,  /v1/trends/stream-lag</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Threat Feeds</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/v1/risk/kev-summary,  /v1/threat/top-hosts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SOC Operations</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/v1/soc/risk/entities,  /v1/soc/entities/{id}/timeline,  /v1/soc/incidents,  /v1/soc/incidents/{id}/triage-report</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Q&amp;A</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/v1/soc/qna/templates,  /v1/soc/qna/{question_id}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Compliance</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/v1/soc/compliance/{framework}</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Incident Management</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/incidents/{id}/state (GET/PATCH),  /incidents/{id}/actions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Authentication</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/login,  /refresh,  /logout,  /me,  /ws-ticket</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WebSocket</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/v1/soc/stream</w:t>
            </w:r>
          </w:p>
        </w:tc>
      </w:tr>
    </w:tbl>
    <w:p>
      <w:pPr>
        <w:spacing w:after="0" w:before="200"/>
      </w:pPr>
      <w:r>
        <w:t xml:space="preserve"/>
      </w:r>
    </w:p>
    <w:p>
      <w:pPr>
        <w:pStyle w:val="Heading1"/>
        <w:spacing w:after="160" w:before="320"/>
      </w:pPr>
      <w:r>
        <w:rPr>
          <w:rFonts w:ascii="Calibri" w:cs="Calibri" w:eastAsia="Calibri" w:hAnsi="Calibri"/>
          <w:b/>
          <w:bCs/>
        </w:rPr>
        <w:t xml:space="preserve">6. Out of Scope (v1.0)</w:t>
      </w:r>
    </w:p>
    <w:p>
      <w:pPr>
        <w:pBdr>
          <w:bottom w:val="single" w:color="0D7377" w:sz="4" w:space="1"/>
        </w:pBdr>
        <w:spacing w:after="120" w:before="120"/>
      </w:pPr>
    </w:p>
    <w:p>
      <w:pPr>
        <w:spacing w:after="80" w:before="80"/>
      </w:pPr>
      <w:r>
        <w:rPr>
          <w:rFonts w:ascii="Calibri" w:cs="Calibri" w:eastAsia="Calibri" w:hAnsi="Calibri"/>
          <w:color w:val="2D3748"/>
          <w:sz w:val="22"/>
          <w:szCs w:val="22"/>
        </w:rPr>
        <w:t xml:space="preserve">The following are explicitly out of scope for the initial release and flagged for future roadmap consideration:</w:t>
      </w:r>
    </w:p>
    <w:p>
      <w:pPr>
        <w:pStyle w:val="ListParagraph"/>
        <w:numPr>
          <w:ilvl w:val="0"/>
          <w:numId w:val="2"/>
        </w:numPr>
        <w:spacing w:after="40" w:before="40"/>
      </w:pPr>
      <w:r>
        <w:rPr>
          <w:rFonts w:ascii="Calibri" w:cs="Calibri" w:eastAsia="Calibri" w:hAnsi="Calibri"/>
          <w:color w:val="2D3748"/>
          <w:sz w:val="22"/>
          <w:szCs w:val="22"/>
        </w:rPr>
        <w:t xml:space="preserve">Native SIEM integrations (Splunk, Microsoft Sentinel, IBM QRadar)</w:t>
      </w:r>
    </w:p>
    <w:p>
      <w:pPr>
        <w:pStyle w:val="ListParagraph"/>
        <w:numPr>
          <w:ilvl w:val="0"/>
          <w:numId w:val="2"/>
        </w:numPr>
        <w:spacing w:after="40" w:before="40"/>
      </w:pPr>
      <w:r>
        <w:rPr>
          <w:rFonts w:ascii="Calibri" w:cs="Calibri" w:eastAsia="Calibri" w:hAnsi="Calibri"/>
          <w:color w:val="2D3748"/>
          <w:sz w:val="22"/>
          <w:szCs w:val="22"/>
        </w:rPr>
        <w:t xml:space="preserve">Automated incident response / SOAR playbook execution</w:t>
      </w:r>
    </w:p>
    <w:p>
      <w:pPr>
        <w:pStyle w:val="ListParagraph"/>
        <w:numPr>
          <w:ilvl w:val="0"/>
          <w:numId w:val="2"/>
        </w:numPr>
        <w:spacing w:after="40" w:before="40"/>
      </w:pPr>
      <w:r>
        <w:rPr>
          <w:rFonts w:ascii="Calibri" w:cs="Calibri" w:eastAsia="Calibri" w:hAnsi="Calibri"/>
          <w:color w:val="2D3748"/>
          <w:sz w:val="22"/>
          <w:szCs w:val="22"/>
        </w:rPr>
        <w:t xml:space="preserve">Machine learning-based anomaly detection (ARIA v1 is deterministic / rules-based)</w:t>
      </w:r>
    </w:p>
    <w:p>
      <w:pPr>
        <w:pStyle w:val="ListParagraph"/>
        <w:numPr>
          <w:ilvl w:val="0"/>
          <w:numId w:val="2"/>
        </w:numPr>
        <w:spacing w:after="40" w:before="40"/>
      </w:pPr>
      <w:r>
        <w:rPr>
          <w:rFonts w:ascii="Calibri" w:cs="Calibri" w:eastAsia="Calibri" w:hAnsi="Calibri"/>
          <w:color w:val="2D3748"/>
          <w:sz w:val="22"/>
          <w:szCs w:val="22"/>
        </w:rPr>
        <w:t xml:space="preserve">Mobile application (iOS / Android)</w:t>
      </w:r>
    </w:p>
    <w:p>
      <w:pPr>
        <w:pStyle w:val="ListParagraph"/>
        <w:numPr>
          <w:ilvl w:val="0"/>
          <w:numId w:val="2"/>
        </w:numPr>
        <w:spacing w:after="40" w:before="40"/>
      </w:pPr>
      <w:r>
        <w:rPr>
          <w:rFonts w:ascii="Calibri" w:cs="Calibri" w:eastAsia="Calibri" w:hAnsi="Calibri"/>
          <w:color w:val="2D3748"/>
          <w:sz w:val="22"/>
          <w:szCs w:val="22"/>
        </w:rPr>
        <w:t xml:space="preserve">Multi-tenant SaaS deployment</w:t>
      </w:r>
    </w:p>
    <w:p>
      <w:pPr>
        <w:pStyle w:val="ListParagraph"/>
        <w:numPr>
          <w:ilvl w:val="0"/>
          <w:numId w:val="2"/>
        </w:numPr>
        <w:spacing w:after="40" w:before="40"/>
      </w:pPr>
      <w:r>
        <w:rPr>
          <w:rFonts w:ascii="Calibri" w:cs="Calibri" w:eastAsia="Calibri" w:hAnsi="Calibri"/>
          <w:color w:val="2D3748"/>
          <w:sz w:val="22"/>
          <w:szCs w:val="22"/>
        </w:rPr>
        <w:t xml:space="preserve">Custom rule builder UI (rules are currently config-driven)</w:t>
      </w:r>
    </w:p>
    <w:p>
      <w:pPr>
        <w:pStyle w:val="ListParagraph"/>
        <w:numPr>
          <w:ilvl w:val="0"/>
          <w:numId w:val="2"/>
        </w:numPr>
        <w:spacing w:after="40" w:before="40"/>
      </w:pPr>
      <w:r>
        <w:rPr>
          <w:rFonts w:ascii="Calibri" w:cs="Calibri" w:eastAsia="Calibri" w:hAnsi="Calibri"/>
          <w:color w:val="2D3748"/>
          <w:sz w:val="22"/>
          <w:szCs w:val="22"/>
        </w:rPr>
        <w:t xml:space="preserve">Ticketing system integrations (Jira, ServiceNow)</w:t>
      </w:r>
    </w:p>
    <w:p>
      <w:pPr>
        <w:pStyle w:val="ListParagraph"/>
        <w:numPr>
          <w:ilvl w:val="0"/>
          <w:numId w:val="2"/>
        </w:numPr>
        <w:spacing w:after="40" w:before="40"/>
      </w:pPr>
      <w:r>
        <w:rPr>
          <w:rFonts w:ascii="Calibri" w:cs="Calibri" w:eastAsia="Calibri" w:hAnsi="Calibri"/>
          <w:color w:val="2D3748"/>
          <w:sz w:val="22"/>
          <w:szCs w:val="22"/>
        </w:rPr>
        <w:t xml:space="preserve">Cloud-native deployment (Azure, AWS, GCP) — platform is currently local-first / Docker-based</w:t>
      </w:r>
    </w:p>
    <w:p>
      <w:pPr>
        <w:spacing w:after="0" w:before="120"/>
      </w:pPr>
      <w:r>
        <w:t xml:space="preserve"/>
      </w:r>
    </w:p>
    <w:p>
      <w:pPr>
        <w:pStyle w:val="Heading1"/>
        <w:spacing w:after="160" w:before="320"/>
      </w:pPr>
      <w:r>
        <w:rPr>
          <w:rFonts w:ascii="Calibri" w:cs="Calibri" w:eastAsia="Calibri" w:hAnsi="Calibri"/>
          <w:b/>
          <w:bCs/>
        </w:rPr>
        <w:t xml:space="preserve">7. Assumptions &amp; Constraints</w:t>
      </w:r>
    </w:p>
    <w:p>
      <w:pPr>
        <w:pBdr>
          <w:bottom w:val="single" w:color="0D7377" w:sz="4" w:space="1"/>
        </w:pBdr>
        <w:spacing w:after="120" w:before="120"/>
      </w:pPr>
    </w:p>
    <w:p>
      <w:pPr>
        <w:pStyle w:val="Heading2"/>
        <w:spacing w:after="120" w:before="240"/>
      </w:pPr>
      <w:r>
        <w:rPr>
          <w:rFonts w:ascii="Calibri" w:cs="Calibri" w:eastAsia="Calibri" w:hAnsi="Calibri"/>
          <w:b/>
          <w:bCs/>
        </w:rPr>
        <w:t xml:space="preserve">7.1  Assumptions</w:t>
      </w:r>
    </w:p>
    <w:p>
      <w:pPr>
        <w:pStyle w:val="ListParagraph"/>
        <w:numPr>
          <w:ilvl w:val="0"/>
          <w:numId w:val="2"/>
        </w:numPr>
        <w:spacing w:after="40" w:before="40"/>
      </w:pPr>
      <w:r>
        <w:rPr>
          <w:rFonts w:ascii="Calibri" w:cs="Calibri" w:eastAsia="Calibri" w:hAnsi="Calibri"/>
          <w:color w:val="2D3748"/>
          <w:sz w:val="22"/>
          <w:szCs w:val="22"/>
        </w:rPr>
        <w:t xml:space="preserve">Organisations have existing network / endpoint telemetry they can route to Vigil's event pipeline</w:t>
      </w:r>
    </w:p>
    <w:p>
      <w:pPr>
        <w:pStyle w:val="ListParagraph"/>
        <w:numPr>
          <w:ilvl w:val="0"/>
          <w:numId w:val="2"/>
        </w:numPr>
        <w:spacing w:after="40" w:before="40"/>
      </w:pPr>
      <w:r>
        <w:rPr>
          <w:rFonts w:ascii="Calibri" w:cs="Calibri" w:eastAsia="Calibri" w:hAnsi="Calibri"/>
          <w:color w:val="2D3748"/>
          <w:sz w:val="22"/>
          <w:szCs w:val="22"/>
        </w:rPr>
        <w:t xml:space="preserve">CISA KEV and URLhaus feeds remain publicly available</w:t>
      </w:r>
    </w:p>
    <w:p>
      <w:pPr>
        <w:pStyle w:val="ListParagraph"/>
        <w:numPr>
          <w:ilvl w:val="0"/>
          <w:numId w:val="2"/>
        </w:numPr>
        <w:spacing w:after="40" w:before="40"/>
      </w:pPr>
      <w:r>
        <w:rPr>
          <w:rFonts w:ascii="Calibri" w:cs="Calibri" w:eastAsia="Calibri" w:hAnsi="Calibri"/>
          <w:color w:val="2D3748"/>
          <w:sz w:val="22"/>
          <w:szCs w:val="22"/>
        </w:rPr>
        <w:t xml:space="preserve">Analysts have basic familiarity with SOC workflows and risk triage</w:t>
      </w:r>
    </w:p>
    <w:p>
      <w:pPr>
        <w:spacing w:after="0" w:before="80"/>
      </w:pPr>
      <w:r>
        <w:t xml:space="preserve"/>
      </w:r>
    </w:p>
    <w:p>
      <w:pPr>
        <w:pStyle w:val="Heading2"/>
        <w:spacing w:after="120" w:before="240"/>
      </w:pPr>
      <w:r>
        <w:rPr>
          <w:rFonts w:ascii="Calibri" w:cs="Calibri" w:eastAsia="Calibri" w:hAnsi="Calibri"/>
          <w:b/>
          <w:bCs/>
        </w:rPr>
        <w:t xml:space="preserve">7.2  Constraints</w:t>
      </w:r>
    </w:p>
    <w:p>
      <w:pPr>
        <w:pStyle w:val="ListParagraph"/>
        <w:numPr>
          <w:ilvl w:val="0"/>
          <w:numId w:val="2"/>
        </w:numPr>
        <w:spacing w:after="40" w:before="40"/>
      </w:pPr>
      <w:r>
        <w:rPr>
          <w:rFonts w:ascii="Calibri" w:cs="Calibri" w:eastAsia="Calibri" w:hAnsi="Calibri"/>
          <w:color w:val="2D3748"/>
          <w:sz w:val="22"/>
          <w:szCs w:val="22"/>
        </w:rPr>
        <w:t xml:space="preserve">v1.0 is local-first (Docker Compose); cloud deployment is a future phase</w:t>
      </w:r>
    </w:p>
    <w:p>
      <w:pPr>
        <w:pStyle w:val="ListParagraph"/>
        <w:numPr>
          <w:ilvl w:val="0"/>
          <w:numId w:val="2"/>
        </w:numPr>
        <w:spacing w:after="40" w:before="40"/>
      </w:pPr>
      <w:r>
        <w:rPr>
          <w:rFonts w:ascii="Calibri" w:cs="Calibri" w:eastAsia="Calibri" w:hAnsi="Calibri"/>
          <w:color w:val="2D3748"/>
          <w:sz w:val="22"/>
          <w:szCs w:val="22"/>
        </w:rPr>
        <w:t xml:space="preserve">Incident workflow actions (acknowledge, assign, investigate) are browser-local in v1.0 and do not mutate the backend warehouse</w:t>
      </w:r>
    </w:p>
    <w:p>
      <w:pPr>
        <w:pStyle w:val="ListParagraph"/>
        <w:numPr>
          <w:ilvl w:val="0"/>
          <w:numId w:val="2"/>
        </w:numPr>
        <w:spacing w:after="40" w:before="40"/>
      </w:pPr>
      <w:r>
        <w:rPr>
          <w:rFonts w:ascii="Calibri" w:cs="Calibri" w:eastAsia="Calibri" w:hAnsi="Calibri"/>
          <w:color w:val="2D3748"/>
          <w:sz w:val="22"/>
          <w:szCs w:val="22"/>
        </w:rPr>
        <w:t xml:space="preserve">Rule weights are static in v1.0; dynamic rule configuration is a roadmap item</w:t>
      </w:r>
    </w:p>
    <w:p>
      <w:pPr>
        <w:spacing w:after="0" w:before="120"/>
      </w:pPr>
      <w:r>
        <w:t xml:space="preserve"/>
      </w:r>
    </w:p>
    <w:p>
      <w:pPr>
        <w:pStyle w:val="Heading1"/>
        <w:spacing w:after="160" w:before="320"/>
      </w:pPr>
      <w:r>
        <w:rPr>
          <w:rFonts w:ascii="Calibri" w:cs="Calibri" w:eastAsia="Calibri" w:hAnsi="Calibri"/>
          <w:b/>
          <w:bCs/>
        </w:rPr>
        <w:t xml:space="preserve">8. Release Phases</w:t>
      </w:r>
    </w:p>
    <w:p>
      <w:pPr>
        <w:pBdr>
          <w:bottom w:val="single" w:color="0D7377" w:sz="4" w:space="1"/>
        </w:pBd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gridCol w:w="1680"/>
      </w:tblGrid>
      <w:tr>
        <w:trPr>
          <w:tblHeader/>
        </w:trPr>
        <w:tc>
          <w:tcPr>
            <w:tcW w:type="dxa" w:w="14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Phase</w:t>
            </w:r>
          </w:p>
        </w:tc>
        <w:tc>
          <w:tcPr>
            <w:tcW w:type="dxa" w:w="70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c>
          <w:tcPr>
            <w:tcW w:type="dxa" w:w="16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Status</w:t>
            </w:r>
          </w:p>
        </w:tc>
      </w:tr>
      <w:tr>
        <w:tc>
          <w:tcPr>
            <w:tcW w:type="dxa" w:w="14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1</w:t>
            </w:r>
          </w:p>
        </w:tc>
        <w:tc>
          <w:tcPr>
            <w:tcW w:type="dxa" w:w="70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Batch ELT — CISA KEV + URLhaus ingestion, dbt marts, Postgres warehouse</w:t>
            </w:r>
          </w:p>
        </w:tc>
        <w:tc>
          <w:tcPr>
            <w:tcW w:type="dxa" w:w="1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2</w:t>
            </w:r>
          </w:p>
        </w:tc>
        <w:tc>
          <w:tcPr>
            <w:tcW w:type="dxa" w:w="7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Streaming — Redpanda pipeline, incremental dbt models, idempotent sinks</w:t>
            </w:r>
          </w:p>
        </w:tc>
        <w:tc>
          <w:tcPr>
            <w:tcW w:type="dxa" w:w="1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r>
        <w:tc>
          <w:tcPr>
            <w:tcW w:type="dxa" w:w="14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3</w:t>
            </w:r>
          </w:p>
        </w:tc>
        <w:tc>
          <w:tcPr>
            <w:tcW w:type="dxa" w:w="70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Orchestration — Prefect-managed pipeline scheduling, observability hooks</w:t>
            </w:r>
          </w:p>
        </w:tc>
        <w:tc>
          <w:tcPr>
            <w:tcW w:type="dxa" w:w="1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4</w:t>
            </w:r>
          </w:p>
        </w:tc>
        <w:tc>
          <w:tcPr>
            <w:tcW w:type="dxa" w:w="7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Serving Layer — FastAPI ARIA API, Streamlit dashboard, CI gates</w:t>
            </w:r>
          </w:p>
        </w:tc>
        <w:tc>
          <w:tcPr>
            <w:tcW w:type="dxa" w:w="1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r>
        <w:tc>
          <w:tcPr>
            <w:tcW w:type="dxa" w:w="14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5</w:t>
            </w:r>
          </w:p>
        </w:tc>
        <w:tc>
          <w:tcPr>
            <w:tcW w:type="dxa" w:w="70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Production Readiness — Prometheus/Grafana SLOs, Alertmanager, governance, backups</w:t>
            </w:r>
          </w:p>
        </w:tc>
        <w:tc>
          <w:tcPr>
            <w:tcW w:type="dxa" w:w="16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Phase 6</w:t>
            </w:r>
          </w:p>
        </w:tc>
        <w:tc>
          <w:tcPr>
            <w:tcW w:type="dxa" w:w="7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SOC Command Center — React UI, SOC scoring, compliance module, WebSocket streaming</w:t>
            </w:r>
          </w:p>
        </w:tc>
        <w:tc>
          <w:tcPr>
            <w:tcW w:type="dxa" w:w="1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Complete</w:t>
            </w:r>
          </w:p>
        </w:tc>
      </w:tr>
    </w:tbl>
    <w:p>
      <w:pPr>
        <w:spacing w:after="0" w:before="160"/>
      </w:pPr>
      <w:r>
        <w:t xml:space="preserve"/>
      </w:r>
    </w:p>
    <w:p>
      <w:pPr>
        <w:pStyle w:val="Heading1"/>
        <w:spacing w:after="160" w:before="320"/>
      </w:pPr>
      <w:r>
        <w:rPr>
          <w:rFonts w:ascii="Calibri" w:cs="Calibri" w:eastAsia="Calibri" w:hAnsi="Calibri"/>
          <w:b/>
          <w:bCs/>
        </w:rPr>
        <w:t xml:space="preserve">9. Open Questions</w:t>
      </w:r>
    </w:p>
    <w:p>
      <w:pPr>
        <w:pBdr>
          <w:bottom w:val="single" w:color="0D7377" w:sz="4" w:space="1"/>
        </w:pBdr>
        <w:spacing w:after="120" w:before="120"/>
      </w:pPr>
    </w:p>
    <w:p>
      <w:pPr>
        <w:pStyle w:val="ListParagraph"/>
        <w:numPr>
          <w:ilvl w:val="0"/>
          <w:numId w:val="2"/>
        </w:numPr>
        <w:spacing w:after="40" w:before="40"/>
      </w:pPr>
      <w:r>
        <w:rPr>
          <w:rFonts w:ascii="Calibri" w:cs="Calibri" w:eastAsia="Calibri" w:hAnsi="Calibri"/>
          <w:color w:val="2D3748"/>
          <w:sz w:val="22"/>
          <w:szCs w:val="22"/>
        </w:rPr>
        <w:t xml:space="preserve">Will Vigil support self-hosted deployment only, or is a SaaS (cloud-hosted) version planned for the roadmap?</w:t>
      </w:r>
    </w:p>
    <w:p>
      <w:pPr>
        <w:pStyle w:val="ListParagraph"/>
        <w:numPr>
          <w:ilvl w:val="0"/>
          <w:numId w:val="2"/>
        </w:numPr>
        <w:spacing w:after="40" w:before="40"/>
      </w:pPr>
      <w:r>
        <w:rPr>
          <w:rFonts w:ascii="Calibri" w:cs="Calibri" w:eastAsia="Calibri" w:hAnsi="Calibri"/>
          <w:color w:val="2D3748"/>
          <w:sz w:val="22"/>
          <w:szCs w:val="22"/>
        </w:rPr>
        <w:t xml:space="preserve">Should incident workflow state (acknowledge, assign, investigate) be persisted server-side in v1.1?</w:t>
      </w:r>
    </w:p>
    <w:p>
      <w:pPr>
        <w:pStyle w:val="ListParagraph"/>
        <w:numPr>
          <w:ilvl w:val="0"/>
          <w:numId w:val="2"/>
        </w:numPr>
        <w:spacing w:after="40" w:before="40"/>
      </w:pPr>
      <w:r>
        <w:rPr>
          <w:rFonts w:ascii="Calibri" w:cs="Calibri" w:eastAsia="Calibri" w:hAnsi="Calibri"/>
          <w:color w:val="2D3748"/>
          <w:sz w:val="22"/>
          <w:szCs w:val="22"/>
        </w:rPr>
        <w:t xml:space="preserve">Are there additional compliance frameworks (HIPAA, NIST CSF, ISO 27001) to prioritise?</w:t>
      </w:r>
    </w:p>
    <w:p>
      <w:pPr>
        <w:pStyle w:val="ListParagraph"/>
        <w:numPr>
          <w:ilvl w:val="0"/>
          <w:numId w:val="2"/>
        </w:numPr>
        <w:spacing w:after="40" w:before="40"/>
      </w:pPr>
      <w:r>
        <w:rPr>
          <w:rFonts w:ascii="Calibri" w:cs="Calibri" w:eastAsia="Calibri" w:hAnsi="Calibri"/>
          <w:color w:val="2D3748"/>
          <w:sz w:val="22"/>
          <w:szCs w:val="22"/>
        </w:rPr>
        <w:t xml:space="preserve">What is the target SLA for a custom rule-builder UI (roadmap priority)?</w:t>
      </w:r>
    </w:p>
    <w:p>
      <w:pPr>
        <w:pStyle w:val="ListParagraph"/>
        <w:numPr>
          <w:ilvl w:val="0"/>
          <w:numId w:val="2"/>
        </w:numPr>
        <w:spacing w:after="40" w:before="40"/>
      </w:pPr>
      <w:r>
        <w:rPr>
          <w:rFonts w:ascii="Calibri" w:cs="Calibri" w:eastAsia="Calibri" w:hAnsi="Calibri"/>
          <w:color w:val="2D3748"/>
          <w:sz w:val="22"/>
          <w:szCs w:val="22"/>
        </w:rPr>
        <w:t xml:space="preserve">Should the CISO view support exportable PDF executive reports?</w:t>
      </w:r>
    </w:p>
    <w:p>
      <w:pPr>
        <w:spacing w:after="0" w:before="160"/>
      </w:pPr>
      <w:r>
        <w:t xml:space="preserve"/>
      </w:r>
    </w:p>
    <w:p>
      <w:pPr>
        <w:pStyle w:val="Heading1"/>
        <w:spacing w:after="160" w:before="320"/>
      </w:pPr>
      <w:r>
        <w:rPr>
          <w:rFonts w:ascii="Calibri" w:cs="Calibri" w:eastAsia="Calibri" w:hAnsi="Calibri"/>
          <w:b/>
          <w:bCs/>
        </w:rPr>
        <w:t xml:space="preserve">10. Glossary</w:t>
      </w:r>
    </w:p>
    <w:p>
      <w:pPr>
        <w:pBdr>
          <w:bottom w:val="single" w:color="0D7377" w:sz="4" w:space="1"/>
        </w:pBd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72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ARIA</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Advanced Risk Intelligence Analytics — the underlying data and scoring engine powering Vigil</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Vigil Score</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0–100 risk score assigned to an entity by the ARIA Rules Engine</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Vigil Command Center</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primary React-based SOC dashboard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Vigil Comply</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compliance evidence module within Vigil</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ARIA Ingest</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hybrid batch + streaming data ingestion pipeline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ARIA API</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FastAPI-based REST + WebSocket service layer</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ARIA Rules Engine</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deterministic scoring engine that produces explainable Vigil Scores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Entity</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A user, asset, vendor, or endpoint that can carry a Vigil Score</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Bronze Layer</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The raw, immutable data lake (MinIO / S3-compatible) where ingested data is first written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KEV</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CISA Known Exploited Vulnerabilities — a public authoritative list of actively exploited CVEs</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SOC</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Security Operations Center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MTTT</w:t>
            </w:r>
          </w:p>
        </w:tc>
        <w:tc>
          <w:tcPr>
            <w:tcW w:type="dxa" w:w="72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Mean Time to Triage — key performance metric measuring analyst response speed</w:t>
            </w:r>
          </w:p>
        </w:tc>
      </w:tr>
      <w:tr>
        <w:tc>
          <w:tcPr>
            <w:tcW w:type="dxa" w:w="280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SLO</w:t>
            </w:r>
          </w:p>
        </w:tc>
        <w:tc>
          <w:tcPr>
            <w:tcW w:type="dxa" w:w="7280"/>
            <w:tcBorders>
              <w:top w:val="single" w:color="D0D5DD" w:sz="1"/>
              <w:left w:val="single" w:color="D0D5DD" w:sz="1"/>
              <w:bottom w:val="single" w:color="D0D5DD" w:sz="1"/>
              <w:right w:val="single" w:color="D0D5DD" w:sz="1"/>
            </w:tcBorders>
            <w:shd w:fill="F7F8FA" w:val="clear"/>
            <w:tcMar>
              <w:top w:type="dxa" w:w="80"/>
              <w:left w:type="dxa" w:w="140"/>
              <w:bottom w:type="dxa" w:w="80"/>
              <w:right w:type="dxa" w:w="140"/>
            </w:tcMar>
            <w:vAlign w:val="center"/>
          </w:tcPr>
          <w:p>
            <w:r>
              <w:rPr>
                <w:rFonts w:ascii="Calibri" w:cs="Calibri" w:eastAsia="Calibri" w:hAnsi="Calibri"/>
                <w:b w:val="false"/>
                <w:bCs w:val="false"/>
                <w:color w:val="2D3748"/>
                <w:sz w:val="20"/>
                <w:szCs w:val="20"/>
              </w:rPr>
              <w:t xml:space="preserve">Service Level Objective — a measurable reliability target</w:t>
            </w:r>
          </w:p>
        </w:tc>
      </w:tr>
    </w:tbl>
    <w:p>
      <w:pPr>
        <w:spacing w:after="0" w:before="200"/>
      </w:pPr>
      <w:r>
        <w:t xml:space="preserve"/>
      </w:r>
    </w:p>
    <w:sectPr>
      <w:headerReference w:type="default" r:id="rId7"/>
      <w:footerReference w:type="default" r:id="rId8"/>
      <w:pgSz w:w="12240" w:h="15840"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2"/>
      </w:pBdr>
      <w:tabs>
        <w:tab w:val="right" w:pos="9026"/>
      </w:tabs>
      <w:spacing w:before="80"/>
    </w:pPr>
    <w:r>
      <w:rPr>
        <w:rFonts w:ascii="Calibri" w:cs="Calibri" w:eastAsia="Calibri" w:hAnsi="Calibri"/>
        <w:color w:val="4A5568"/>
        <w:sz w:val="16"/>
        <w:szCs w:val="16"/>
      </w:rPr>
      <w:t xml:space="preserve">© 2026 Vigil. Confidential.</w:t>
    </w:r>
    <w:r>
      <w:rPr>
        <w:rFonts w:ascii="Calibri" w:cs="Calibri" w:eastAsia="Calibri" w:hAnsi="Calibri"/>
        <w:color w:val="4A5568"/>
        <w:sz w:val="16"/>
        <w:szCs w:val="16"/>
      </w:rPr>
      <w:t xml:space="preserve">	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2"/>
      </w:pBdr>
      <w:tabs>
        <w:tab w:val="right" w:pos="9026"/>
      </w:tabs>
      <w:spacing w:after="80"/>
    </w:pPr>
    <w:r>
      <w:rPr>
        <w:rFonts w:ascii="Calibri" w:cs="Calibri" w:eastAsia="Calibri" w:hAnsi="Calibri"/>
        <w:b/>
        <w:bCs/>
        <w:color w:val="1B2A4A"/>
        <w:sz w:val="18"/>
        <w:szCs w:val="18"/>
      </w:rPr>
      <w:t xml:space="preserve">Vigil</w:t>
    </w:r>
    <w:r>
      <w:rPr>
        <w:rFonts w:ascii="Calibri" w:cs="Calibri" w:eastAsia="Calibri" w:hAnsi="Calibri"/>
        <w:color w:val="4A5568"/>
        <w:sz w:val="18"/>
        <w:szCs w:val="18"/>
      </w:rPr>
      <w:t xml:space="preserve">  |  Powered by ARIA</w:t>
    </w:r>
    <w:r>
      <w:rPr>
        <w:rFonts w:ascii="Calibri" w:cs="Calibri" w:eastAsia="Calibri" w:hAnsi="Calibri"/>
        <w:sz w:val="18"/>
        <w:szCs w:val="18"/>
      </w:rPr>
      <w:t xml:space="preserve">	</w:t>
    </w:r>
    <w:r>
      <w:rPr>
        <w:rFonts w:ascii="Calibri" w:cs="Calibri" w:eastAsia="Calibri" w:hAnsi="Calibri"/>
        <w:color w:val="4A5568"/>
        <w:sz w:val="18"/>
        <w:szCs w:val="18"/>
      </w:rPr>
      <w:t xml:space="preserve">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2026-05-21T18:36:16.268Z</dcterms:created>
  <dcterms:modified xsi:type="dcterms:W3CDTF">2026-05-21T18:36:16.273Z</dcterms:modified>
</cp:coreProperties>
</file>

<file path=docProps/custom.xml><?xml version="1.0" encoding="utf-8"?>
<Properties xmlns="http://schemas.openxmlformats.org/officeDocument/2006/custom-properties" xmlns:vt="http://schemas.openxmlformats.org/officeDocument/2006/docPropsVTypes"/>
</file>