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color="auto" w:val="clear"/>
            <w:tcMar>
              <w:top w:type="dxa" w:w="280"/>
              <w:left w:type="dxa" w:w="260"/>
              <w:bottom w:type="dxa" w:w="260"/>
              <w:right w:type="dxa" w:w="120"/>
            </w:tcMar>
          </w:tcPr>
          <w:p>
            <w:pPr>
              <w:spacing w:after="40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34"/>
                <w:szCs w:val="34"/>
              </w:rPr>
              <w:t xml:space="preserve">AaG</w:t>
            </w:r>
            <w:r>
              <w:rPr>
                <w:rFonts w:ascii="Cormorant Garamond" w:cs="Cormorant Garamond" w:eastAsia="Cormorant Garamond" w:hAnsi="Cormorant Garamond"/>
                <w:b/>
                <w:bCs/>
                <w:color w:val="F0B429"/>
                <w:sz w:val="34"/>
                <w:szCs w:val="34"/>
              </w:rPr>
              <w:t xml:space="preserve">e</w:t>
            </w: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34"/>
                <w:szCs w:val="34"/>
              </w:rPr>
              <w:t xml:space="preserve">Ja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color="auto" w:val="clear"/>
            <w:tcMar>
              <w:top w:type="dxa" w:w="280"/>
              <w:left w:type="dxa" w:w="120"/>
              <w:bottom w:type="dxa" w:w="260"/>
              <w:right w:type="dxa" w:w="260"/>
            </w:tcMar>
          </w:tcPr>
          <w:p>
            <w:pPr>
              <w:spacing w:after="30"/>
              <w:jc w:val="right"/>
            </w:pPr>
            <w:r>
              <w:rPr>
                <w:rFonts w:ascii="DM Mono" w:cs="DM Mono" w:eastAsia="DM Mono" w:hAnsi="DM Mono"/>
                <w:color w:val="FFFFFF"/>
                <w:spacing w:val="60"/>
                <w:sz w:val="13"/>
                <w:szCs w:val="13"/>
              </w:rPr>
              <w:t xml:space="preserve">BUSINESS CONTINUITY PLAN</w:t>
            </w:r>
          </w:p>
          <w:p>
            <w:pPr>
              <w:jc w:val="right"/>
            </w:pPr>
            <w:r>
              <w:rPr>
                <w:rFonts w:ascii="DM Mono" w:cs="DM Mono" w:eastAsia="DM Mono" w:hAnsi="DM Mono"/>
                <w:color w:val="FFFFFF"/>
                <w:sz w:val="12"/>
                <w:szCs w:val="12"/>
              </w:rPr>
              <w:t xml:space="preserve">Version 1.0</w:t>
            </w:r>
            <w:r>
              <w:rPr>
                <w:rFonts w:ascii="DM Mono" w:cs="DM Mono" w:eastAsia="DM Mono" w:hAnsi="DM Mono"/>
                <w:color w:val="FFFFFF"/>
                <w:sz w:val="12"/>
                <w:szCs w:val="12"/>
              </w:rPr>
              <w:t xml:space="preserve">   |   </w:t>
            </w:r>
            <w:r>
              <w:rPr>
                <w:rFonts w:ascii="DM Mono" w:cs="DM Mono" w:eastAsia="DM Mono" w:hAnsi="DM Mono"/>
                <w:color w:val="FFFFFF"/>
                <w:sz w:val="12"/>
                <w:szCs w:val="12"/>
              </w:rPr>
              <w:t xml:space="preserve">July 2026</w:t>
            </w:r>
          </w:p>
        </w:tc>
      </w:tr>
    </w:tbl>
    <w:p>
      <w:pPr>
        <w:spacing w:after="40" w:before="200"/>
      </w:pPr>
      <w:r>
        <w:rPr>
          <w:rFonts w:ascii="Cormorant Garamond" w:cs="Cormorant Garamond" w:eastAsia="Cormorant Garamond" w:hAnsi="Cormorant Garamond"/>
          <w:b/>
          <w:bCs/>
          <w:color w:val="0A1628"/>
          <w:sz w:val="28"/>
          <w:szCs w:val="28"/>
        </w:rPr>
        <w:t xml:space="preserve">Business Continuity Plan</w:t>
      </w:r>
    </w:p>
    <w:p>
      <w:pPr>
        <w:pBdr>
          <w:bottom w:val="single" w:color="E4DDD0" w:sz="4" w:space="8"/>
        </w:pBdr>
        <w:spacing w:after="120" w:before="0" w:line="250"/>
      </w:pPr>
      <w:r>
        <w:rPr>
          <w:rFonts w:ascii="Outfit" w:cs="Outfit" w:eastAsia="Outfit" w:hAnsi="Outfit"/>
          <w:i/>
          <w:iCs/>
          <w:color w:val="5A6A7E"/>
          <w:sz w:val="19"/>
          <w:szCs w:val="19"/>
        </w:rPr>
        <w:t xml:space="preserve">Continuity of AaGeJa services in the event of the founder's extended unavailability.</w:t>
      </w:r>
    </w:p>
    <w:p>
      <w:pPr>
        <w:pBdr>
          <w:bottom w:val="single" w:color="E4DDD0" w:sz="4" w:space="4"/>
        </w:pBdr>
        <w:spacing w:after="40" w:before="140"/>
      </w:pPr>
      <w:r>
        <w:rPr>
          <w:rFonts w:ascii="DM Mono" w:cs="DM Mono" w:eastAsia="DM Mono" w:hAnsi="DM Mono"/>
          <w:color w:val="0D7377"/>
          <w:spacing w:val="60"/>
          <w:sz w:val="15"/>
          <w:szCs w:val="15"/>
        </w:rPr>
        <w:t xml:space="preserve">01 · PURPOSE</w:t>
      </w:r>
    </w:p>
    <w:p>
      <w:pPr>
        <w:spacing w:after="20" w:before="20" w:line="250"/>
      </w:pPr>
      <w:r>
        <w:rPr>
          <w:rFonts w:ascii="Outfit" w:cs="Outfit" w:eastAsia="Outfit" w:hAnsi="Outfit"/>
          <w:color w:val="2A3A4E"/>
          <w:sz w:val="19"/>
          <w:szCs w:val="19"/>
        </w:rPr>
        <w:t xml:space="preserve">This plan ensures continuity of AaGeJa LLC services, client obligations, and platform access in the event that Sundar Nagarathnam (founder of AaGeJa LLC) becomes unavailable for an extended period.</w:t>
      </w:r>
    </w:p>
    <w:p>
      <w:pPr>
        <w:pBdr>
          <w:bottom w:val="single" w:color="E4DDD0" w:sz="4" w:space="4"/>
        </w:pBdr>
        <w:spacing w:after="40" w:before="140"/>
      </w:pPr>
      <w:r>
        <w:rPr>
          <w:rFonts w:ascii="DM Mono" w:cs="DM Mono" w:eastAsia="DM Mono" w:hAnsi="DM Mono"/>
          <w:color w:val="0D7377"/>
          <w:spacing w:val="60"/>
          <w:sz w:val="15"/>
          <w:szCs w:val="15"/>
        </w:rPr>
        <w:t xml:space="preserve">02 · SUCCESSOR OPERATOR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rFonts w:ascii="Outfit" w:cs="Outfit" w:eastAsia="Outfit" w:hAnsi="Outfit"/>
          <w:b/>
          <w:bCs/>
          <w:color w:val="0A1628"/>
          <w:sz w:val="18"/>
          <w:szCs w:val="18"/>
        </w:rPr>
        <w:t xml:space="preserve">Name: </w:t>
      </w:r>
      <w:r>
        <w:rPr>
          <w:rFonts w:ascii="Outfit" w:cs="Outfit" w:eastAsia="Outfit" w:hAnsi="Outfit"/>
          <w:color w:val="2A3A4E"/>
          <w:sz w:val="18"/>
          <w:szCs w:val="18"/>
        </w:rPr>
        <w:t xml:space="preserve">Janaki Krishnaswamy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rFonts w:ascii="Outfit" w:cs="Outfit" w:eastAsia="Outfit" w:hAnsi="Outfit"/>
          <w:b/>
          <w:bCs/>
          <w:color w:val="0A1628"/>
          <w:sz w:val="18"/>
          <w:szCs w:val="18"/>
        </w:rPr>
        <w:t xml:space="preserve">Relationship: </w:t>
      </w:r>
      <w:r>
        <w:rPr>
          <w:rFonts w:ascii="Outfit" w:cs="Outfit" w:eastAsia="Outfit" w:hAnsi="Outfit"/>
          <w:color w:val="2A3A4E"/>
          <w:sz w:val="18"/>
          <w:szCs w:val="18"/>
        </w:rPr>
        <w:t xml:space="preserve">Spouse of founder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rFonts w:ascii="Outfit" w:cs="Outfit" w:eastAsia="Outfit" w:hAnsi="Outfit"/>
          <w:b/>
          <w:bCs/>
          <w:color w:val="0A1628"/>
          <w:sz w:val="18"/>
          <w:szCs w:val="18"/>
        </w:rPr>
        <w:t xml:space="preserve">Basis for role: </w:t>
      </w:r>
      <w:r>
        <w:rPr>
          <w:rFonts w:ascii="Outfit" w:cs="Outfit" w:eastAsia="Outfit" w:hAnsi="Outfit"/>
          <w:color w:val="2A3A4E"/>
          <w:sz w:val="18"/>
          <w:szCs w:val="18"/>
        </w:rPr>
        <w:t xml:space="preserve">Familiarity with AaGeJa operations; granted administrative access to critical systems as documented in Section 03.</w:t>
      </w:r>
    </w:p>
    <w:p>
      <w:pPr>
        <w:pBdr>
          <w:bottom w:val="single" w:color="E4DDD0" w:sz="4" w:space="4"/>
        </w:pBdr>
        <w:spacing w:after="40" w:before="140"/>
      </w:pPr>
      <w:r>
        <w:rPr>
          <w:rFonts w:ascii="DM Mono" w:cs="DM Mono" w:eastAsia="DM Mono" w:hAnsi="DM Mono"/>
          <w:color w:val="0D7377"/>
          <w:spacing w:val="60"/>
          <w:sz w:val="15"/>
          <w:szCs w:val="15"/>
        </w:rPr>
        <w:t xml:space="preserve">03 · SYSTEMS WITH SUCCESSOR ACCESS</w:t>
      </w:r>
    </w:p>
    <w:p>
      <w:pPr>
        <w:spacing w:after="20" w:before="20" w:line="250"/>
      </w:pPr>
      <w:r>
        <w:rPr>
          <w:rFonts w:ascii="Outfit" w:cs="Outfit" w:eastAsia="Outfit" w:hAnsi="Outfit"/>
          <w:color w:val="2A3A4E"/>
          <w:sz w:val="19"/>
          <w:szCs w:val="19"/>
        </w:rPr>
        <w:t xml:space="preserve">The successor operator holds administrative or equivalent access to the following systems, sufficient to secure, operate, or hand over AaGeJa services: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rFonts w:ascii="Outfit" w:cs="Outfit" w:eastAsia="Outfit" w:hAnsi="Outfit"/>
          <w:b/>
          <w:bCs/>
          <w:color w:val="0A1628"/>
          <w:sz w:val="18"/>
          <w:szCs w:val="18"/>
        </w:rPr>
        <w:t xml:space="preserve">GitHub organization (aageja-llc) — </w:t>
      </w:r>
      <w:r>
        <w:rPr>
          <w:rFonts w:ascii="Outfit" w:cs="Outfit" w:eastAsia="Outfit" w:hAnsi="Outfit"/>
          <w:color w:val="2A3A4E"/>
          <w:sz w:val="18"/>
          <w:szCs w:val="18"/>
        </w:rPr>
        <w:t xml:space="preserve">Owner role. Includes all agent definitions and configuration.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rFonts w:ascii="Outfit" w:cs="Outfit" w:eastAsia="Outfit" w:hAnsi="Outfit"/>
          <w:b/>
          <w:bCs/>
          <w:color w:val="0A1628"/>
          <w:sz w:val="18"/>
          <w:szCs w:val="18"/>
        </w:rPr>
        <w:t xml:space="preserve">MindStudio workspace — </w:t>
      </w:r>
      <w:r>
        <w:rPr>
          <w:rFonts w:ascii="Outfit" w:cs="Outfit" w:eastAsia="Outfit" w:hAnsi="Outfit"/>
          <w:color w:val="2A3A4E"/>
          <w:sz w:val="18"/>
          <w:szCs w:val="18"/>
        </w:rPr>
        <w:t xml:space="preserve">Administrator access. Includes all client-facing agents.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rFonts w:ascii="Outfit" w:cs="Outfit" w:eastAsia="Outfit" w:hAnsi="Outfit"/>
          <w:b/>
          <w:bCs/>
          <w:color w:val="0A1628"/>
          <w:sz w:val="18"/>
          <w:szCs w:val="18"/>
        </w:rPr>
        <w:t xml:space="preserve">Railway workspace — </w:t>
      </w:r>
      <w:r>
        <w:rPr>
          <w:rFonts w:ascii="Outfit" w:cs="Outfit" w:eastAsia="Outfit" w:hAnsi="Outfit"/>
          <w:color w:val="2A3A4E"/>
          <w:sz w:val="18"/>
          <w:szCs w:val="18"/>
        </w:rPr>
        <w:t xml:space="preserve">Team member with admin rights. Includes content-api backend.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rFonts w:ascii="Outfit" w:cs="Outfit" w:eastAsia="Outfit" w:hAnsi="Outfit"/>
          <w:b/>
          <w:bCs/>
          <w:color w:val="0A1628"/>
          <w:sz w:val="18"/>
          <w:szCs w:val="18"/>
        </w:rPr>
        <w:t xml:space="preserve">Google Workspace (aageja.ai) — </w:t>
      </w:r>
      <w:r>
        <w:rPr>
          <w:rFonts w:ascii="Outfit" w:cs="Outfit" w:eastAsia="Outfit" w:hAnsi="Outfit"/>
          <w:color w:val="2A3A4E"/>
          <w:sz w:val="18"/>
          <w:szCs w:val="18"/>
        </w:rPr>
        <w:t xml:space="preserve">Administrator access. Includes email, drive, and calendar.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rFonts w:ascii="Outfit" w:cs="Outfit" w:eastAsia="Outfit" w:hAnsi="Outfit"/>
          <w:b/>
          <w:bCs/>
          <w:color w:val="0A1628"/>
          <w:sz w:val="18"/>
          <w:szCs w:val="18"/>
        </w:rPr>
        <w:t xml:space="preserve">Domain registrar — </w:t>
      </w:r>
      <w:r>
        <w:rPr>
          <w:rFonts w:ascii="Outfit" w:cs="Outfit" w:eastAsia="Outfit" w:hAnsi="Outfit"/>
          <w:color w:val="2A3A4E"/>
          <w:sz w:val="18"/>
          <w:szCs w:val="18"/>
        </w:rPr>
        <w:t xml:space="preserve">Administrative access to aageja.ai and aageja.com domain records.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rFonts w:ascii="Outfit" w:cs="Outfit" w:eastAsia="Outfit" w:hAnsi="Outfit"/>
          <w:b/>
          <w:bCs/>
          <w:color w:val="0A1628"/>
          <w:sz w:val="18"/>
          <w:szCs w:val="18"/>
        </w:rPr>
        <w:t xml:space="preserve">Password manager — </w:t>
      </w:r>
      <w:r>
        <w:rPr>
          <w:rFonts w:ascii="Outfit" w:cs="Outfit" w:eastAsia="Outfit" w:hAnsi="Outfit"/>
          <w:color w:val="2A3A4E"/>
          <w:sz w:val="18"/>
          <w:szCs w:val="18"/>
        </w:rPr>
        <w:t xml:space="preserve">Shared vault with credentials for all platform accounts.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rFonts w:ascii="Outfit" w:cs="Outfit" w:eastAsia="Outfit" w:hAnsi="Outfit"/>
          <w:b/>
          <w:bCs/>
          <w:color w:val="0A1628"/>
          <w:sz w:val="18"/>
          <w:szCs w:val="18"/>
        </w:rPr>
        <w:t xml:space="preserve">Business banking — </w:t>
      </w:r>
      <w:r>
        <w:rPr>
          <w:rFonts w:ascii="Outfit" w:cs="Outfit" w:eastAsia="Outfit" w:hAnsi="Outfit"/>
          <w:color w:val="2A3A4E"/>
          <w:sz w:val="18"/>
          <w:szCs w:val="18"/>
        </w:rPr>
        <w:t xml:space="preserve">Authorized signatory or view access, as applicable to business account structure.</w:t>
      </w:r>
    </w:p>
    <w:p>
      <w:pPr>
        <w:pBdr>
          <w:bottom w:val="single" w:color="E4DDD0" w:sz="4" w:space="4"/>
        </w:pBdr>
        <w:spacing w:after="40" w:before="140"/>
      </w:pPr>
      <w:r>
        <w:rPr>
          <w:rFonts w:ascii="DM Mono" w:cs="DM Mono" w:eastAsia="DM Mono" w:hAnsi="DM Mono"/>
          <w:color w:val="0D7377"/>
          <w:spacing w:val="60"/>
          <w:sz w:val="15"/>
          <w:szCs w:val="15"/>
        </w:rPr>
        <w:t xml:space="preserve">04 · TRIGGER CONDITIONS</w:t>
      </w:r>
    </w:p>
    <w:p>
      <w:pPr>
        <w:spacing w:after="20" w:before="20" w:line="250"/>
      </w:pPr>
      <w:r>
        <w:rPr>
          <w:rFonts w:ascii="Outfit" w:cs="Outfit" w:eastAsia="Outfit" w:hAnsi="Outfit"/>
          <w:color w:val="2A3A4E"/>
          <w:sz w:val="19"/>
          <w:szCs w:val="19"/>
        </w:rPr>
        <w:t xml:space="preserve">This plan activates when any of the following occurs: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rFonts w:ascii="Outfit" w:cs="Outfit" w:eastAsia="Outfit" w:hAnsi="Outfit"/>
          <w:b/>
          <w:bCs/>
          <w:color w:val="0A1628"/>
          <w:sz w:val="18"/>
          <w:szCs w:val="18"/>
        </w:rPr>
        <w:t xml:space="preserve">Unresponsive: </w:t>
      </w:r>
      <w:r>
        <w:rPr>
          <w:rFonts w:ascii="Outfit" w:cs="Outfit" w:eastAsia="Outfit" w:hAnsi="Outfit"/>
          <w:color w:val="2A3A4E"/>
          <w:sz w:val="18"/>
          <w:szCs w:val="18"/>
        </w:rPr>
        <w:t xml:space="preserve">Founder unresponsive to standard business communications for more than seven consecutive business days.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rFonts w:ascii="Outfit" w:cs="Outfit" w:eastAsia="Outfit" w:hAnsi="Outfit"/>
          <w:b/>
          <w:bCs/>
          <w:color w:val="0A1628"/>
          <w:sz w:val="18"/>
          <w:szCs w:val="18"/>
        </w:rPr>
        <w:t xml:space="preserve">Incapacitation: </w:t>
      </w:r>
      <w:r>
        <w:rPr>
          <w:rFonts w:ascii="Outfit" w:cs="Outfit" w:eastAsia="Outfit" w:hAnsi="Outfit"/>
          <w:color w:val="2A3A4E"/>
          <w:sz w:val="18"/>
          <w:szCs w:val="18"/>
        </w:rPr>
        <w:t xml:space="preserve">Medical incapacitation, serious injury, or death.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rFonts w:ascii="Outfit" w:cs="Outfit" w:eastAsia="Outfit" w:hAnsi="Outfit"/>
          <w:b/>
          <w:bCs/>
          <w:color w:val="0A1628"/>
          <w:sz w:val="18"/>
          <w:szCs w:val="18"/>
        </w:rPr>
        <w:t xml:space="preserve">Other extended unavailability: </w:t>
      </w:r>
      <w:r>
        <w:rPr>
          <w:rFonts w:ascii="Outfit" w:cs="Outfit" w:eastAsia="Outfit" w:hAnsi="Outfit"/>
          <w:color w:val="2A3A4E"/>
          <w:sz w:val="18"/>
          <w:szCs w:val="18"/>
        </w:rPr>
        <w:t xml:space="preserve">Any circumstance where the founder cannot execute AaGeJa duties for a period likely to exceed two weeks.</w:t>
      </w:r>
    </w:p>
    <w:p>
      <w:pPr>
        <w:pBdr>
          <w:bottom w:val="single" w:color="E4DDD0" w:sz="4" w:space="4"/>
        </w:pBdr>
        <w:spacing w:after="40" w:before="140"/>
      </w:pPr>
      <w:r>
        <w:rPr>
          <w:rFonts w:ascii="DM Mono" w:cs="DM Mono" w:eastAsia="DM Mono" w:hAnsi="DM Mono"/>
          <w:color w:val="0D7377"/>
          <w:spacing w:val="60"/>
          <w:sz w:val="15"/>
          <w:szCs w:val="15"/>
        </w:rPr>
        <w:t xml:space="preserve">05 · ACTIONS ON ACTIVATION</w:t>
      </w:r>
    </w:p>
    <w:p>
      <w:pPr>
        <w:spacing w:after="10" w:before="10" w:line="240"/>
        <w:ind w:left="260" w:hanging="260"/>
      </w:pPr>
      <w:r>
        <w:rPr>
          <w:rFonts w:ascii="Outfit" w:cs="Outfit" w:eastAsia="Outfit" w:hAnsi="Outfit"/>
          <w:b/>
          <w:bCs/>
          <w:color w:val="0D7377"/>
          <w:sz w:val="18"/>
          <w:szCs w:val="18"/>
        </w:rPr>
        <w:t xml:space="preserve">1. </w:t>
      </w:r>
      <w:r>
        <w:rPr>
          <w:rFonts w:ascii="Outfit" w:cs="Outfit" w:eastAsia="Outfit" w:hAnsi="Outfit"/>
          <w:color w:val="2A3A4E"/>
          <w:sz w:val="18"/>
          <w:szCs w:val="18"/>
        </w:rPr>
        <w:t xml:space="preserve">Successor operator notifies all active clients within three business days of confirming a trigger event.</w:t>
      </w:r>
    </w:p>
    <w:p>
      <w:pPr>
        <w:spacing w:after="10" w:before="10" w:line="240"/>
        <w:ind w:left="260" w:hanging="260"/>
      </w:pPr>
      <w:r>
        <w:rPr>
          <w:rFonts w:ascii="Outfit" w:cs="Outfit" w:eastAsia="Outfit" w:hAnsi="Outfit"/>
          <w:b/>
          <w:bCs/>
          <w:color w:val="0D7377"/>
          <w:sz w:val="18"/>
          <w:szCs w:val="18"/>
        </w:rPr>
        <w:t xml:space="preserve">2. </w:t>
      </w:r>
      <w:r>
        <w:rPr>
          <w:rFonts w:ascii="Outfit" w:cs="Outfit" w:eastAsia="Outfit" w:hAnsi="Outfit"/>
          <w:color w:val="2A3A4E"/>
          <w:sz w:val="18"/>
          <w:szCs w:val="18"/>
        </w:rPr>
        <w:t xml:space="preserve">Successor secures AaGeJa systems: verifies access, reviews recent activity, rotates any potentially exposed credentials.</w:t>
      </w:r>
    </w:p>
    <w:p>
      <w:pPr>
        <w:spacing w:after="10" w:before="10" w:line="240"/>
        <w:ind w:left="260" w:hanging="260"/>
      </w:pPr>
      <w:r>
        <w:rPr>
          <w:rFonts w:ascii="Outfit" w:cs="Outfit" w:eastAsia="Outfit" w:hAnsi="Outfit"/>
          <w:b/>
          <w:bCs/>
          <w:color w:val="0D7377"/>
          <w:sz w:val="18"/>
          <w:szCs w:val="18"/>
        </w:rPr>
        <w:t xml:space="preserve">3. </w:t>
      </w:r>
      <w:r>
        <w:rPr>
          <w:rFonts w:ascii="Outfit" w:cs="Outfit" w:eastAsia="Outfit" w:hAnsi="Outfit"/>
          <w:color w:val="2A3A4E"/>
          <w:sz w:val="18"/>
          <w:szCs w:val="18"/>
        </w:rPr>
        <w:t xml:space="preserve">Active client obligations are honored per existing contracts to the extent operationally feasible. New engagements are paused pending resolution.</w:t>
      </w:r>
    </w:p>
    <w:p>
      <w:pPr>
        <w:spacing w:after="10" w:before="10" w:line="240"/>
        <w:ind w:left="260" w:hanging="260"/>
      </w:pPr>
      <w:r>
        <w:rPr>
          <w:rFonts w:ascii="Outfit" w:cs="Outfit" w:eastAsia="Outfit" w:hAnsi="Outfit"/>
          <w:b/>
          <w:bCs/>
          <w:color w:val="0D7377"/>
          <w:sz w:val="18"/>
          <w:szCs w:val="18"/>
        </w:rPr>
        <w:t xml:space="preserve">4. </w:t>
      </w:r>
      <w:r>
        <w:rPr>
          <w:rFonts w:ascii="Outfit" w:cs="Outfit" w:eastAsia="Outfit" w:hAnsi="Outfit"/>
          <w:color w:val="2A3A4E"/>
          <w:sz w:val="18"/>
          <w:szCs w:val="18"/>
        </w:rPr>
        <w:t xml:space="preserve">Legal counsel is engaged if needed to address contractual obligations or asset transfer.</w:t>
      </w:r>
    </w:p>
    <w:p>
      <w:pPr>
        <w:spacing w:after="10" w:before="10" w:line="240"/>
        <w:ind w:left="260" w:hanging="260"/>
      </w:pPr>
      <w:r>
        <w:rPr>
          <w:rFonts w:ascii="Outfit" w:cs="Outfit" w:eastAsia="Outfit" w:hAnsi="Outfit"/>
          <w:b/>
          <w:bCs/>
          <w:color w:val="0D7377"/>
          <w:sz w:val="18"/>
          <w:szCs w:val="18"/>
        </w:rPr>
        <w:t xml:space="preserve">5. </w:t>
      </w:r>
      <w:r>
        <w:rPr>
          <w:rFonts w:ascii="Outfit" w:cs="Outfit" w:eastAsia="Outfit" w:hAnsi="Outfit"/>
          <w:color w:val="2A3A4E"/>
          <w:sz w:val="18"/>
          <w:szCs w:val="18"/>
        </w:rPr>
        <w:t xml:space="preserve">If the situation extends beyond thirty days, the successor engages qualified operators to assume ongoing service delivery or initiates orderly wind-down as appropriate.</w:t>
      </w:r>
    </w:p>
    <w:p>
      <w:pPr>
        <w:pBdr>
          <w:bottom w:val="single" w:color="E4DDD0" w:sz="4" w:space="4"/>
        </w:pBdr>
        <w:spacing w:after="40" w:before="140"/>
      </w:pPr>
      <w:r>
        <w:rPr>
          <w:rFonts w:ascii="DM Mono" w:cs="DM Mono" w:eastAsia="DM Mono" w:hAnsi="DM Mono"/>
          <w:color w:val="0D7377"/>
          <w:spacing w:val="60"/>
          <w:sz w:val="15"/>
          <w:szCs w:val="15"/>
        </w:rPr>
        <w:t xml:space="preserve">06 · REVIEW AND MAINTENANCE</w:t>
      </w:r>
    </w:p>
    <w:p>
      <w:pPr>
        <w:spacing w:after="20" w:before="20" w:line="250"/>
      </w:pPr>
      <w:r>
        <w:rPr>
          <w:rFonts w:ascii="Outfit" w:cs="Outfit" w:eastAsia="Outfit" w:hAnsi="Outfit"/>
          <w:color w:val="2A3A4E"/>
          <w:sz w:val="19"/>
          <w:szCs w:val="19"/>
        </w:rPr>
        <w:t xml:space="preserve">This plan is reviewed and updated annually, upon any change in successor arrangement, or upon any material change in critical systems. Successor access is verified at each review.</w:t>
      </w:r>
    </w:p>
    <w:p>
      <w:pPr>
        <w:pBdr>
          <w:bottom w:val="single" w:color="E4DDD0" w:sz="4" w:space="4"/>
        </w:pBdr>
        <w:spacing w:after="40" w:before="140"/>
      </w:pPr>
      <w:r>
        <w:rPr>
          <w:rFonts w:ascii="DM Mono" w:cs="DM Mono" w:eastAsia="DM Mono" w:hAnsi="DM Mono"/>
          <w:color w:val="0D7377"/>
          <w:spacing w:val="60"/>
          <w:sz w:val="15"/>
          <w:szCs w:val="15"/>
        </w:rPr>
        <w:t xml:space="preserve">07 · APPROVAL</w:t>
      </w:r>
    </w:p>
    <w:p>
      <w:pPr>
        <w:spacing w:after="30" w:before="100"/>
      </w:pPr>
      <w:r>
        <w:rPr>
          <w:rFonts w:ascii="Outfit" w:cs="Outfit" w:eastAsia="Outfit" w:hAnsi="Outfit"/>
          <w:b/>
          <w:bCs/>
          <w:color w:val="0A1628"/>
          <w:sz w:val="18"/>
          <w:szCs w:val="18"/>
        </w:rPr>
        <w:t xml:space="preserve">Approved by: </w:t>
      </w:r>
      <w:r>
        <w:rPr>
          <w:rFonts w:ascii="Outfit" w:cs="Outfit" w:eastAsia="Outfit" w:hAnsi="Outfit"/>
          <w:color w:val="2A3A4E"/>
          <w:sz w:val="18"/>
          <w:szCs w:val="18"/>
        </w:rPr>
        <w:t xml:space="preserve">Sundar Nagarathnam, Founder, AaGeJa LLC</w:t>
      </w:r>
    </w:p>
    <w:p>
      <w:pPr>
        <w:spacing w:after="30" w:before="30"/>
      </w:pPr>
      <w:r>
        <w:rPr>
          <w:rFonts w:ascii="Outfit" w:cs="Outfit" w:eastAsia="Outfit" w:hAnsi="Outfit"/>
          <w:b/>
          <w:bCs/>
          <w:color w:val="0A1628"/>
          <w:sz w:val="18"/>
          <w:szCs w:val="18"/>
        </w:rPr>
        <w:t xml:space="preserve">Acknowledged by successor: </w:t>
      </w:r>
      <w:r>
        <w:rPr>
          <w:rFonts w:ascii="Outfit" w:cs="Outfit" w:eastAsia="Outfit" w:hAnsi="Outfit"/>
          <w:color w:val="2A3A4E"/>
          <w:sz w:val="18"/>
          <w:szCs w:val="18"/>
        </w:rPr>
        <w:t xml:space="preserve">Janaki Krishnaswamy</w:t>
      </w:r>
    </w:p>
    <w:p>
      <w:pPr>
        <w:spacing w:after="30" w:before="30"/>
      </w:pPr>
      <w:r>
        <w:rPr>
          <w:rFonts w:ascii="Outfit" w:cs="Outfit" w:eastAsia="Outfit" w:hAnsi="Outfit"/>
          <w:b/>
          <w:bCs/>
          <w:color w:val="0A1628"/>
          <w:sz w:val="18"/>
          <w:szCs w:val="18"/>
        </w:rPr>
        <w:t xml:space="preserve">Date of approval: </w:t>
      </w:r>
      <w:r>
        <w:rPr>
          <w:rFonts w:ascii="Outfit" w:cs="Outfit" w:eastAsia="Outfit" w:hAnsi="Outfit"/>
          <w:color w:val="2A3A4E"/>
          <w:sz w:val="18"/>
          <w:szCs w:val="18"/>
        </w:rPr>
        <w:t xml:space="preserve">_________________</w:t>
      </w:r>
    </w:p>
    <w:sectPr>
      <w:footerReference w:type="default" r:id="rId7"/>
      <w:pgSz w:w="12240" w:h="15840" w:orient="portrait"/>
      <w:pgMar w:top="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DDD0" w:sz="4" w:space="4"/>
      </w:pBdr>
      <w:jc w:val="center"/>
    </w:pPr>
    <w:r>
      <w:rPr>
        <w:rFonts w:ascii="DM Mono" w:cs="DM Mono" w:eastAsia="DM Mono" w:hAnsi="DM Mono"/>
        <w:color w:val="5A6A7E"/>
        <w:sz w:val="12"/>
        <w:szCs w:val="12"/>
      </w:rPr>
      <w:t xml:space="preserve">AaGeJa LLC — Business Continuity Plan v1.0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00" w:hanging="240"/>
      </w:pPr>
      <w:rPr>
        <w:rFonts w:ascii="Outfit" w:cs="Outfit" w:eastAsia="Outfit" w:hAnsi="Outfit"/>
        <w:color w:val="F0B42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utfit" w:cs="Outfit" w:eastAsia="Outfit" w:hAnsi="Outfit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AaGeJa Business Continuity Plan</dc:title>
  <dc:creator>AaGeJa LLC</dc:creator>
  <cp:lastModifiedBy>Un-named</cp:lastModifiedBy>
  <cp:revision>1</cp:revision>
  <dcterms:created xsi:type="dcterms:W3CDTF">2026-07-25T11:30:05.509Z</dcterms:created>
  <dcterms:modified xsi:type="dcterms:W3CDTF">2026-07-25T11:30:05.529Z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