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E2EA" w14:textId="1C283708" w:rsidR="00CB51D1" w:rsidRPr="002309BF" w:rsidRDefault="00CB51D1" w:rsidP="00CB51D1">
      <w:pPr>
        <w:jc w:val="both"/>
        <w:rPr>
          <w:sz w:val="22"/>
          <w:szCs w:val="22"/>
        </w:rPr>
      </w:pPr>
      <w:r w:rsidRPr="002309BF">
        <w:rPr>
          <w:sz w:val="22"/>
          <w:szCs w:val="22"/>
        </w:rPr>
        <w:t>Dans le cadre des projets éoliens, les chiroptères n'ont fait l'objet d'inventaires approfondis que depuis 2005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 xml:space="preserve">et restent donc, à l'heure actuelle, assez mal connus. </w:t>
      </w:r>
      <w:r w:rsidRPr="00F528E3">
        <w:rPr>
          <w:b/>
          <w:bCs/>
          <w:sz w:val="22"/>
          <w:szCs w:val="22"/>
        </w:rPr>
        <w:t>Les principales espèces impactées</w:t>
      </w:r>
      <w:r w:rsidRPr="002309BF">
        <w:rPr>
          <w:sz w:val="22"/>
          <w:szCs w:val="22"/>
        </w:rPr>
        <w:t xml:space="preserve"> par le développement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 xml:space="preserve">éolien sont </w:t>
      </w:r>
      <w:r w:rsidRPr="00F528E3">
        <w:rPr>
          <w:b/>
          <w:bCs/>
          <w:sz w:val="22"/>
          <w:szCs w:val="22"/>
        </w:rPr>
        <w:t xml:space="preserve">les Noctules </w:t>
      </w:r>
      <w:r w:rsidRPr="00F528E3">
        <w:rPr>
          <w:sz w:val="22"/>
          <w:szCs w:val="22"/>
        </w:rPr>
        <w:t xml:space="preserve">et </w:t>
      </w:r>
      <w:r w:rsidRPr="00F528E3">
        <w:rPr>
          <w:b/>
          <w:bCs/>
          <w:sz w:val="22"/>
          <w:szCs w:val="22"/>
        </w:rPr>
        <w:t>les Pipistrelles.</w:t>
      </w:r>
      <w:r w:rsidRPr="002309BF">
        <w:rPr>
          <w:sz w:val="22"/>
          <w:szCs w:val="22"/>
        </w:rPr>
        <w:t xml:space="preserve"> La période la plus sensible se situe aux mois d’août et septembre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(émancipation des jeunes et transit automnal), (SFEPM, 2004).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Par ailleurs, les cas de mortalité constatés concernent principalement les espèces migratrices dont les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déplacements se font à haute altitude (50 à 100 m voire plus), telles que les Pipistrelles et les Noctules avec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respectivement 53, 4 % et 21% des chiroptères impactés par l’éolien, soit près de</w:t>
      </w:r>
      <w:r w:rsidR="00F528E3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75 % des cadavres.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 xml:space="preserve">Parmi les espèces les plus impactées, nous retrouvons la Pipistrelle commune, les Pipistrelles de </w:t>
      </w:r>
      <w:proofErr w:type="spellStart"/>
      <w:r w:rsidRPr="002309BF">
        <w:rPr>
          <w:sz w:val="22"/>
          <w:szCs w:val="22"/>
        </w:rPr>
        <w:t>Nathusius</w:t>
      </w:r>
      <w:proofErr w:type="spellEnd"/>
      <w:r w:rsidRPr="002309BF">
        <w:rPr>
          <w:sz w:val="22"/>
          <w:szCs w:val="22"/>
        </w:rPr>
        <w:t>/Kuhl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 xml:space="preserve">la Noctule commune et la Noctule de Leisler (Bat </w:t>
      </w:r>
      <w:proofErr w:type="spellStart"/>
      <w:r w:rsidRPr="002309BF">
        <w:rPr>
          <w:sz w:val="22"/>
          <w:szCs w:val="22"/>
        </w:rPr>
        <w:t>fatalities</w:t>
      </w:r>
      <w:proofErr w:type="spellEnd"/>
      <w:r w:rsidRPr="002309BF">
        <w:rPr>
          <w:sz w:val="22"/>
          <w:szCs w:val="22"/>
        </w:rPr>
        <w:t xml:space="preserve"> at </w:t>
      </w:r>
      <w:proofErr w:type="spellStart"/>
      <w:r w:rsidRPr="002309BF">
        <w:rPr>
          <w:sz w:val="22"/>
          <w:szCs w:val="22"/>
        </w:rPr>
        <w:t>windturbines</w:t>
      </w:r>
      <w:proofErr w:type="spellEnd"/>
      <w:r w:rsidRPr="002309BF">
        <w:rPr>
          <w:sz w:val="22"/>
          <w:szCs w:val="22"/>
        </w:rPr>
        <w:t xml:space="preserve"> in Europe, Dürr, 2022).</w:t>
      </w:r>
    </w:p>
    <w:p w14:paraId="08204C10" w14:textId="13A0FD7A" w:rsidR="00CB51D1" w:rsidRPr="002309BF" w:rsidRDefault="00CB51D1" w:rsidP="00CB51D1">
      <w:pPr>
        <w:jc w:val="both"/>
        <w:rPr>
          <w:sz w:val="22"/>
          <w:szCs w:val="22"/>
        </w:rPr>
      </w:pPr>
      <w:r w:rsidRPr="002309BF">
        <w:rPr>
          <w:sz w:val="22"/>
          <w:szCs w:val="22"/>
        </w:rPr>
        <w:t>A partir du nombre de collisions recensées et du statut de menace régional d’une espèce (liste rouge), il est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possible d’établir une note de risque à l’éolien (Tableau 3).</w:t>
      </w:r>
    </w:p>
    <w:p w14:paraId="20FCB86E" w14:textId="77777777" w:rsidR="00DC0F2A" w:rsidRPr="002309BF" w:rsidRDefault="00DC0F2A" w:rsidP="00CB51D1">
      <w:pPr>
        <w:jc w:val="both"/>
        <w:rPr>
          <w:sz w:val="22"/>
          <w:szCs w:val="22"/>
        </w:rPr>
      </w:pPr>
    </w:p>
    <w:p w14:paraId="1737B910" w14:textId="2FC87FA9" w:rsidR="00DC0F2A" w:rsidRPr="002309BF" w:rsidRDefault="00DC0F2A" w:rsidP="00DC0F2A">
      <w:pPr>
        <w:jc w:val="center"/>
        <w:rPr>
          <w:color w:val="767171" w:themeColor="background2" w:themeShade="80"/>
          <w:sz w:val="22"/>
          <w:szCs w:val="22"/>
        </w:rPr>
      </w:pPr>
      <w:r w:rsidRPr="002309BF">
        <w:rPr>
          <w:color w:val="767171" w:themeColor="background2" w:themeShade="80"/>
          <w:sz w:val="22"/>
          <w:szCs w:val="22"/>
        </w:rPr>
        <w:t>Tableau 3</w:t>
      </w:r>
      <w:r w:rsidR="002309BF" w:rsidRPr="002309BF">
        <w:rPr>
          <w:color w:val="767171" w:themeColor="background2" w:themeShade="80"/>
          <w:sz w:val="22"/>
          <w:szCs w:val="22"/>
        </w:rPr>
        <w:t xml:space="preserve"> </w:t>
      </w:r>
      <w:r w:rsidRPr="002309BF">
        <w:rPr>
          <w:color w:val="767171" w:themeColor="background2" w:themeShade="80"/>
          <w:sz w:val="22"/>
          <w:szCs w:val="22"/>
        </w:rPr>
        <w:t>: Définition des niveaux de sensibilité des espèces à l'éolien (SFEPM, 2013)</w:t>
      </w:r>
    </w:p>
    <w:tbl>
      <w:tblPr>
        <w:tblpPr w:leftFromText="141" w:rightFromText="141" w:vertAnchor="text" w:horzAnchor="margin" w:tblpY="27"/>
        <w:tblW w:w="90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1"/>
        <w:gridCol w:w="1260"/>
        <w:gridCol w:w="1260"/>
        <w:gridCol w:w="1260"/>
        <w:gridCol w:w="1260"/>
        <w:gridCol w:w="1267"/>
      </w:tblGrid>
      <w:tr w:rsidR="00F528E3" w:rsidRPr="002309BF" w14:paraId="0D4E388E" w14:textId="77777777" w:rsidTr="00F528E3">
        <w:trPr>
          <w:trHeight w:val="404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F2CAD4" w14:textId="77777777" w:rsidR="00F528E3" w:rsidRPr="002309BF" w:rsidRDefault="00F528E3" w:rsidP="00F52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630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E0B4" w:fill="BFBFBF"/>
            <w:noWrap/>
            <w:vAlign w:val="center"/>
            <w:hideMark/>
          </w:tcPr>
          <w:p w14:paraId="695C1994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Sensibilité à l'éolien</w:t>
            </w:r>
          </w:p>
        </w:tc>
      </w:tr>
      <w:tr w:rsidR="00F528E3" w:rsidRPr="002309BF" w14:paraId="0DCF9FA5" w14:textId="77777777" w:rsidTr="00F528E3">
        <w:trPr>
          <w:trHeight w:val="404"/>
        </w:trPr>
        <w:tc>
          <w:tcPr>
            <w:tcW w:w="27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0CDC67BF" w14:textId="77777777" w:rsidR="00F528E3" w:rsidRPr="002309BF" w:rsidRDefault="00F528E3" w:rsidP="00F528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Enjeux de conservation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noWrap/>
            <w:vAlign w:val="center"/>
            <w:hideMark/>
          </w:tcPr>
          <w:p w14:paraId="7E84BAC9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noWrap/>
            <w:vAlign w:val="center"/>
            <w:hideMark/>
          </w:tcPr>
          <w:p w14:paraId="44FEBE42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noWrap/>
            <w:vAlign w:val="center"/>
            <w:hideMark/>
          </w:tcPr>
          <w:p w14:paraId="7BD5D2F3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noWrap/>
            <w:vAlign w:val="center"/>
            <w:hideMark/>
          </w:tcPr>
          <w:p w14:paraId="550AA079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noWrap/>
            <w:vAlign w:val="center"/>
            <w:hideMark/>
          </w:tcPr>
          <w:p w14:paraId="13BB26E3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</w:p>
        </w:tc>
      </w:tr>
      <w:tr w:rsidR="00F528E3" w:rsidRPr="002309BF" w14:paraId="29CC39CD" w14:textId="77777777" w:rsidTr="00F528E3">
        <w:trPr>
          <w:trHeight w:val="404"/>
        </w:trPr>
        <w:tc>
          <w:tcPr>
            <w:tcW w:w="27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712C33DC" w14:textId="77777777" w:rsidR="00F528E3" w:rsidRPr="002309BF" w:rsidRDefault="00F528E3" w:rsidP="00F528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DD, NA, NE =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CE8498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0,5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EFDA" w:fill="E2EFDA"/>
            <w:noWrap/>
            <w:vAlign w:val="center"/>
            <w:hideMark/>
          </w:tcPr>
          <w:p w14:paraId="58C196DB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EFDA" w:fill="E2EFDA"/>
            <w:noWrap/>
            <w:vAlign w:val="center"/>
            <w:hideMark/>
          </w:tcPr>
          <w:p w14:paraId="15C52F05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1,5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9D18E" w:fill="A9D18E"/>
            <w:noWrap/>
            <w:vAlign w:val="center"/>
            <w:hideMark/>
          </w:tcPr>
          <w:p w14:paraId="48A99607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9D18E" w:fill="A9D18E"/>
            <w:noWrap/>
            <w:vAlign w:val="center"/>
            <w:hideMark/>
          </w:tcPr>
          <w:p w14:paraId="2CED61C3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2,5</w:t>
            </w:r>
          </w:p>
        </w:tc>
      </w:tr>
      <w:tr w:rsidR="00F528E3" w:rsidRPr="002309BF" w14:paraId="6B683698" w14:textId="77777777" w:rsidTr="00F528E3">
        <w:trPr>
          <w:trHeight w:val="404"/>
        </w:trPr>
        <w:tc>
          <w:tcPr>
            <w:tcW w:w="27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1AD23DA6" w14:textId="77777777" w:rsidR="00F528E3" w:rsidRPr="002309BF" w:rsidRDefault="00F528E3" w:rsidP="00F528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LC = 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EFDA" w:fill="E2EFDA"/>
            <w:noWrap/>
            <w:vAlign w:val="center"/>
            <w:hideMark/>
          </w:tcPr>
          <w:p w14:paraId="0E93CA6C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EFDA" w:fill="E2EFDA"/>
            <w:noWrap/>
            <w:vAlign w:val="center"/>
            <w:hideMark/>
          </w:tcPr>
          <w:p w14:paraId="56C93ECA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1,5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9D18E" w:fill="A9D18E"/>
            <w:noWrap/>
            <w:vAlign w:val="center"/>
            <w:hideMark/>
          </w:tcPr>
          <w:p w14:paraId="017AB603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9D18E" w:fill="A9D18E"/>
            <w:noWrap/>
            <w:vAlign w:val="center"/>
            <w:hideMark/>
          </w:tcPr>
          <w:p w14:paraId="5BA53069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2,5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C000" w:fill="FFC000"/>
            <w:noWrap/>
            <w:vAlign w:val="center"/>
            <w:hideMark/>
          </w:tcPr>
          <w:p w14:paraId="6B3F0323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</w:tr>
      <w:tr w:rsidR="00F528E3" w:rsidRPr="002309BF" w14:paraId="286567E3" w14:textId="77777777" w:rsidTr="00F528E3">
        <w:trPr>
          <w:trHeight w:val="404"/>
        </w:trPr>
        <w:tc>
          <w:tcPr>
            <w:tcW w:w="27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1803602E" w14:textId="77777777" w:rsidR="00F528E3" w:rsidRPr="002309BF" w:rsidRDefault="00F528E3" w:rsidP="00F528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NT = 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EFDA" w:fill="E2EFDA"/>
            <w:noWrap/>
            <w:vAlign w:val="center"/>
            <w:hideMark/>
          </w:tcPr>
          <w:p w14:paraId="548D7B08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1,5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9D18E" w:fill="A9D18E"/>
            <w:noWrap/>
            <w:vAlign w:val="center"/>
            <w:hideMark/>
          </w:tcPr>
          <w:p w14:paraId="52B5D632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9D18E" w:fill="A9D18E"/>
            <w:noWrap/>
            <w:vAlign w:val="center"/>
            <w:hideMark/>
          </w:tcPr>
          <w:p w14:paraId="24E71269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2,5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C000" w:fill="FFC000"/>
            <w:noWrap/>
            <w:vAlign w:val="center"/>
            <w:hideMark/>
          </w:tcPr>
          <w:p w14:paraId="4FB9FC3E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C000" w:fill="FFC000"/>
            <w:noWrap/>
            <w:vAlign w:val="center"/>
            <w:hideMark/>
          </w:tcPr>
          <w:p w14:paraId="2D0EB5E9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3,5</w:t>
            </w:r>
          </w:p>
        </w:tc>
      </w:tr>
      <w:tr w:rsidR="00F528E3" w:rsidRPr="002309BF" w14:paraId="474593F4" w14:textId="77777777" w:rsidTr="00F528E3">
        <w:trPr>
          <w:trHeight w:val="404"/>
        </w:trPr>
        <w:tc>
          <w:tcPr>
            <w:tcW w:w="27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554F4ACD" w14:textId="77777777" w:rsidR="00F528E3" w:rsidRPr="002309BF" w:rsidRDefault="00F528E3" w:rsidP="00F528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VU = 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9D18E" w:fill="A9D18E"/>
            <w:noWrap/>
            <w:vAlign w:val="center"/>
            <w:hideMark/>
          </w:tcPr>
          <w:p w14:paraId="5DF5846B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9D18E" w:fill="A9D18E"/>
            <w:noWrap/>
            <w:vAlign w:val="center"/>
            <w:hideMark/>
          </w:tcPr>
          <w:p w14:paraId="2EE5F6EE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2,5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C000" w:fill="FFC000"/>
            <w:noWrap/>
            <w:vAlign w:val="center"/>
            <w:hideMark/>
          </w:tcPr>
          <w:p w14:paraId="473EDE2E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C000" w:fill="FFC000"/>
            <w:noWrap/>
            <w:vAlign w:val="center"/>
            <w:hideMark/>
          </w:tcPr>
          <w:p w14:paraId="51DE5CC2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3,5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center"/>
            <w:hideMark/>
          </w:tcPr>
          <w:p w14:paraId="5A995458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</w:p>
        </w:tc>
      </w:tr>
      <w:tr w:rsidR="00F528E3" w:rsidRPr="002309BF" w14:paraId="42ED1415" w14:textId="77777777" w:rsidTr="00F528E3">
        <w:trPr>
          <w:trHeight w:val="404"/>
        </w:trPr>
        <w:tc>
          <w:tcPr>
            <w:tcW w:w="27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5349C544" w14:textId="77777777" w:rsidR="00F528E3" w:rsidRPr="002309BF" w:rsidRDefault="00F528E3" w:rsidP="00F528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CR, EN = 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9D18E" w:fill="A9D18E"/>
            <w:noWrap/>
            <w:vAlign w:val="center"/>
            <w:hideMark/>
          </w:tcPr>
          <w:p w14:paraId="5021A26F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2,5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C000" w:fill="FFC000"/>
            <w:noWrap/>
            <w:vAlign w:val="center"/>
            <w:hideMark/>
          </w:tcPr>
          <w:p w14:paraId="35616945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C000" w:fill="FFC000"/>
            <w:noWrap/>
            <w:vAlign w:val="center"/>
            <w:hideMark/>
          </w:tcPr>
          <w:p w14:paraId="751059F3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3,5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center"/>
            <w:hideMark/>
          </w:tcPr>
          <w:p w14:paraId="0F57AFF9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center"/>
            <w:hideMark/>
          </w:tcPr>
          <w:p w14:paraId="32069E21" w14:textId="77777777" w:rsidR="00F528E3" w:rsidRPr="002309BF" w:rsidRDefault="00F528E3" w:rsidP="00F528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09BF"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  <w:t>4,5</w:t>
            </w:r>
          </w:p>
        </w:tc>
      </w:tr>
    </w:tbl>
    <w:p w14:paraId="1A55007D" w14:textId="36F268EB" w:rsidR="00DC0F2A" w:rsidRPr="002309BF" w:rsidRDefault="00DC0F2A" w:rsidP="00DC0F2A">
      <w:pPr>
        <w:jc w:val="both"/>
        <w:rPr>
          <w:color w:val="767171" w:themeColor="background2" w:themeShade="80"/>
          <w:sz w:val="22"/>
          <w:szCs w:val="22"/>
        </w:rPr>
      </w:pPr>
    </w:p>
    <w:p w14:paraId="43BC8E3F" w14:textId="178D2219" w:rsidR="00DC0F2A" w:rsidRPr="002309BF" w:rsidRDefault="00DC0F2A" w:rsidP="00DC0F2A">
      <w:pPr>
        <w:jc w:val="both"/>
        <w:rPr>
          <w:sz w:val="22"/>
          <w:szCs w:val="22"/>
        </w:rPr>
      </w:pPr>
      <w:r w:rsidRPr="002309BF">
        <w:rPr>
          <w:sz w:val="22"/>
          <w:szCs w:val="22"/>
        </w:rPr>
        <w:t>Le Tableau 4 définit donc le risque que représente l’éolien pour les espèces recensées, selon la méthodologie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établie par la SFEPM (SFEPM, 2013, suivi post-installation).</w:t>
      </w:r>
    </w:p>
    <w:p w14:paraId="1C456BCE" w14:textId="7C67085A" w:rsidR="00DC0F2A" w:rsidRPr="002309BF" w:rsidRDefault="00DC0F2A" w:rsidP="00DC0F2A">
      <w:pPr>
        <w:jc w:val="both"/>
        <w:rPr>
          <w:sz w:val="22"/>
          <w:szCs w:val="22"/>
        </w:rPr>
      </w:pPr>
    </w:p>
    <w:p w14:paraId="4AD0BC86" w14:textId="184F2844" w:rsidR="00DC0F2A" w:rsidRPr="002309BF" w:rsidRDefault="00DC0F2A" w:rsidP="00DC0F2A">
      <w:pPr>
        <w:jc w:val="center"/>
        <w:rPr>
          <w:color w:val="767171" w:themeColor="background2" w:themeShade="80"/>
          <w:sz w:val="22"/>
          <w:szCs w:val="22"/>
        </w:rPr>
      </w:pPr>
      <w:r w:rsidRPr="002309BF">
        <w:rPr>
          <w:color w:val="767171" w:themeColor="background2" w:themeShade="80"/>
          <w:sz w:val="22"/>
          <w:szCs w:val="22"/>
        </w:rPr>
        <w:t>Tableau 4</w:t>
      </w:r>
      <w:r w:rsidR="002309BF" w:rsidRPr="002309BF">
        <w:rPr>
          <w:color w:val="767171" w:themeColor="background2" w:themeShade="80"/>
          <w:sz w:val="22"/>
          <w:szCs w:val="22"/>
        </w:rPr>
        <w:t xml:space="preserve"> </w:t>
      </w:r>
      <w:r w:rsidRPr="002309BF">
        <w:rPr>
          <w:color w:val="767171" w:themeColor="background2" w:themeShade="80"/>
          <w:sz w:val="22"/>
          <w:szCs w:val="22"/>
        </w:rPr>
        <w:t>: Évaluation du niveau de risque des différentes espèces identifiées en hauteur</w:t>
      </w:r>
    </w:p>
    <w:p w14:paraId="4E7E9653" w14:textId="23564C4C" w:rsidR="00DC0F2A" w:rsidRPr="002309BF" w:rsidRDefault="002309BF" w:rsidP="00DC0F2A">
      <w:pPr>
        <w:jc w:val="center"/>
        <w:rPr>
          <w:color w:val="767171" w:themeColor="background2" w:themeShade="80"/>
          <w:sz w:val="22"/>
          <w:szCs w:val="22"/>
        </w:rPr>
      </w:pPr>
      <w:r w:rsidRPr="002309BF">
        <w:rPr>
          <w:noProof/>
          <w:color w:val="767171" w:themeColor="background2" w:themeShade="8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AAE9AD7" wp14:editId="40B9CD4F">
            <wp:simplePos x="0" y="0"/>
            <wp:positionH relativeFrom="margin">
              <wp:align>right</wp:align>
            </wp:positionH>
            <wp:positionV relativeFrom="paragraph">
              <wp:posOffset>35617</wp:posOffset>
            </wp:positionV>
            <wp:extent cx="5760720" cy="1414780"/>
            <wp:effectExtent l="0" t="0" r="0" b="0"/>
            <wp:wrapNone/>
            <wp:docPr id="69699405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94055" name="Image 6969940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78B50" w14:textId="77777777" w:rsidR="00DC0F2A" w:rsidRPr="002309BF" w:rsidRDefault="00DC0F2A" w:rsidP="00DC0F2A">
      <w:pPr>
        <w:jc w:val="center"/>
        <w:rPr>
          <w:color w:val="767171" w:themeColor="background2" w:themeShade="80"/>
          <w:sz w:val="22"/>
          <w:szCs w:val="22"/>
        </w:rPr>
      </w:pPr>
    </w:p>
    <w:p w14:paraId="594F2D1C" w14:textId="77777777" w:rsidR="00DC0F2A" w:rsidRPr="002309BF" w:rsidRDefault="00DC0F2A" w:rsidP="00DC0F2A">
      <w:pPr>
        <w:jc w:val="center"/>
        <w:rPr>
          <w:color w:val="767171" w:themeColor="background2" w:themeShade="80"/>
          <w:sz w:val="22"/>
          <w:szCs w:val="22"/>
        </w:rPr>
      </w:pPr>
    </w:p>
    <w:p w14:paraId="1F78299B" w14:textId="77777777" w:rsidR="00DC0F2A" w:rsidRPr="002309BF" w:rsidRDefault="00DC0F2A" w:rsidP="00DC0F2A">
      <w:pPr>
        <w:jc w:val="center"/>
        <w:rPr>
          <w:color w:val="767171" w:themeColor="background2" w:themeShade="80"/>
          <w:sz w:val="22"/>
          <w:szCs w:val="22"/>
        </w:rPr>
      </w:pPr>
    </w:p>
    <w:p w14:paraId="5421FFB8" w14:textId="77777777" w:rsidR="00DC0F2A" w:rsidRPr="002309BF" w:rsidRDefault="00DC0F2A" w:rsidP="00DC0F2A">
      <w:pPr>
        <w:jc w:val="center"/>
        <w:rPr>
          <w:color w:val="767171" w:themeColor="background2" w:themeShade="80"/>
          <w:sz w:val="22"/>
          <w:szCs w:val="22"/>
        </w:rPr>
      </w:pPr>
    </w:p>
    <w:p w14:paraId="61D83DFC" w14:textId="77777777" w:rsidR="00DC0F2A" w:rsidRDefault="00DC0F2A" w:rsidP="00DC0F2A">
      <w:pPr>
        <w:jc w:val="center"/>
        <w:rPr>
          <w:color w:val="767171" w:themeColor="background2" w:themeShade="80"/>
          <w:sz w:val="22"/>
          <w:szCs w:val="22"/>
        </w:rPr>
      </w:pPr>
    </w:p>
    <w:p w14:paraId="6DE4FE90" w14:textId="77777777" w:rsidR="002309BF" w:rsidRDefault="002309BF" w:rsidP="00DC0F2A">
      <w:pPr>
        <w:jc w:val="center"/>
        <w:rPr>
          <w:color w:val="767171" w:themeColor="background2" w:themeShade="80"/>
          <w:sz w:val="22"/>
          <w:szCs w:val="22"/>
        </w:rPr>
      </w:pPr>
    </w:p>
    <w:p w14:paraId="6E95DE30" w14:textId="77777777" w:rsidR="002309BF" w:rsidRPr="002309BF" w:rsidRDefault="002309BF" w:rsidP="00DC0F2A">
      <w:pPr>
        <w:jc w:val="center"/>
        <w:rPr>
          <w:color w:val="767171" w:themeColor="background2" w:themeShade="80"/>
          <w:sz w:val="22"/>
          <w:szCs w:val="22"/>
        </w:rPr>
      </w:pPr>
    </w:p>
    <w:p w14:paraId="503C51B4" w14:textId="77777777" w:rsidR="00DC0F2A" w:rsidRPr="002309BF" w:rsidRDefault="00DC0F2A" w:rsidP="00DC0F2A">
      <w:pPr>
        <w:jc w:val="both"/>
        <w:rPr>
          <w:sz w:val="22"/>
          <w:szCs w:val="22"/>
        </w:rPr>
      </w:pPr>
      <w:r w:rsidRPr="002309BF">
        <w:rPr>
          <w:sz w:val="22"/>
          <w:szCs w:val="22"/>
        </w:rPr>
        <w:lastRenderedPageBreak/>
        <w:t>Parmi les 6 espèces identifiées, 3 d’entre elles sont dites « grandes migratrices » :</w:t>
      </w:r>
    </w:p>
    <w:p w14:paraId="1F6E344F" w14:textId="77777777" w:rsidR="00DC0F2A" w:rsidRPr="002309BF" w:rsidRDefault="00DC0F2A" w:rsidP="00F528E3">
      <w:pPr>
        <w:spacing w:line="240" w:lineRule="auto"/>
        <w:ind w:left="708"/>
        <w:rPr>
          <w:sz w:val="22"/>
          <w:szCs w:val="22"/>
        </w:rPr>
      </w:pPr>
      <w:r w:rsidRPr="002309BF">
        <w:rPr>
          <w:sz w:val="22"/>
          <w:szCs w:val="22"/>
        </w:rPr>
        <w:t xml:space="preserve">- </w:t>
      </w:r>
      <w:r w:rsidRPr="00F528E3">
        <w:rPr>
          <w:b/>
          <w:bCs/>
          <w:sz w:val="22"/>
          <w:szCs w:val="22"/>
        </w:rPr>
        <w:t>La Noctule commune</w:t>
      </w:r>
      <w:r w:rsidRPr="002309BF">
        <w:rPr>
          <w:sz w:val="22"/>
          <w:szCs w:val="22"/>
        </w:rPr>
        <w:t xml:space="preserve"> (</w:t>
      </w:r>
      <w:proofErr w:type="spellStart"/>
      <w:r w:rsidRPr="002309BF">
        <w:rPr>
          <w:sz w:val="22"/>
          <w:szCs w:val="22"/>
        </w:rPr>
        <w:t>Nyctalus</w:t>
      </w:r>
      <w:proofErr w:type="spellEnd"/>
      <w:r w:rsidRPr="002309BF">
        <w:rPr>
          <w:sz w:val="22"/>
          <w:szCs w:val="22"/>
        </w:rPr>
        <w:t xml:space="preserve"> </w:t>
      </w:r>
      <w:proofErr w:type="spellStart"/>
      <w:r w:rsidRPr="002309BF">
        <w:rPr>
          <w:sz w:val="22"/>
          <w:szCs w:val="22"/>
        </w:rPr>
        <w:t>noctula</w:t>
      </w:r>
      <w:proofErr w:type="spellEnd"/>
      <w:r w:rsidRPr="002309BF">
        <w:rPr>
          <w:sz w:val="22"/>
          <w:szCs w:val="22"/>
        </w:rPr>
        <w:t xml:space="preserve">) : </w:t>
      </w:r>
      <w:r w:rsidRPr="00F528E3">
        <w:rPr>
          <w:i/>
          <w:iCs/>
          <w:sz w:val="22"/>
          <w:szCs w:val="22"/>
        </w:rPr>
        <w:t>record de distance 1546 km (</w:t>
      </w:r>
      <w:proofErr w:type="spellStart"/>
      <w:r w:rsidRPr="00F528E3">
        <w:rPr>
          <w:i/>
          <w:iCs/>
          <w:sz w:val="22"/>
          <w:szCs w:val="22"/>
        </w:rPr>
        <w:t>Strelkov</w:t>
      </w:r>
      <w:proofErr w:type="spellEnd"/>
      <w:r w:rsidRPr="00F528E3">
        <w:rPr>
          <w:i/>
          <w:iCs/>
          <w:sz w:val="22"/>
          <w:szCs w:val="22"/>
        </w:rPr>
        <w:t>, 1969)</w:t>
      </w:r>
    </w:p>
    <w:p w14:paraId="5766F059" w14:textId="7F0FE26C" w:rsidR="00DC0F2A" w:rsidRPr="002309BF" w:rsidRDefault="00DC0F2A" w:rsidP="00F528E3">
      <w:pPr>
        <w:spacing w:line="240" w:lineRule="auto"/>
        <w:ind w:left="708"/>
        <w:rPr>
          <w:sz w:val="22"/>
          <w:szCs w:val="22"/>
        </w:rPr>
      </w:pPr>
      <w:r w:rsidRPr="002309BF">
        <w:rPr>
          <w:sz w:val="22"/>
          <w:szCs w:val="22"/>
        </w:rPr>
        <w:t xml:space="preserve">- </w:t>
      </w:r>
      <w:r w:rsidRPr="00F528E3">
        <w:rPr>
          <w:b/>
          <w:bCs/>
          <w:sz w:val="22"/>
          <w:szCs w:val="22"/>
        </w:rPr>
        <w:t>La Noctule de Leisler</w:t>
      </w:r>
      <w:r w:rsidRPr="002309BF">
        <w:rPr>
          <w:sz w:val="22"/>
          <w:szCs w:val="22"/>
        </w:rPr>
        <w:t xml:space="preserve"> (</w:t>
      </w:r>
      <w:proofErr w:type="spellStart"/>
      <w:r w:rsidRPr="002309BF">
        <w:rPr>
          <w:sz w:val="22"/>
          <w:szCs w:val="22"/>
        </w:rPr>
        <w:t>Nyctalus</w:t>
      </w:r>
      <w:proofErr w:type="spellEnd"/>
      <w:r w:rsidRPr="002309BF">
        <w:rPr>
          <w:sz w:val="22"/>
          <w:szCs w:val="22"/>
        </w:rPr>
        <w:t xml:space="preserve"> </w:t>
      </w:r>
      <w:proofErr w:type="spellStart"/>
      <w:r w:rsidRPr="002309BF">
        <w:rPr>
          <w:sz w:val="22"/>
          <w:szCs w:val="22"/>
        </w:rPr>
        <w:t>leisleri</w:t>
      </w:r>
      <w:proofErr w:type="spellEnd"/>
      <w:r w:rsidRPr="002309BF">
        <w:rPr>
          <w:sz w:val="22"/>
          <w:szCs w:val="22"/>
        </w:rPr>
        <w:t>) :</w:t>
      </w:r>
      <w:r w:rsidRPr="00F528E3">
        <w:rPr>
          <w:i/>
          <w:iCs/>
          <w:sz w:val="22"/>
          <w:szCs w:val="22"/>
        </w:rPr>
        <w:t xml:space="preserve"> record de distance 1567 km (</w:t>
      </w:r>
      <w:proofErr w:type="spellStart"/>
      <w:r w:rsidRPr="00F528E3">
        <w:rPr>
          <w:i/>
          <w:iCs/>
          <w:sz w:val="22"/>
          <w:szCs w:val="22"/>
        </w:rPr>
        <w:t>Olhendorf</w:t>
      </w:r>
      <w:proofErr w:type="spellEnd"/>
      <w:r w:rsidRPr="00F528E3">
        <w:rPr>
          <w:i/>
          <w:iCs/>
          <w:sz w:val="22"/>
          <w:szCs w:val="22"/>
        </w:rPr>
        <w:t xml:space="preserve"> et al, 2000)</w:t>
      </w:r>
    </w:p>
    <w:p w14:paraId="231F6053" w14:textId="77777777" w:rsidR="00DC0F2A" w:rsidRPr="00F528E3" w:rsidRDefault="00DC0F2A" w:rsidP="00F528E3">
      <w:pPr>
        <w:spacing w:line="240" w:lineRule="auto"/>
        <w:ind w:left="708"/>
        <w:rPr>
          <w:i/>
          <w:iCs/>
          <w:sz w:val="22"/>
          <w:szCs w:val="22"/>
        </w:rPr>
      </w:pPr>
      <w:r w:rsidRPr="002309BF">
        <w:rPr>
          <w:sz w:val="22"/>
          <w:szCs w:val="22"/>
        </w:rPr>
        <w:t xml:space="preserve">- </w:t>
      </w:r>
      <w:r w:rsidRPr="00F528E3">
        <w:rPr>
          <w:b/>
          <w:bCs/>
          <w:sz w:val="22"/>
          <w:szCs w:val="22"/>
        </w:rPr>
        <w:t>La Pipistrelle de Nathusius</w:t>
      </w:r>
      <w:r w:rsidRPr="002309BF">
        <w:rPr>
          <w:sz w:val="22"/>
          <w:szCs w:val="22"/>
        </w:rPr>
        <w:t xml:space="preserve"> (Pipistrellus </w:t>
      </w:r>
      <w:proofErr w:type="spellStart"/>
      <w:r w:rsidRPr="002309BF">
        <w:rPr>
          <w:sz w:val="22"/>
          <w:szCs w:val="22"/>
        </w:rPr>
        <w:t>nathusii</w:t>
      </w:r>
      <w:proofErr w:type="spellEnd"/>
      <w:r w:rsidRPr="002309BF">
        <w:rPr>
          <w:sz w:val="22"/>
          <w:szCs w:val="22"/>
        </w:rPr>
        <w:t xml:space="preserve">) : </w:t>
      </w:r>
      <w:r w:rsidRPr="00F528E3">
        <w:rPr>
          <w:i/>
          <w:iCs/>
          <w:sz w:val="22"/>
          <w:szCs w:val="22"/>
        </w:rPr>
        <w:t>record de distance 1905 km (</w:t>
      </w:r>
      <w:proofErr w:type="spellStart"/>
      <w:r w:rsidRPr="00F528E3">
        <w:rPr>
          <w:i/>
          <w:iCs/>
          <w:sz w:val="22"/>
          <w:szCs w:val="22"/>
        </w:rPr>
        <w:t>Petersons</w:t>
      </w:r>
      <w:proofErr w:type="spellEnd"/>
      <w:r w:rsidRPr="00F528E3">
        <w:rPr>
          <w:i/>
          <w:iCs/>
          <w:sz w:val="22"/>
          <w:szCs w:val="22"/>
        </w:rPr>
        <w:t>, 1990)</w:t>
      </w:r>
    </w:p>
    <w:p w14:paraId="05BF0967" w14:textId="61D983E7" w:rsidR="00DC0F2A" w:rsidRPr="002309BF" w:rsidRDefault="00DC0F2A" w:rsidP="00DC0F2A">
      <w:pPr>
        <w:jc w:val="both"/>
        <w:rPr>
          <w:sz w:val="22"/>
          <w:szCs w:val="22"/>
        </w:rPr>
      </w:pPr>
    </w:p>
    <w:p w14:paraId="05EE748E" w14:textId="5A9BEF67" w:rsidR="00DC0F2A" w:rsidRDefault="00DC0F2A" w:rsidP="00DC0F2A">
      <w:pPr>
        <w:jc w:val="both"/>
        <w:rPr>
          <w:sz w:val="22"/>
          <w:szCs w:val="22"/>
        </w:rPr>
      </w:pPr>
      <w:r w:rsidRPr="002309BF">
        <w:rPr>
          <w:sz w:val="22"/>
          <w:szCs w:val="22"/>
        </w:rPr>
        <w:t>Actuellement la direction des migrations automnales et printanières est principalement orientée selon un axe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nord-est/sud-ouest (Cf Figure 8), représentant la distribution et la migration de la Pipistrelle de Nathusius).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Comme pour les oiseaux, ces informations ont majoritairement été collectées grâce à des opérations de bagage</w:t>
      </w:r>
      <w:r w:rsidRPr="002309BF"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menées en Europe du nord-est et des lectures de bagues dans le sud-ouest européen.</w:t>
      </w:r>
    </w:p>
    <w:p w14:paraId="4B915580" w14:textId="77777777" w:rsidR="002309BF" w:rsidRDefault="002309BF" w:rsidP="00DC0F2A">
      <w:pPr>
        <w:jc w:val="both"/>
        <w:rPr>
          <w:sz w:val="22"/>
          <w:szCs w:val="22"/>
        </w:rPr>
      </w:pPr>
    </w:p>
    <w:p w14:paraId="0B44210D" w14:textId="2B3C1E35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  <w:r w:rsidRPr="002309BF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1993088" wp14:editId="3C5F9E49">
            <wp:simplePos x="0" y="0"/>
            <wp:positionH relativeFrom="margin">
              <wp:align>left</wp:align>
            </wp:positionH>
            <wp:positionV relativeFrom="paragraph">
              <wp:posOffset>231103</wp:posOffset>
            </wp:positionV>
            <wp:extent cx="5753100" cy="3067050"/>
            <wp:effectExtent l="0" t="0" r="0" b="0"/>
            <wp:wrapNone/>
            <wp:docPr id="87811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09BF">
        <w:rPr>
          <w:color w:val="767171" w:themeColor="background2" w:themeShade="80"/>
          <w:sz w:val="22"/>
          <w:szCs w:val="22"/>
        </w:rPr>
        <w:t xml:space="preserve">Figure </w:t>
      </w:r>
      <w:proofErr w:type="gramStart"/>
      <w:r w:rsidRPr="002309BF">
        <w:rPr>
          <w:color w:val="767171" w:themeColor="background2" w:themeShade="80"/>
          <w:sz w:val="22"/>
          <w:szCs w:val="22"/>
        </w:rPr>
        <w:t>8:</w:t>
      </w:r>
      <w:proofErr w:type="gramEnd"/>
      <w:r w:rsidRPr="002309BF">
        <w:rPr>
          <w:color w:val="767171" w:themeColor="background2" w:themeShade="80"/>
          <w:sz w:val="22"/>
          <w:szCs w:val="22"/>
        </w:rPr>
        <w:t xml:space="preserve"> Routes migratoires de la Pipistrelle de Nathusius (</w:t>
      </w:r>
      <w:proofErr w:type="spellStart"/>
      <w:r w:rsidRPr="002309BF">
        <w:rPr>
          <w:color w:val="767171" w:themeColor="background2" w:themeShade="80"/>
          <w:sz w:val="22"/>
          <w:szCs w:val="22"/>
        </w:rPr>
        <w:t>Kurvitz</w:t>
      </w:r>
      <w:proofErr w:type="spellEnd"/>
      <w:r w:rsidRPr="002309BF">
        <w:rPr>
          <w:color w:val="767171" w:themeColor="background2" w:themeShade="80"/>
          <w:sz w:val="22"/>
          <w:szCs w:val="22"/>
        </w:rPr>
        <w:t xml:space="preserve"> et al, 2011)</w:t>
      </w:r>
    </w:p>
    <w:p w14:paraId="5C937E29" w14:textId="77777777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</w:p>
    <w:p w14:paraId="5A0161AC" w14:textId="77777777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</w:p>
    <w:p w14:paraId="452E6CD2" w14:textId="77777777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</w:p>
    <w:p w14:paraId="39E82C44" w14:textId="77777777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</w:p>
    <w:p w14:paraId="12556D93" w14:textId="77777777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</w:p>
    <w:p w14:paraId="6AE1EEA7" w14:textId="77777777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</w:p>
    <w:p w14:paraId="66B74BDC" w14:textId="77777777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</w:p>
    <w:p w14:paraId="396DA8DA" w14:textId="77777777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</w:p>
    <w:p w14:paraId="1EF53546" w14:textId="77777777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</w:p>
    <w:p w14:paraId="4797099B" w14:textId="77777777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</w:p>
    <w:p w14:paraId="3FFF1CE0" w14:textId="77777777" w:rsidR="002309BF" w:rsidRDefault="002309BF" w:rsidP="002309BF">
      <w:pPr>
        <w:jc w:val="center"/>
        <w:rPr>
          <w:color w:val="767171" w:themeColor="background2" w:themeShade="80"/>
          <w:sz w:val="22"/>
          <w:szCs w:val="22"/>
        </w:rPr>
      </w:pPr>
    </w:p>
    <w:p w14:paraId="09C0ED0A" w14:textId="3677A72D" w:rsidR="002309BF" w:rsidRPr="002309BF" w:rsidRDefault="002309BF" w:rsidP="002309BF">
      <w:pPr>
        <w:spacing w:line="240" w:lineRule="auto"/>
        <w:jc w:val="both"/>
        <w:rPr>
          <w:sz w:val="22"/>
          <w:szCs w:val="22"/>
        </w:rPr>
      </w:pPr>
      <w:r w:rsidRPr="002309BF">
        <w:rPr>
          <w:sz w:val="22"/>
          <w:szCs w:val="22"/>
        </w:rPr>
        <w:t>Les couloirs de migration sont très difficiles à mettre en évidence et ils diffèrent vraisemblablement d’une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espèce à l’autre. Cependant ces flux sont ou seraient particulièrement concentrés sur trois types de sites :</w:t>
      </w:r>
    </w:p>
    <w:p w14:paraId="49525254" w14:textId="77777777" w:rsidR="002309BF" w:rsidRPr="002309BF" w:rsidRDefault="002309BF" w:rsidP="002309BF">
      <w:pPr>
        <w:spacing w:line="240" w:lineRule="auto"/>
        <w:jc w:val="both"/>
        <w:rPr>
          <w:sz w:val="22"/>
          <w:szCs w:val="22"/>
        </w:rPr>
      </w:pPr>
      <w:r w:rsidRPr="002309BF">
        <w:rPr>
          <w:sz w:val="22"/>
          <w:szCs w:val="22"/>
        </w:rPr>
        <w:t>- Le littoral</w:t>
      </w:r>
    </w:p>
    <w:p w14:paraId="762D351B" w14:textId="77777777" w:rsidR="002309BF" w:rsidRPr="002309BF" w:rsidRDefault="002309BF" w:rsidP="002309BF">
      <w:pPr>
        <w:spacing w:line="240" w:lineRule="auto"/>
        <w:jc w:val="both"/>
        <w:rPr>
          <w:sz w:val="22"/>
          <w:szCs w:val="22"/>
        </w:rPr>
      </w:pPr>
      <w:r w:rsidRPr="002309BF">
        <w:rPr>
          <w:sz w:val="22"/>
          <w:szCs w:val="22"/>
        </w:rPr>
        <w:t>- Les vallées alluviales</w:t>
      </w:r>
    </w:p>
    <w:p w14:paraId="3F5B4FC9" w14:textId="77777777" w:rsidR="002309BF" w:rsidRPr="002309BF" w:rsidRDefault="002309BF" w:rsidP="002309BF">
      <w:pPr>
        <w:spacing w:line="240" w:lineRule="auto"/>
        <w:jc w:val="both"/>
        <w:rPr>
          <w:sz w:val="22"/>
          <w:szCs w:val="22"/>
        </w:rPr>
      </w:pPr>
      <w:r w:rsidRPr="002309BF">
        <w:rPr>
          <w:sz w:val="22"/>
          <w:szCs w:val="22"/>
        </w:rPr>
        <w:t>- Les cols de montagne</w:t>
      </w:r>
    </w:p>
    <w:p w14:paraId="57BC0272" w14:textId="4128DA50" w:rsidR="002309BF" w:rsidRDefault="002309BF" w:rsidP="002309BF">
      <w:pPr>
        <w:jc w:val="both"/>
        <w:rPr>
          <w:sz w:val="22"/>
          <w:szCs w:val="22"/>
        </w:rPr>
      </w:pPr>
      <w:r w:rsidRPr="002309BF">
        <w:rPr>
          <w:sz w:val="22"/>
          <w:szCs w:val="22"/>
        </w:rPr>
        <w:t>Outre ces flux concentrés, les informations collectées dans le reste de l’Europe font état de l’existence probable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d’un front complémentaire de migration très large et plus diffus. Des espèces migratrices (baguées ou non) ont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ainsi été contrôlées à distance du littoral et de certaines vallées alluviales.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En</w:t>
      </w:r>
      <w:r>
        <w:rPr>
          <w:sz w:val="22"/>
          <w:szCs w:val="22"/>
        </w:rPr>
        <w:t xml:space="preserve"> F</w:t>
      </w:r>
      <w:r w:rsidRPr="002309BF">
        <w:rPr>
          <w:sz w:val="22"/>
          <w:szCs w:val="22"/>
        </w:rPr>
        <w:t xml:space="preserve">rance, des cas de mortalité automnale de Pipistrelle de Nathusius, de Noctule commune et de Noctule </w:t>
      </w:r>
      <w:r w:rsidRPr="002309BF">
        <w:rPr>
          <w:sz w:val="22"/>
          <w:szCs w:val="22"/>
        </w:rPr>
        <w:lastRenderedPageBreak/>
        <w:t>de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Leisler sont tous les ans référencés sous les parcs éoliens des plaines céréalières de Champagne Ardenne et de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la Beauce.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La migration des chauves-souris en Europe se déroulerait donc selon un large front diffus orienté nord-est/</w:t>
      </w:r>
      <w:proofErr w:type="spellStart"/>
      <w:r w:rsidRPr="002309BF">
        <w:rPr>
          <w:sz w:val="22"/>
          <w:szCs w:val="22"/>
        </w:rPr>
        <w:t>sudouest</w:t>
      </w:r>
      <w:proofErr w:type="spellEnd"/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au sein duquel des concentrations d’individus se formeraient au niveau des cols montagneux, des vallées</w:t>
      </w:r>
      <w:r>
        <w:rPr>
          <w:sz w:val="22"/>
          <w:szCs w:val="22"/>
        </w:rPr>
        <w:t xml:space="preserve"> </w:t>
      </w:r>
      <w:r w:rsidRPr="002309BF">
        <w:rPr>
          <w:sz w:val="22"/>
          <w:szCs w:val="22"/>
        </w:rPr>
        <w:t>alluviales et le long du littoral.</w:t>
      </w:r>
      <w:r>
        <w:rPr>
          <w:sz w:val="22"/>
          <w:szCs w:val="22"/>
        </w:rPr>
        <w:t xml:space="preserve"> </w:t>
      </w:r>
    </w:p>
    <w:p w14:paraId="1B23B5E9" w14:textId="1F4ABE0F" w:rsidR="002309BF" w:rsidRPr="002309BF" w:rsidRDefault="002309BF" w:rsidP="002309BF">
      <w:pPr>
        <w:rPr>
          <w:b/>
          <w:bCs/>
          <w:color w:val="ED7D31" w:themeColor="accent2"/>
        </w:rPr>
      </w:pPr>
      <w:r w:rsidRPr="002309BF">
        <w:rPr>
          <w:b/>
          <w:bCs/>
          <w:color w:val="ED7D31" w:themeColor="accent2"/>
        </w:rPr>
        <w:t>[A compléter en fonction du nombre de contacts afin de définir si le parc est sur un axe migratoire.]</w:t>
      </w:r>
    </w:p>
    <w:sectPr w:rsidR="002309BF" w:rsidRPr="00230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D1"/>
    <w:rsid w:val="001F50B0"/>
    <w:rsid w:val="002309BF"/>
    <w:rsid w:val="00CA5A99"/>
    <w:rsid w:val="00CB51D1"/>
    <w:rsid w:val="00DC0F2A"/>
    <w:rsid w:val="00F528E3"/>
    <w:rsid w:val="00FA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8B7B"/>
  <w15:chartTrackingRefBased/>
  <w15:docId w15:val="{0B2D3E61-FFF4-4606-B987-64885626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5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5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5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5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5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51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51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51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51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51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51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51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51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51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5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51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5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568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2</cp:revision>
  <dcterms:created xsi:type="dcterms:W3CDTF">2026-07-19T13:36:00Z</dcterms:created>
  <dcterms:modified xsi:type="dcterms:W3CDTF">2026-07-19T15:28:00Z</dcterms:modified>
</cp:coreProperties>
</file>