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ED0A" w14:textId="3677A72D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Les couloirs de migration sont très difficiles à mettre en évidence et ils diffèrent vraisemblablement d’une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espèce à l’autre. Cependant ces flux sont ou seraient particulièrement concentrés sur trois types de sites :</w:t>
      </w:r>
    </w:p>
    <w:p w14:paraId="49525254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 littoral</w:t>
      </w:r>
    </w:p>
    <w:p w14:paraId="762D351B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Les vallées alluviales</w:t>
      </w:r>
    </w:p>
    <w:p w14:paraId="3F5B4FC9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Les cols de montagne</w:t>
      </w:r>
    </w:p>
    <w:p w14:paraId="57BC0272" w14:textId="4128DA50" w:rsidR="002309BF" w:rsidRDefault="002309BF" w:rsidP="002309BF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Outre ces flux concentrés, les informations collectées dans le reste de l’Europe font état de l’existence probable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d’un front complémentaire de migration très large et plus diffus. Des espèces migratrices (baguées ou non) ont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ainsi été contrôlées à distance du littoral et de certaines vallées alluviales.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En</w:t>
      </w:r>
      <w:r>
        <w:rPr>
          <w:sz w:val="22"/>
          <w:szCs w:val="22"/>
        </w:rPr>
        <w:t xml:space="preserve"> F</w:t>
      </w:r>
      <w:r w:rsidRPr="002309BF">
        <w:rPr>
          <w:sz w:val="22"/>
          <w:szCs w:val="22"/>
        </w:rPr>
        <w:t>rance, des cas de mortalité automnale de Pipistrelle de Nathusius, de Noctule commune et de Noctule de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Leisler sont tous les ans référencés sous les parcs éoliens des plaines céréalières de Champagne Ardenne et de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la Beauce.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La migration des chauves-souris en Europe se déroulerait donc selon un large front diffus orienté nord-est/</w:t>
      </w:r>
      <w:proofErr w:type="spellStart"/>
      <w:r w:rsidRPr="002309BF">
        <w:rPr>
          <w:sz w:val="22"/>
          <w:szCs w:val="22"/>
        </w:rPr>
        <w:t>sudouest</w:t>
      </w:r>
      <w:proofErr w:type="spellEnd"/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au sein duquel des concentrations d’individus se formeraient au niveau des cols montagneux, des vallées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alluviales et le long du littoral.</w:t>
      </w:r>
      <w:r>
        <w:rPr>
          <w:sz w:val="22"/>
          <w:szCs w:val="22"/>
        </w:rPr>
        <w:t xml:space="preserve"> </w:t>
      </w:r>
    </w:p>
    <w:p w14:paraId="1B23B5E9" w14:textId="1F4ABE0F" w:rsidR="002309BF" w:rsidRPr="002309BF" w:rsidRDefault="002309BF" w:rsidP="002309BF">
      <w:pPr>
        <w:rPr>
          <w:b/>
          <w:bCs/>
          <w:color w:val="ED7D31" w:themeColor="accent2"/>
        </w:rPr>
      </w:pPr>
      <w:r w:rsidRPr="002309BF">
        <w:rPr>
          <w:b/>
          <w:bCs/>
          <w:color w:val="ED7D31" w:themeColor="accent2"/>
        </w:rPr>
        <w:t>[A compléter en fonction du nombre de contacts afin de définir si le parc est sur un axe migratoire.]</w:t>
      </w:r>
    </w:p>
    <w:sectPr w:rsidR="002309BF" w:rsidRPr="0023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D1"/>
    <w:rsid w:val="001F50B0"/>
    <w:rsid w:val="002309BF"/>
    <w:rsid w:val="006B0964"/>
    <w:rsid w:val="00CA5A99"/>
    <w:rsid w:val="00CB51D1"/>
    <w:rsid w:val="00DC0F2A"/>
    <w:rsid w:val="00E14528"/>
    <w:rsid w:val="00F528E3"/>
    <w:rsid w:val="00FA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8B7B"/>
  <w15:chartTrackingRefBased/>
  <w15:docId w15:val="{0B2D3E61-FFF4-4606-B987-64885626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1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1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1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1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2026-07-20T22:00:00Z</dcterms:created>
  <dcterms:modified xsi:type="dcterms:W3CDTF">2026-07-20T22:00:00Z</dcterms:modified>
</cp:coreProperties>
</file>