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FEC07" w14:textId="77777777" w:rsidR="00EB2A19" w:rsidRDefault="00EB2A19" w:rsidP="00EB2A19">
      <w:r>
        <w:rPr>
          <w:color w:val="767171"/>
        </w:rPr>
        <w:t xml:space="preserve">Routes </w:t>
      </w:r>
      <w:proofErr w:type="spellStart"/>
      <w:r>
        <w:rPr>
          <w:color w:val="767171"/>
        </w:rPr>
        <w:t>migratoires</w:t>
      </w:r>
      <w:proofErr w:type="spellEnd"/>
      <w:r>
        <w:rPr>
          <w:color w:val="767171"/>
        </w:rPr>
        <w:t xml:space="preserve"> de la Pipistrelle de </w:t>
      </w:r>
      <w:proofErr w:type="spellStart"/>
      <w:r>
        <w:rPr>
          <w:color w:val="767171"/>
        </w:rPr>
        <w:t>Nathusius</w:t>
      </w:r>
      <w:proofErr w:type="spellEnd"/>
      <w:r>
        <w:rPr>
          <w:color w:val="767171"/>
        </w:rPr>
        <w:t xml:space="preserve"> (</w:t>
      </w:r>
      <w:proofErr w:type="spellStart"/>
      <w:r>
        <w:rPr>
          <w:color w:val="767171"/>
        </w:rPr>
        <w:t>Kurvitz</w:t>
      </w:r>
      <w:proofErr w:type="spellEnd"/>
      <w:r>
        <w:rPr>
          <w:color w:val="767171"/>
        </w:rPr>
        <w:t xml:space="preserve"> et al, 2011)</w:t>
      </w:r>
    </w:p>
    <w:p w14:paraId="41135BD4" w14:textId="77777777" w:rsidR="00EB2A19" w:rsidRDefault="00EB2A19"/>
    <w:sectPr w:rsidR="00EB2A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A19"/>
    <w:rsid w:val="006B0964"/>
    <w:rsid w:val="00EB2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B0EBE"/>
  <w15:chartTrackingRefBased/>
  <w15:docId w15:val="{D826C4E8-28BC-43AA-8628-0B8445CA8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A19"/>
    <w:pPr>
      <w:spacing w:after="0" w:line="276" w:lineRule="auto"/>
    </w:pPr>
    <w:rPr>
      <w:rFonts w:ascii="Calibri" w:eastAsia="Calibri" w:hAnsi="Calibri"/>
      <w:color w:val="000000"/>
      <w:kern w:val="0"/>
      <w:sz w:val="22"/>
      <w:szCs w:val="22"/>
      <w:lang w:val="en-US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EB2A1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fr-FR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B2A1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fr-FR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B2A1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fr-FR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B2A1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fr-FR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B2A1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fr-FR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B2A1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fr-FR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B2A1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fr-FR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B2A1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fr-FR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B2A1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fr-FR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2A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B2A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B2A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B2A1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B2A1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B2A1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B2A1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B2A1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B2A1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B2A1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fr-FR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EB2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B2A1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fr-FR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EB2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B2A19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fr-FR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EB2A1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B2A19"/>
    <w:pPr>
      <w:spacing w:after="160" w:line="278" w:lineRule="auto"/>
      <w:ind w:left="720"/>
      <w:contextualSpacing/>
    </w:pPr>
    <w:rPr>
      <w:rFonts w:asciiTheme="minorHAnsi" w:eastAsiaTheme="minorHAnsi" w:hAnsiTheme="minorHAnsi"/>
      <w:color w:val="auto"/>
      <w:kern w:val="2"/>
      <w:sz w:val="24"/>
      <w:szCs w:val="24"/>
      <w:lang w:val="fr-FR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EB2A1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B2A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:lang w:val="fr-FR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B2A1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B2A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62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Ageneau</dc:creator>
  <cp:keywords/>
  <dc:description/>
  <cp:lastModifiedBy>Alex Ageneau</cp:lastModifiedBy>
  <cp:revision>1</cp:revision>
  <dcterms:created xsi:type="dcterms:W3CDTF">2026-07-20T21:39:00Z</dcterms:created>
  <dcterms:modified xsi:type="dcterms:W3CDTF">2026-07-20T21:39:00Z</dcterms:modified>
</cp:coreProperties>
</file>