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15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7. Расширенные настройки межсетевого экрана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 Александровна 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Настройте межсетевой экран виртуальной машины server для доступа к серверу по протоколу SSH не через 22-й порт, а через порт 2022 (см. разделы 7.4.1 и 7.4.2).</w:t>
      </w:r>
    </w:p>
    <w:p>
      <w:pPr>
        <w:pStyle w:val="Compact"/>
        <w:numPr>
          <w:ilvl w:val="0"/>
          <w:numId w:val="1001"/>
        </w:numPr>
      </w:pPr>
      <w:r>
        <w:t xml:space="preserve">Настройте Port Forwarding на виртуальной машине server (см. разделы 7.4.3).</w:t>
      </w:r>
    </w:p>
    <w:p>
      <w:pPr>
        <w:pStyle w:val="Compact"/>
        <w:numPr>
          <w:ilvl w:val="0"/>
          <w:numId w:val="1001"/>
        </w:numPr>
      </w:pPr>
      <w:r>
        <w:t xml:space="preserve">Настройте маскарадинг на виртуальной машине server для организации доступа клиента к сети Интернет (см. раздел 7.4.3).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расширенной настройке межсетевого экрана. Соответствующим образом внести изменения в Vagrantfile (см. раздел 7.4.4).</w:t>
      </w:r>
    </w:p>
    <w:bookmarkEnd w:id="10"/>
    <w:bookmarkStart w:id="10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7" w:name="X81256833670938f46de0fdb5c3524886fd497d8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пользовательской службы firewalld</w:t>
      </w:r>
    </w:p>
    <w:p>
      <w:pPr>
        <w:pStyle w:val="Compact"/>
        <w:numPr>
          <w:ilvl w:val="0"/>
          <w:numId w:val="1002"/>
        </w:numPr>
      </w:pPr>
      <w:r>
        <w:t xml:space="preserve">Загрузите ОС и перейдите в рабочий каталог: cd /var/tmp/user_name/vagrant</w:t>
      </w:r>
    </w:p>
    <w:p>
      <w:pPr>
        <w:pStyle w:val="Compact"/>
        <w:numPr>
          <w:ilvl w:val="0"/>
          <w:numId w:val="1002"/>
        </w:numPr>
      </w:pPr>
      <w:r>
        <w:t xml:space="preserve">Запустите ВМ server: vagrant up server</w:t>
      </w:r>
    </w:p>
    <w:p>
      <w:pPr>
        <w:pStyle w:val="Compact"/>
        <w:numPr>
          <w:ilvl w:val="0"/>
          <w:numId w:val="1002"/>
        </w:numPr>
      </w:pPr>
      <w:r>
        <w:t xml:space="preserve">На ВМ server войдите под вашим пользователем, откройте терминал, перейдите в режим суперпользователя: sudo -i</w:t>
      </w:r>
    </w:p>
    <w:bookmarkStart w:id="14" w:name="fig:001"/>
    <w:p>
      <w:pPr>
        <w:pStyle w:val="CaptionedFigure"/>
      </w:pPr>
      <w:r>
        <w:drawing>
          <wp:inline>
            <wp:extent cx="3200400" cy="1526085"/>
            <wp:effectExtent b="0" l="0" r="0" t="0"/>
            <wp:docPr descr="Рис. 1: запуск ВМ server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26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ВМ server</w:t>
      </w:r>
    </w:p>
    <w:bookmarkEnd w:id="14"/>
    <w:bookmarkStart w:id="18" w:name="fig:002"/>
    <w:p>
      <w:pPr>
        <w:pStyle w:val="CaptionedFigure"/>
      </w:pPr>
      <w:r>
        <w:drawing>
          <wp:inline>
            <wp:extent cx="3200400" cy="600690"/>
            <wp:effectExtent b="0" l="0" r="0" t="0"/>
            <wp:docPr descr="Рис. 2: подключение к ВМ по SSH, переход к суперпользователю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00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подключение к ВМ по SSH, переход к суперпользователю</w:t>
      </w:r>
    </w:p>
    <w:bookmarkEnd w:id="18"/>
    <w:p>
      <w:pPr>
        <w:pStyle w:val="Compact"/>
        <w:numPr>
          <w:ilvl w:val="0"/>
          <w:numId w:val="1003"/>
        </w:numPr>
      </w:pPr>
      <w:r>
        <w:t xml:space="preserve">На основе существующего файла описания службы ssh создайте файл с собственным описанием</w:t>
      </w:r>
    </w:p>
    <w:bookmarkStart w:id="22" w:name="fig:003"/>
    <w:p>
      <w:pPr>
        <w:pStyle w:val="CaptionedFigure"/>
      </w:pPr>
      <w:r>
        <w:drawing>
          <wp:inline>
            <wp:extent cx="3200400" cy="360466"/>
            <wp:effectExtent b="0" l="0" r="0" t="0"/>
            <wp:docPr descr="Рис. 3: создание ssh-custom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60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ssh-custom</w:t>
      </w:r>
    </w:p>
    <w:bookmarkEnd w:id="22"/>
    <w:p>
      <w:pPr>
        <w:pStyle w:val="Compact"/>
        <w:numPr>
          <w:ilvl w:val="0"/>
          <w:numId w:val="1004"/>
        </w:numPr>
      </w:pPr>
      <w:r>
        <w:t xml:space="preserve">Посмотрите содержимое файла службы: cat /etc/firewalld/services/ssh-custom.xml</w:t>
      </w:r>
    </w:p>
    <w:bookmarkStart w:id="26" w:name="fig:004"/>
    <w:p>
      <w:pPr>
        <w:pStyle w:val="CaptionedFigure"/>
      </w:pPr>
      <w:r>
        <w:drawing>
          <wp:inline>
            <wp:extent cx="3200400" cy="963524"/>
            <wp:effectExtent b="0" l="0" r="0" t="0"/>
            <wp:docPr descr="Рис. 4: просмотр содержимого ssh-custom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6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содержимого ssh-custom</w:t>
      </w:r>
    </w:p>
    <w:bookmarkEnd w:id="26"/>
    <w:p>
      <w:pPr>
        <w:pStyle w:val="BodyText"/>
      </w:pPr>
      <w:r>
        <w:t xml:space="preserve">Принцип синтаксиса файла описания службы:</w:t>
      </w:r>
      <w:r>
        <w:br/>
      </w:r>
      <w:r>
        <w:t xml:space="preserve">-</w:t>
      </w:r>
      <w:r>
        <w:t xml:space="preserve"> </w:t>
      </w:r>
      <w:r>
        <w:t xml:space="preserve"> </w:t>
      </w:r>
      <w:r>
        <w:t xml:space="preserve">— заголовок: версия XML и кодировка.</w:t>
      </w:r>
      <w:r>
        <w:br/>
      </w:r>
      <w:r>
        <w:t xml:space="preserve">-</w:t>
      </w:r>
      <w:r>
        <w:t xml:space="preserve"> </w:t>
      </w:r>
      <w:r>
        <w:t xml:space="preserve"> </w:t>
      </w:r>
      <w:r>
        <w:t xml:space="preserve">— корневой тег: контейнер для описания службы.</w:t>
      </w:r>
      <w:r>
        <w:br/>
      </w:r>
      <w:r>
        <w:t xml:space="preserve">-</w:t>
      </w:r>
      <w:r>
        <w:t xml:space="preserve"> </w:t>
      </w:r>
      <w:r>
        <w:t xml:space="preserve"> </w:t>
      </w:r>
      <w:r>
        <w:t xml:space="preserve">— краткое имя службы (для отображения).</w:t>
      </w:r>
      <w:r>
        <w:br/>
      </w:r>
      <w:r>
        <w:t xml:space="preserve">-</w:t>
      </w:r>
      <w:r>
        <w:t xml:space="preserve"> </w:t>
      </w:r>
      <w:r>
        <w:t xml:space="preserve"> </w:t>
      </w:r>
      <w:r>
        <w:t xml:space="preserve">— текстовое описание (справочная информация).</w:t>
      </w:r>
      <w:r>
        <w:br/>
      </w:r>
      <w:r>
        <w:t xml:space="preserve">- &lt;port …/&gt; — правило: какой порт (22) и протокол (tcp) открыть.</w:t>
      </w:r>
    </w:p>
    <w:p>
      <w:pPr>
        <w:pStyle w:val="Compact"/>
        <w:numPr>
          <w:ilvl w:val="0"/>
          <w:numId w:val="1005"/>
        </w:numPr>
      </w:pPr>
      <w:r>
        <w:t xml:space="preserve">Откройте файл описания службы на редактирование и замените порт 22 на порт 2022, скорректируйте описание службы</w:t>
      </w:r>
    </w:p>
    <w:bookmarkStart w:id="30" w:name="fig:005"/>
    <w:p>
      <w:pPr>
        <w:pStyle w:val="CaptionedFigure"/>
      </w:pPr>
      <w:r>
        <w:drawing>
          <wp:inline>
            <wp:extent cx="3200400" cy="653004"/>
            <wp:effectExtent b="0" l="0" r="0" t="0"/>
            <wp:docPr descr="Рис. 5: внесение изменений в ssh-custom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53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внесение изменений в ssh-custom</w:t>
      </w:r>
    </w:p>
    <w:bookmarkEnd w:id="30"/>
    <w:bookmarkStart w:id="34" w:name="fig:006"/>
    <w:p>
      <w:pPr>
        <w:pStyle w:val="CaptionedFigure"/>
      </w:pPr>
      <w:r>
        <w:drawing>
          <wp:inline>
            <wp:extent cx="3200400" cy="713856"/>
            <wp:effectExtent b="0" l="0" r="0" t="0"/>
            <wp:docPr descr="Рис. 6: просмотр обновленного содержимого ssh-custom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1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обновленного содержимого ssh-custom</w:t>
      </w:r>
    </w:p>
    <w:bookmarkEnd w:id="34"/>
    <w:p>
      <w:pPr>
        <w:pStyle w:val="Compact"/>
        <w:numPr>
          <w:ilvl w:val="0"/>
          <w:numId w:val="1006"/>
        </w:numPr>
      </w:pPr>
      <w:r>
        <w:t xml:space="preserve">Просмотрите список доступных FirewallD служб: firewall-cmd –get-services (ssh-custom еще НЕ отображается в списке доступных)</w:t>
      </w:r>
    </w:p>
    <w:p>
      <w:pPr>
        <w:pStyle w:val="Compact"/>
        <w:numPr>
          <w:ilvl w:val="0"/>
          <w:numId w:val="1006"/>
        </w:numPr>
      </w:pPr>
      <w:r>
        <w:t xml:space="preserve">Перегрузите правила межсетевого экрана с сохранением информации о состоянии и вновь выведите список доступных служб, а также список активных служб (ssh-custom отображается в списке доступных, но НЕ активирована)</w:t>
      </w:r>
    </w:p>
    <w:bookmarkStart w:id="38" w:name="fig:007"/>
    <w:p>
      <w:pPr>
        <w:pStyle w:val="CaptionedFigure"/>
      </w:pPr>
      <w:r>
        <w:drawing>
          <wp:inline>
            <wp:extent cx="3200400" cy="795003"/>
            <wp:effectExtent b="0" l="0" r="0" t="0"/>
            <wp:docPr descr="Рис. 7: перезагрузка правил межсетевого экрана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95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перезагрузка правил межсетевого экрана</w:t>
      </w:r>
    </w:p>
    <w:bookmarkEnd w:id="38"/>
    <w:p>
      <w:pPr>
        <w:pStyle w:val="Compact"/>
        <w:numPr>
          <w:ilvl w:val="0"/>
          <w:numId w:val="1007"/>
        </w:numPr>
      </w:pPr>
      <w:r>
        <w:t xml:space="preserve">Добавьте новую службу в FirewallD и выведит список активных служб (ssh-custom добавлена и активна)</w:t>
      </w:r>
    </w:p>
    <w:bookmarkStart w:id="42" w:name="fig:008"/>
    <w:p>
      <w:pPr>
        <w:pStyle w:val="CaptionedFigure"/>
      </w:pPr>
      <w:r>
        <w:drawing>
          <wp:inline>
            <wp:extent cx="3200400" cy="414169"/>
            <wp:effectExtent b="0" l="0" r="0" t="0"/>
            <wp:docPr descr="Рис. 8: добавление службы ssh-custom в FirewallD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4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добавление службы ssh-custom в FirewallD</w:t>
      </w:r>
    </w:p>
    <w:bookmarkEnd w:id="42"/>
    <w:p>
      <w:pPr>
        <w:pStyle w:val="Compact"/>
        <w:numPr>
          <w:ilvl w:val="0"/>
          <w:numId w:val="1008"/>
        </w:numPr>
      </w:pPr>
      <w:r>
        <w:t xml:space="preserve">Если служба добавлена в FirewallD, то перегрузите правила межсетевого экрана с сохранением информации о состоянии</w:t>
      </w:r>
    </w:p>
    <w:bookmarkStart w:id="46" w:name="fig:009"/>
    <w:p>
      <w:pPr>
        <w:pStyle w:val="CaptionedFigure"/>
      </w:pPr>
      <w:r>
        <w:drawing>
          <wp:inline>
            <wp:extent cx="3200400" cy="1175518"/>
            <wp:effectExtent b="0" l="0" r="0" t="0"/>
            <wp:docPr descr="Рис. 9: перезагрузка правил межсетевого экрана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75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перезагрузка правил межсетевого экрана</w:t>
      </w:r>
    </w:p>
    <w:bookmarkEnd w:id="46"/>
    <w:bookmarkEnd w:id="47"/>
    <w:bookmarkStart w:id="60" w:name="перенаправление-портов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Перенаправление портов</w:t>
      </w:r>
    </w:p>
    <w:p>
      <w:pPr>
        <w:pStyle w:val="Compact"/>
        <w:numPr>
          <w:ilvl w:val="0"/>
          <w:numId w:val="1009"/>
        </w:numPr>
      </w:pPr>
      <w:r>
        <w:t xml:space="preserve">Организуйте на сервере переадресацию с порта 2022 на порт 22: firewall-cmd –add-forward-port=port=2022:proto=tcp:toport=22</w:t>
      </w:r>
    </w:p>
    <w:bookmarkStart w:id="51" w:name="fig:010"/>
    <w:p>
      <w:pPr>
        <w:pStyle w:val="CaptionedFigure"/>
      </w:pPr>
      <w:r>
        <w:drawing>
          <wp:inline>
            <wp:extent cx="3200400" cy="327812"/>
            <wp:effectExtent b="0" l="0" r="0" t="0"/>
            <wp:docPr descr="Рис. 10: переадресация порта с 2022 на 22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7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переадресация порта с 2022 на 22</w:t>
      </w:r>
    </w:p>
    <w:bookmarkEnd w:id="51"/>
    <w:p>
      <w:pPr>
        <w:pStyle w:val="Compact"/>
        <w:numPr>
          <w:ilvl w:val="0"/>
          <w:numId w:val="1010"/>
        </w:numPr>
      </w:pPr>
      <w:r>
        <w:t xml:space="preserve">На клиенте попробуйте получить доступ по SSH к серверу через порт 2022: ssh -p 2022 user@server.aaglushenok.net</w:t>
      </w:r>
    </w:p>
    <w:bookmarkStart w:id="55" w:name="fig:011"/>
    <w:p>
      <w:pPr>
        <w:pStyle w:val="CaptionedFigure"/>
      </w:pPr>
      <w:r>
        <w:drawing>
          <wp:inline>
            <wp:extent cx="3200400" cy="708447"/>
            <wp:effectExtent b="0" l="0" r="0" t="0"/>
            <wp:docPr descr="Рис. 11: запуск и подключение к ВМ client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08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запуск и подключение к ВМ client</w:t>
      </w:r>
    </w:p>
    <w:bookmarkEnd w:id="55"/>
    <w:bookmarkStart w:id="59" w:name="fig:012"/>
    <w:p>
      <w:pPr>
        <w:pStyle w:val="CaptionedFigure"/>
      </w:pPr>
      <w:r>
        <w:drawing>
          <wp:inline>
            <wp:extent cx="3200400" cy="1035224"/>
            <wp:effectExtent b="0" l="0" r="0" t="0"/>
            <wp:docPr descr="Рис. 12: успешная установка ssh-соединения с сервером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35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успешная установка ssh-соединения с сервером</w:t>
      </w:r>
    </w:p>
    <w:bookmarkEnd w:id="59"/>
    <w:bookmarkEnd w:id="60"/>
    <w:bookmarkStart w:id="77" w:name="настройка-port-forwarding-и-masquerading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Настройка Port Forwarding и Masquerading</w:t>
      </w:r>
    </w:p>
    <w:p>
      <w:pPr>
        <w:pStyle w:val="Compact"/>
        <w:numPr>
          <w:ilvl w:val="0"/>
          <w:numId w:val="1011"/>
        </w:numPr>
      </w:pPr>
      <w:r>
        <w:t xml:space="preserve">На сервере посмотрите, активирована ли в ядре системы возможность перенаправления IPv4-пакетов пакетов: sysctl -a | grep forward</w:t>
      </w:r>
    </w:p>
    <w:p>
      <w:pPr>
        <w:pStyle w:val="Compact"/>
        <w:numPr>
          <w:ilvl w:val="0"/>
          <w:numId w:val="1011"/>
        </w:numPr>
      </w:pPr>
      <w:r>
        <w:t xml:space="preserve">Включите перенаправление IPv4-пакетов на сервере</w:t>
      </w:r>
    </w:p>
    <w:bookmarkStart w:id="64" w:name="fig:013"/>
    <w:p>
      <w:pPr>
        <w:pStyle w:val="CaptionedFigure"/>
      </w:pPr>
      <w:r>
        <w:drawing>
          <wp:inline>
            <wp:extent cx="3200400" cy="706712"/>
            <wp:effectExtent b="0" l="0" r="0" t="0"/>
            <wp:docPr descr="Рис. 13: включение перенаправления IPv4-пакетов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06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включение перенаправления IPv4-пакетов</w:t>
      </w:r>
    </w:p>
    <w:bookmarkEnd w:id="64"/>
    <w:p>
      <w:pPr>
        <w:pStyle w:val="Compact"/>
        <w:numPr>
          <w:ilvl w:val="0"/>
          <w:numId w:val="1012"/>
        </w:numPr>
      </w:pPr>
      <w:r>
        <w:t xml:space="preserve">Включите маскарадинг на сервере: firewall-cmd –zone=public –add-masquerade –permanent</w:t>
      </w:r>
    </w:p>
    <w:bookmarkStart w:id="68" w:name="fig:014"/>
    <w:p>
      <w:pPr>
        <w:pStyle w:val="CaptionedFigure"/>
      </w:pPr>
      <w:r>
        <w:drawing>
          <wp:inline>
            <wp:extent cx="3200400" cy="795067"/>
            <wp:effectExtent b="0" l="0" r="0" t="0"/>
            <wp:docPr descr="Рис. 14: включение маскарадинга на сервере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9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включение маскарадинга на сервере</w:t>
      </w:r>
    </w:p>
    <w:bookmarkEnd w:id="68"/>
    <w:p>
      <w:pPr>
        <w:pStyle w:val="Compact"/>
        <w:numPr>
          <w:ilvl w:val="0"/>
          <w:numId w:val="1013"/>
        </w:numPr>
      </w:pPr>
      <w:r>
        <w:t xml:space="preserve">На клиенте проверьте доступность выхода в Интернет (клиент получил ответ от внешнего сервера, что подтверждает успешный проход трафика через шлюз (сервер) в Интернет</w:t>
      </w:r>
    </w:p>
    <w:p>
      <w:pPr>
        <w:pStyle w:val="FirstParagraph"/>
      </w:pPr>
      <w:r>
        <w:t xml:space="preserve">Проверка через ping: успешный ответ от 8.8.8.8 (0% потерь) означает, что ICMP-пакеты от клиента дошли до внешнего сервера и вернулись обратно, это подтверждает что шлюз (сервер) корректно перенаправляет трафик в Интернет.</w:t>
      </w:r>
    </w:p>
    <w:bookmarkStart w:id="72" w:name="fig:015"/>
    <w:p>
      <w:pPr>
        <w:pStyle w:val="CaptionedFigure"/>
      </w:pPr>
      <w:r>
        <w:drawing>
          <wp:inline>
            <wp:extent cx="3200400" cy="963304"/>
            <wp:effectExtent b="0" l="0" r="0" t="0"/>
            <wp:docPr descr="Рис. 15: проверка доступа в интернет через ping" title="" id="70" name="Picture"/>
            <a:graphic>
              <a:graphicData uri="http://schemas.openxmlformats.org/drawingml/2006/picture">
                <pic:pic>
                  <pic:nvPicPr>
                    <pic:cNvPr descr="image/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63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доступа в интернет через ping</w:t>
      </w:r>
    </w:p>
    <w:bookmarkEnd w:id="72"/>
    <w:p>
      <w:pPr>
        <w:pStyle w:val="BodyText"/>
      </w:pPr>
      <w:r>
        <w:t xml:space="preserve">Проверка через http-запрос: клиент получил ответ от внешнего сервера, это подтверждает успешный проход трафика через шлюз (сервер) в Интернет.</w:t>
      </w:r>
    </w:p>
    <w:bookmarkStart w:id="76" w:name="fig:016"/>
    <w:p>
      <w:pPr>
        <w:pStyle w:val="CaptionedFigure"/>
      </w:pPr>
      <w:r>
        <w:drawing>
          <wp:inline>
            <wp:extent cx="3200400" cy="1640138"/>
            <wp:effectExtent b="0" l="0" r="0" t="0"/>
            <wp:docPr descr="Рис. 16: проверка доступа в интернет через http-запрос" title="" id="74" name="Picture"/>
            <a:graphic>
              <a:graphicData uri="http://schemas.openxmlformats.org/drawingml/2006/picture">
                <pic:pic>
                  <pic:nvPicPr>
                    <pic:cNvPr descr="image/16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4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доступа в интернет через http-запрос</w:t>
      </w:r>
    </w:p>
    <w:bookmarkEnd w:id="76"/>
    <w:bookmarkEnd w:id="77"/>
    <w:bookmarkStart w:id="106" w:name="Xd636270ea8e9bb71f498bde6a96fb3a56434bd8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Compact"/>
        <w:numPr>
          <w:ilvl w:val="0"/>
          <w:numId w:val="1014"/>
        </w:numPr>
      </w:pPr>
      <w:r>
        <w:t xml:space="preserve">На ВМ server перейдите в каталог для внесения изменений в настройки внутреннего окружения /vagrant/provision/server/, создайте в нём каталог firewall, в который поместите в соответствующие подкаталоги конфигурационные файлы FirewallD</w:t>
      </w:r>
    </w:p>
    <w:bookmarkStart w:id="81" w:name="fig:017"/>
    <w:p>
      <w:pPr>
        <w:pStyle w:val="CaptionedFigure"/>
      </w:pPr>
      <w:r>
        <w:drawing>
          <wp:inline>
            <wp:extent cx="3200400" cy="790884"/>
            <wp:effectExtent b="0" l="0" r="0" t="0"/>
            <wp:docPr descr="Рис. 17: внесение изменений в настройки внутреннего окружения" title="" id="79" name="Picture"/>
            <a:graphic>
              <a:graphicData uri="http://schemas.openxmlformats.org/drawingml/2006/picture">
                <pic:pic>
                  <pic:nvPicPr>
                    <pic:cNvPr descr="image/17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9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внесение изменений в настройки внутреннего окружения</w:t>
      </w:r>
    </w:p>
    <w:bookmarkEnd w:id="81"/>
    <w:p>
      <w:pPr>
        <w:pStyle w:val="Compact"/>
        <w:numPr>
          <w:ilvl w:val="0"/>
          <w:numId w:val="1015"/>
        </w:numPr>
      </w:pPr>
      <w:r>
        <w:t xml:space="preserve">В каталоге /vagrant/provision/server создайте файл firewall.sh</w:t>
      </w:r>
    </w:p>
    <w:bookmarkStart w:id="85" w:name="fig:018"/>
    <w:p>
      <w:pPr>
        <w:pStyle w:val="CaptionedFigure"/>
      </w:pPr>
      <w:r>
        <w:drawing>
          <wp:inline>
            <wp:extent cx="3200400" cy="189597"/>
            <wp:effectExtent b="0" l="0" r="0" t="0"/>
            <wp:docPr descr="Рис. 18: создание и открытие на редактирование firewall.sh" title="" id="83" name="Picture"/>
            <a:graphic>
              <a:graphicData uri="http://schemas.openxmlformats.org/drawingml/2006/picture">
                <pic:pic>
                  <pic:nvPicPr>
                    <pic:cNvPr descr="image/1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9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создание и открытие на редактирование firewall.sh</w:t>
      </w:r>
    </w:p>
    <w:bookmarkEnd w:id="85"/>
    <w:bookmarkStart w:id="89" w:name="fig:019"/>
    <w:p>
      <w:pPr>
        <w:pStyle w:val="CaptionedFigure"/>
      </w:pPr>
      <w:r>
        <w:drawing>
          <wp:inline>
            <wp:extent cx="3200400" cy="3317324"/>
            <wp:effectExtent b="0" l="0" r="0" t="0"/>
            <wp:docPr descr="Рис. 19: редактирование firewall.sh" title="" id="87" name="Picture"/>
            <a:graphic>
              <a:graphicData uri="http://schemas.openxmlformats.org/drawingml/2006/picture">
                <pic:pic>
                  <pic:nvPicPr>
                    <pic:cNvPr descr="image/1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317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редактирование firewall.sh</w:t>
      </w:r>
    </w:p>
    <w:bookmarkEnd w:id="89"/>
    <w:bookmarkStart w:id="93" w:name="fig:020"/>
    <w:p>
      <w:pPr>
        <w:pStyle w:val="CaptionedFigure"/>
      </w:pPr>
      <w:r>
        <w:drawing>
          <wp:inline>
            <wp:extent cx="3200400" cy="481926"/>
            <wp:effectExtent b="0" l="0" r="0" t="0"/>
            <wp:docPr descr="Рис. 20: настройка прав и вывод содержимого firewall.sh" title="" id="91" name="Picture"/>
            <a:graphic>
              <a:graphicData uri="http://schemas.openxmlformats.org/drawingml/2006/picture">
                <pic:pic>
                  <pic:nvPicPr>
                    <pic:cNvPr descr="image/20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81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настройка прав и вывод содержимого firewall.sh</w:t>
      </w:r>
    </w:p>
    <w:bookmarkEnd w:id="93"/>
    <w:p>
      <w:pPr>
        <w:pStyle w:val="Compact"/>
        <w:numPr>
          <w:ilvl w:val="0"/>
          <w:numId w:val="1016"/>
        </w:numPr>
      </w:pPr>
      <w:r>
        <w:t xml:space="preserve">Для отработки созданного скрипта во время загрузки ВМ server в конфигурационном файле Vagrantfile необходимо изменить конфигурации для сервера</w:t>
      </w:r>
    </w:p>
    <w:bookmarkStart w:id="97" w:name="fig:021"/>
    <w:p>
      <w:pPr>
        <w:pStyle w:val="CaptionedFigure"/>
      </w:pPr>
      <w:r>
        <w:drawing>
          <wp:inline>
            <wp:extent cx="3200400" cy="719887"/>
            <wp:effectExtent b="0" l="0" r="0" t="0"/>
            <wp:docPr descr="Рис. 21: изменение конфигураций сервера в vagrantgile" title="" id="95" name="Picture"/>
            <a:graphic>
              <a:graphicData uri="http://schemas.openxmlformats.org/drawingml/2006/picture">
                <pic:pic>
                  <pic:nvPicPr>
                    <pic:cNvPr descr="image/2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19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изменение конфигураций сервера в vagrantgile</w:t>
      </w:r>
    </w:p>
    <w:bookmarkEnd w:id="97"/>
    <w:bookmarkStart w:id="101" w:name="fig:022"/>
    <w:p>
      <w:pPr>
        <w:pStyle w:val="CaptionedFigure"/>
      </w:pPr>
      <w:r>
        <w:drawing>
          <wp:inline>
            <wp:extent cx="3200400" cy="640080"/>
            <wp:effectExtent b="0" l="0" r="0" t="0"/>
            <wp:docPr descr="Рис. 22: проверка отсутствия синтаксических ошибок в vagrantgile" title="" id="99" name="Picture"/>
            <a:graphic>
              <a:graphicData uri="http://schemas.openxmlformats.org/drawingml/2006/picture">
                <pic:pic>
                  <pic:nvPicPr>
                    <pic:cNvPr descr="image/22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 отсутствия синтаксических ошибок в vagrantgile</w:t>
      </w:r>
    </w:p>
    <w:bookmarkEnd w:id="101"/>
    <w:bookmarkStart w:id="105" w:name="fig:023"/>
    <w:p>
      <w:pPr>
        <w:pStyle w:val="CaptionedFigure"/>
      </w:pPr>
      <w:r>
        <w:drawing>
          <wp:inline>
            <wp:extent cx="3200400" cy="2037229"/>
            <wp:effectExtent b="0" l="0" r="0" t="0"/>
            <wp:docPr descr="Рис. 23: применение изменений в vagrantgile, касающихся firewall" title="" id="103" name="Picture"/>
            <a:graphic>
              <a:graphicData uri="http://schemas.openxmlformats.org/drawingml/2006/picture">
                <pic:pic>
                  <pic:nvPicPr>
                    <pic:cNvPr descr="image/23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37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применение изменений в vagrantgile, касающихся firewall</w:t>
      </w:r>
    </w:p>
    <w:bookmarkEnd w:id="105"/>
    <w:bookmarkEnd w:id="106"/>
    <w:bookmarkEnd w:id="107"/>
    <w:bookmarkStart w:id="10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7 мне удалось получить навыки настройки межсетевого экрана в Linux в части переадресации портов и настройки Masquerading.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15" Target="media/rId1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7. Расширенные настройки межсетевого экрана</dc:title>
  <dc:creator>Анна Александровна Глушенок</dc:creator>
  <dc:language>ru-RU</dc:language>
  <cp:keywords/>
  <dcterms:created xsi:type="dcterms:W3CDTF">2026-10-12T15:13:03Z</dcterms:created>
  <dcterms:modified xsi:type="dcterms:W3CDTF">2026-10-12T15:13:03Z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OfMetadata">
    <vt:lpwstr>False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Listing</vt:lpwstr>
  </property>
  <property fmtid="{D5CDD505-2E9C-101B-9397-08002B2CF9AE}" pid="41" name="listings">
    <vt:lpwstr>False</vt:lpwstr>
  </property>
  <property fmtid="{D5CDD505-2E9C-101B-9397-08002B2CF9AE}" pid="42" name="lof">
    <vt:lpwstr>True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List of Listings</vt:lpwstr>
  </property>
  <property fmtid="{D5CDD505-2E9C-101B-9397-08002B2CF9AE}" pid="49" name="lot">
    <vt:lpwstr>False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List of Tables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Liberation Serif</vt:lpwstr>
  </property>
  <property fmtid="{D5CDD505-2E9C-101B-9397-08002B2CF9AE}" pid="57" name="monofont">
    <vt:lpwstr>Liberation Mono</vt:lpwstr>
  </property>
  <property fmtid="{D5CDD505-2E9C-101B-9397-08002B2CF9AE}" pid="58" name="nameInLink">
    <vt:lpwstr>False</vt:lpwstr>
  </property>
  <property fmtid="{D5CDD505-2E9C-101B-9397-08002B2CF9AE}" pid="59" name="numberSections">
    <vt:lpwstr>False</vt:lpwstr>
  </property>
  <property fmtid="{D5CDD505-2E9C-101B-9397-08002B2CF9AE}" pid="60" name="pairDelim">
    <vt:lpwstr>, </vt:lpwstr>
  </property>
  <property fmtid="{D5CDD505-2E9C-101B-9397-08002B2CF9AE}" pid="61" name="papersize">
    <vt:lpwstr>a4</vt:lpwstr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sansfont">
    <vt:lpwstr>Liberation Sans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Отчет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