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7.png" ContentType="image/png"/>
  <Override PartName="/word/media/rId51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15.png" ContentType="image/png"/>
  <Override PartName="/word/media/rId89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5. Расширенная настройка HTTP-сервера Apache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Анна Александровна Глушенок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расширенному конфигурированию HTTP-сервера Apache в части безопасности и возможности использования PHP.</w:t>
      </w:r>
    </w:p>
    <w:bookmarkEnd w:id="9"/>
    <w:bookmarkStart w:id="1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Сгенерируйте криптографический ключ и самоподписанный сертификат безопасности для возможности перехода веб-сервера от работы через протокол HTTP к работе через протокол HTTPS (см. раздел 5.4.1).</w:t>
      </w:r>
    </w:p>
    <w:p>
      <w:pPr>
        <w:pStyle w:val="Compact"/>
        <w:numPr>
          <w:ilvl w:val="0"/>
          <w:numId w:val="1001"/>
        </w:numPr>
      </w:pPr>
      <w:r>
        <w:t xml:space="preserve">Настройте веб-сервер для работы с PHP (см. раздел 5.4.2).</w:t>
      </w:r>
    </w:p>
    <w:p>
      <w:pPr>
        <w:pStyle w:val="Compact"/>
        <w:numPr>
          <w:ilvl w:val="0"/>
          <w:numId w:val="1001"/>
        </w:numPr>
      </w:pPr>
      <w:r>
        <w:t xml:space="preserve">Напишите (или скорректируйте) скрипт для Vagrant, фиксирующий действия по расширенной настройке HTTP-сервера во внутреннем окружении виртуальной машины server (см. раздел 5.4.3)</w:t>
      </w:r>
    </w:p>
    <w:bookmarkEnd w:id="10"/>
    <w:bookmarkStart w:id="9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55" w:name="X14b806e36eee771cf63a7ed738c451d8f764bd2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Конфигурирование HTTP-сервера для работы через протокол HTTPS</w:t>
      </w:r>
    </w:p>
    <w:p>
      <w:pPr>
        <w:pStyle w:val="Compact"/>
        <w:numPr>
          <w:ilvl w:val="0"/>
          <w:numId w:val="1002"/>
        </w:numPr>
      </w:pPr>
      <w:r>
        <w:t xml:space="preserve">Загрузите вашу операционную систему и перейдите в рабочий каталог с проектом</w:t>
      </w:r>
    </w:p>
    <w:p>
      <w:pPr>
        <w:pStyle w:val="Compact"/>
        <w:numPr>
          <w:ilvl w:val="0"/>
          <w:numId w:val="1002"/>
        </w:numPr>
      </w:pPr>
      <w:r>
        <w:t xml:space="preserve">Запустите виртуальную машину server</w:t>
      </w:r>
    </w:p>
    <w:bookmarkStart w:id="14" w:name="fig:001"/>
    <w:p>
      <w:pPr>
        <w:pStyle w:val="CaptionedFigure"/>
      </w:pPr>
      <w:r>
        <w:drawing>
          <wp:inline>
            <wp:extent cx="3200400" cy="634398"/>
            <wp:effectExtent b="0" l="0" r="0" t="0"/>
            <wp:docPr descr="Рис. 1: запуск ВМ server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34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ВМ server</w:t>
      </w:r>
    </w:p>
    <w:bookmarkEnd w:id="14"/>
    <w:p>
      <w:pPr>
        <w:pStyle w:val="Compact"/>
        <w:numPr>
          <w:ilvl w:val="0"/>
          <w:numId w:val="1003"/>
        </w:numPr>
      </w:pPr>
      <w:r>
        <w:t xml:space="preserve">На виртуальной машине server войдите под вашим пользователем, перейдите в режим суперпользователя</w:t>
      </w:r>
    </w:p>
    <w:bookmarkStart w:id="18" w:name="fig:002"/>
    <w:p>
      <w:pPr>
        <w:pStyle w:val="CaptionedFigure"/>
      </w:pPr>
      <w:r>
        <w:drawing>
          <wp:inline>
            <wp:extent cx="3200400" cy="644424"/>
            <wp:effectExtent b="0" l="0" r="0" t="0"/>
            <wp:docPr descr="Рис. 2: подключение к ВМ, переход к суперпользователю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44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подключение к ВМ, переход к суперпользователю</w:t>
      </w:r>
    </w:p>
    <w:bookmarkEnd w:id="18"/>
    <w:p>
      <w:pPr>
        <w:pStyle w:val="Compact"/>
        <w:numPr>
          <w:ilvl w:val="0"/>
          <w:numId w:val="1004"/>
        </w:numPr>
      </w:pPr>
      <w:r>
        <w:t xml:space="preserve">В каталоге /etc/ssl создайте каталог private. Сгенерируйте ключ и сертификат, заполните сертификат. Сгенерированные ключ и сертификат появятся в каталоге private, скопируйте сертификат в каталог certs</w:t>
      </w:r>
    </w:p>
    <w:bookmarkStart w:id="22" w:name="fig:003"/>
    <w:p>
      <w:pPr>
        <w:pStyle w:val="CaptionedFigure"/>
      </w:pPr>
      <w:r>
        <w:drawing>
          <wp:inline>
            <wp:extent cx="3200400" cy="1025686"/>
            <wp:effectExtent b="0" l="0" r="0" t="0"/>
            <wp:docPr descr="Рис. 3: генерация ключа и сертификата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25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генерация ключа и сертификата</w:t>
      </w:r>
    </w:p>
    <w:bookmarkEnd w:id="22"/>
    <w:bookmarkStart w:id="26" w:name="fig:004"/>
    <w:p>
      <w:pPr>
        <w:pStyle w:val="CaptionedFigure"/>
      </w:pPr>
      <w:r>
        <w:drawing>
          <wp:inline>
            <wp:extent cx="3200400" cy="727363"/>
            <wp:effectExtent b="0" l="0" r="0" t="0"/>
            <wp:docPr descr="Рис. 4: заполнение сертификата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27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заполнение сертификата</w:t>
      </w:r>
    </w:p>
    <w:bookmarkEnd w:id="26"/>
    <w:bookmarkStart w:id="30" w:name="fig:005"/>
    <w:p>
      <w:pPr>
        <w:pStyle w:val="CaptionedFigure"/>
      </w:pPr>
      <w:r>
        <w:drawing>
          <wp:inline>
            <wp:extent cx="3200400" cy="440667"/>
            <wp:effectExtent b="0" l="0" r="0" t="0"/>
            <wp:docPr descr="Рис. 5: копирование сертификата в certs" title="" id="28" name="Picture"/>
            <a:graphic>
              <a:graphicData uri="http://schemas.openxmlformats.org/drawingml/2006/picture">
                <pic:pic>
                  <pic:nvPicPr>
                    <pic:cNvPr descr="image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40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копирование сертификата в certs</w:t>
      </w:r>
    </w:p>
    <w:bookmarkEnd w:id="30"/>
    <w:p>
      <w:pPr>
        <w:pStyle w:val="Compact"/>
        <w:numPr>
          <w:ilvl w:val="0"/>
          <w:numId w:val="1005"/>
        </w:numPr>
      </w:pPr>
      <w:r>
        <w:t xml:space="preserve">Для перехода веб-сервера www.user.net на функционирование через протокол HTTPS требуется изменить его конфигурационный файл. Откройте на редактирование файл www.user.net.conf и замените его содержимое</w:t>
      </w:r>
    </w:p>
    <w:bookmarkStart w:id="34" w:name="fig:006"/>
    <w:p>
      <w:pPr>
        <w:pStyle w:val="CaptionedFigure"/>
      </w:pPr>
      <w:r>
        <w:drawing>
          <wp:inline>
            <wp:extent cx="3200400" cy="226799"/>
            <wp:effectExtent b="0" l="0" r="0" t="0"/>
            <wp:docPr descr="Рис. 6: открытие www.user.net.conf на редактирование" title="" id="32" name="Picture"/>
            <a:graphic>
              <a:graphicData uri="http://schemas.openxmlformats.org/drawingml/2006/picture">
                <pic:pic>
                  <pic:nvPicPr>
                    <pic:cNvPr descr="image/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26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открытие www.user.net.conf на редактирование</w:t>
      </w:r>
    </w:p>
    <w:bookmarkEnd w:id="34"/>
    <w:bookmarkStart w:id="38" w:name="fig:007"/>
    <w:p>
      <w:pPr>
        <w:pStyle w:val="CaptionedFigure"/>
      </w:pPr>
      <w:r>
        <w:drawing>
          <wp:inline>
            <wp:extent cx="3200400" cy="2514853"/>
            <wp:effectExtent b="0" l="0" r="0" t="0"/>
            <wp:docPr descr="Рис. 7: замена содержимого файла www.user.net.conf" title="" id="36" name="Picture"/>
            <a:graphic>
              <a:graphicData uri="http://schemas.openxmlformats.org/drawingml/2006/picture">
                <pic:pic>
                  <pic:nvPicPr>
                    <pic:cNvPr descr="image/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514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замена содержимого файла www.user.net.conf</w:t>
      </w:r>
    </w:p>
    <w:bookmarkEnd w:id="38"/>
    <w:p>
      <w:pPr>
        <w:pStyle w:val="BodyText"/>
      </w:pPr>
      <w:r>
        <w:t xml:space="preserve">Комментарий к содержимому файла: Файл конфигурации веб-сервера Apache описывает два виртуальных хоста для домена www.aaglushenok.net, где первый блок для порта 80 принимает обычный HTTP-трафик и с помощью правила RewriteRule принудительно перенаправляет всех посетителей на защищенную версию сайта, а второй блок внутри условия IfModule для порта 443 настраивает работу по протоколу HTTPS, указывая пути к SSL-сертификату и приватному ключу, а также задавая общие для обоих блоков параметры, такие как корневая директория документов /var/www/html/www.aaglushenok.net, административный email и пути к логам ошибок и доступа.</w:t>
      </w:r>
    </w:p>
    <w:p>
      <w:pPr>
        <w:pStyle w:val="Compact"/>
        <w:numPr>
          <w:ilvl w:val="0"/>
          <w:numId w:val="1006"/>
        </w:numPr>
      </w:pPr>
      <w:r>
        <w:t xml:space="preserve">Внесите изменения в настройки межсетевого экрана на сервере, разрешив работу с https</w:t>
      </w:r>
    </w:p>
    <w:bookmarkStart w:id="42" w:name="fig:008"/>
    <w:p>
      <w:pPr>
        <w:pStyle w:val="CaptionedFigure"/>
      </w:pPr>
      <w:r>
        <w:drawing>
          <wp:inline>
            <wp:extent cx="3200400" cy="493040"/>
            <wp:effectExtent b="0" l="0" r="0" t="0"/>
            <wp:docPr descr="Рис. 8: внесение ихменений в настройки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93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внесение ихменений в настройки</w:t>
      </w:r>
    </w:p>
    <w:bookmarkEnd w:id="42"/>
    <w:bookmarkStart w:id="46" w:name="fig:009"/>
    <w:p>
      <w:pPr>
        <w:pStyle w:val="CaptionedFigure"/>
      </w:pPr>
      <w:r>
        <w:drawing>
          <wp:inline>
            <wp:extent cx="3200400" cy="730496"/>
            <wp:effectExtent b="0" l="0" r="0" t="0"/>
            <wp:docPr descr="Рис. 9: внесение изменений в настройки" title="" id="44" name="Picture"/>
            <a:graphic>
              <a:graphicData uri="http://schemas.openxmlformats.org/drawingml/2006/picture">
                <pic:pic>
                  <pic:nvPicPr>
                    <pic:cNvPr descr="image/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30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внесение изменений в настройки</w:t>
      </w:r>
    </w:p>
    <w:bookmarkEnd w:id="46"/>
    <w:p>
      <w:pPr>
        <w:pStyle w:val="Compact"/>
        <w:numPr>
          <w:ilvl w:val="0"/>
          <w:numId w:val="1007"/>
        </w:numPr>
      </w:pPr>
      <w:r>
        <w:t xml:space="preserve">Перезапустите веб-сервер</w:t>
      </w:r>
    </w:p>
    <w:bookmarkStart w:id="50" w:name="fig:010"/>
    <w:p>
      <w:pPr>
        <w:pStyle w:val="CaptionedFigure"/>
      </w:pPr>
      <w:r>
        <w:drawing>
          <wp:inline>
            <wp:extent cx="3200400" cy="567894"/>
            <wp:effectExtent b="0" l="0" r="0" t="0"/>
            <wp:docPr descr="Рис. 10: перезапуск веб-сервера" title="" id="48" name="Picture"/>
            <a:graphic>
              <a:graphicData uri="http://schemas.openxmlformats.org/drawingml/2006/picture">
                <pic:pic>
                  <pic:nvPicPr>
                    <pic:cNvPr descr="image/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67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перезапуск веб-сервера</w:t>
      </w:r>
    </w:p>
    <w:bookmarkEnd w:id="50"/>
    <w:p>
      <w:pPr>
        <w:pStyle w:val="Compact"/>
        <w:numPr>
          <w:ilvl w:val="0"/>
          <w:numId w:val="1008"/>
        </w:numPr>
      </w:pPr>
      <w:r>
        <w:t xml:space="preserve">На ВМclient в строке браузера введите www.user.net, убедитесь, что произойдёт переключение на работу по протоколу HTTPS. Затем просмотрите содержание сертификата</w:t>
      </w:r>
    </w:p>
    <w:bookmarkStart w:id="54" w:name="fig:011"/>
    <w:p>
      <w:pPr>
        <w:pStyle w:val="CaptionedFigure"/>
      </w:pPr>
      <w:r>
        <w:drawing>
          <wp:inline>
            <wp:extent cx="3200400" cy="992637"/>
            <wp:effectExtent b="0" l="0" r="0" t="0"/>
            <wp:docPr descr="Рис. 11: просмотр содержания сервера и сертификата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92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просмотр содержания сервера и сертификата</w:t>
      </w:r>
    </w:p>
    <w:bookmarkEnd w:id="54"/>
    <w:bookmarkEnd w:id="55"/>
    <w:bookmarkStart w:id="72" w:name="X22b182ae2adfbbfeb7e7f1e059d8f9fbe5ab33f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Конфигурирование HTTP-сервера для работы с PHP</w:t>
      </w:r>
    </w:p>
    <w:p>
      <w:pPr>
        <w:pStyle w:val="Compact"/>
        <w:numPr>
          <w:ilvl w:val="0"/>
          <w:numId w:val="1009"/>
        </w:numPr>
      </w:pPr>
      <w:r>
        <w:t xml:space="preserve">Установите пакеты для работы с PHP</w:t>
      </w:r>
    </w:p>
    <w:bookmarkStart w:id="59" w:name="fig:012"/>
    <w:p>
      <w:pPr>
        <w:pStyle w:val="CaptionedFigure"/>
      </w:pPr>
      <w:r>
        <w:drawing>
          <wp:inline>
            <wp:extent cx="3200400" cy="275193"/>
            <wp:effectExtent b="0" l="0" r="0" t="0"/>
            <wp:docPr descr="Рис. 12: установка пакетов для работы с PHP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75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установка пакетов для работы с PHP</w:t>
      </w:r>
    </w:p>
    <w:bookmarkEnd w:id="59"/>
    <w:p>
      <w:pPr>
        <w:pStyle w:val="Compact"/>
        <w:numPr>
          <w:ilvl w:val="0"/>
          <w:numId w:val="1010"/>
        </w:numPr>
      </w:pPr>
      <w:r>
        <w:t xml:space="preserve">В каталоге /var/www/html/www.user.net замените index.html на index.php (содержание указано в матриалах)</w:t>
      </w:r>
    </w:p>
    <w:p>
      <w:pPr>
        <w:pStyle w:val="Compact"/>
        <w:numPr>
          <w:ilvl w:val="0"/>
          <w:numId w:val="1010"/>
        </w:numPr>
      </w:pPr>
      <w:r>
        <w:t xml:space="preserve">Скорректируйте права доступа в каталог с веб-контентом</w:t>
      </w:r>
    </w:p>
    <w:bookmarkStart w:id="63" w:name="fig:013"/>
    <w:p>
      <w:pPr>
        <w:pStyle w:val="CaptionedFigure"/>
      </w:pPr>
      <w:r>
        <w:drawing>
          <wp:inline>
            <wp:extent cx="3200400" cy="830483"/>
            <wp:effectExtent b="0" l="0" r="0" t="0"/>
            <wp:docPr descr="Рис. 13: замена index.html на index.php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830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замена index.html на index.php</w:t>
      </w:r>
    </w:p>
    <w:bookmarkEnd w:id="63"/>
    <w:p>
      <w:pPr>
        <w:pStyle w:val="Compact"/>
        <w:numPr>
          <w:ilvl w:val="0"/>
          <w:numId w:val="1011"/>
        </w:numPr>
      </w:pPr>
      <w:r>
        <w:t xml:space="preserve">Восстановите контекст безопасности в SELinux</w:t>
      </w:r>
    </w:p>
    <w:p>
      <w:pPr>
        <w:pStyle w:val="Compact"/>
        <w:numPr>
          <w:ilvl w:val="0"/>
          <w:numId w:val="1011"/>
        </w:numPr>
      </w:pPr>
      <w:r>
        <w:t xml:space="preserve">Перезапустите HTTP-сервер</w:t>
      </w:r>
    </w:p>
    <w:bookmarkStart w:id="67" w:name="fig:014"/>
    <w:p>
      <w:pPr>
        <w:pStyle w:val="CaptionedFigure"/>
      </w:pPr>
      <w:r>
        <w:drawing>
          <wp:inline>
            <wp:extent cx="3200400" cy="672184"/>
            <wp:effectExtent b="0" l="0" r="0" t="0"/>
            <wp:docPr descr="Рис. 14: восстановление меток безопасности, перезапуск HTTP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72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восстановление меток безопасности, перезапуск HTTP</w:t>
      </w:r>
    </w:p>
    <w:bookmarkEnd w:id="67"/>
    <w:p>
      <w:pPr>
        <w:pStyle w:val="Compact"/>
        <w:numPr>
          <w:ilvl w:val="0"/>
          <w:numId w:val="1012"/>
        </w:numPr>
      </w:pPr>
      <w:r>
        <w:t xml:space="preserve">На ВМ client в строке браузера введите название веб-сервера и убедитесь, что будет выведена страница с информацией об используемой версии PHP</w:t>
      </w:r>
    </w:p>
    <w:bookmarkStart w:id="71" w:name="fig:015"/>
    <w:p>
      <w:pPr>
        <w:pStyle w:val="CaptionedFigure"/>
      </w:pPr>
      <w:r>
        <w:drawing>
          <wp:inline>
            <wp:extent cx="3200400" cy="574855"/>
            <wp:effectExtent b="0" l="0" r="0" t="0"/>
            <wp:docPr descr="Рис. 15: информация о версии PHP" title="" id="69" name="Picture"/>
            <a:graphic>
              <a:graphicData uri="http://schemas.openxmlformats.org/drawingml/2006/picture">
                <pic:pic>
                  <pic:nvPicPr>
                    <pic:cNvPr descr="image/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74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информация о версии PHP</w:t>
      </w:r>
    </w:p>
    <w:bookmarkEnd w:id="71"/>
    <w:bookmarkEnd w:id="72"/>
    <w:bookmarkStart w:id="93" w:name="Xd636270ea8e9bb71f498bde6a96fb3a56434bd8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Compact"/>
        <w:numPr>
          <w:ilvl w:val="0"/>
          <w:numId w:val="1013"/>
        </w:numPr>
      </w:pPr>
      <w:r>
        <w:t xml:space="preserve">На виртуальной машине server перейдите в каталог для внесения изменений в настройки внутреннего окружения /vagrant/provision/server/http и в соответствующие каталоги скопируйте конфигурационные файлы</w:t>
      </w:r>
    </w:p>
    <w:bookmarkStart w:id="76" w:name="fig:016"/>
    <w:p>
      <w:pPr>
        <w:pStyle w:val="CaptionedFigure"/>
      </w:pPr>
      <w:r>
        <w:drawing>
          <wp:inline>
            <wp:extent cx="3200400" cy="1876964"/>
            <wp:effectExtent b="0" l="0" r="0" t="0"/>
            <wp:docPr descr="Рис. 16: внесение изменений, копирование файлов" title="" id="74" name="Picture"/>
            <a:graphic>
              <a:graphicData uri="http://schemas.openxmlformats.org/drawingml/2006/picture">
                <pic:pic>
                  <pic:nvPicPr>
                    <pic:cNvPr descr="image/16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76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внесение изменений, копирование файлов</w:t>
      </w:r>
    </w:p>
    <w:bookmarkEnd w:id="76"/>
    <w:bookmarkStart w:id="80" w:name="fig:017"/>
    <w:p>
      <w:pPr>
        <w:pStyle w:val="CaptionedFigure"/>
      </w:pPr>
      <w:r>
        <w:drawing>
          <wp:inline>
            <wp:extent cx="3200400" cy="742048"/>
            <wp:effectExtent b="0" l="0" r="0" t="0"/>
            <wp:docPr descr="Рис. 17: внесение изменений, копирование файлов" title="" id="78" name="Picture"/>
            <a:graphic>
              <a:graphicData uri="http://schemas.openxmlformats.org/drawingml/2006/picture">
                <pic:pic>
                  <pic:nvPicPr>
                    <pic:cNvPr descr="image/17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42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внесение изменений, копирование файлов</w:t>
      </w:r>
    </w:p>
    <w:bookmarkEnd w:id="80"/>
    <w:p>
      <w:pPr>
        <w:pStyle w:val="Compact"/>
        <w:numPr>
          <w:ilvl w:val="0"/>
          <w:numId w:val="1014"/>
        </w:numPr>
      </w:pPr>
      <w:r>
        <w:t xml:space="preserve">В имеющийся скрипт /vagrant/provision/server/http.sh внесите изменения, добавив установку PHP и настройку межсетевого экрана, разрешающую работать с https</w:t>
      </w:r>
    </w:p>
    <w:bookmarkStart w:id="84" w:name="fig:018"/>
    <w:p>
      <w:pPr>
        <w:pStyle w:val="CaptionedFigure"/>
      </w:pPr>
      <w:r>
        <w:drawing>
          <wp:inline>
            <wp:extent cx="3200400" cy="201966"/>
            <wp:effectExtent b="0" l="0" r="0" t="0"/>
            <wp:docPr descr="Рис. 18: открытие файла на редактирвание" title="" id="82" name="Picture"/>
            <a:graphic>
              <a:graphicData uri="http://schemas.openxmlformats.org/drawingml/2006/picture">
                <pic:pic>
                  <pic:nvPicPr>
                    <pic:cNvPr descr="image/18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1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открытие файла на редактирвание</w:t>
      </w:r>
    </w:p>
    <w:bookmarkEnd w:id="84"/>
    <w:bookmarkStart w:id="88" w:name="fig:019"/>
    <w:p>
      <w:pPr>
        <w:pStyle w:val="CaptionedFigure"/>
      </w:pPr>
      <w:r>
        <w:drawing>
          <wp:inline>
            <wp:extent cx="3200400" cy="2960797"/>
            <wp:effectExtent b="0" l="0" r="0" t="0"/>
            <wp:docPr descr="Рис. 19: внесение изменений в файл" title="" id="86" name="Picture"/>
            <a:graphic>
              <a:graphicData uri="http://schemas.openxmlformats.org/drawingml/2006/picture">
                <pic:pic>
                  <pic:nvPicPr>
                    <pic:cNvPr descr="image/19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960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внесение изменений в файл</w:t>
      </w:r>
    </w:p>
    <w:bookmarkEnd w:id="88"/>
    <w:bookmarkStart w:id="92" w:name="fig:020"/>
    <w:p>
      <w:pPr>
        <w:pStyle w:val="CaptionedFigure"/>
      </w:pPr>
      <w:r>
        <w:drawing>
          <wp:inline>
            <wp:extent cx="3200400" cy="581890"/>
            <wp:effectExtent b="0" l="0" r="0" t="0"/>
            <wp:docPr descr="Рис. 20: проверка отсутствия синтаксических ошибок" title="" id="90" name="Picture"/>
            <a:graphic>
              <a:graphicData uri="http://schemas.openxmlformats.org/drawingml/2006/picture">
                <pic:pic>
                  <pic:nvPicPr>
                    <pic:cNvPr descr="image/20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81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проверка отсутствия синтаксических ошибок</w:t>
      </w:r>
    </w:p>
    <w:bookmarkEnd w:id="92"/>
    <w:bookmarkEnd w:id="93"/>
    <w:bookmarkEnd w:id="94"/>
    <w:bookmarkStart w:id="9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№ 5 мне удалось приобрести практические навыки по расширенному конфигурированию HTTP-сервера Apache в части безопасности и возможности использования PHP.</w:t>
      </w:r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15" Target="media/rId15.png" /><Relationship Type="http://schemas.openxmlformats.org/officeDocument/2006/relationships/image" Id="rId89" Target="media/rId89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5. Расширенная настройка HTTP-сервера Apache</dc:title>
  <dc:creator>Анна Александровна Глушенок</dc:creator>
  <dc:language>ru-RU</dc:language>
  <cp:keywords/>
  <dcterms:created xsi:type="dcterms:W3CDTF">2026-09-28T17:00:55Z</dcterms:created>
  <dcterms:modified xsi:type="dcterms:W3CDTF">2026-09-28T17:00:55Z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ccsDelim">
    <vt:lpwstr>, </vt:lpwstr>
  </property>
  <property fmtid="{D5CDD505-2E9C-101B-9397-08002B2CF9AE}" pid="7" name="ccsLabelSep">
    <vt:lpwstr> — </vt:lpwstr>
  </property>
  <property fmtid="{D5CDD505-2E9C-101B-9397-08002B2CF9AE}" pid="8" name="ccsTemplate">
    <vt:lpwstr>iccsLabelSept</vt:lpwstr>
  </property>
  <property fmtid="{D5CDD505-2E9C-101B-9397-08002B2CF9AE}" pid="9" name="chapDelim">
    <vt:lpwstr>.</vt:lpwstr>
  </property>
  <property fmtid="{D5CDD505-2E9C-101B-9397-08002B2CF9AE}" pid="10" name="chapters">
    <vt:lpwstr>False</vt:lpwstr>
  </property>
  <property fmtid="{D5CDD505-2E9C-101B-9397-08002B2CF9AE}" pid="11" name="chaptersDepth">
    <vt:lpwstr>1</vt:lpwstr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documentclass">
    <vt:lpwstr>scrreprt</vt:lpwstr>
  </property>
  <property fmtid="{D5CDD505-2E9C-101B-9397-08002B2CF9AE}" pid="16" name="eqLabels">
    <vt:lpwstr>arabic</vt:lpwstr>
  </property>
  <property fmtid="{D5CDD505-2E9C-101B-9397-08002B2CF9AE}" pid="17" name="eqnBlockInlineMath">
    <vt:lpwstr>False</vt:lpwstr>
  </property>
  <property fmtid="{D5CDD505-2E9C-101B-9397-08002B2CF9AE}" pid="18" name="eqnBlockTemplate">
    <vt:lpwstr>ti</vt:lpwstr>
  </property>
  <property fmtid="{D5CDD505-2E9C-101B-9397-08002B2CF9AE}" pid="19" name="eqnDisplayTemplate">
    <vt:lpwstr>e</vt:lpwstr>
  </property>
  <property fmtid="{D5CDD505-2E9C-101B-9397-08002B2CF9AE}" pid="20" name="eqnIndexTemplate">
    <vt:lpwstr>(i)</vt:lpwstr>
  </property>
  <property fmtid="{D5CDD505-2E9C-101B-9397-08002B2CF9AE}" pid="21" name="eqnInlineTableTemplate">
    <vt:lpwstr>e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OfMetadata">
    <vt:lpwstr>False</vt:lpwstr>
  </property>
  <property fmtid="{D5CDD505-2E9C-101B-9397-08002B2CF9AE}" pid="39" name="listingTemplate">
    <vt:lpwstr>listingTitle ititleDelim t</vt:lpwstr>
  </property>
  <property fmtid="{D5CDD505-2E9C-101B-9397-08002B2CF9AE}" pid="40" name="listingTitle">
    <vt:lpwstr>Listing</vt:lpwstr>
  </property>
  <property fmtid="{D5CDD505-2E9C-101B-9397-08002B2CF9AE}" pid="41" name="listings">
    <vt:lpwstr>False</vt:lpwstr>
  </property>
  <property fmtid="{D5CDD505-2E9C-101B-9397-08002B2CF9AE}" pid="42" name="lof">
    <vt:lpwstr>True</vt:lpwstr>
  </property>
  <property fmtid="{D5CDD505-2E9C-101B-9397-08002B2CF9AE}" pid="43" name="lofItemTemplate">
    <vt:lpwstr>lofItemTitleilistItemTitleDelimt </vt:lpwstr>
  </property>
  <property fmtid="{D5CDD505-2E9C-101B-9397-08002B2CF9AE}" pid="44" name="lofItemTitle">
    <vt:lpwstr/>
  </property>
  <property fmtid="{D5CDD505-2E9C-101B-9397-08002B2CF9AE}" pid="45" name="lofTitle">
    <vt:lpwstr>Список иллюстраций</vt:lpwstr>
  </property>
  <property fmtid="{D5CDD505-2E9C-101B-9397-08002B2CF9AE}" pid="46" name="lolItemTemplate">
    <vt:lpwstr>lolItemTitleilistItemTitleDelimt </vt:lpwstr>
  </property>
  <property fmtid="{D5CDD505-2E9C-101B-9397-08002B2CF9AE}" pid="47" name="lolItemTitle">
    <vt:lpwstr/>
  </property>
  <property fmtid="{D5CDD505-2E9C-101B-9397-08002B2CF9AE}" pid="48" name="lolTitle">
    <vt:lpwstr>List of Listings</vt:lpwstr>
  </property>
  <property fmtid="{D5CDD505-2E9C-101B-9397-08002B2CF9AE}" pid="49" name="lot">
    <vt:lpwstr>False</vt:lpwstr>
  </property>
  <property fmtid="{D5CDD505-2E9C-101B-9397-08002B2CF9AE}" pid="50" name="lotItemTemplate">
    <vt:lpwstr>lotItemTitleilistItemTitleDelimt </vt:lpwstr>
  </property>
  <property fmtid="{D5CDD505-2E9C-101B-9397-08002B2CF9AE}" pid="51" name="lotItemTitle">
    <vt:lpwstr/>
  </property>
  <property fmtid="{D5CDD505-2E9C-101B-9397-08002B2CF9AE}" pid="52" name="lotTitle">
    <vt:lpwstr>List of Tables</vt:lpwstr>
  </property>
  <property fmtid="{D5CDD505-2E9C-101B-9397-08002B2CF9AE}" pid="53" name="lstLabels">
    <vt:lpwstr>arabic</vt:lpwstr>
  </property>
  <property fmtid="{D5CDD505-2E9C-101B-9397-08002B2CF9AE}" pid="54" name="lstPrefix">
    <vt:lpwstr/>
  </property>
  <property fmtid="{D5CDD505-2E9C-101B-9397-08002B2CF9AE}" pid="55" name="lstPrefixTemplate">
    <vt:lpwstr>p i</vt:lpwstr>
  </property>
  <property fmtid="{D5CDD505-2E9C-101B-9397-08002B2CF9AE}" pid="56" name="mainfont">
    <vt:lpwstr>Liberation Serif</vt:lpwstr>
  </property>
  <property fmtid="{D5CDD505-2E9C-101B-9397-08002B2CF9AE}" pid="57" name="monofont">
    <vt:lpwstr>Liberation Mono</vt:lpwstr>
  </property>
  <property fmtid="{D5CDD505-2E9C-101B-9397-08002B2CF9AE}" pid="58" name="nameInLink">
    <vt:lpwstr>False</vt:lpwstr>
  </property>
  <property fmtid="{D5CDD505-2E9C-101B-9397-08002B2CF9AE}" pid="59" name="numberSections">
    <vt:lpwstr>False</vt:lpwstr>
  </property>
  <property fmtid="{D5CDD505-2E9C-101B-9397-08002B2CF9AE}" pid="60" name="pairDelim">
    <vt:lpwstr>, </vt:lpwstr>
  </property>
  <property fmtid="{D5CDD505-2E9C-101B-9397-08002B2CF9AE}" pid="61" name="papersize">
    <vt:lpwstr>a4</vt:lpwstr>
  </property>
  <property fmtid="{D5CDD505-2E9C-101B-9397-08002B2CF9AE}" pid="62" name="rangeDelim">
    <vt:lpwstr>-</vt:lpwstr>
  </property>
  <property fmtid="{D5CDD505-2E9C-101B-9397-08002B2CF9AE}" pid="63" name="refDelim">
    <vt:lpwstr>, </vt:lpwstr>
  </property>
  <property fmtid="{D5CDD505-2E9C-101B-9397-08002B2CF9AE}" pid="64" name="refIndexTemplate">
    <vt:lpwstr>isuf</vt:lpwstr>
  </property>
  <property fmtid="{D5CDD505-2E9C-101B-9397-08002B2CF9AE}" pid="65" name="sansfont">
    <vt:lpwstr>Liberation Sans</vt:lpwstr>
  </property>
  <property fmtid="{D5CDD505-2E9C-101B-9397-08002B2CF9AE}" pid="66" name="secHeaderDelim">
    <vt:lpwstr> </vt:lpwstr>
  </property>
  <property fmtid="{D5CDD505-2E9C-101B-9397-08002B2CF9AE}" pid="67" name="secHeaderTemplate">
    <vt:lpwstr>isecHeaderDelim[n]t</vt:lpwstr>
  </property>
  <property fmtid="{D5CDD505-2E9C-101B-9397-08002B2CF9AE}" pid="68" name="secLabels">
    <vt:lpwstr>arabic</vt:lpwstr>
  </property>
  <property fmtid="{D5CDD505-2E9C-101B-9397-08002B2CF9AE}" pid="69" name="secPrefix">
    <vt:lpwstr/>
  </property>
  <property fmtid="{D5CDD505-2E9C-101B-9397-08002B2CF9AE}" pid="70" name="secPrefixTemplate">
    <vt:lpwstr>p i</vt:lpwstr>
  </property>
  <property fmtid="{D5CDD505-2E9C-101B-9397-08002B2CF9AE}" pid="71" name="sectionsDepth">
    <vt:lpwstr>0</vt:lpwstr>
  </property>
  <property fmtid="{D5CDD505-2E9C-101B-9397-08002B2CF9AE}" pid="72" name="subfigGrid">
    <vt:lpwstr>False</vt:lpwstr>
  </property>
  <property fmtid="{D5CDD505-2E9C-101B-9397-08002B2CF9AE}" pid="73" name="subfigLabels">
    <vt:lpwstr>alpha a</vt:lpwstr>
  </property>
  <property fmtid="{D5CDD505-2E9C-101B-9397-08002B2CF9AE}" pid="74" name="subfigureChildTemplate">
    <vt:lpwstr>i</vt:lpwstr>
  </property>
  <property fmtid="{D5CDD505-2E9C-101B-9397-08002B2CF9AE}" pid="75" name="subfigureRefIndexTemplate">
    <vt:lpwstr>isuf (s)</vt:lpwstr>
  </property>
  <property fmtid="{D5CDD505-2E9C-101B-9397-08002B2CF9AE}" pid="76" name="subfigureTemplate">
    <vt:lpwstr>figureTitle ititleDelim t. ccs</vt:lpwstr>
  </property>
  <property fmtid="{D5CDD505-2E9C-101B-9397-08002B2CF9AE}" pid="77" name="subtitle">
    <vt:lpwstr>Отчет</vt:lpwstr>
  </property>
  <property fmtid="{D5CDD505-2E9C-101B-9397-08002B2CF9AE}" pid="78" name="tableEqns">
    <vt:lpwstr>False</vt:lpwstr>
  </property>
  <property fmtid="{D5CDD505-2E9C-101B-9397-08002B2CF9AE}" pid="79" name="tableTemplate">
    <vt:lpwstr>tableTitle ititleDelim t</vt:lpwstr>
  </property>
  <property fmtid="{D5CDD505-2E9C-101B-9397-08002B2CF9AE}" pid="80" name="tableTitle">
    <vt:lpwstr>Таблица</vt:lpwstr>
  </property>
  <property fmtid="{D5CDD505-2E9C-101B-9397-08002B2CF9AE}" pid="81" name="tblLabels">
    <vt:lpwstr>arabic</vt:lpwstr>
  </property>
  <property fmtid="{D5CDD505-2E9C-101B-9397-08002B2CF9AE}" pid="82" name="tblPrefix">
    <vt:lpwstr/>
  </property>
  <property fmtid="{D5CDD505-2E9C-101B-9397-08002B2CF9AE}" pid="83" name="tblPrefixTemplate">
    <vt:lpwstr>p i</vt:lpwstr>
  </property>
  <property fmtid="{D5CDD505-2E9C-101B-9397-08002B2CF9AE}" pid="84" name="titleDelim">
    <vt:lpwstr>:</vt:lpwstr>
  </property>
  <property fmtid="{D5CDD505-2E9C-101B-9397-08002B2CF9AE}" pid="85" name="toc">
    <vt:lpwstr>True</vt:lpwstr>
  </property>
  <property fmtid="{D5CDD505-2E9C-101B-9397-08002B2CF9AE}" pid="86" name="toc-depth">
    <vt:lpwstr>2</vt:lpwstr>
  </property>
  <property fmtid="{D5CDD505-2E9C-101B-9397-08002B2CF9AE}" pid="87" name="toc-title">
    <vt:lpwstr>Содержание</vt:lpwstr>
  </property>
</Properties>
</file>