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F" w:rsidRDefault="00684DAC" w:rsidP="00F96257">
      <w:pPr>
        <w:autoSpaceDE w:val="0"/>
        <w:autoSpaceDN w:val="0"/>
        <w:adjustRightInd w:val="0"/>
        <w:spacing w:after="0" w:line="240" w:lineRule="auto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Andrew Goldberg</w:t>
      </w:r>
    </w:p>
    <w:p w:rsidR="00684DAC" w:rsidRDefault="00684DAC" w:rsidP="00F96257">
      <w:pPr>
        <w:autoSpaceDE w:val="0"/>
        <w:autoSpaceDN w:val="0"/>
        <w:adjustRightInd w:val="0"/>
        <w:spacing w:after="0" w:line="240" w:lineRule="auto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IS606 Chapter 5 Homework</w:t>
      </w:r>
      <w:bookmarkStart w:id="0" w:name="_GoBack"/>
      <w:bookmarkEnd w:id="0"/>
    </w:p>
    <w:p w:rsidR="00684DAC" w:rsidRPr="00027B8C" w:rsidRDefault="00684DAC" w:rsidP="00F96257">
      <w:pPr>
        <w:autoSpaceDE w:val="0"/>
        <w:autoSpaceDN w:val="0"/>
        <w:adjustRightInd w:val="0"/>
        <w:spacing w:after="0" w:line="240" w:lineRule="auto"/>
      </w:pPr>
    </w:p>
    <w:p w:rsidR="00F22F54" w:rsidRPr="00027B8C" w:rsidRDefault="00F96257" w:rsidP="00F96257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t xml:space="preserve">5.6 </w:t>
      </w:r>
      <w:r w:rsidRPr="00027B8C">
        <w:rPr>
          <w:rFonts w:cs="CMBX9"/>
          <w:color w:val="569CBE"/>
        </w:rPr>
        <w:t xml:space="preserve">Working backwards, Part II. </w:t>
      </w:r>
      <w:r w:rsidRPr="00027B8C">
        <w:rPr>
          <w:rFonts w:cs="CMR9"/>
          <w:color w:val="000000"/>
        </w:rPr>
        <w:t>A 90% confi</w:t>
      </w:r>
      <w:r w:rsidRPr="00027B8C">
        <w:rPr>
          <w:rFonts w:cs="CMR9"/>
          <w:color w:val="000000"/>
        </w:rPr>
        <w:t>dence interval for a population mean is (65,</w:t>
      </w:r>
      <w:r w:rsidRP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77). The population distribution is approximately normal and the population standard deviation</w:t>
      </w:r>
      <w:r w:rsidRPr="00027B8C">
        <w:rPr>
          <w:rFonts w:cs="CMR9"/>
          <w:color w:val="000000"/>
        </w:rPr>
        <w:t xml:space="preserve"> is unknown. This confi</w:t>
      </w:r>
      <w:r w:rsidRPr="00027B8C">
        <w:rPr>
          <w:rFonts w:cs="CMR9"/>
          <w:color w:val="000000"/>
        </w:rPr>
        <w:t>dence interval is based on a simple random sample of 25 observations.</w:t>
      </w:r>
      <w:r w:rsidRP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Calculate the sample mean, the margin of error, and the sample standard deviation.</w:t>
      </w:r>
    </w:p>
    <w:p w:rsidR="00F96257" w:rsidRPr="00027B8C" w:rsidRDefault="00F96257" w:rsidP="00F96257">
      <w:pPr>
        <w:spacing w:after="0"/>
      </w:pPr>
    </w:p>
    <w:p w:rsidR="00D21180" w:rsidRPr="00027B8C" w:rsidRDefault="00F96257" w:rsidP="00F96257">
      <w:pPr>
        <w:spacing w:after="0"/>
      </w:pPr>
      <w:r w:rsidRPr="00027B8C">
        <w:t xml:space="preserve">77-65 = 12, </w:t>
      </w:r>
    </w:p>
    <w:p w:rsidR="00D21180" w:rsidRPr="00027B8C" w:rsidRDefault="00D21180" w:rsidP="00F96257">
      <w:pPr>
        <w:spacing w:after="0"/>
      </w:pPr>
      <w:r w:rsidRPr="00027B8C">
        <w:t xml:space="preserve">12 / </w:t>
      </w:r>
      <w:r w:rsidR="00F96257" w:rsidRPr="00027B8C">
        <w:t>2 =</w:t>
      </w:r>
      <w:r w:rsidRPr="00027B8C">
        <w:t xml:space="preserve"> </w:t>
      </w:r>
      <w:r w:rsidRPr="00027B8C">
        <w:rPr>
          <w:b/>
        </w:rPr>
        <w:t xml:space="preserve">margin of error = </w:t>
      </w:r>
      <w:r w:rsidR="00F96257" w:rsidRPr="00027B8C">
        <w:rPr>
          <w:b/>
        </w:rPr>
        <w:t>6</w:t>
      </w:r>
      <w:r w:rsidR="00F96257" w:rsidRPr="00027B8C">
        <w:t>,</w:t>
      </w:r>
    </w:p>
    <w:p w:rsidR="00F96257" w:rsidRPr="00027B8C" w:rsidRDefault="00D21180" w:rsidP="00F96257">
      <w:pPr>
        <w:spacing w:after="0"/>
      </w:pPr>
      <w:r w:rsidRPr="00027B8C">
        <w:t xml:space="preserve">77-6 = </w:t>
      </w:r>
      <w:r w:rsidR="00F96257" w:rsidRPr="00027B8C">
        <w:t xml:space="preserve"> </w:t>
      </w:r>
      <w:r w:rsidR="00F96257" w:rsidRPr="00027B8C">
        <w:rPr>
          <w:b/>
        </w:rPr>
        <w:t xml:space="preserve">sample </w:t>
      </w:r>
      <w:r w:rsidRPr="00027B8C">
        <w:rPr>
          <w:b/>
        </w:rPr>
        <w:t>mean</w:t>
      </w:r>
      <w:r w:rsidR="00F96257" w:rsidRPr="00027B8C">
        <w:rPr>
          <w:b/>
        </w:rPr>
        <w:t xml:space="preserve"> </w:t>
      </w:r>
      <w:r w:rsidRPr="00027B8C">
        <w:rPr>
          <w:b/>
        </w:rPr>
        <w:t>=</w:t>
      </w:r>
      <w:r w:rsidR="00F96257" w:rsidRPr="00027B8C">
        <w:rPr>
          <w:b/>
        </w:rPr>
        <w:t xml:space="preserve"> 71</w:t>
      </w:r>
    </w:p>
    <w:p w:rsidR="00992BB6" w:rsidRPr="00027B8C" w:rsidRDefault="00D21180" w:rsidP="00F96257">
      <w:pPr>
        <w:spacing w:after="0"/>
      </w:pPr>
      <w:r w:rsidRPr="00027B8C">
        <w:t xml:space="preserve">@90% confidence, </w:t>
      </w:r>
      <w:r w:rsidR="0087646E" w:rsidRPr="00027B8C">
        <w:t>df = 24, t = 1.71</w:t>
      </w:r>
    </w:p>
    <w:p w:rsidR="00992BB6" w:rsidRPr="00027B8C" w:rsidRDefault="00992BB6" w:rsidP="00F96257">
      <w:pPr>
        <w:spacing w:after="0"/>
      </w:pPr>
      <w:r w:rsidRPr="00027B8C">
        <w:t>1.71*(x/5) = 6</w:t>
      </w:r>
    </w:p>
    <w:p w:rsidR="00D21180" w:rsidRPr="00027B8C" w:rsidRDefault="00D21180" w:rsidP="00F96257">
      <w:pPr>
        <w:spacing w:after="0"/>
      </w:pPr>
      <w:r w:rsidRPr="00027B8C">
        <w:rPr>
          <w:b/>
        </w:rPr>
        <w:t xml:space="preserve">Standard deviation = </w:t>
      </w:r>
      <w:r w:rsidRPr="00027B8C">
        <w:rPr>
          <w:b/>
        </w:rPr>
        <w:t xml:space="preserve"> </w:t>
      </w:r>
      <w:r w:rsidR="00992BB6" w:rsidRPr="00027B8C">
        <w:rPr>
          <w:b/>
        </w:rPr>
        <w:t>17.5</w:t>
      </w:r>
    </w:p>
    <w:p w:rsidR="00077702" w:rsidRPr="00027B8C" w:rsidRDefault="00077702" w:rsidP="00F96257">
      <w:pPr>
        <w:spacing w:after="0"/>
        <w:rPr>
          <w:rFonts w:cs="CMBX9"/>
          <w:color w:val="569CBE"/>
        </w:rPr>
      </w:pPr>
    </w:p>
    <w:p w:rsidR="00077702" w:rsidRPr="00027B8C" w:rsidRDefault="00077702" w:rsidP="00077702">
      <w:pPr>
        <w:spacing w:after="0"/>
        <w:rPr>
          <w:rFonts w:cs="CMR9"/>
        </w:rPr>
      </w:pPr>
      <w:r w:rsidRPr="00027B8C">
        <w:rPr>
          <w:rFonts w:cs="CMBX9"/>
          <w:color w:val="569CBE"/>
        </w:rPr>
        <w:t xml:space="preserve">5.14 SAT scores. </w:t>
      </w:r>
      <w:r w:rsidRPr="00027B8C">
        <w:rPr>
          <w:rFonts w:cs="CMR9"/>
          <w:color w:val="000000"/>
        </w:rPr>
        <w:t>SAT scores of students at an Ivy League college are distributed with a</w:t>
      </w:r>
      <w:r w:rsidRPr="00027B8C">
        <w:rPr>
          <w:rFonts w:cs="CMR9"/>
          <w:color w:val="000000"/>
        </w:rPr>
        <w:t xml:space="preserve"> </w:t>
      </w:r>
      <w:r w:rsidRPr="00027B8C">
        <w:rPr>
          <w:rFonts w:cs="CMR9"/>
        </w:rPr>
        <w:t>standard deviation of 250 points. Two statistics students, Raina and Luke, want to estimate the</w:t>
      </w:r>
      <w:r w:rsidRPr="00027B8C">
        <w:rPr>
          <w:rFonts w:cs="CMR9"/>
        </w:rPr>
        <w:t xml:space="preserve"> </w:t>
      </w:r>
      <w:r w:rsidRPr="00027B8C">
        <w:rPr>
          <w:rFonts w:cs="CMR9"/>
        </w:rPr>
        <w:t>average SAT score of students at this college as part of a class project. They want their margin of</w:t>
      </w:r>
      <w:r w:rsidRPr="00027B8C">
        <w:rPr>
          <w:rFonts w:cs="CMR9"/>
        </w:rPr>
        <w:t xml:space="preserve"> </w:t>
      </w:r>
      <w:r w:rsidRPr="00027B8C">
        <w:rPr>
          <w:rFonts w:cs="CMR9"/>
        </w:rPr>
        <w:t>error to be no more than 25 points.</w:t>
      </w:r>
    </w:p>
    <w:p w:rsidR="00077702" w:rsidRPr="00027B8C" w:rsidRDefault="00077702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</w:p>
    <w:p w:rsidR="00992BB6" w:rsidRPr="00027B8C" w:rsidRDefault="00992BB6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027B8C">
        <w:rPr>
          <w:rFonts w:cs="CMR9"/>
        </w:rPr>
        <w:t>moe10, sd100, 95 ci</w:t>
      </w:r>
    </w:p>
    <w:p w:rsidR="00992BB6" w:rsidRPr="00027B8C" w:rsidRDefault="00992BB6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</w:p>
    <w:p w:rsidR="00992BB6" w:rsidRPr="00027B8C" w:rsidRDefault="00992BB6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</w:p>
    <w:p w:rsidR="00077702" w:rsidRPr="00027B8C" w:rsidRDefault="00077702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027B8C">
        <w:rPr>
          <w:rFonts w:cs="CMR9"/>
        </w:rPr>
        <w:t>(a) Raina wa</w:t>
      </w:r>
      <w:r w:rsidRPr="00027B8C">
        <w:rPr>
          <w:rFonts w:cs="CMR9"/>
        </w:rPr>
        <w:t>nts to use a 90% confi</w:t>
      </w:r>
      <w:r w:rsidRPr="00027B8C">
        <w:rPr>
          <w:rFonts w:cs="CMR9"/>
        </w:rPr>
        <w:t>dence interval. How large a sample should she collect?</w:t>
      </w:r>
    </w:p>
    <w:p w:rsidR="00077702" w:rsidRPr="00027B8C" w:rsidRDefault="003427DF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027B8C">
        <w:rPr>
          <w:rFonts w:cs="CMR9"/>
        </w:rPr>
        <w:t>1.65*(250/sqrt(x)) = 25</w:t>
      </w:r>
    </w:p>
    <w:p w:rsidR="00077702" w:rsidRPr="00027B8C" w:rsidRDefault="00992BB6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027B8C">
        <w:rPr>
          <w:rFonts w:cs="CMR9"/>
        </w:rPr>
        <w:t xml:space="preserve">Sqrt(x) = </w:t>
      </w:r>
      <w:r w:rsidR="00202674" w:rsidRPr="00027B8C">
        <w:rPr>
          <w:rFonts w:cs="CMR9"/>
        </w:rPr>
        <w:t>250/(25/1.65)</w:t>
      </w:r>
    </w:p>
    <w:p w:rsidR="00202674" w:rsidRPr="00027B8C" w:rsidRDefault="00202674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027B8C">
        <w:rPr>
          <w:rFonts w:cs="CMR9"/>
        </w:rPr>
        <w:t xml:space="preserve">X = 272.25, so </w:t>
      </w:r>
      <w:r w:rsidRPr="00027B8C">
        <w:rPr>
          <w:rFonts w:cs="CMR9"/>
          <w:b/>
        </w:rPr>
        <w:t>at least n=273</w:t>
      </w:r>
    </w:p>
    <w:p w:rsidR="00202674" w:rsidRPr="00027B8C" w:rsidRDefault="00202674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</w:p>
    <w:p w:rsidR="00077702" w:rsidRPr="00027B8C" w:rsidRDefault="00202674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027B8C">
        <w:rPr>
          <w:rFonts w:cs="CMR9"/>
        </w:rPr>
        <w:t>(b) Luke wants to use a 99% confi</w:t>
      </w:r>
      <w:r w:rsidR="00077702" w:rsidRPr="00027B8C">
        <w:rPr>
          <w:rFonts w:cs="CMR9"/>
        </w:rPr>
        <w:t>dence interval. Without calculating the actual sample size,</w:t>
      </w:r>
      <w:r w:rsidR="00077702" w:rsidRPr="00027B8C">
        <w:rPr>
          <w:rFonts w:cs="CMR9"/>
        </w:rPr>
        <w:t xml:space="preserve"> </w:t>
      </w:r>
      <w:r w:rsidR="00077702" w:rsidRPr="00027B8C">
        <w:rPr>
          <w:rFonts w:cs="CMR9"/>
        </w:rPr>
        <w:t>determine whether his sample should be larger or smaller than Raina's, and explain your</w:t>
      </w:r>
      <w:r w:rsidR="00077702" w:rsidRPr="00027B8C">
        <w:rPr>
          <w:rFonts w:cs="CMR9"/>
        </w:rPr>
        <w:t xml:space="preserve"> </w:t>
      </w:r>
      <w:r w:rsidR="00077702" w:rsidRPr="00027B8C">
        <w:rPr>
          <w:rFonts w:cs="CMR9"/>
        </w:rPr>
        <w:t>reasoning.</w:t>
      </w:r>
    </w:p>
    <w:p w:rsidR="00202674" w:rsidRPr="00027B8C" w:rsidRDefault="00202674" w:rsidP="00077702">
      <w:pPr>
        <w:autoSpaceDE w:val="0"/>
        <w:autoSpaceDN w:val="0"/>
        <w:adjustRightInd w:val="0"/>
        <w:spacing w:after="0" w:line="240" w:lineRule="auto"/>
        <w:rPr>
          <w:rFonts w:cs="CMR9"/>
          <w:b/>
        </w:rPr>
      </w:pPr>
      <w:r w:rsidRPr="00027B8C">
        <w:rPr>
          <w:rFonts w:cs="CMR9"/>
          <w:b/>
        </w:rPr>
        <w:t>Much larger, he wants more precision</w:t>
      </w:r>
    </w:p>
    <w:p w:rsidR="00202674" w:rsidRPr="00027B8C" w:rsidRDefault="00202674" w:rsidP="00077702">
      <w:pPr>
        <w:autoSpaceDE w:val="0"/>
        <w:autoSpaceDN w:val="0"/>
        <w:adjustRightInd w:val="0"/>
        <w:spacing w:after="0" w:line="240" w:lineRule="auto"/>
        <w:rPr>
          <w:rFonts w:cs="CMR9"/>
        </w:rPr>
      </w:pPr>
    </w:p>
    <w:p w:rsidR="00077702" w:rsidRPr="00027B8C" w:rsidRDefault="00077702" w:rsidP="00077702">
      <w:pPr>
        <w:spacing w:after="0"/>
        <w:rPr>
          <w:rFonts w:cs="CMR9"/>
        </w:rPr>
      </w:pPr>
    </w:p>
    <w:p w:rsidR="00077702" w:rsidRPr="00027B8C" w:rsidRDefault="00077702" w:rsidP="00077702">
      <w:pPr>
        <w:spacing w:after="0"/>
        <w:rPr>
          <w:rFonts w:cs="CMR9"/>
        </w:rPr>
      </w:pPr>
      <w:r w:rsidRPr="00027B8C">
        <w:rPr>
          <w:rFonts w:cs="CMR9"/>
        </w:rPr>
        <w:t>(c) Calculate the minimum required sample size for Luke.</w:t>
      </w:r>
    </w:p>
    <w:p w:rsidR="00202674" w:rsidRPr="00027B8C" w:rsidRDefault="00202674" w:rsidP="00077702">
      <w:pPr>
        <w:spacing w:after="0"/>
        <w:rPr>
          <w:rFonts w:cs="CMR9"/>
        </w:rPr>
      </w:pPr>
      <w:r w:rsidRPr="00027B8C">
        <w:rPr>
          <w:rFonts w:cs="CMR9"/>
        </w:rPr>
        <w:t>Sqrt(x) = 250/(25/2.58)</w:t>
      </w:r>
    </w:p>
    <w:p w:rsidR="00202674" w:rsidRPr="00027B8C" w:rsidRDefault="00202674" w:rsidP="00077702">
      <w:pPr>
        <w:spacing w:after="0"/>
        <w:rPr>
          <w:rFonts w:cs="CMR9"/>
          <w:b/>
        </w:rPr>
      </w:pPr>
      <w:r w:rsidRPr="00027B8C">
        <w:rPr>
          <w:rFonts w:cs="CMR9"/>
        </w:rPr>
        <w:t xml:space="preserve">X = 665.64, so </w:t>
      </w:r>
      <w:r w:rsidRPr="00027B8C">
        <w:rPr>
          <w:rFonts w:cs="CMR9"/>
          <w:b/>
        </w:rPr>
        <w:t>at least n=666</w:t>
      </w:r>
    </w:p>
    <w:p w:rsidR="00202674" w:rsidRPr="00027B8C" w:rsidRDefault="00202674" w:rsidP="00077702">
      <w:pPr>
        <w:spacing w:after="0"/>
        <w:rPr>
          <w:rFonts w:cs="CMR9"/>
          <w:b/>
        </w:rPr>
      </w:pPr>
    </w:p>
    <w:p w:rsidR="000A56EA" w:rsidRPr="00027B8C" w:rsidRDefault="000A56EA">
      <w:pPr>
        <w:rPr>
          <w:rFonts w:cs="CMR9"/>
        </w:rPr>
      </w:pPr>
      <w:r w:rsidRPr="00027B8C">
        <w:rPr>
          <w:rFonts w:cs="CMR9"/>
        </w:rPr>
        <w:br w:type="page"/>
      </w:r>
    </w:p>
    <w:p w:rsidR="000A56EA" w:rsidRPr="00027B8C" w:rsidRDefault="000A56EA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BX9"/>
          <w:color w:val="569CBE"/>
        </w:rPr>
        <w:lastRenderedPageBreak/>
        <w:t xml:space="preserve">5.20 High School and Beyond, Part I. </w:t>
      </w:r>
      <w:r w:rsidRPr="00027B8C">
        <w:rPr>
          <w:rFonts w:cs="CMR9"/>
          <w:color w:val="000000"/>
        </w:rPr>
        <w:t>The National Center of Education Statistics conducted</w:t>
      </w:r>
      <w:r w:rsidR="00933B7B" w:rsidRP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a survey of high school seniors, collecting test data on reading, writing, and several other subjects.</w:t>
      </w:r>
      <w:r w:rsidR="00933B7B" w:rsidRP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Here we examine a simple random sample of 200 students from this survey. Side-by-side box plots</w:t>
      </w:r>
      <w:r w:rsidR="00933B7B" w:rsidRP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of reading and writing scores a</w:t>
      </w:r>
      <w:r w:rsidR="00933B7B" w:rsidRPr="00027B8C">
        <w:rPr>
          <w:rFonts w:cs="CMR9"/>
          <w:color w:val="000000"/>
        </w:rPr>
        <w:t>s well as a histogram of the diff</w:t>
      </w:r>
      <w:r w:rsidRPr="00027B8C">
        <w:rPr>
          <w:rFonts w:cs="CMR9"/>
          <w:color w:val="000000"/>
        </w:rPr>
        <w:t>erences in scores are shown below.</w:t>
      </w:r>
    </w:p>
    <w:p w:rsidR="000A56EA" w:rsidRPr="00027B8C" w:rsidRDefault="000A56EA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A56EA" w:rsidRPr="00027B8C" w:rsidRDefault="00933B7B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(a) Is there a clear diff</w:t>
      </w:r>
      <w:r w:rsidR="000A56EA" w:rsidRPr="00027B8C">
        <w:rPr>
          <w:rFonts w:cs="CMR9"/>
          <w:color w:val="000000"/>
        </w:rPr>
        <w:t>erence in the average reading and writing scores?</w:t>
      </w:r>
    </w:p>
    <w:p w:rsidR="00933B7B" w:rsidRPr="00027B8C" w:rsidRDefault="00933B7B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It looks like they score better on writing than reading, but it’s not statistically clear</w:t>
      </w:r>
    </w:p>
    <w:p w:rsidR="00933B7B" w:rsidRPr="00027B8C" w:rsidRDefault="00933B7B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A56EA" w:rsidRPr="00027B8C" w:rsidRDefault="000A56EA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(b) Are the reading and writing scores of each student independent of each other?</w:t>
      </w:r>
    </w:p>
    <w:p w:rsidR="00933B7B" w:rsidRPr="00027B8C" w:rsidRDefault="001C49EF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The scores of each student should be independent of each other</w:t>
      </w:r>
    </w:p>
    <w:p w:rsidR="00933B7B" w:rsidRPr="00027B8C" w:rsidRDefault="00933B7B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A56EA" w:rsidRPr="00027B8C" w:rsidRDefault="000A56EA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(c) Create hypotheses appropriate for the following research q</w:t>
      </w:r>
      <w:r w:rsidR="00933B7B" w:rsidRPr="00027B8C">
        <w:rPr>
          <w:rFonts w:cs="CMR9"/>
          <w:color w:val="000000"/>
        </w:rPr>
        <w:t>uestion: is there an evident diff</w:t>
      </w:r>
      <w:r w:rsidRPr="00027B8C">
        <w:rPr>
          <w:rFonts w:cs="CMR9"/>
          <w:color w:val="000000"/>
        </w:rPr>
        <w:t>erence</w:t>
      </w:r>
      <w:r w:rsidR="00933B7B" w:rsidRPr="00027B8C">
        <w:rPr>
          <w:rFonts w:cs="CMR9"/>
          <w:color w:val="000000"/>
        </w:rPr>
        <w:t xml:space="preserve"> i</w:t>
      </w:r>
      <w:r w:rsidRPr="00027B8C">
        <w:rPr>
          <w:rFonts w:cs="CMR9"/>
          <w:color w:val="000000"/>
        </w:rPr>
        <w:t>n the average scores of students in the reading and writing exam?</w:t>
      </w:r>
    </w:p>
    <w:p w:rsidR="00933B7B" w:rsidRPr="00027B8C" w:rsidRDefault="00933B7B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 xml:space="preserve">Ho = </w:t>
      </w:r>
      <w:r w:rsidRPr="00027B8C">
        <w:rPr>
          <w:rFonts w:cs="CMR9"/>
          <w:color w:val="000000"/>
          <w:lang w:val="es-US"/>
        </w:rPr>
        <w:t>μ</w:t>
      </w:r>
      <w:r w:rsidRPr="00027B8C">
        <w:rPr>
          <w:rFonts w:cs="CMR9"/>
          <w:color w:val="000000"/>
        </w:rPr>
        <w:t xml:space="preserve"> </w:t>
      </w:r>
      <w:r w:rsidR="001C49EF" w:rsidRPr="00027B8C">
        <w:rPr>
          <w:rFonts w:cs="CMR9"/>
          <w:color w:val="000000"/>
        </w:rPr>
        <w:t>diff = 0</w:t>
      </w:r>
    </w:p>
    <w:p w:rsidR="00933B7B" w:rsidRPr="00027B8C" w:rsidRDefault="00933B7B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 xml:space="preserve">Ha = </w:t>
      </w:r>
      <w:r w:rsidRPr="00027B8C">
        <w:rPr>
          <w:rFonts w:cs="CMR9"/>
          <w:color w:val="000000"/>
          <w:lang w:val="es-US"/>
        </w:rPr>
        <w:t>μ</w:t>
      </w:r>
      <w:r w:rsidR="001C49EF" w:rsidRPr="00027B8C">
        <w:rPr>
          <w:rFonts w:cs="CMR9"/>
          <w:color w:val="000000"/>
        </w:rPr>
        <w:t xml:space="preserve"> diff</w:t>
      </w:r>
      <w:r w:rsidRPr="00027B8C">
        <w:rPr>
          <w:rFonts w:cs="CMR9"/>
          <w:color w:val="000000"/>
        </w:rPr>
        <w:t xml:space="preserve"> ≠ </w:t>
      </w:r>
      <w:r w:rsidR="001C49EF" w:rsidRPr="00027B8C">
        <w:rPr>
          <w:rFonts w:cs="CMR9"/>
          <w:color w:val="000000"/>
        </w:rPr>
        <w:t>0</w:t>
      </w:r>
    </w:p>
    <w:p w:rsidR="00933B7B" w:rsidRPr="00027B8C" w:rsidRDefault="00933B7B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A56EA" w:rsidRPr="00027B8C" w:rsidRDefault="000A56EA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(d) Check the conditions required to complete this test.</w:t>
      </w:r>
    </w:p>
    <w:p w:rsidR="001C49EF" w:rsidRPr="00027B8C" w:rsidRDefault="001C49EF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The data is independent</w:t>
      </w:r>
    </w:p>
    <w:p w:rsidR="001C49EF" w:rsidRPr="00027B8C" w:rsidRDefault="001C49EF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The sample size is 200, which is large enough to assume normality</w:t>
      </w:r>
    </w:p>
    <w:p w:rsidR="001C49EF" w:rsidRPr="00027B8C" w:rsidRDefault="001C49EF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A56EA" w:rsidRPr="00027B8C" w:rsidRDefault="001C49EF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(e) The average observed diff</w:t>
      </w:r>
      <w:r w:rsidR="000A56EA" w:rsidRPr="00027B8C">
        <w:rPr>
          <w:rFonts w:cs="CMR9"/>
          <w:color w:val="000000"/>
        </w:rPr>
        <w:t>ere</w:t>
      </w:r>
      <w:r w:rsidRPr="00027B8C">
        <w:rPr>
          <w:rFonts w:cs="CMR9"/>
          <w:color w:val="000000"/>
        </w:rPr>
        <w:t xml:space="preserve">nce in scores is </w:t>
      </w:r>
      <w:r w:rsidR="000A56EA" w:rsidRPr="00027B8C">
        <w:rPr>
          <w:rFonts w:cs="CMMI9"/>
          <w:color w:val="000000"/>
        </w:rPr>
        <w:t>x</w:t>
      </w:r>
      <w:r w:rsidR="000A56EA" w:rsidRPr="00027B8C">
        <w:rPr>
          <w:rFonts w:cs="CMMI6"/>
          <w:color w:val="000000"/>
        </w:rPr>
        <w:t>read</w:t>
      </w:r>
      <w:r w:rsidRPr="00027B8C">
        <w:rPr>
          <w:rFonts w:cs="Arial"/>
          <w:color w:val="000000"/>
        </w:rPr>
        <w:t>-</w:t>
      </w:r>
      <w:r w:rsidR="000A56EA" w:rsidRPr="00027B8C">
        <w:rPr>
          <w:rFonts w:cs="CMMI6"/>
          <w:color w:val="000000"/>
        </w:rPr>
        <w:t xml:space="preserve">write </w:t>
      </w:r>
      <w:r w:rsidR="000A56EA" w:rsidRPr="00027B8C">
        <w:rPr>
          <w:rFonts w:cs="CMR9"/>
          <w:color w:val="000000"/>
        </w:rPr>
        <w:t xml:space="preserve">= </w:t>
      </w:r>
      <w:r w:rsidRPr="00027B8C">
        <w:rPr>
          <w:rFonts w:cs="Arial"/>
          <w:color w:val="000000"/>
        </w:rPr>
        <w:t xml:space="preserve"> -</w:t>
      </w:r>
      <w:r w:rsidR="000A56EA" w:rsidRPr="00027B8C">
        <w:rPr>
          <w:rFonts w:cs="CMR9"/>
          <w:color w:val="000000"/>
        </w:rPr>
        <w:t>0</w:t>
      </w:r>
      <w:r w:rsidRPr="00027B8C">
        <w:rPr>
          <w:rFonts w:cs="CMMI9"/>
          <w:color w:val="000000"/>
        </w:rPr>
        <w:t>.</w:t>
      </w:r>
      <w:r w:rsidR="000A56EA" w:rsidRPr="00027B8C">
        <w:rPr>
          <w:rFonts w:cs="CMR9"/>
          <w:color w:val="000000"/>
        </w:rPr>
        <w:t>545, and the standard deviation</w:t>
      </w:r>
      <w:r w:rsidRPr="00027B8C">
        <w:rPr>
          <w:rFonts w:cs="CMR9"/>
          <w:color w:val="000000"/>
        </w:rPr>
        <w:t xml:space="preserve"> of the diff</w:t>
      </w:r>
      <w:r w:rsidR="000A56EA" w:rsidRPr="00027B8C">
        <w:rPr>
          <w:rFonts w:cs="CMR9"/>
          <w:color w:val="000000"/>
        </w:rPr>
        <w:t>erences is 8.887 points. Do these data prov</w:t>
      </w:r>
      <w:r w:rsidRPr="00027B8C">
        <w:rPr>
          <w:rFonts w:cs="CMR9"/>
          <w:color w:val="000000"/>
        </w:rPr>
        <w:t>ide convincing evidence of a diff</w:t>
      </w:r>
      <w:r w:rsidR="000A56EA" w:rsidRPr="00027B8C">
        <w:rPr>
          <w:rFonts w:cs="CMR9"/>
          <w:color w:val="000000"/>
        </w:rPr>
        <w:t>erence</w:t>
      </w:r>
      <w:r w:rsidRPr="00027B8C">
        <w:rPr>
          <w:rFonts w:cs="CMR9"/>
          <w:color w:val="000000"/>
        </w:rPr>
        <w:t xml:space="preserve"> </w:t>
      </w:r>
      <w:r w:rsidR="000A56EA" w:rsidRPr="00027B8C">
        <w:rPr>
          <w:rFonts w:cs="CMR9"/>
          <w:color w:val="000000"/>
        </w:rPr>
        <w:t>between the average scores on the two exams?</w:t>
      </w:r>
    </w:p>
    <w:p w:rsidR="001C49EF" w:rsidRPr="00027B8C" w:rsidRDefault="00C876B4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SE = 8.887/sqrt(200) = .63</w:t>
      </w:r>
    </w:p>
    <w:p w:rsidR="00C876B4" w:rsidRPr="00027B8C" w:rsidRDefault="00A65AE4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T = -0.545/.63 = -.867</w:t>
      </w:r>
    </w:p>
    <w:p w:rsidR="00A65AE4" w:rsidRPr="00027B8C" w:rsidRDefault="00A65AE4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.867 is smaller than any value in the 200 df row, so p-value is larger than .20, and we fail to reject the null</w:t>
      </w:r>
    </w:p>
    <w:p w:rsidR="001C49EF" w:rsidRPr="00027B8C" w:rsidRDefault="001C49EF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1C49EF" w:rsidRPr="00027B8C" w:rsidRDefault="001C49EF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A56EA" w:rsidRPr="00027B8C" w:rsidRDefault="000A56EA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(f) What type of error might we have made? Explain what the error means in the context of the</w:t>
      </w:r>
    </w:p>
    <w:p w:rsidR="000A56EA" w:rsidRPr="00027B8C" w:rsidRDefault="000A56EA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application.</w:t>
      </w:r>
    </w:p>
    <w:p w:rsidR="00A65AE4" w:rsidRPr="00027B8C" w:rsidRDefault="00A65AE4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 xml:space="preserve">Type 2 error, we may have incorrectly failed to reject null, because we couldn’t detect a difference in scores, potentially due to the size of the sample. </w:t>
      </w:r>
    </w:p>
    <w:p w:rsidR="00A65AE4" w:rsidRPr="00027B8C" w:rsidRDefault="00A65AE4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A56EA" w:rsidRPr="00027B8C" w:rsidRDefault="000A56EA" w:rsidP="000A56E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>(g) Based on the results of this hypothes</w:t>
      </w:r>
      <w:r w:rsidR="00A65AE4" w:rsidRPr="00027B8C">
        <w:rPr>
          <w:rFonts w:cs="CMR9"/>
          <w:color w:val="000000"/>
        </w:rPr>
        <w:t>is test, would you expect a confi</w:t>
      </w:r>
      <w:r w:rsidRPr="00027B8C">
        <w:rPr>
          <w:rFonts w:cs="CMR9"/>
          <w:color w:val="000000"/>
        </w:rPr>
        <w:t>dence interval for the</w:t>
      </w:r>
    </w:p>
    <w:p w:rsidR="00202674" w:rsidRPr="00027B8C" w:rsidRDefault="00A65AE4" w:rsidP="000A56EA">
      <w:pPr>
        <w:spacing w:after="0"/>
        <w:rPr>
          <w:rFonts w:cs="CMR9"/>
          <w:color w:val="000000"/>
        </w:rPr>
      </w:pPr>
      <w:r w:rsidRPr="00027B8C">
        <w:rPr>
          <w:rFonts w:cs="CMR9"/>
          <w:color w:val="000000"/>
        </w:rPr>
        <w:t>average diff</w:t>
      </w:r>
      <w:r w:rsidR="000A56EA" w:rsidRPr="00027B8C">
        <w:rPr>
          <w:rFonts w:cs="CMR9"/>
          <w:color w:val="000000"/>
        </w:rPr>
        <w:t>erence between the reading and writing scores to include 0? Explain your reasoning.</w:t>
      </w:r>
    </w:p>
    <w:p w:rsidR="00AE7B3D" w:rsidRPr="00027B8C" w:rsidRDefault="00A65AE4" w:rsidP="000A56EA">
      <w:pPr>
        <w:spacing w:after="0"/>
        <w:rPr>
          <w:rFonts w:cs="CMR9"/>
          <w:color w:val="000000"/>
        </w:rPr>
      </w:pPr>
      <w:r w:rsidRPr="00027B8C">
        <w:rPr>
          <w:rFonts w:cs="CMR9"/>
          <w:color w:val="000000"/>
        </w:rPr>
        <w:t>Yes, sample statistic i</w:t>
      </w:r>
      <w:r w:rsidR="00537304" w:rsidRPr="00027B8C">
        <w:rPr>
          <w:rFonts w:cs="CMR9"/>
          <w:color w:val="000000"/>
        </w:rPr>
        <w:t xml:space="preserve">s -.545, and se is .63, so even at smaller confidence’s, it’s like to overlap 0 on the upper bound. </w:t>
      </w:r>
    </w:p>
    <w:p w:rsidR="00AE7B3D" w:rsidRPr="00027B8C" w:rsidRDefault="00AE7B3D">
      <w:pPr>
        <w:rPr>
          <w:rFonts w:cs="CMR9"/>
          <w:color w:val="000000"/>
        </w:rPr>
      </w:pPr>
      <w:r w:rsidRPr="00027B8C">
        <w:rPr>
          <w:rFonts w:cs="CMR9"/>
          <w:color w:val="000000"/>
        </w:rPr>
        <w:br w:type="page"/>
      </w:r>
    </w:p>
    <w:p w:rsidR="00A65AE4" w:rsidRPr="00027B8C" w:rsidRDefault="00AE7B3D" w:rsidP="00AE7B3D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BX9"/>
          <w:color w:val="569CBE"/>
        </w:rPr>
        <w:lastRenderedPageBreak/>
        <w:t>5.32 Fuel eff</w:t>
      </w:r>
      <w:r w:rsidRPr="00027B8C">
        <w:rPr>
          <w:rFonts w:cs="CMBX9"/>
          <w:color w:val="569CBE"/>
        </w:rPr>
        <w:t xml:space="preserve">ciency of manual and automatic cars, Part I. </w:t>
      </w:r>
      <w:r w:rsidRPr="00027B8C">
        <w:rPr>
          <w:rFonts w:cs="CMR9"/>
          <w:color w:val="000000"/>
        </w:rPr>
        <w:t>Each year the US Environ</w:t>
      </w:r>
      <w:r w:rsidRPr="00027B8C">
        <w:rPr>
          <w:rFonts w:cs="CMR9"/>
          <w:color w:val="000000"/>
        </w:rPr>
        <w:t>mental Protection Agency (EPA) releases fuel economy data on cars manufactured in that year.</w:t>
      </w:r>
      <w:r w:rsidRP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Below a</w:t>
      </w:r>
      <w:r w:rsidRPr="00027B8C">
        <w:rPr>
          <w:rFonts w:cs="CMR9"/>
          <w:color w:val="000000"/>
        </w:rPr>
        <w:t>re summary statistics on fuel effi</w:t>
      </w:r>
      <w:r w:rsidRPr="00027B8C">
        <w:rPr>
          <w:rFonts w:cs="CMR9"/>
          <w:color w:val="000000"/>
        </w:rPr>
        <w:t>ciency (in miles/gallon) from random samples of cars with</w:t>
      </w:r>
      <w:r w:rsidRP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manual and automatic transmissions manufactured in 2012. Do these data provide strong evidence</w:t>
      </w:r>
      <w:r w:rsidRPr="00027B8C">
        <w:rPr>
          <w:rFonts w:cs="CMR9"/>
          <w:color w:val="000000"/>
        </w:rPr>
        <w:t xml:space="preserve"> of a diff</w:t>
      </w:r>
      <w:r w:rsidRPr="00027B8C">
        <w:rPr>
          <w:rFonts w:cs="CMR9"/>
          <w:color w:val="000000"/>
        </w:rPr>
        <w:t>er</w:t>
      </w:r>
      <w:r w:rsidRPr="00027B8C">
        <w:rPr>
          <w:rFonts w:cs="CMR9"/>
          <w:color w:val="000000"/>
        </w:rPr>
        <w:t>ence between the average fuel effi</w:t>
      </w:r>
      <w:r w:rsidRPr="00027B8C">
        <w:rPr>
          <w:rFonts w:cs="CMR9"/>
          <w:color w:val="000000"/>
        </w:rPr>
        <w:t>ciency of cars with manual and automatic transmissions</w:t>
      </w:r>
      <w:r w:rsidRP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in terms of their average city mileage? Assume that con</w:t>
      </w:r>
      <w:r w:rsidR="00BF2B40" w:rsidRPr="00027B8C">
        <w:rPr>
          <w:rFonts w:cs="CMR9"/>
          <w:color w:val="000000"/>
        </w:rPr>
        <w:t>ditions for inference are satisfi</w:t>
      </w:r>
      <w:r w:rsidRPr="00027B8C">
        <w:rPr>
          <w:rFonts w:cs="CMR9"/>
          <w:color w:val="000000"/>
        </w:rPr>
        <w:t>ed.</w:t>
      </w:r>
    </w:p>
    <w:p w:rsidR="00BF2B40" w:rsidRPr="00027B8C" w:rsidRDefault="00BF2B40" w:rsidP="00AE7B3D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350"/>
        <w:gridCol w:w="1080"/>
      </w:tblGrid>
      <w:tr w:rsidR="00BF2B40" w:rsidRPr="00027B8C" w:rsidTr="00BF2B40">
        <w:tc>
          <w:tcPr>
            <w:tcW w:w="1008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</w:p>
        </w:tc>
        <w:tc>
          <w:tcPr>
            <w:tcW w:w="1350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Automatic</w:t>
            </w:r>
          </w:p>
        </w:tc>
        <w:tc>
          <w:tcPr>
            <w:tcW w:w="1080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Manual</w:t>
            </w:r>
          </w:p>
        </w:tc>
      </w:tr>
      <w:tr w:rsidR="00BF2B40" w:rsidRPr="00027B8C" w:rsidTr="00BF2B40">
        <w:tc>
          <w:tcPr>
            <w:tcW w:w="1008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Mean</w:t>
            </w:r>
          </w:p>
        </w:tc>
        <w:tc>
          <w:tcPr>
            <w:tcW w:w="1350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16.12</w:t>
            </w:r>
          </w:p>
        </w:tc>
        <w:tc>
          <w:tcPr>
            <w:tcW w:w="1080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19.85</w:t>
            </w:r>
          </w:p>
        </w:tc>
      </w:tr>
      <w:tr w:rsidR="00BF2B40" w:rsidRPr="00027B8C" w:rsidTr="00BF2B40">
        <w:tc>
          <w:tcPr>
            <w:tcW w:w="1008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SD</w:t>
            </w:r>
          </w:p>
        </w:tc>
        <w:tc>
          <w:tcPr>
            <w:tcW w:w="1350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3.58</w:t>
            </w:r>
          </w:p>
        </w:tc>
        <w:tc>
          <w:tcPr>
            <w:tcW w:w="1080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4.51</w:t>
            </w:r>
          </w:p>
        </w:tc>
      </w:tr>
      <w:tr w:rsidR="00BF2B40" w:rsidRPr="00027B8C" w:rsidTr="00BF2B40">
        <w:tc>
          <w:tcPr>
            <w:tcW w:w="1008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n</w:t>
            </w:r>
          </w:p>
        </w:tc>
        <w:tc>
          <w:tcPr>
            <w:tcW w:w="1350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26</w:t>
            </w:r>
          </w:p>
        </w:tc>
        <w:tc>
          <w:tcPr>
            <w:tcW w:w="1080" w:type="dxa"/>
          </w:tcPr>
          <w:p w:rsidR="00BF2B40" w:rsidRPr="00027B8C" w:rsidRDefault="00BF2B40" w:rsidP="00AE7B3D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027B8C">
              <w:rPr>
                <w:rFonts w:cs="CMR9"/>
                <w:color w:val="000000"/>
              </w:rPr>
              <w:t>26</w:t>
            </w:r>
          </w:p>
        </w:tc>
      </w:tr>
    </w:tbl>
    <w:p w:rsidR="00027B8C" w:rsidRDefault="00027B8C" w:rsidP="00AE7B3D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BF2B40" w:rsidRDefault="00027B8C" w:rsidP="00AE7B3D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>Ho</w:t>
      </w:r>
      <w:r w:rsidRPr="00027B8C">
        <w:rPr>
          <w:rFonts w:cs="CMR9"/>
          <w:color w:val="000000"/>
        </w:rPr>
        <w:t xml:space="preserve"> = </w:t>
      </w:r>
      <w:r w:rsidRPr="00027B8C">
        <w:rPr>
          <w:rFonts w:cs="CMR9"/>
          <w:color w:val="000000"/>
          <w:lang w:val="es-US"/>
        </w:rPr>
        <w:t>μ</w:t>
      </w:r>
      <w:r w:rsidRPr="00027B8C">
        <w:rPr>
          <w:rFonts w:cs="CMR9"/>
          <w:color w:val="000000"/>
        </w:rPr>
        <w:t xml:space="preserve"> diff</w:t>
      </w:r>
      <w:r>
        <w:rPr>
          <w:rFonts w:cs="CMR9"/>
          <w:color w:val="000000"/>
        </w:rPr>
        <w:t xml:space="preserve"> = 0</w:t>
      </w:r>
    </w:p>
    <w:p w:rsidR="00027B8C" w:rsidRPr="00027B8C" w:rsidRDefault="00027B8C" w:rsidP="00027B8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R9"/>
          <w:color w:val="000000"/>
        </w:rPr>
        <w:t xml:space="preserve">Ha = </w:t>
      </w:r>
      <w:r w:rsidRPr="00027B8C">
        <w:rPr>
          <w:rFonts w:cs="CMR9"/>
          <w:color w:val="000000"/>
          <w:lang w:val="es-US"/>
        </w:rPr>
        <w:t>μ</w:t>
      </w:r>
      <w:r w:rsidRPr="00027B8C">
        <w:rPr>
          <w:rFonts w:cs="CMR9"/>
          <w:color w:val="000000"/>
        </w:rPr>
        <w:t xml:space="preserve"> diff ≠ 0</w:t>
      </w:r>
    </w:p>
    <w:p w:rsidR="00027B8C" w:rsidRPr="00027B8C" w:rsidRDefault="00027B8C" w:rsidP="00AE7B3D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E7B3D" w:rsidRPr="00027B8C" w:rsidRDefault="00BA43A9" w:rsidP="000A56EA">
      <w:pPr>
        <w:spacing w:after="0"/>
      </w:pPr>
      <w:r w:rsidRPr="00027B8C">
        <w:t xml:space="preserve">SE = sqrt((3.58^2/26)+(4.51^2/26)) = </w:t>
      </w:r>
      <w:r w:rsidRPr="00027B8C">
        <w:rPr>
          <w:b/>
        </w:rPr>
        <w:t>1.13</w:t>
      </w:r>
    </w:p>
    <w:p w:rsidR="00BA43A9" w:rsidRPr="00027B8C" w:rsidRDefault="00BA43A9" w:rsidP="000A56EA">
      <w:pPr>
        <w:spacing w:after="0"/>
        <w:rPr>
          <w:b/>
        </w:rPr>
      </w:pPr>
      <w:r w:rsidRPr="00027B8C">
        <w:t xml:space="preserve">T = 19.85-16.12/1.13 = </w:t>
      </w:r>
      <w:r w:rsidRPr="00027B8C">
        <w:rPr>
          <w:b/>
        </w:rPr>
        <w:t>3.3</w:t>
      </w:r>
    </w:p>
    <w:p w:rsidR="00BA43A9" w:rsidRPr="00027B8C" w:rsidRDefault="00BA43A9" w:rsidP="000A56EA">
      <w:pPr>
        <w:spacing w:after="0"/>
      </w:pPr>
      <w:r w:rsidRPr="00027B8C">
        <w:t>Df = 25</w:t>
      </w:r>
    </w:p>
    <w:p w:rsidR="00BA43A9" w:rsidRPr="00027B8C" w:rsidRDefault="00BA43A9" w:rsidP="000A56EA">
      <w:pPr>
        <w:spacing w:after="0"/>
        <w:rPr>
          <w:b/>
        </w:rPr>
      </w:pPr>
      <w:r w:rsidRPr="00027B8C">
        <w:rPr>
          <w:b/>
        </w:rPr>
        <w:t>P &lt; .010, so the data provides strong evidence of a difference in average fuel efficiency</w:t>
      </w:r>
    </w:p>
    <w:p w:rsidR="00BA43A9" w:rsidRPr="00027B8C" w:rsidRDefault="00BA43A9" w:rsidP="000A56EA">
      <w:pPr>
        <w:spacing w:after="0"/>
      </w:pPr>
    </w:p>
    <w:p w:rsidR="00BA43A9" w:rsidRPr="00027B8C" w:rsidRDefault="00807E9E" w:rsidP="000A56EA">
      <w:pPr>
        <w:spacing w:after="0"/>
      </w:pPr>
      <w:r>
        <w:t>P272 p252</w:t>
      </w:r>
    </w:p>
    <w:p w:rsidR="00BA43A9" w:rsidRDefault="003F3120" w:rsidP="00027B8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027B8C">
        <w:rPr>
          <w:rFonts w:cs="CMBX9"/>
          <w:color w:val="569CBE"/>
        </w:rPr>
        <w:t xml:space="preserve">5.48 Work hours and education. </w:t>
      </w:r>
      <w:r w:rsidRPr="00027B8C">
        <w:rPr>
          <w:rFonts w:cs="CMR9"/>
          <w:color w:val="000000"/>
        </w:rPr>
        <w:t>The General Social Survey collects data on demographics,</w:t>
      </w:r>
      <w:r w:rsid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education, and work, among many other characteristics of US residents.</w:t>
      </w:r>
      <w:r w:rsidRPr="00027B8C">
        <w:rPr>
          <w:rFonts w:cs="CMR6"/>
          <w:color w:val="808080"/>
        </w:rPr>
        <w:t xml:space="preserve">47 </w:t>
      </w:r>
      <w:r w:rsidRPr="00027B8C">
        <w:rPr>
          <w:rFonts w:cs="CMR9"/>
          <w:color w:val="000000"/>
        </w:rPr>
        <w:t>Using ANOVA, we can</w:t>
      </w:r>
      <w:r w:rsid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consider educational attainment levels for all 1,172 respondents at once. Below are the distributions</w:t>
      </w:r>
      <w:r w:rsid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of hours worked by educational attainment and relevant summary statistics that will be helpful in</w:t>
      </w:r>
      <w:r w:rsidR="00027B8C">
        <w:rPr>
          <w:rFonts w:cs="CMR9"/>
          <w:color w:val="000000"/>
        </w:rPr>
        <w:t xml:space="preserve"> </w:t>
      </w:r>
      <w:r w:rsidRPr="00027B8C">
        <w:rPr>
          <w:rFonts w:cs="CMR9"/>
          <w:color w:val="000000"/>
        </w:rPr>
        <w:t>carrying out this analysis.</w:t>
      </w:r>
    </w:p>
    <w:p w:rsidR="00027B8C" w:rsidRDefault="00027B8C" w:rsidP="00027B8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354"/>
        <w:gridCol w:w="1311"/>
        <w:gridCol w:w="1335"/>
        <w:gridCol w:w="1483"/>
        <w:gridCol w:w="1461"/>
        <w:gridCol w:w="1252"/>
      </w:tblGrid>
      <w:tr w:rsidR="004911B6" w:rsidTr="004911B6">
        <w:tc>
          <w:tcPr>
            <w:tcW w:w="1380" w:type="dxa"/>
            <w:shd w:val="clear" w:color="auto" w:fill="auto"/>
          </w:tcPr>
          <w:p w:rsidR="004911B6" w:rsidRDefault="004911B6" w:rsidP="004911B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354" w:type="dxa"/>
            <w:shd w:val="clear" w:color="auto" w:fill="auto"/>
          </w:tcPr>
          <w:p w:rsidR="004911B6" w:rsidRDefault="004911B6" w:rsidP="004911B6">
            <w:pPr>
              <w:autoSpaceDE w:val="0"/>
              <w:autoSpaceDN w:val="0"/>
              <w:adjustRightInd w:val="0"/>
              <w:jc w:val="center"/>
            </w:pPr>
            <w:r>
              <w:t>Less than HS</w:t>
            </w:r>
          </w:p>
        </w:tc>
        <w:tc>
          <w:tcPr>
            <w:tcW w:w="1311" w:type="dxa"/>
            <w:shd w:val="clear" w:color="auto" w:fill="auto"/>
          </w:tcPr>
          <w:p w:rsidR="004911B6" w:rsidRDefault="004911B6" w:rsidP="004911B6">
            <w:pPr>
              <w:autoSpaceDE w:val="0"/>
              <w:autoSpaceDN w:val="0"/>
              <w:adjustRightInd w:val="0"/>
              <w:jc w:val="center"/>
            </w:pPr>
            <w:r>
              <w:t>HS</w:t>
            </w:r>
          </w:p>
        </w:tc>
        <w:tc>
          <w:tcPr>
            <w:tcW w:w="1335" w:type="dxa"/>
            <w:shd w:val="clear" w:color="auto" w:fill="auto"/>
          </w:tcPr>
          <w:p w:rsidR="004911B6" w:rsidRDefault="004911B6" w:rsidP="004911B6">
            <w:pPr>
              <w:autoSpaceDE w:val="0"/>
              <w:autoSpaceDN w:val="0"/>
              <w:adjustRightInd w:val="0"/>
              <w:jc w:val="center"/>
            </w:pPr>
            <w:r>
              <w:t>Jr Coll</w:t>
            </w:r>
          </w:p>
        </w:tc>
        <w:tc>
          <w:tcPr>
            <w:tcW w:w="1483" w:type="dxa"/>
            <w:shd w:val="clear" w:color="auto" w:fill="auto"/>
          </w:tcPr>
          <w:p w:rsidR="004911B6" w:rsidRDefault="004911B6" w:rsidP="004911B6">
            <w:pPr>
              <w:autoSpaceDE w:val="0"/>
              <w:autoSpaceDN w:val="0"/>
              <w:adjustRightInd w:val="0"/>
              <w:jc w:val="center"/>
            </w:pPr>
            <w:r>
              <w:t>Bachelor’s</w:t>
            </w:r>
          </w:p>
        </w:tc>
        <w:tc>
          <w:tcPr>
            <w:tcW w:w="1461" w:type="dxa"/>
            <w:shd w:val="clear" w:color="auto" w:fill="auto"/>
          </w:tcPr>
          <w:p w:rsidR="004911B6" w:rsidRDefault="004911B6" w:rsidP="004911B6">
            <w:pPr>
              <w:autoSpaceDE w:val="0"/>
              <w:autoSpaceDN w:val="0"/>
              <w:adjustRightInd w:val="0"/>
              <w:jc w:val="center"/>
            </w:pPr>
            <w:r>
              <w:t>Graduate</w:t>
            </w:r>
          </w:p>
        </w:tc>
        <w:tc>
          <w:tcPr>
            <w:tcW w:w="1252" w:type="dxa"/>
          </w:tcPr>
          <w:p w:rsidR="004911B6" w:rsidRDefault="004911B6" w:rsidP="004911B6">
            <w:pPr>
              <w:autoSpaceDE w:val="0"/>
              <w:autoSpaceDN w:val="0"/>
              <w:adjustRightInd w:val="0"/>
              <w:jc w:val="center"/>
            </w:pPr>
            <w:r>
              <w:t>Total</w:t>
            </w:r>
          </w:p>
        </w:tc>
      </w:tr>
      <w:tr w:rsidR="004911B6" w:rsidTr="004911B6">
        <w:tc>
          <w:tcPr>
            <w:tcW w:w="1380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Mean</w:t>
            </w:r>
          </w:p>
        </w:tc>
        <w:tc>
          <w:tcPr>
            <w:tcW w:w="1354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38.67</w:t>
            </w:r>
          </w:p>
        </w:tc>
        <w:tc>
          <w:tcPr>
            <w:tcW w:w="1311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39.6</w:t>
            </w:r>
          </w:p>
        </w:tc>
        <w:tc>
          <w:tcPr>
            <w:tcW w:w="1335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41.39</w:t>
            </w:r>
          </w:p>
        </w:tc>
        <w:tc>
          <w:tcPr>
            <w:tcW w:w="1483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42.55</w:t>
            </w:r>
          </w:p>
        </w:tc>
        <w:tc>
          <w:tcPr>
            <w:tcW w:w="1461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40.85</w:t>
            </w:r>
          </w:p>
        </w:tc>
        <w:tc>
          <w:tcPr>
            <w:tcW w:w="1252" w:type="dxa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40.45</w:t>
            </w:r>
          </w:p>
        </w:tc>
      </w:tr>
      <w:tr w:rsidR="004911B6" w:rsidTr="004911B6">
        <w:tc>
          <w:tcPr>
            <w:tcW w:w="1380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SD</w:t>
            </w:r>
          </w:p>
        </w:tc>
        <w:tc>
          <w:tcPr>
            <w:tcW w:w="1354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15.81</w:t>
            </w:r>
          </w:p>
        </w:tc>
        <w:tc>
          <w:tcPr>
            <w:tcW w:w="1311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14.97</w:t>
            </w:r>
          </w:p>
        </w:tc>
        <w:tc>
          <w:tcPr>
            <w:tcW w:w="1335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18.1</w:t>
            </w:r>
          </w:p>
        </w:tc>
        <w:tc>
          <w:tcPr>
            <w:tcW w:w="1483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13.62</w:t>
            </w:r>
          </w:p>
        </w:tc>
        <w:tc>
          <w:tcPr>
            <w:tcW w:w="1461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15.51</w:t>
            </w:r>
          </w:p>
        </w:tc>
        <w:tc>
          <w:tcPr>
            <w:tcW w:w="1252" w:type="dxa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15.17</w:t>
            </w:r>
          </w:p>
        </w:tc>
      </w:tr>
      <w:tr w:rsidR="004911B6" w:rsidTr="004911B6">
        <w:tc>
          <w:tcPr>
            <w:tcW w:w="1380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N</w:t>
            </w:r>
          </w:p>
        </w:tc>
        <w:tc>
          <w:tcPr>
            <w:tcW w:w="1354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121</w:t>
            </w:r>
          </w:p>
        </w:tc>
        <w:tc>
          <w:tcPr>
            <w:tcW w:w="1311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546</w:t>
            </w:r>
          </w:p>
        </w:tc>
        <w:tc>
          <w:tcPr>
            <w:tcW w:w="1335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97</w:t>
            </w:r>
          </w:p>
        </w:tc>
        <w:tc>
          <w:tcPr>
            <w:tcW w:w="1483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253</w:t>
            </w:r>
          </w:p>
        </w:tc>
        <w:tc>
          <w:tcPr>
            <w:tcW w:w="1461" w:type="dxa"/>
            <w:shd w:val="clear" w:color="auto" w:fill="auto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155</w:t>
            </w:r>
          </w:p>
        </w:tc>
        <w:tc>
          <w:tcPr>
            <w:tcW w:w="1252" w:type="dxa"/>
          </w:tcPr>
          <w:p w:rsidR="004911B6" w:rsidRDefault="004911B6" w:rsidP="00A371F7">
            <w:pPr>
              <w:autoSpaceDE w:val="0"/>
              <w:autoSpaceDN w:val="0"/>
              <w:adjustRightInd w:val="0"/>
            </w:pPr>
            <w:r>
              <w:t>1172</w:t>
            </w:r>
          </w:p>
        </w:tc>
      </w:tr>
    </w:tbl>
    <w:p w:rsidR="004911B6" w:rsidRDefault="004911B6" w:rsidP="00027B8C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807E9E" w:rsidRDefault="00807E9E" w:rsidP="00027B8C">
      <w:pPr>
        <w:autoSpaceDE w:val="0"/>
        <w:autoSpaceDN w:val="0"/>
        <w:adjustRightInd w:val="0"/>
        <w:spacing w:after="0" w:line="240" w:lineRule="auto"/>
      </w:pPr>
      <w:r>
        <w:t xml:space="preserve">a. </w:t>
      </w:r>
    </w:p>
    <w:p w:rsidR="00027B8C" w:rsidRDefault="00807E9E" w:rsidP="00027B8C">
      <w:pPr>
        <w:autoSpaceDE w:val="0"/>
        <w:autoSpaceDN w:val="0"/>
        <w:adjustRightInd w:val="0"/>
        <w:spacing w:after="0" w:line="240" w:lineRule="auto"/>
      </w:pPr>
      <w:r>
        <w:t>Ho: average number of hours worked does not vary across groups</w:t>
      </w:r>
    </w:p>
    <w:p w:rsidR="00807E9E" w:rsidRDefault="00807E9E" w:rsidP="00027B8C">
      <w:pPr>
        <w:autoSpaceDE w:val="0"/>
        <w:autoSpaceDN w:val="0"/>
        <w:adjustRightInd w:val="0"/>
        <w:spacing w:after="0" w:line="240" w:lineRule="auto"/>
      </w:pPr>
      <w:r>
        <w:t>Ha: average number of hours worked varies across groups</w:t>
      </w:r>
    </w:p>
    <w:p w:rsidR="00807E9E" w:rsidRDefault="00807E9E" w:rsidP="00027B8C">
      <w:pPr>
        <w:autoSpaceDE w:val="0"/>
        <w:autoSpaceDN w:val="0"/>
        <w:adjustRightInd w:val="0"/>
        <w:spacing w:after="0" w:line="240" w:lineRule="auto"/>
      </w:pPr>
    </w:p>
    <w:p w:rsidR="00807E9E" w:rsidRDefault="00807E9E" w:rsidP="00027B8C">
      <w:pPr>
        <w:autoSpaceDE w:val="0"/>
        <w:autoSpaceDN w:val="0"/>
        <w:adjustRightInd w:val="0"/>
        <w:spacing w:after="0" w:line="240" w:lineRule="auto"/>
      </w:pPr>
      <w:r>
        <w:t xml:space="preserve">b. </w:t>
      </w:r>
    </w:p>
    <w:p w:rsidR="00807E9E" w:rsidRDefault="00807E9E" w:rsidP="00027B8C">
      <w:pPr>
        <w:autoSpaceDE w:val="0"/>
        <w:autoSpaceDN w:val="0"/>
        <w:adjustRightInd w:val="0"/>
        <w:spacing w:after="0" w:line="240" w:lineRule="auto"/>
      </w:pPr>
      <w:r>
        <w:t>observations are independent within and across groups</w:t>
      </w:r>
    </w:p>
    <w:p w:rsidR="00807E9E" w:rsidRDefault="00807E9E" w:rsidP="00027B8C">
      <w:pPr>
        <w:autoSpaceDE w:val="0"/>
        <w:autoSpaceDN w:val="0"/>
        <w:adjustRightInd w:val="0"/>
        <w:spacing w:after="0" w:line="240" w:lineRule="auto"/>
      </w:pPr>
      <w:r>
        <w:t>the data within each group are nearly normal</w:t>
      </w:r>
    </w:p>
    <w:p w:rsidR="00807E9E" w:rsidRDefault="00807E9E" w:rsidP="00027B8C">
      <w:pPr>
        <w:autoSpaceDE w:val="0"/>
        <w:autoSpaceDN w:val="0"/>
        <w:adjustRightInd w:val="0"/>
        <w:spacing w:after="0" w:line="240" w:lineRule="auto"/>
      </w:pPr>
      <w:r>
        <w:t>the variability across the groups is about equal</w:t>
      </w:r>
    </w:p>
    <w:p w:rsidR="00807E9E" w:rsidRDefault="00807E9E" w:rsidP="00027B8C">
      <w:pPr>
        <w:autoSpaceDE w:val="0"/>
        <w:autoSpaceDN w:val="0"/>
        <w:adjustRightInd w:val="0"/>
        <w:spacing w:after="0" w:line="240" w:lineRule="auto"/>
      </w:pPr>
    </w:p>
    <w:p w:rsidR="00807E9E" w:rsidRPr="00027B8C" w:rsidRDefault="00807E9E" w:rsidP="00027B8C">
      <w:pPr>
        <w:autoSpaceDE w:val="0"/>
        <w:autoSpaceDN w:val="0"/>
        <w:adjustRightInd w:val="0"/>
        <w:spacing w:after="0" w:line="240" w:lineRule="auto"/>
      </w:pPr>
      <w:r>
        <w:t xml:space="preserve">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07E9E" w:rsidTr="00807E9E"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</w:p>
        </w:tc>
        <w:tc>
          <w:tcPr>
            <w:tcW w:w="1596" w:type="dxa"/>
          </w:tcPr>
          <w:p w:rsidR="00807E9E" w:rsidRDefault="00807E9E" w:rsidP="00A371F7">
            <w:pPr>
              <w:autoSpaceDE w:val="0"/>
              <w:autoSpaceDN w:val="0"/>
              <w:adjustRightInd w:val="0"/>
            </w:pPr>
            <w:r>
              <w:t>Df</w:t>
            </w:r>
          </w:p>
        </w:tc>
        <w:tc>
          <w:tcPr>
            <w:tcW w:w="1596" w:type="dxa"/>
          </w:tcPr>
          <w:p w:rsidR="00807E9E" w:rsidRDefault="00807E9E" w:rsidP="00A371F7">
            <w:pPr>
              <w:autoSpaceDE w:val="0"/>
              <w:autoSpaceDN w:val="0"/>
              <w:adjustRightInd w:val="0"/>
            </w:pPr>
            <w:r>
              <w:t>Sum Sq</w:t>
            </w:r>
          </w:p>
        </w:tc>
        <w:tc>
          <w:tcPr>
            <w:tcW w:w="1596" w:type="dxa"/>
          </w:tcPr>
          <w:p w:rsidR="00807E9E" w:rsidRDefault="00807E9E" w:rsidP="00A371F7">
            <w:pPr>
              <w:autoSpaceDE w:val="0"/>
              <w:autoSpaceDN w:val="0"/>
              <w:adjustRightInd w:val="0"/>
            </w:pPr>
            <w:r>
              <w:t>Mean Sq</w:t>
            </w:r>
          </w:p>
        </w:tc>
        <w:tc>
          <w:tcPr>
            <w:tcW w:w="1596" w:type="dxa"/>
          </w:tcPr>
          <w:p w:rsidR="00807E9E" w:rsidRDefault="00807E9E" w:rsidP="00A371F7">
            <w:pPr>
              <w:autoSpaceDE w:val="0"/>
              <w:autoSpaceDN w:val="0"/>
              <w:adjustRightInd w:val="0"/>
            </w:pPr>
            <w:r>
              <w:t>F value</w:t>
            </w:r>
          </w:p>
        </w:tc>
        <w:tc>
          <w:tcPr>
            <w:tcW w:w="1596" w:type="dxa"/>
          </w:tcPr>
          <w:p w:rsidR="00807E9E" w:rsidRDefault="00807E9E" w:rsidP="00A371F7">
            <w:pPr>
              <w:autoSpaceDE w:val="0"/>
              <w:autoSpaceDN w:val="0"/>
              <w:adjustRightInd w:val="0"/>
            </w:pPr>
            <w:r>
              <w:t>Pr(&gt;F)</w:t>
            </w:r>
          </w:p>
        </w:tc>
      </w:tr>
      <w:tr w:rsidR="00807E9E" w:rsidTr="00807E9E"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  <w:r>
              <w:t>Degree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:rsidR="00807E9E" w:rsidRDefault="004911B6" w:rsidP="00027B8C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:rsidR="00807E9E" w:rsidRDefault="00E444CE" w:rsidP="00027B8C">
            <w:pPr>
              <w:autoSpaceDE w:val="0"/>
              <w:autoSpaceDN w:val="0"/>
              <w:adjustRightInd w:val="0"/>
            </w:pPr>
            <w:r>
              <w:t>2507.7</w:t>
            </w:r>
          </w:p>
        </w:tc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  <w:r>
              <w:t>501.54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:rsidR="00807E9E" w:rsidRDefault="00567170" w:rsidP="00567170">
            <w:pPr>
              <w:autoSpaceDE w:val="0"/>
              <w:autoSpaceDN w:val="0"/>
              <w:adjustRightInd w:val="0"/>
              <w:jc w:val="center"/>
            </w:pPr>
            <w:r>
              <w:t>2.19</w:t>
            </w:r>
          </w:p>
        </w:tc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  <w:r>
              <w:t>.0682</w:t>
            </w:r>
          </w:p>
        </w:tc>
      </w:tr>
      <w:tr w:rsidR="00807E9E" w:rsidTr="00807E9E"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  <w:r>
              <w:t>Residuals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:rsidR="00807E9E" w:rsidRDefault="00E444CE" w:rsidP="00027B8C">
            <w:pPr>
              <w:autoSpaceDE w:val="0"/>
              <w:autoSpaceDN w:val="0"/>
              <w:adjustRightInd w:val="0"/>
            </w:pPr>
            <w:r>
              <w:t>1166</w:t>
            </w:r>
          </w:p>
        </w:tc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  <w:r>
              <w:t>267,382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:rsidR="00807E9E" w:rsidRDefault="00567170" w:rsidP="00027B8C">
            <w:pPr>
              <w:autoSpaceDE w:val="0"/>
              <w:autoSpaceDN w:val="0"/>
              <w:adjustRightInd w:val="0"/>
            </w:pPr>
            <w:r>
              <w:t>229.32</w:t>
            </w:r>
          </w:p>
        </w:tc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</w:p>
        </w:tc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</w:p>
        </w:tc>
      </w:tr>
      <w:tr w:rsidR="00807E9E" w:rsidTr="00807E9E"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  <w:r>
              <w:t>Total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:rsidR="00807E9E" w:rsidRDefault="00583297" w:rsidP="00027B8C">
            <w:pPr>
              <w:autoSpaceDE w:val="0"/>
              <w:autoSpaceDN w:val="0"/>
              <w:adjustRightInd w:val="0"/>
            </w:pPr>
            <w:r>
              <w:t>1172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:rsidR="00807E9E" w:rsidRDefault="000350D8" w:rsidP="00027B8C">
            <w:pPr>
              <w:autoSpaceDE w:val="0"/>
              <w:autoSpaceDN w:val="0"/>
              <w:adjustRightInd w:val="0"/>
            </w:pPr>
            <w:r>
              <w:t>269889.7</w:t>
            </w:r>
          </w:p>
        </w:tc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</w:p>
        </w:tc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</w:p>
        </w:tc>
        <w:tc>
          <w:tcPr>
            <w:tcW w:w="1596" w:type="dxa"/>
          </w:tcPr>
          <w:p w:rsidR="00807E9E" w:rsidRDefault="00807E9E" w:rsidP="00027B8C">
            <w:pPr>
              <w:autoSpaceDE w:val="0"/>
              <w:autoSpaceDN w:val="0"/>
              <w:adjustRightInd w:val="0"/>
            </w:pPr>
          </w:p>
        </w:tc>
      </w:tr>
    </w:tbl>
    <w:p w:rsidR="00807E9E" w:rsidRDefault="00CB1EFD" w:rsidP="00027B8C">
      <w:pPr>
        <w:autoSpaceDE w:val="0"/>
        <w:autoSpaceDN w:val="0"/>
        <w:adjustRightInd w:val="0"/>
        <w:spacing w:after="0" w:line="240" w:lineRule="auto"/>
      </w:pPr>
      <w:r>
        <w:lastRenderedPageBreak/>
        <w:t>d. what is the conclusion of the test?</w:t>
      </w:r>
    </w:p>
    <w:p w:rsidR="00CB1EFD" w:rsidRPr="00027B8C" w:rsidRDefault="00567170" w:rsidP="00027B8C">
      <w:pPr>
        <w:autoSpaceDE w:val="0"/>
        <w:autoSpaceDN w:val="0"/>
        <w:adjustRightInd w:val="0"/>
        <w:spacing w:after="0" w:line="240" w:lineRule="auto"/>
      </w:pPr>
      <w:r>
        <w:t>The p value is larger than .05, indicating the evidence is not strong enough to reject the null hypothetsis at a significance level of .05</w:t>
      </w:r>
    </w:p>
    <w:sectPr w:rsidR="00CB1EFD" w:rsidRPr="0002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B1FCB"/>
    <w:multiLevelType w:val="multilevel"/>
    <w:tmpl w:val="AD2C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57"/>
    <w:rsid w:val="00027B8C"/>
    <w:rsid w:val="000350D8"/>
    <w:rsid w:val="00077702"/>
    <w:rsid w:val="000A56EA"/>
    <w:rsid w:val="001C49EF"/>
    <w:rsid w:val="00202674"/>
    <w:rsid w:val="003427DF"/>
    <w:rsid w:val="003F3120"/>
    <w:rsid w:val="004911B6"/>
    <w:rsid w:val="00537304"/>
    <w:rsid w:val="00567170"/>
    <w:rsid w:val="00583297"/>
    <w:rsid w:val="00684DAC"/>
    <w:rsid w:val="00807E9E"/>
    <w:rsid w:val="0087646E"/>
    <w:rsid w:val="00917E4B"/>
    <w:rsid w:val="00933B7B"/>
    <w:rsid w:val="00992BB6"/>
    <w:rsid w:val="00A65AE4"/>
    <w:rsid w:val="00AE7B3D"/>
    <w:rsid w:val="00BA43A9"/>
    <w:rsid w:val="00BF2B40"/>
    <w:rsid w:val="00C876B4"/>
    <w:rsid w:val="00CB1EFD"/>
    <w:rsid w:val="00D21180"/>
    <w:rsid w:val="00E444CE"/>
    <w:rsid w:val="00F22F54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12</cp:revision>
  <dcterms:created xsi:type="dcterms:W3CDTF">2015-11-01T04:36:00Z</dcterms:created>
  <dcterms:modified xsi:type="dcterms:W3CDTF">2015-11-02T21:26:00Z</dcterms:modified>
</cp:coreProperties>
</file>