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993" w:rsidRPr="00A2182B" w:rsidRDefault="00DB5993" w:rsidP="00DB5993">
      <w:pPr>
        <w:shd w:val="clear" w:color="auto" w:fill="FFFFFF"/>
        <w:spacing w:after="0" w:line="384" w:lineRule="atLeast"/>
        <w:rPr>
          <w:rFonts w:eastAsia="Times New Roman" w:cs="Helvetica"/>
          <w:color w:val="333333"/>
        </w:rPr>
      </w:pPr>
      <w:r w:rsidRPr="00A2182B">
        <w:rPr>
          <w:rFonts w:eastAsia="Times New Roman" w:cs="Helvetica"/>
          <w:color w:val="333333"/>
        </w:rPr>
        <w:t>Andrew Goldberg</w:t>
      </w:r>
    </w:p>
    <w:p w:rsidR="00DB5993" w:rsidRPr="00A2182B" w:rsidRDefault="00DB5993" w:rsidP="00DB5993">
      <w:pPr>
        <w:shd w:val="clear" w:color="auto" w:fill="FFFFFF"/>
        <w:spacing w:after="0" w:line="384" w:lineRule="atLeast"/>
        <w:rPr>
          <w:rFonts w:eastAsia="Times New Roman" w:cs="Helvetica"/>
          <w:color w:val="333333"/>
        </w:rPr>
      </w:pPr>
      <w:r w:rsidRPr="00A2182B">
        <w:rPr>
          <w:rFonts w:eastAsia="Times New Roman" w:cs="Helvetica"/>
          <w:color w:val="333333"/>
        </w:rPr>
        <w:t>IS606 Ch 8 HW</w:t>
      </w:r>
    </w:p>
    <w:p w:rsidR="00DB5993" w:rsidRPr="00DB5993" w:rsidRDefault="00DB5993" w:rsidP="00DB5993">
      <w:pPr>
        <w:shd w:val="clear" w:color="auto" w:fill="FFFFFF"/>
        <w:spacing w:after="0" w:line="384" w:lineRule="atLeast"/>
        <w:rPr>
          <w:rFonts w:eastAsia="Times New Roman" w:cs="Helvetica"/>
          <w:color w:val="333333"/>
        </w:rPr>
      </w:pPr>
      <w:r w:rsidRPr="00DB5993">
        <w:rPr>
          <w:rFonts w:eastAsia="Times New Roman" w:cs="Helvetica"/>
          <w:color w:val="333333"/>
        </w:rPr>
        <w:t>Graded: 8.2, 8.4, 8.8, 8.16, 8.18</w:t>
      </w:r>
    </w:p>
    <w:p w:rsidR="009810F7" w:rsidRPr="00A2182B" w:rsidRDefault="009810F7" w:rsidP="00DB5993">
      <w:pPr>
        <w:spacing w:after="0"/>
      </w:pPr>
    </w:p>
    <w:p w:rsidR="00DB5993" w:rsidRPr="00A2182B" w:rsidRDefault="00DB5993" w:rsidP="00DB599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BX9"/>
          <w:color w:val="569CBE"/>
        </w:rPr>
        <w:t xml:space="preserve">8.2 Baby weights, Part II. </w:t>
      </w:r>
      <w:r w:rsidRPr="00A2182B">
        <w:rPr>
          <w:rFonts w:cs="CMR9"/>
          <w:color w:val="000000"/>
        </w:rPr>
        <w:t xml:space="preserve">Exercise </w:t>
      </w:r>
      <w:r w:rsidRPr="00A2182B">
        <w:rPr>
          <w:rFonts w:cs="CMR9"/>
          <w:color w:val="808080"/>
        </w:rPr>
        <w:t xml:space="preserve">8.1 </w:t>
      </w:r>
      <w:r w:rsidRPr="00A2182B">
        <w:rPr>
          <w:rFonts w:cs="CMR9"/>
          <w:color w:val="000000"/>
        </w:rPr>
        <w:t>introduces a data set on birth weight of babies.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 xml:space="preserve">Another variable we consider is </w:t>
      </w:r>
      <w:r w:rsidRPr="00A2182B">
        <w:rPr>
          <w:rFonts w:cs="CMTT9"/>
          <w:color w:val="000000"/>
        </w:rPr>
        <w:t>parity</w:t>
      </w:r>
      <w:r w:rsidRPr="00A2182B">
        <w:rPr>
          <w:rFonts w:cs="CMR9"/>
          <w:color w:val="000000"/>
        </w:rPr>
        <w:t xml:space="preserve">, </w:t>
      </w:r>
      <w:r w:rsidR="00022351" w:rsidRPr="00A2182B">
        <w:rPr>
          <w:rFonts w:cs="CMR9"/>
          <w:color w:val="000000"/>
        </w:rPr>
        <w:t>which is 0 if the child is the fi</w:t>
      </w:r>
      <w:r w:rsidRPr="00A2182B">
        <w:rPr>
          <w:rFonts w:cs="CMR9"/>
          <w:color w:val="000000"/>
        </w:rPr>
        <w:t>rst born, and 1 otherwise.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The summary table below shows the results of a linear regression model for predicting the average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 xml:space="preserve">birth weight of babies, measured in ounces, from </w:t>
      </w:r>
      <w:r w:rsidRPr="00A2182B">
        <w:rPr>
          <w:rFonts w:cs="CMTT9"/>
          <w:color w:val="000000"/>
        </w:rPr>
        <w:t>parity</w:t>
      </w:r>
      <w:r w:rsidRPr="00A2182B">
        <w:rPr>
          <w:rFonts w:cs="CMR9"/>
          <w:color w:val="000000"/>
        </w:rPr>
        <w:t>.</w:t>
      </w:r>
    </w:p>
    <w:p w:rsidR="00DB5993" w:rsidRPr="00A2182B" w:rsidRDefault="00DB5993" w:rsidP="00DB599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DB5993" w:rsidRPr="00A2182B" w:rsidTr="00DB5993">
        <w:tc>
          <w:tcPr>
            <w:tcW w:w="1596" w:type="dxa"/>
          </w:tcPr>
          <w:p w:rsidR="00DB5993" w:rsidRPr="00A2182B" w:rsidRDefault="00DB5993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</w:p>
        </w:tc>
        <w:tc>
          <w:tcPr>
            <w:tcW w:w="1596" w:type="dxa"/>
          </w:tcPr>
          <w:p w:rsidR="00DB5993" w:rsidRPr="00A2182B" w:rsidRDefault="00DB5993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Estimate</w:t>
            </w:r>
          </w:p>
        </w:tc>
        <w:tc>
          <w:tcPr>
            <w:tcW w:w="1596" w:type="dxa"/>
          </w:tcPr>
          <w:p w:rsidR="00DB5993" w:rsidRPr="00A2182B" w:rsidRDefault="00DB5993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Std. Error</w:t>
            </w:r>
          </w:p>
        </w:tc>
        <w:tc>
          <w:tcPr>
            <w:tcW w:w="1596" w:type="dxa"/>
          </w:tcPr>
          <w:p w:rsidR="00DB5993" w:rsidRPr="00A2182B" w:rsidRDefault="00DB5993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t value</w:t>
            </w:r>
          </w:p>
        </w:tc>
        <w:tc>
          <w:tcPr>
            <w:tcW w:w="1596" w:type="dxa"/>
          </w:tcPr>
          <w:p w:rsidR="00DB5993" w:rsidRPr="00A2182B" w:rsidRDefault="00DB5993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Pr(&gt;|t|)</w:t>
            </w:r>
          </w:p>
        </w:tc>
      </w:tr>
      <w:tr w:rsidR="00DB5993" w:rsidRPr="00A2182B" w:rsidTr="00DB5993">
        <w:tc>
          <w:tcPr>
            <w:tcW w:w="1596" w:type="dxa"/>
          </w:tcPr>
          <w:p w:rsidR="00DB5993" w:rsidRPr="00A2182B" w:rsidRDefault="00DB5993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(Intercept)</w:t>
            </w:r>
          </w:p>
        </w:tc>
        <w:tc>
          <w:tcPr>
            <w:tcW w:w="1596" w:type="dxa"/>
          </w:tcPr>
          <w:p w:rsidR="00DB5993" w:rsidRPr="00A2182B" w:rsidRDefault="00DB5993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120.07</w:t>
            </w:r>
          </w:p>
        </w:tc>
        <w:tc>
          <w:tcPr>
            <w:tcW w:w="1596" w:type="dxa"/>
          </w:tcPr>
          <w:p w:rsidR="00DB5993" w:rsidRPr="00A2182B" w:rsidRDefault="00022351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0.60</w:t>
            </w:r>
          </w:p>
        </w:tc>
        <w:tc>
          <w:tcPr>
            <w:tcW w:w="1596" w:type="dxa"/>
          </w:tcPr>
          <w:p w:rsidR="00DB5993" w:rsidRPr="00A2182B" w:rsidRDefault="00022351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199.94</w:t>
            </w:r>
          </w:p>
        </w:tc>
        <w:tc>
          <w:tcPr>
            <w:tcW w:w="1596" w:type="dxa"/>
          </w:tcPr>
          <w:p w:rsidR="00DB5993" w:rsidRPr="00A2182B" w:rsidRDefault="00022351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0.000</w:t>
            </w:r>
          </w:p>
        </w:tc>
      </w:tr>
      <w:tr w:rsidR="00DB5993" w:rsidRPr="00A2182B" w:rsidTr="00DB5993">
        <w:tc>
          <w:tcPr>
            <w:tcW w:w="1596" w:type="dxa"/>
          </w:tcPr>
          <w:p w:rsidR="00DB5993" w:rsidRPr="00A2182B" w:rsidRDefault="00DB5993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parity</w:t>
            </w:r>
          </w:p>
        </w:tc>
        <w:tc>
          <w:tcPr>
            <w:tcW w:w="1596" w:type="dxa"/>
          </w:tcPr>
          <w:p w:rsidR="00DB5993" w:rsidRPr="00A2182B" w:rsidRDefault="00022351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-1.93</w:t>
            </w:r>
          </w:p>
        </w:tc>
        <w:tc>
          <w:tcPr>
            <w:tcW w:w="1596" w:type="dxa"/>
          </w:tcPr>
          <w:p w:rsidR="00DB5993" w:rsidRPr="00A2182B" w:rsidRDefault="00022351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1.19</w:t>
            </w:r>
          </w:p>
        </w:tc>
        <w:tc>
          <w:tcPr>
            <w:tcW w:w="1596" w:type="dxa"/>
          </w:tcPr>
          <w:p w:rsidR="00DB5993" w:rsidRPr="00A2182B" w:rsidRDefault="00022351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-1.62</w:t>
            </w:r>
          </w:p>
        </w:tc>
        <w:tc>
          <w:tcPr>
            <w:tcW w:w="1596" w:type="dxa"/>
          </w:tcPr>
          <w:p w:rsidR="00DB5993" w:rsidRPr="00A2182B" w:rsidRDefault="00022351" w:rsidP="00DB5993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0.1052</w:t>
            </w:r>
          </w:p>
        </w:tc>
      </w:tr>
    </w:tbl>
    <w:p w:rsidR="00DB5993" w:rsidRPr="00A2182B" w:rsidRDefault="00DB5993" w:rsidP="00DB599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DB5993" w:rsidRPr="00A2182B" w:rsidRDefault="00DB5993" w:rsidP="00DB599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(a) Write the equation of the regression line.</w:t>
      </w:r>
    </w:p>
    <w:p w:rsidR="00022351" w:rsidRPr="00A2182B" w:rsidRDefault="00DF2592" w:rsidP="00DB5993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b/>
          <w:color w:val="000000"/>
        </w:rPr>
        <w:t>Birth weight = 120.07 – 1.93 (parity)</w:t>
      </w:r>
    </w:p>
    <w:p w:rsidR="00DB5993" w:rsidRPr="00A2182B" w:rsidRDefault="00DB5993" w:rsidP="00DB599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(b) Interpret the slope in this context, and calculate</w:t>
      </w:r>
      <w:r w:rsidR="00DF2592" w:rsidRPr="00A2182B">
        <w:rPr>
          <w:rFonts w:cs="CMR9"/>
          <w:color w:val="000000"/>
        </w:rPr>
        <w:t xml:space="preserve"> the predicted birth weight of fi</w:t>
      </w:r>
      <w:r w:rsidRPr="00A2182B">
        <w:rPr>
          <w:rFonts w:cs="CMR9"/>
          <w:color w:val="000000"/>
        </w:rPr>
        <w:t>rst borns and</w:t>
      </w:r>
    </w:p>
    <w:p w:rsidR="00DB5993" w:rsidRPr="00A2182B" w:rsidRDefault="00DB5993" w:rsidP="00DB5993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others.</w:t>
      </w:r>
    </w:p>
    <w:p w:rsidR="00DF2592" w:rsidRPr="00A2182B" w:rsidRDefault="00DF2592" w:rsidP="00DB5993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b/>
          <w:color w:val="000000"/>
        </w:rPr>
        <w:t xml:space="preserve">The birth weight of the baby is estimated to be 1.93 lb’s lower if the baby is not first born. </w:t>
      </w:r>
    </w:p>
    <w:p w:rsidR="00DF2592" w:rsidRPr="00A2182B" w:rsidRDefault="00DF2592" w:rsidP="00DB5993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color w:val="000000"/>
        </w:rPr>
        <w:t>First born weight =</w:t>
      </w:r>
      <w:r w:rsidRPr="00A2182B">
        <w:rPr>
          <w:rFonts w:cs="CMR9"/>
          <w:b/>
          <w:color w:val="000000"/>
        </w:rPr>
        <w:t xml:space="preserve"> 120.07</w:t>
      </w:r>
    </w:p>
    <w:p w:rsidR="00DF2592" w:rsidRPr="00A2182B" w:rsidRDefault="00DF2592" w:rsidP="00DB5993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color w:val="000000"/>
        </w:rPr>
        <w:t>Non-first born weight = 120.07 – 1.93 =</w:t>
      </w:r>
      <w:r w:rsidRPr="00A2182B">
        <w:rPr>
          <w:rFonts w:cs="CMR9"/>
          <w:b/>
          <w:color w:val="000000"/>
        </w:rPr>
        <w:t xml:space="preserve"> 118.14</w:t>
      </w:r>
    </w:p>
    <w:p w:rsidR="00DF2592" w:rsidRPr="00A2182B" w:rsidRDefault="00DF2592" w:rsidP="00DB5993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</w:p>
    <w:p w:rsidR="00DB5993" w:rsidRPr="00A2182B" w:rsidRDefault="00DB5993" w:rsidP="00DB5993">
      <w:pPr>
        <w:spacing w:after="0"/>
        <w:rPr>
          <w:rFonts w:cs="CMR9"/>
          <w:color w:val="000000"/>
        </w:rPr>
      </w:pPr>
      <w:r w:rsidRPr="00A2182B">
        <w:rPr>
          <w:rFonts w:cs="CMR9"/>
          <w:color w:val="000000"/>
        </w:rPr>
        <w:t>(c)</w:t>
      </w:r>
      <w:r w:rsidR="00DF2592" w:rsidRPr="00A2182B">
        <w:rPr>
          <w:rFonts w:cs="CMR9"/>
          <w:color w:val="000000"/>
        </w:rPr>
        <w:t xml:space="preserve"> Is there a statistically signifi</w:t>
      </w:r>
      <w:r w:rsidRPr="00A2182B">
        <w:rPr>
          <w:rFonts w:cs="CMR9"/>
          <w:color w:val="000000"/>
        </w:rPr>
        <w:t>cant relationship between the average birth weight and parity?</w:t>
      </w:r>
    </w:p>
    <w:p w:rsidR="00DF2592" w:rsidRPr="00A2182B" w:rsidRDefault="00DF2592" w:rsidP="00DB5993">
      <w:pPr>
        <w:spacing w:after="0"/>
        <w:rPr>
          <w:rFonts w:cs="CMR9"/>
          <w:color w:val="000000"/>
        </w:rPr>
      </w:pPr>
      <w:r w:rsidRPr="00A2182B">
        <w:rPr>
          <w:rFonts w:cs="CMR9"/>
          <w:color w:val="000000"/>
        </w:rPr>
        <w:t>Ho: b1 = 0</w:t>
      </w:r>
    </w:p>
    <w:p w:rsidR="00DF2592" w:rsidRPr="00A2182B" w:rsidRDefault="00DF2592" w:rsidP="00DB5993">
      <w:pPr>
        <w:spacing w:after="0"/>
        <w:rPr>
          <w:rFonts w:cs="CMR9"/>
          <w:color w:val="000000"/>
        </w:rPr>
      </w:pPr>
      <w:r w:rsidRPr="00A2182B">
        <w:rPr>
          <w:rFonts w:cs="CMR9"/>
          <w:color w:val="000000"/>
        </w:rPr>
        <w:t>Ha: b1 ≠ 0</w:t>
      </w:r>
    </w:p>
    <w:p w:rsidR="00DF2592" w:rsidRPr="00A2182B" w:rsidRDefault="00DF2592" w:rsidP="00DB5993">
      <w:pPr>
        <w:spacing w:after="0"/>
        <w:rPr>
          <w:rFonts w:cs="CMR9"/>
          <w:b/>
          <w:color w:val="000000"/>
        </w:rPr>
      </w:pPr>
      <w:r w:rsidRPr="00A2182B">
        <w:rPr>
          <w:rFonts w:cs="CMR9"/>
          <w:b/>
          <w:color w:val="000000"/>
        </w:rPr>
        <w:t xml:space="preserve">Because </w:t>
      </w:r>
      <w:r w:rsidR="00FD5854" w:rsidRPr="00A2182B">
        <w:rPr>
          <w:rFonts w:cs="CMR9"/>
          <w:b/>
          <w:color w:val="000000"/>
        </w:rPr>
        <w:t>p-value is over .05 (or even .025), we fail to reject the null hypothesis</w:t>
      </w:r>
    </w:p>
    <w:p w:rsidR="00FD5854" w:rsidRPr="00A2182B" w:rsidRDefault="00FD5854" w:rsidP="00DB5993">
      <w:pPr>
        <w:spacing w:after="0"/>
        <w:rPr>
          <w:rFonts w:cs="CMR9"/>
          <w:b/>
          <w:color w:val="000000"/>
        </w:rPr>
      </w:pPr>
    </w:p>
    <w:p w:rsidR="00FD5854" w:rsidRPr="00A2182B" w:rsidRDefault="00FD5854">
      <w:pPr>
        <w:rPr>
          <w:rFonts w:cs="CMBX9"/>
          <w:color w:val="569CBE"/>
        </w:rPr>
      </w:pPr>
      <w:r w:rsidRPr="00A2182B">
        <w:rPr>
          <w:rFonts w:cs="CMBX9"/>
          <w:color w:val="569CBE"/>
        </w:rPr>
        <w:br w:type="page"/>
      </w:r>
    </w:p>
    <w:p w:rsidR="00FD5854" w:rsidRPr="00A2182B" w:rsidRDefault="00FD5854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BX9"/>
          <w:color w:val="569CBE"/>
        </w:rPr>
        <w:lastRenderedPageBreak/>
        <w:t xml:space="preserve">8.4 Absenteeism, Part I. </w:t>
      </w:r>
      <w:r w:rsidRPr="00A2182B">
        <w:rPr>
          <w:rFonts w:cs="CMR9"/>
          <w:color w:val="000000"/>
        </w:rPr>
        <w:t>Researchers interested in the relationship between absenteeism from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school and certain demographic characteristics of children colle</w:t>
      </w:r>
      <w:r w:rsidRPr="00A2182B">
        <w:rPr>
          <w:rFonts w:cs="CMR9"/>
          <w:color w:val="000000"/>
        </w:rPr>
        <w:t>cted data from 146 randomly sam</w:t>
      </w:r>
      <w:r w:rsidRPr="00A2182B">
        <w:rPr>
          <w:rFonts w:cs="CMR9"/>
          <w:color w:val="000000"/>
        </w:rPr>
        <w:t>pled students in rural New South Wales, Australia, in a particular school year. Below are three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observations from this data set.</w:t>
      </w:r>
    </w:p>
    <w:p w:rsidR="00FD5854" w:rsidRPr="00A2182B" w:rsidRDefault="00FD5854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513"/>
        <w:gridCol w:w="522"/>
        <w:gridCol w:w="501"/>
        <w:gridCol w:w="623"/>
      </w:tblGrid>
      <w:tr w:rsidR="00FD5854" w:rsidRPr="00A2182B" w:rsidTr="00B810D8"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Eth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Sex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Lrn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days</w:t>
            </w:r>
          </w:p>
        </w:tc>
      </w:tr>
      <w:tr w:rsidR="00FD5854" w:rsidRPr="00A2182B" w:rsidTr="00B810D8"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0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2</w:t>
            </w:r>
          </w:p>
        </w:tc>
      </w:tr>
      <w:tr w:rsidR="00FD5854" w:rsidRPr="00A2182B" w:rsidTr="00B810D8"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2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0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11</w:t>
            </w:r>
          </w:p>
        </w:tc>
      </w:tr>
      <w:tr w:rsidR="00FD5854" w:rsidRPr="00A2182B" w:rsidTr="00B810D8"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…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…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…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…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…</w:t>
            </w:r>
          </w:p>
        </w:tc>
      </w:tr>
      <w:tr w:rsidR="00FD5854" w:rsidRPr="00A2182B" w:rsidTr="00B810D8"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146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0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0</w:t>
            </w:r>
          </w:p>
        </w:tc>
        <w:tc>
          <w:tcPr>
            <w:tcW w:w="23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37</w:t>
            </w:r>
          </w:p>
        </w:tc>
      </w:tr>
    </w:tbl>
    <w:p w:rsidR="00FD5854" w:rsidRPr="00A2182B" w:rsidRDefault="00FD5854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FD5854" w:rsidRPr="00A2182B" w:rsidRDefault="00FD5854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FD5854" w:rsidRPr="00A2182B" w:rsidRDefault="00FD5854" w:rsidP="00FD5854">
      <w:pPr>
        <w:autoSpaceDE w:val="0"/>
        <w:autoSpaceDN w:val="0"/>
        <w:adjustRightInd w:val="0"/>
        <w:spacing w:after="0" w:line="240" w:lineRule="auto"/>
        <w:rPr>
          <w:rFonts w:cs="CMR6"/>
          <w:color w:val="808080"/>
        </w:rPr>
      </w:pPr>
      <w:r w:rsidRPr="00A2182B">
        <w:rPr>
          <w:rFonts w:cs="CMR9"/>
          <w:color w:val="000000"/>
        </w:rPr>
        <w:t>The summary table below shows the results of a linear regression model for predicting the average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number of days absent based on ethnic background (</w:t>
      </w:r>
      <w:r w:rsidRPr="00A2182B">
        <w:rPr>
          <w:rFonts w:cs="CMTT9"/>
          <w:color w:val="000000"/>
        </w:rPr>
        <w:t>eth</w:t>
      </w:r>
      <w:r w:rsidRPr="00A2182B">
        <w:rPr>
          <w:rFonts w:cs="CMR9"/>
          <w:color w:val="000000"/>
        </w:rPr>
        <w:t>: 0 - aboriginal, 1 - not aboriginal), sex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(</w:t>
      </w:r>
      <w:r w:rsidRPr="00A2182B">
        <w:rPr>
          <w:rFonts w:cs="CMTT9"/>
          <w:color w:val="000000"/>
        </w:rPr>
        <w:t>sex</w:t>
      </w:r>
      <w:r w:rsidRPr="00A2182B">
        <w:rPr>
          <w:rFonts w:cs="CMR9"/>
          <w:color w:val="000000"/>
        </w:rPr>
        <w:t>: 0 - female, 1 - male), and learner status (</w:t>
      </w:r>
      <w:r w:rsidRPr="00A2182B">
        <w:rPr>
          <w:rFonts w:cs="CMTT9"/>
          <w:color w:val="000000"/>
        </w:rPr>
        <w:t>lrn</w:t>
      </w:r>
      <w:r w:rsidRPr="00A2182B">
        <w:rPr>
          <w:rFonts w:cs="CMR9"/>
          <w:color w:val="000000"/>
        </w:rPr>
        <w:t>: 0 - average learner, 1 - slow learner).</w:t>
      </w:r>
    </w:p>
    <w:p w:rsidR="00FD5854" w:rsidRPr="00A2182B" w:rsidRDefault="00FD5854" w:rsidP="00FD5854">
      <w:pPr>
        <w:autoSpaceDE w:val="0"/>
        <w:autoSpaceDN w:val="0"/>
        <w:adjustRightInd w:val="0"/>
        <w:spacing w:after="0" w:line="240" w:lineRule="auto"/>
        <w:rPr>
          <w:rFonts w:cs="CMR6"/>
          <w:color w:val="8080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FD5854" w:rsidRPr="00A2182B" w:rsidTr="00B810D8"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Estimate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Std. Error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t value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Pr(&gt;|t|)</w:t>
            </w:r>
          </w:p>
        </w:tc>
      </w:tr>
      <w:tr w:rsidR="00FD5854" w:rsidRPr="00A2182B" w:rsidTr="00B810D8"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(Intercept)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18.93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2.57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7.37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0.000</w:t>
            </w:r>
          </w:p>
        </w:tc>
      </w:tr>
      <w:tr w:rsidR="00FD5854" w:rsidRPr="00A2182B" w:rsidTr="00B810D8"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eth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-9.11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2.60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-3.51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0.000</w:t>
            </w:r>
          </w:p>
        </w:tc>
      </w:tr>
      <w:tr w:rsidR="00FD5854" w:rsidRPr="00A2182B" w:rsidTr="00B810D8"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sex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3.10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2.64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1.18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.2411</w:t>
            </w:r>
          </w:p>
        </w:tc>
      </w:tr>
      <w:tr w:rsidR="00FD5854" w:rsidRPr="00A2182B" w:rsidTr="00B810D8"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lrn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2.15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2.65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0.81</w:t>
            </w:r>
          </w:p>
        </w:tc>
        <w:tc>
          <w:tcPr>
            <w:tcW w:w="1596" w:type="dxa"/>
          </w:tcPr>
          <w:p w:rsidR="00FD5854" w:rsidRPr="00A2182B" w:rsidRDefault="00FD585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.4177</w:t>
            </w:r>
          </w:p>
        </w:tc>
      </w:tr>
    </w:tbl>
    <w:p w:rsidR="00FD5854" w:rsidRPr="00A2182B" w:rsidRDefault="00FD5854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FD5854" w:rsidRPr="00A2182B" w:rsidRDefault="00FD5854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(a) Write the equation of the regression line.</w:t>
      </w:r>
    </w:p>
    <w:p w:rsidR="00953B2C" w:rsidRPr="00A2182B" w:rsidRDefault="00953B2C" w:rsidP="00FD5854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b/>
          <w:color w:val="000000"/>
        </w:rPr>
        <w:t>Average number of days absent = 18.93 - 9.11(ethnicity) + 3.10(sex) + 2.15(learn)</w:t>
      </w:r>
    </w:p>
    <w:p w:rsidR="00953B2C" w:rsidRPr="00A2182B" w:rsidRDefault="00953B2C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FD5854" w:rsidRPr="00A2182B" w:rsidRDefault="00FD5854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(b) Interpret each one of the slopes in this context.</w:t>
      </w:r>
    </w:p>
    <w:p w:rsidR="00953B2C" w:rsidRPr="00A2182B" w:rsidRDefault="00953B2C" w:rsidP="00FD5854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b/>
          <w:color w:val="000000"/>
        </w:rPr>
        <w:t>All else held constant:</w:t>
      </w:r>
    </w:p>
    <w:p w:rsidR="00953B2C" w:rsidRPr="00A2182B" w:rsidRDefault="00953B2C" w:rsidP="00FD5854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b/>
          <w:color w:val="000000"/>
        </w:rPr>
        <w:t>βeth: The model predicts a non-aborignal student will be absent 9 less days than an aboriginal student</w:t>
      </w:r>
    </w:p>
    <w:p w:rsidR="00953B2C" w:rsidRPr="00A2182B" w:rsidRDefault="00953B2C" w:rsidP="00FD5854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b/>
          <w:color w:val="000000"/>
        </w:rPr>
        <w:t>β</w:t>
      </w:r>
      <w:r w:rsidRPr="00A2182B">
        <w:rPr>
          <w:rFonts w:cs="CMR9"/>
          <w:b/>
          <w:color w:val="000000"/>
        </w:rPr>
        <w:t>sex</w:t>
      </w:r>
      <w:r w:rsidRPr="00A2182B">
        <w:rPr>
          <w:rFonts w:cs="CMR9"/>
          <w:b/>
          <w:color w:val="000000"/>
        </w:rPr>
        <w:t>:</w:t>
      </w:r>
      <w:r w:rsidRPr="00A2182B">
        <w:rPr>
          <w:rFonts w:cs="CMR9"/>
          <w:b/>
          <w:color w:val="000000"/>
        </w:rPr>
        <w:t xml:space="preserve"> The model predicts a student will be absent 3 more days if they are male than if they are female</w:t>
      </w:r>
    </w:p>
    <w:p w:rsidR="00953B2C" w:rsidRPr="00A2182B" w:rsidRDefault="00953B2C" w:rsidP="00FD5854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b/>
          <w:color w:val="000000"/>
        </w:rPr>
        <w:t>β</w:t>
      </w:r>
      <w:r w:rsidRPr="00A2182B">
        <w:rPr>
          <w:rFonts w:cs="CMR9"/>
          <w:b/>
          <w:color w:val="000000"/>
        </w:rPr>
        <w:t>lrn</w:t>
      </w:r>
      <w:r w:rsidRPr="00A2182B">
        <w:rPr>
          <w:rFonts w:cs="CMR9"/>
          <w:b/>
          <w:color w:val="000000"/>
        </w:rPr>
        <w:t>:</w:t>
      </w:r>
      <w:r w:rsidRPr="00A2182B">
        <w:rPr>
          <w:rFonts w:cs="CMR9"/>
          <w:b/>
          <w:color w:val="000000"/>
        </w:rPr>
        <w:t xml:space="preserve"> The model predicts a slower learn will be absent 2 more days than an average learner</w:t>
      </w:r>
    </w:p>
    <w:p w:rsidR="00953B2C" w:rsidRPr="00A2182B" w:rsidRDefault="00953B2C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FD5854" w:rsidRPr="00A2182B" w:rsidRDefault="00FD5854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 xml:space="preserve">(c) </w:t>
      </w:r>
      <w:r w:rsidR="00953B2C" w:rsidRPr="00A2182B">
        <w:rPr>
          <w:rFonts w:cs="CMR9"/>
          <w:color w:val="000000"/>
        </w:rPr>
        <w:t>Calculate the residual for the fi</w:t>
      </w:r>
      <w:r w:rsidRPr="00A2182B">
        <w:rPr>
          <w:rFonts w:cs="CMR9"/>
          <w:color w:val="000000"/>
        </w:rPr>
        <w:t>rst observation in the data set: a student who is aboriginal,</w:t>
      </w:r>
      <w:r w:rsidR="00953B2C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male, a slow learner, and missed 2 days of school.</w:t>
      </w:r>
    </w:p>
    <w:p w:rsidR="007B5E77" w:rsidRPr="00A2182B" w:rsidRDefault="00953B2C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 xml:space="preserve">Y </w:t>
      </w:r>
      <w:r w:rsidR="007B5E77" w:rsidRPr="00A2182B">
        <w:rPr>
          <w:rFonts w:cs="CMR9"/>
          <w:color w:val="000000"/>
          <w:vertAlign w:val="subscript"/>
        </w:rPr>
        <w:t>1</w:t>
      </w:r>
      <w:r w:rsidRPr="00A2182B">
        <w:rPr>
          <w:rFonts w:cs="CMR9"/>
          <w:color w:val="000000"/>
          <w:vertAlign w:val="subscript"/>
        </w:rPr>
        <w:t xml:space="preserve"> </w:t>
      </w:r>
      <w:r w:rsidRPr="00A2182B">
        <w:rPr>
          <w:rFonts w:cs="CMR9"/>
          <w:color w:val="000000"/>
        </w:rPr>
        <w:t xml:space="preserve"> = </w:t>
      </w:r>
      <w:r w:rsidR="007B5E77" w:rsidRPr="00A2182B">
        <w:rPr>
          <w:rFonts w:cs="CMR9"/>
          <w:color w:val="000000"/>
        </w:rPr>
        <w:t xml:space="preserve">18.93 – 9.11(1) + 3.10(1) + 2.15(1) = </w:t>
      </w:r>
      <w:r w:rsidR="007B5E77" w:rsidRPr="00A2182B">
        <w:rPr>
          <w:rFonts w:cs="CMR9"/>
          <w:b/>
          <w:color w:val="000000"/>
        </w:rPr>
        <w:t>15.07</w:t>
      </w:r>
      <w:r w:rsidR="007B5E77" w:rsidRPr="00A2182B">
        <w:rPr>
          <w:rFonts w:cs="CMR9"/>
          <w:color w:val="000000"/>
        </w:rPr>
        <w:t xml:space="preserve"> </w:t>
      </w:r>
    </w:p>
    <w:p w:rsidR="00953B2C" w:rsidRPr="00A2182B" w:rsidRDefault="007B5E77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 xml:space="preserve">Residual = 15.07 – 2days = </w:t>
      </w:r>
      <w:r w:rsidRPr="00A2182B">
        <w:rPr>
          <w:rFonts w:cs="CMR9"/>
          <w:b/>
          <w:color w:val="000000"/>
        </w:rPr>
        <w:t>13.07</w:t>
      </w:r>
    </w:p>
    <w:p w:rsidR="007B5E77" w:rsidRPr="00A2182B" w:rsidRDefault="007B5E77" w:rsidP="00FD5854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FD5854" w:rsidRPr="00A2182B" w:rsidRDefault="00FD5854" w:rsidP="007B5E77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(d) The variance of the residuals is 240.57, and the variance of the number of absent days for all</w:t>
      </w:r>
      <w:r w:rsidR="007B5E77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 xml:space="preserve">students in the data set is 264.17. Calculate the </w:t>
      </w:r>
      <w:r w:rsidRPr="00A2182B">
        <w:rPr>
          <w:rFonts w:cs="CMMI9"/>
          <w:color w:val="000000"/>
        </w:rPr>
        <w:t>R</w:t>
      </w:r>
      <w:r w:rsidRPr="00A2182B">
        <w:rPr>
          <w:rFonts w:cs="CMR6"/>
          <w:color w:val="000000"/>
        </w:rPr>
        <w:t xml:space="preserve">2 </w:t>
      </w:r>
      <w:r w:rsidRPr="00A2182B">
        <w:rPr>
          <w:rFonts w:cs="CMR9"/>
          <w:color w:val="000000"/>
        </w:rPr>
        <w:t xml:space="preserve">and the adjusted </w:t>
      </w:r>
      <w:r w:rsidRPr="00A2182B">
        <w:rPr>
          <w:rFonts w:cs="CMMI9"/>
          <w:color w:val="000000"/>
        </w:rPr>
        <w:t>R</w:t>
      </w:r>
      <w:r w:rsidRPr="00A2182B">
        <w:rPr>
          <w:rFonts w:cs="CMR6"/>
          <w:color w:val="000000"/>
        </w:rPr>
        <w:t>2</w:t>
      </w:r>
      <w:r w:rsidRPr="00A2182B">
        <w:rPr>
          <w:rFonts w:cs="CMR9"/>
          <w:color w:val="000000"/>
        </w:rPr>
        <w:t>. Note that there are</w:t>
      </w:r>
      <w:r w:rsidR="007B5E77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146 observations in the data set.</w:t>
      </w:r>
    </w:p>
    <w:p w:rsidR="007B5E77" w:rsidRPr="00A2182B" w:rsidRDefault="007B5E77" w:rsidP="007B5E77">
      <w:pPr>
        <w:autoSpaceDE w:val="0"/>
        <w:autoSpaceDN w:val="0"/>
        <w:adjustRightInd w:val="0"/>
        <w:spacing w:after="0" w:line="240" w:lineRule="auto"/>
      </w:pPr>
      <w:r w:rsidRPr="00A2182B">
        <w:t xml:space="preserve">R2 = 1 – (240.57/264.17) = </w:t>
      </w:r>
      <w:r w:rsidRPr="00A2182B">
        <w:rPr>
          <w:b/>
        </w:rPr>
        <w:t>.089</w:t>
      </w:r>
    </w:p>
    <w:p w:rsidR="00D074A6" w:rsidRPr="00A2182B" w:rsidRDefault="007B5E77" w:rsidP="007B5E77">
      <w:pPr>
        <w:autoSpaceDE w:val="0"/>
        <w:autoSpaceDN w:val="0"/>
        <w:adjustRightInd w:val="0"/>
        <w:spacing w:after="0" w:line="240" w:lineRule="auto"/>
        <w:rPr>
          <w:b/>
        </w:rPr>
      </w:pPr>
      <w:r w:rsidRPr="00A2182B">
        <w:t xml:space="preserve">Adjusted R2 = 1 – (240.57/264.17)(145/142) = </w:t>
      </w:r>
      <w:r w:rsidRPr="00A2182B">
        <w:rPr>
          <w:b/>
        </w:rPr>
        <w:t>.070</w:t>
      </w:r>
    </w:p>
    <w:p w:rsidR="00D074A6" w:rsidRPr="00A2182B" w:rsidRDefault="00D074A6">
      <w:pPr>
        <w:rPr>
          <w:b/>
        </w:rPr>
      </w:pPr>
      <w:r w:rsidRPr="00A2182B">
        <w:rPr>
          <w:b/>
        </w:rPr>
        <w:br w:type="page"/>
      </w:r>
    </w:p>
    <w:p w:rsidR="00D074A6" w:rsidRPr="00A2182B" w:rsidRDefault="00D074A6" w:rsidP="00D074A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BX9"/>
          <w:color w:val="569CBE"/>
        </w:rPr>
        <w:lastRenderedPageBreak/>
        <w:t xml:space="preserve">8.8 Absenteeism, Part II. </w:t>
      </w:r>
      <w:r w:rsidRPr="00A2182B">
        <w:rPr>
          <w:rFonts w:cs="CMR9"/>
          <w:color w:val="000000"/>
        </w:rPr>
        <w:t xml:space="preserve">Exercise </w:t>
      </w:r>
      <w:r w:rsidRPr="00A2182B">
        <w:rPr>
          <w:rFonts w:cs="CMR9"/>
          <w:color w:val="808080"/>
        </w:rPr>
        <w:t xml:space="preserve">8.4 </w:t>
      </w:r>
      <w:r w:rsidRPr="00A2182B">
        <w:rPr>
          <w:rFonts w:cs="CMR9"/>
          <w:color w:val="000000"/>
        </w:rPr>
        <w:t>considers a model that predicts the number of days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absent using three predictors: ethnic background (</w:t>
      </w:r>
      <w:r w:rsidRPr="00A2182B">
        <w:rPr>
          <w:rFonts w:cs="CMTT9"/>
          <w:color w:val="000000"/>
        </w:rPr>
        <w:t>eth</w:t>
      </w:r>
      <w:r w:rsidRPr="00A2182B">
        <w:rPr>
          <w:rFonts w:cs="CMR9"/>
          <w:color w:val="000000"/>
        </w:rPr>
        <w:t>), gender (</w:t>
      </w:r>
      <w:r w:rsidRPr="00A2182B">
        <w:rPr>
          <w:rFonts w:cs="CMTT9"/>
          <w:color w:val="000000"/>
        </w:rPr>
        <w:t>sex</w:t>
      </w:r>
      <w:r w:rsidRPr="00A2182B">
        <w:rPr>
          <w:rFonts w:cs="CMR9"/>
          <w:color w:val="000000"/>
        </w:rPr>
        <w:t>), and learner status (</w:t>
      </w:r>
      <w:r w:rsidRPr="00A2182B">
        <w:rPr>
          <w:rFonts w:cs="CMTT9"/>
          <w:color w:val="000000"/>
        </w:rPr>
        <w:t>lrn</w:t>
      </w:r>
      <w:r w:rsidRPr="00A2182B">
        <w:rPr>
          <w:rFonts w:cs="CMR9"/>
          <w:color w:val="000000"/>
        </w:rPr>
        <w:t>).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The table below shows the adjusted R-squared for the model as well as adjusted R-squared values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for all models we evaluate in the _rst step of the backwards elimination process.</w:t>
      </w:r>
    </w:p>
    <w:p w:rsidR="00FA2274" w:rsidRPr="00A2182B" w:rsidRDefault="00FA2274" w:rsidP="00D074A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</w:tblGrid>
      <w:tr w:rsidR="00FA2274" w:rsidRPr="00A2182B" w:rsidTr="00B810D8"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</w:p>
        </w:tc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Model</w:t>
            </w:r>
          </w:p>
        </w:tc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Adjusted R2</w:t>
            </w:r>
          </w:p>
        </w:tc>
      </w:tr>
      <w:tr w:rsidR="00FA2274" w:rsidRPr="00A2182B" w:rsidTr="00B810D8"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1</w:t>
            </w:r>
          </w:p>
        </w:tc>
        <w:tc>
          <w:tcPr>
            <w:tcW w:w="1596" w:type="dxa"/>
          </w:tcPr>
          <w:p w:rsidR="00FA2274" w:rsidRPr="00A2182B" w:rsidRDefault="00FA2274" w:rsidP="00FA2274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Full model</w:t>
            </w:r>
          </w:p>
        </w:tc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.0701</w:t>
            </w:r>
          </w:p>
        </w:tc>
      </w:tr>
      <w:tr w:rsidR="00FA2274" w:rsidRPr="00A2182B" w:rsidTr="00B810D8"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2</w:t>
            </w:r>
          </w:p>
        </w:tc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No ethnicity</w:t>
            </w:r>
          </w:p>
        </w:tc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-.0033</w:t>
            </w:r>
          </w:p>
        </w:tc>
      </w:tr>
      <w:tr w:rsidR="00FA2274" w:rsidRPr="00A2182B" w:rsidTr="00B810D8"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3</w:t>
            </w:r>
          </w:p>
        </w:tc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No sex</w:t>
            </w:r>
          </w:p>
        </w:tc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.0676</w:t>
            </w:r>
          </w:p>
        </w:tc>
      </w:tr>
      <w:tr w:rsidR="00FA2274" w:rsidRPr="00A2182B" w:rsidTr="00B810D8"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4</w:t>
            </w:r>
          </w:p>
        </w:tc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No learn status</w:t>
            </w:r>
          </w:p>
        </w:tc>
        <w:tc>
          <w:tcPr>
            <w:tcW w:w="1596" w:type="dxa"/>
          </w:tcPr>
          <w:p w:rsidR="00FA2274" w:rsidRPr="00A2182B" w:rsidRDefault="00FA2274" w:rsidP="00B810D8">
            <w:pPr>
              <w:autoSpaceDE w:val="0"/>
              <w:autoSpaceDN w:val="0"/>
              <w:adjustRightInd w:val="0"/>
              <w:rPr>
                <w:rFonts w:cs="CMR9"/>
                <w:color w:val="000000"/>
              </w:rPr>
            </w:pPr>
            <w:r w:rsidRPr="00A2182B">
              <w:rPr>
                <w:rFonts w:cs="CMR9"/>
                <w:color w:val="000000"/>
              </w:rPr>
              <w:t>.0723</w:t>
            </w:r>
          </w:p>
        </w:tc>
      </w:tr>
    </w:tbl>
    <w:p w:rsidR="00FA2274" w:rsidRPr="00A2182B" w:rsidRDefault="00FA2274" w:rsidP="00D074A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7B5E77" w:rsidRPr="00A2182B" w:rsidRDefault="00D074A6" w:rsidP="00D074A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Which, if any, variable sh</w:t>
      </w:r>
      <w:r w:rsidR="00FA2274" w:rsidRPr="00A2182B">
        <w:rPr>
          <w:rFonts w:cs="CMR9"/>
          <w:color w:val="000000"/>
        </w:rPr>
        <w:t>ould be removed from the model fi</w:t>
      </w:r>
      <w:r w:rsidRPr="00A2182B">
        <w:rPr>
          <w:rFonts w:cs="CMR9"/>
          <w:color w:val="000000"/>
        </w:rPr>
        <w:t>rst?</w:t>
      </w:r>
    </w:p>
    <w:p w:rsidR="00FA2274" w:rsidRPr="00A2182B" w:rsidRDefault="00FA2274" w:rsidP="00D074A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b/>
          <w:color w:val="000000"/>
        </w:rPr>
        <w:t>Remove no learn status, because it has highest adjusted R2</w:t>
      </w:r>
    </w:p>
    <w:p w:rsidR="00FA2274" w:rsidRPr="00A2182B" w:rsidRDefault="00FA2274" w:rsidP="00D074A6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BX9"/>
          <w:color w:val="569CBE"/>
        </w:rPr>
        <w:t xml:space="preserve">8.16 Challenger disaster, Part I. </w:t>
      </w:r>
      <w:r w:rsidRPr="00A2182B">
        <w:rPr>
          <w:rFonts w:cs="CMR9"/>
          <w:color w:val="000000"/>
        </w:rPr>
        <w:t>On January 28, 1986, a routine launch was anticipated for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 xml:space="preserve">the Challenger space shuttle. Seventy-three seconds into the </w:t>
      </w:r>
      <w:r w:rsidRPr="00A2182B">
        <w:rPr>
          <w:rFonts w:cs="CMR9"/>
          <w:color w:val="000000"/>
        </w:rPr>
        <w:t>fl</w:t>
      </w:r>
      <w:r w:rsidRPr="00A2182B">
        <w:rPr>
          <w:rFonts w:cs="CMR9"/>
          <w:color w:val="000000"/>
        </w:rPr>
        <w:t>ight, disaster happened: the shuttle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broke apart, killing all seven crew members on board. An investigation into the cause of the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disaster focused on a critical seal called an O-ring, and it is believed that damage to these O-rings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during a shuttle launch may be related to the ambient temperature during the launch. The table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below summarizes observational data on O-rings for 23 shuttle missions, where the mission order</w:t>
      </w: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 xml:space="preserve">is based on the temperature at the time of the launch. </w:t>
      </w:r>
      <w:r w:rsidRPr="00A2182B">
        <w:rPr>
          <w:rFonts w:cs="CMTI9"/>
          <w:color w:val="000000"/>
        </w:rPr>
        <w:t xml:space="preserve">Temp </w:t>
      </w:r>
      <w:r w:rsidRPr="00A2182B">
        <w:rPr>
          <w:rFonts w:cs="CMR9"/>
          <w:color w:val="000000"/>
        </w:rPr>
        <w:t>gives the temperature in Fahrenheit,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TI9"/>
          <w:color w:val="000000"/>
        </w:rPr>
        <w:t xml:space="preserve">Damaged </w:t>
      </w:r>
      <w:r w:rsidRPr="00A2182B">
        <w:rPr>
          <w:rFonts w:cs="CMR9"/>
          <w:color w:val="000000"/>
        </w:rPr>
        <w:t xml:space="preserve">represents the number of damaged O-rings, and </w:t>
      </w:r>
      <w:r w:rsidRPr="00A2182B">
        <w:rPr>
          <w:rFonts w:cs="CMTI9"/>
          <w:color w:val="000000"/>
        </w:rPr>
        <w:t xml:space="preserve">Undamaged </w:t>
      </w:r>
      <w:r w:rsidRPr="00A2182B">
        <w:rPr>
          <w:rFonts w:cs="CMR9"/>
          <w:color w:val="000000"/>
        </w:rPr>
        <w:t>represents the number of</w:t>
      </w: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O-rings that were not damaged.</w:t>
      </w: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63EFA739" wp14:editId="7BEF120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96252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559" y="21478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 xml:space="preserve">(a) Each column of </w:t>
      </w:r>
      <w:r w:rsidR="00264674" w:rsidRPr="00A2182B">
        <w:rPr>
          <w:rFonts w:cs="CMR9"/>
          <w:color w:val="000000"/>
        </w:rPr>
        <w:t>the table above represents a diff</w:t>
      </w:r>
      <w:r w:rsidRPr="00A2182B">
        <w:rPr>
          <w:rFonts w:cs="CMR9"/>
          <w:color w:val="000000"/>
        </w:rPr>
        <w:t>erent shuttle mission. Examine these data</w:t>
      </w:r>
      <w:r w:rsidR="00264674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and describe what you observe with respect to the relationship between temperatures and</w:t>
      </w:r>
      <w:r w:rsidR="00264674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damaged O-rings.</w:t>
      </w:r>
    </w:p>
    <w:p w:rsidR="00264674" w:rsidRPr="00A2182B" w:rsidRDefault="00264674" w:rsidP="00502B4A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b/>
          <w:color w:val="000000"/>
        </w:rPr>
        <w:t xml:space="preserve">The lower temperature appears to create an environment where o-rings are more likely to be damaged, especially under roughly 65 degrees. Under 57ish appears to be very damaging. </w:t>
      </w:r>
    </w:p>
    <w:p w:rsidR="00264674" w:rsidRPr="00A2182B" w:rsidRDefault="00264674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(b) Failures have been coded as 1 for a damaged O-ring and 0 for an undamaged O-ring, and</w:t>
      </w: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a</w:t>
      </w:r>
      <w:r w:rsidR="00264674" w:rsidRPr="00A2182B">
        <w:rPr>
          <w:rFonts w:cs="CMR9"/>
          <w:color w:val="000000"/>
        </w:rPr>
        <w:t xml:space="preserve"> logistic regression model was fi</w:t>
      </w:r>
      <w:r w:rsidRPr="00A2182B">
        <w:rPr>
          <w:rFonts w:cs="CMR9"/>
          <w:color w:val="000000"/>
        </w:rPr>
        <w:t>t to these data. A summary of this model is given below.</w:t>
      </w: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Describe the key components of this summary table in words.</w:t>
      </w: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noProof/>
          <w:color w:val="000000"/>
        </w:rPr>
        <w:lastRenderedPageBreak/>
        <w:drawing>
          <wp:inline distT="0" distB="0" distL="0" distR="0" wp14:anchorId="1D931B44" wp14:editId="2F89C444">
            <wp:extent cx="38481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74" w:rsidRPr="00A2182B" w:rsidRDefault="00264674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264674" w:rsidRPr="00A2182B" w:rsidRDefault="00264674" w:rsidP="00502B4A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b/>
          <w:color w:val="000000"/>
        </w:rPr>
        <w:t>The intercep</w:t>
      </w:r>
      <w:r w:rsidR="007033AD" w:rsidRPr="00A2182B">
        <w:rPr>
          <w:rFonts w:cs="CMR9"/>
          <w:b/>
          <w:color w:val="000000"/>
        </w:rPr>
        <w:t xml:space="preserve">t is 11.66, which .2162 is subtracted from for each additional degree of temperature. </w:t>
      </w:r>
    </w:p>
    <w:p w:rsidR="00502B4A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(c) Write out the logistic model using the point estimates of the model parameters.</w:t>
      </w:r>
    </w:p>
    <w:p w:rsidR="007033AD" w:rsidRPr="00A2182B" w:rsidRDefault="007033AD" w:rsidP="00502B4A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 w:rsidRPr="00A2182B">
        <w:rPr>
          <w:rFonts w:cs="CMR9"/>
          <w:b/>
          <w:color w:val="000000"/>
        </w:rPr>
        <w:t>Chance of O-Ring damage = Log(pi/1-pi) = 11.6630 – .2162(temperature)</w:t>
      </w:r>
    </w:p>
    <w:p w:rsidR="00FA2274" w:rsidRPr="00A2182B" w:rsidRDefault="00502B4A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(d) Based on the model, do you think conce</w:t>
      </w:r>
      <w:r w:rsidR="007033AD" w:rsidRPr="00A2182B">
        <w:rPr>
          <w:rFonts w:cs="CMR9"/>
          <w:color w:val="000000"/>
        </w:rPr>
        <w:t>rns regarding O-rings are justifi</w:t>
      </w:r>
      <w:r w:rsidRPr="00A2182B">
        <w:rPr>
          <w:rFonts w:cs="CMR9"/>
          <w:color w:val="000000"/>
        </w:rPr>
        <w:t>ed? Explain.</w:t>
      </w:r>
    </w:p>
    <w:p w:rsidR="000508DB" w:rsidRPr="00A2182B" w:rsidRDefault="007033AD" w:rsidP="00502B4A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b/>
          <w:color w:val="000000"/>
        </w:rPr>
        <w:t>Yes, at 53 degrees, there is a predicted damage rate of 55%, at 60 degrees it is 21%.</w:t>
      </w:r>
      <w:r w:rsidRPr="00A2182B">
        <w:rPr>
          <w:rFonts w:cs="CMR9"/>
          <w:color w:val="000000"/>
        </w:rPr>
        <w:t xml:space="preserve"> Those are very high numbers when lives are at stake.  </w:t>
      </w:r>
    </w:p>
    <w:p w:rsidR="000508DB" w:rsidRPr="00A2182B" w:rsidRDefault="000508DB">
      <w:pPr>
        <w:rPr>
          <w:rFonts w:cs="CMR9"/>
          <w:color w:val="000000"/>
        </w:rPr>
      </w:pPr>
    </w:p>
    <w:p w:rsidR="000508DB" w:rsidRPr="00A2182B" w:rsidRDefault="000508D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BX9"/>
          <w:color w:val="569CBE"/>
        </w:rPr>
        <w:t xml:space="preserve">8.18 Challenger disaster, Part II. </w:t>
      </w:r>
      <w:r w:rsidRPr="00A2182B">
        <w:rPr>
          <w:rFonts w:cs="CMR9"/>
          <w:color w:val="000000"/>
        </w:rPr>
        <w:t xml:space="preserve">Exercise </w:t>
      </w:r>
      <w:r w:rsidRPr="00A2182B">
        <w:rPr>
          <w:rFonts w:cs="CMR9"/>
          <w:color w:val="808080"/>
        </w:rPr>
        <w:t xml:space="preserve">8.16 </w:t>
      </w:r>
      <w:r w:rsidRPr="00A2182B">
        <w:rPr>
          <w:rFonts w:cs="CMR9"/>
          <w:color w:val="000000"/>
        </w:rPr>
        <w:t>introduced</w:t>
      </w:r>
      <w:r w:rsidR="00A2182B">
        <w:rPr>
          <w:rFonts w:cs="CMR9"/>
          <w:color w:val="000000"/>
        </w:rPr>
        <w:t xml:space="preserve"> us to O-rings that were identifi</w:t>
      </w:r>
      <w:r w:rsidRPr="00A2182B">
        <w:rPr>
          <w:rFonts w:cs="CMR9"/>
          <w:color w:val="000000"/>
        </w:rPr>
        <w:t>ed</w:t>
      </w:r>
      <w:r w:rsidR="00A2182B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as a plausible explanation for the breakup of the Challenger space shuttl</w:t>
      </w:r>
      <w:r w:rsidR="00A2182B">
        <w:rPr>
          <w:rFonts w:cs="CMR9"/>
          <w:color w:val="000000"/>
        </w:rPr>
        <w:t xml:space="preserve">e 73 seconds into takeoff </w:t>
      </w:r>
      <w:r w:rsidRPr="00A2182B">
        <w:rPr>
          <w:rFonts w:cs="CMR9"/>
          <w:color w:val="000000"/>
        </w:rPr>
        <w:t>in 1986. The investigation found that the ambient temperature at the time of the shuttle launch</w:t>
      </w:r>
      <w:r w:rsidR="00A2182B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was closely related to the damage of O-rings, which are a critical component of the shuttle. See</w:t>
      </w:r>
      <w:r w:rsidR="00A2182B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this earlier exercise if you would like to browse the original data.</w:t>
      </w:r>
    </w:p>
    <w:p w:rsidR="00A2182B" w:rsidRPr="00A2182B" w:rsidRDefault="00A2182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2182B" w:rsidRPr="00A2182B" w:rsidRDefault="00A2182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noProof/>
          <w:color w:val="000000"/>
        </w:rPr>
        <w:drawing>
          <wp:inline distT="0" distB="0" distL="0" distR="0" wp14:anchorId="533B1FE5" wp14:editId="1E438111">
            <wp:extent cx="36957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DB" w:rsidRPr="00A2182B" w:rsidRDefault="000508D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(a) The data provided in the previous exercise are shown i</w:t>
      </w:r>
      <w:r w:rsidR="00A2182B">
        <w:rPr>
          <w:rFonts w:cs="CMR9"/>
          <w:color w:val="000000"/>
        </w:rPr>
        <w:t>n the plot. The logistic model fi</w:t>
      </w:r>
      <w:r w:rsidRPr="00A2182B">
        <w:rPr>
          <w:rFonts w:cs="CMR9"/>
          <w:color w:val="000000"/>
        </w:rPr>
        <w:t>t to</w:t>
      </w:r>
      <w:r w:rsidR="00A2182B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these data may be written as</w:t>
      </w:r>
    </w:p>
    <w:p w:rsidR="00A2182B" w:rsidRPr="00A2182B" w:rsidRDefault="00A2182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2182B" w:rsidRPr="00A2182B" w:rsidRDefault="00A2182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noProof/>
          <w:color w:val="000000"/>
        </w:rPr>
        <w:drawing>
          <wp:inline distT="0" distB="0" distL="0" distR="0" wp14:anchorId="1EBB19BB" wp14:editId="0AD6E963">
            <wp:extent cx="30194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2B" w:rsidRPr="00A2182B" w:rsidRDefault="00A2182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A2182B" w:rsidRPr="00A2182B" w:rsidRDefault="00A2182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0508DB" w:rsidRPr="00A2182B" w:rsidRDefault="000508D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>where ^</w:t>
      </w:r>
      <w:r w:rsidRPr="00A2182B">
        <w:rPr>
          <w:rFonts w:cs="CMMI9"/>
          <w:color w:val="000000"/>
        </w:rPr>
        <w:t xml:space="preserve">p </w:t>
      </w:r>
      <w:r w:rsidRPr="00A2182B">
        <w:rPr>
          <w:rFonts w:cs="CMR9"/>
          <w:color w:val="000000"/>
        </w:rPr>
        <w:t>is the model-estimated probability that an O-ring will become damaged. Use the</w:t>
      </w:r>
      <w:r w:rsidR="00A2182B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model to calculate the probability that an O-ring will become damaged at each of the following</w:t>
      </w:r>
      <w:r w:rsidR="00A2182B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ambient temperatures: 51, 53, and 55 degrees Fahrenheit. The model-estimated probabilities</w:t>
      </w:r>
      <w:r w:rsidR="00A2182B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for several additional ambient temperatures are provided below, where subscripts indicate the</w:t>
      </w:r>
      <w:r w:rsidR="00A2182B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temperature:</w:t>
      </w:r>
    </w:p>
    <w:p w:rsidR="00D579FD" w:rsidRDefault="00A2182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noProof/>
          <w:color w:val="000000"/>
        </w:rPr>
        <w:drawing>
          <wp:inline distT="0" distB="0" distL="0" distR="0" wp14:anchorId="71C43542" wp14:editId="0F3C0AF5">
            <wp:extent cx="4638675" cy="43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FD" w:rsidRDefault="00D579FD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D579FD" w:rsidRDefault="00D579FD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color w:val="000000"/>
        </w:rPr>
        <w:t xml:space="preserve">@51: </w:t>
      </w:r>
      <w:r w:rsidRPr="00D579FD">
        <w:rPr>
          <w:rFonts w:cs="CMR9"/>
          <w:b/>
          <w:color w:val="000000"/>
        </w:rPr>
        <w:t>.65</w:t>
      </w:r>
      <w:r>
        <w:rPr>
          <w:rFonts w:cs="CMR9"/>
          <w:color w:val="000000"/>
        </w:rPr>
        <w:t xml:space="preserve">, @53: </w:t>
      </w:r>
      <w:r w:rsidRPr="00D579FD">
        <w:rPr>
          <w:rFonts w:cs="CMR9"/>
          <w:b/>
          <w:color w:val="000000"/>
        </w:rPr>
        <w:t>.55</w:t>
      </w:r>
      <w:r>
        <w:rPr>
          <w:rFonts w:cs="CMR9"/>
          <w:color w:val="000000"/>
        </w:rPr>
        <w:t xml:space="preserve">, @55: </w:t>
      </w:r>
      <w:r w:rsidRPr="00D579FD">
        <w:rPr>
          <w:rFonts w:cs="CMR9"/>
          <w:b/>
          <w:color w:val="000000"/>
        </w:rPr>
        <w:t>.44</w:t>
      </w:r>
    </w:p>
    <w:p w:rsidR="000508DB" w:rsidRDefault="000508D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lastRenderedPageBreak/>
        <w:t>(b) Add the model-estimated probabilities from part (a) on the plot, then connect these dots using</w:t>
      </w:r>
      <w:r w:rsidR="00A2182B" w:rsidRPr="00A2182B">
        <w:rPr>
          <w:rFonts w:cs="CMR9"/>
          <w:color w:val="000000"/>
        </w:rPr>
        <w:t xml:space="preserve"> </w:t>
      </w:r>
      <w:r w:rsidRPr="00A2182B">
        <w:rPr>
          <w:rFonts w:cs="CMR9"/>
          <w:color w:val="000000"/>
        </w:rPr>
        <w:t>a smooth curve to represent the model-estimated probabilities.</w:t>
      </w:r>
    </w:p>
    <w:p w:rsidR="00D579FD" w:rsidRDefault="00D579FD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</w:p>
    <w:p w:rsidR="00D579FD" w:rsidRPr="00A2182B" w:rsidRDefault="00D579FD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>
        <w:rPr>
          <w:rFonts w:cs="CMR9"/>
          <w:noProof/>
          <w:color w:val="000000"/>
        </w:rPr>
        <w:drawing>
          <wp:inline distT="0" distB="0" distL="0" distR="0">
            <wp:extent cx="37338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3AD" w:rsidRDefault="000508DB" w:rsidP="000508DB">
      <w:pPr>
        <w:autoSpaceDE w:val="0"/>
        <w:autoSpaceDN w:val="0"/>
        <w:adjustRightInd w:val="0"/>
        <w:spacing w:after="0" w:line="240" w:lineRule="auto"/>
        <w:rPr>
          <w:rFonts w:cs="CMR9"/>
          <w:color w:val="000000"/>
        </w:rPr>
      </w:pPr>
      <w:r w:rsidRPr="00A2182B">
        <w:rPr>
          <w:rFonts w:cs="CMR9"/>
          <w:color w:val="000000"/>
        </w:rPr>
        <w:t xml:space="preserve">(c) Describe any concerns you may have regarding applying logistic </w:t>
      </w:r>
      <w:r w:rsidR="00A2182B" w:rsidRPr="00A2182B">
        <w:rPr>
          <w:rFonts w:cs="CMR9"/>
          <w:color w:val="000000"/>
        </w:rPr>
        <w:t xml:space="preserve">regression in this application, </w:t>
      </w:r>
      <w:r w:rsidRPr="00A2182B">
        <w:rPr>
          <w:rFonts w:cs="CMR9"/>
          <w:color w:val="000000"/>
        </w:rPr>
        <w:t>and note any assumptions that are required to accept the model's validity.</w:t>
      </w:r>
    </w:p>
    <w:p w:rsidR="00CD3F00" w:rsidRDefault="00CD3F00" w:rsidP="000508DB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>
        <w:rPr>
          <w:rFonts w:cs="CMR9"/>
          <w:b/>
          <w:color w:val="000000"/>
        </w:rPr>
        <w:t xml:space="preserve">The actual data doesn’t appear linear, so the model is likely not optimal. There’s a curve – possibly linear – up until about 65 degrees, at which point it becomes flat. So each predictor isn’t linearly related. </w:t>
      </w:r>
    </w:p>
    <w:p w:rsidR="00CD3F00" w:rsidRDefault="00CD3F00" w:rsidP="000508DB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</w:p>
    <w:p w:rsidR="00CD3F00" w:rsidRPr="00CD3F00" w:rsidRDefault="00CD3F00" w:rsidP="000508DB">
      <w:pPr>
        <w:autoSpaceDE w:val="0"/>
        <w:autoSpaceDN w:val="0"/>
        <w:adjustRightInd w:val="0"/>
        <w:spacing w:after="0" w:line="240" w:lineRule="auto"/>
        <w:rPr>
          <w:rFonts w:cs="CMR9"/>
          <w:b/>
          <w:color w:val="000000"/>
        </w:rPr>
      </w:pPr>
      <w:r>
        <w:rPr>
          <w:rFonts w:cs="CMR9"/>
          <w:b/>
          <w:color w:val="000000"/>
        </w:rPr>
        <w:t>Similarly, each outcome has to be independent of the other outcomes, so the residuals need to be evenly spaced out by order of collection. This would probably be fine.</w:t>
      </w:r>
      <w:bookmarkStart w:id="0" w:name="_GoBack"/>
      <w:bookmarkEnd w:id="0"/>
    </w:p>
    <w:sectPr w:rsidR="00CD3F00" w:rsidRPr="00CD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97FA1"/>
    <w:multiLevelType w:val="multilevel"/>
    <w:tmpl w:val="0A56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93"/>
    <w:rsid w:val="00022351"/>
    <w:rsid w:val="000508DB"/>
    <w:rsid w:val="00264674"/>
    <w:rsid w:val="00502B4A"/>
    <w:rsid w:val="007033AD"/>
    <w:rsid w:val="007B5E77"/>
    <w:rsid w:val="00953B2C"/>
    <w:rsid w:val="009810F7"/>
    <w:rsid w:val="00A2182B"/>
    <w:rsid w:val="00CD3F00"/>
    <w:rsid w:val="00D074A6"/>
    <w:rsid w:val="00D579FD"/>
    <w:rsid w:val="00DB5993"/>
    <w:rsid w:val="00DF2592"/>
    <w:rsid w:val="00FA2274"/>
    <w:rsid w:val="00FB3749"/>
    <w:rsid w:val="00FD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5</cp:revision>
  <dcterms:created xsi:type="dcterms:W3CDTF">2015-11-30T03:25:00Z</dcterms:created>
  <dcterms:modified xsi:type="dcterms:W3CDTF">2015-11-30T18:09:00Z</dcterms:modified>
</cp:coreProperties>
</file>