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DharmaResearch</w:t>
      </w:r>
      <w:r>
        <w:t xml:space="preserve"> </w:t>
      </w:r>
      <w:r>
        <w:t xml:space="preserve">Equities</w:t>
      </w:r>
    </w:p>
    <w:p>
      <w:pPr>
        <w:pStyle w:val="Author"/>
      </w:pPr>
      <w:r>
        <w:t xml:space="preserve">Artha</w:t>
      </w:r>
      <w:r>
        <w:t xml:space="preserve"> </w:t>
      </w:r>
      <w:r>
        <w:t xml:space="preserve">Finance</w:t>
      </w:r>
      <w:r>
        <w:t xml:space="preserve"> </w:t>
      </w:r>
      <w:r>
        <w:t xml:space="preserve">SA</w:t>
      </w:r>
    </w:p>
    <w:p>
      <w:pPr>
        <w:pStyle w:val="FirstParagraph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2"/>
      </w:pPr>
      <w:bookmarkStart w:id="21" w:name="etude-de-laapport-pour-deq-daun-investissement-dans-q-capital"/>
      <w:bookmarkEnd w:id="21"/>
      <w:r>
        <w:t xml:space="preserve">Etude de lâ€™apport pour DEQ dâ€™un investissement dans Q-Capital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22" w:name="recherche-daamalioration-des-sharpe-et-sortino-ratios"/>
      <w:bookmarkEnd w:id="22"/>
      <w:r>
        <w:t xml:space="preserve">Recherche dâ€™amÃ©lioration des Sharpe et Sortino Ratios</w:t>
      </w:r>
    </w:p>
    <w:p>
      <w:pPr>
        <w:pStyle w:val="FirstParagraph"/>
      </w:pPr>
    </w:p>
    <w:p>
      <w:pPr>
        <w:pStyle w:val="Heading5"/>
      </w:pPr>
      <w:bookmarkStart w:id="23" w:name="etudes-scindae-par-pariodes"/>
      <w:bookmarkEnd w:id="23"/>
      <w:r>
        <w:t xml:space="preserve">Etudes scindÃ©e par pÃ©riodes</w:t>
      </w:r>
    </w:p>
    <w:p>
      <w:pPr>
        <w:pStyle w:val="FirstParagraph"/>
      </w:pPr>
      <w:r>
        <w:t xml:space="preserve">Pour chaque pÃ©riode les Ã©lÃ©ments suivants sont Ã©tudiÃ©s:</w:t>
      </w:r>
    </w:p>
    <w:p>
      <w:pPr>
        <w:pStyle w:val="Compact"/>
        <w:numPr>
          <w:numId w:val="1001"/>
          <w:ilvl w:val="0"/>
        </w:numPr>
      </w:pPr>
      <w:r>
        <w:t xml:space="preserve">les graphiques de performances historiques des:</w:t>
      </w:r>
    </w:p>
    <w:p>
      <w:pPr>
        <w:pStyle w:val="Compact"/>
        <w:numPr>
          <w:numId w:val="1002"/>
          <w:ilvl w:val="1"/>
        </w:numPr>
      </w:pPr>
      <w:r>
        <w:t xml:space="preserve">principaux indices</w:t>
      </w:r>
    </w:p>
    <w:p>
      <w:pPr>
        <w:pStyle w:val="Compact"/>
        <w:numPr>
          <w:numId w:val="1002"/>
          <w:ilvl w:val="1"/>
        </w:numPr>
      </w:pPr>
      <w:r>
        <w:t xml:space="preserve">trois stratÃ©gies (DEQ, DEQ + 5% Q_hdg, DEQ + 10 %Q_hdq)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la correlation glissante sur 30 jours entre DEQ et Q_hdg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un tableau de rÃ©capitulation des indicateurs principaux pour chaque indice et pour les</w:t>
      </w:r>
      <w:r>
        <w:t xml:space="preserve"> </w:t>
      </w:r>
      <w:r>
        <w:t xml:space="preserve">“</w:t>
      </w:r>
      <w:r>
        <w:t xml:space="preserve">Best</w:t>
      </w:r>
      <w:r>
        <w:t xml:space="preserve"> </w:t>
      </w:r>
      <w:r>
        <w:t xml:space="preserve">in class</w:t>
      </w:r>
      <w:r>
        <w:t xml:space="preserve">”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une matrice de corrÃ©lation des principaux indices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les frontiÃ¨res efficientes du Sharpe et du Sortino, composÃ©e de DEQ et Q_hdg et de SPXT et Q</w:t>
      </w:r>
    </w:p>
    <w:p>
      <w:pPr>
        <w:pStyle w:val="FirstParagraph"/>
      </w:pPr>
      <w:r>
        <w:t xml:space="preserve"> </w:t>
      </w:r>
    </w:p>
    <w:p>
      <w:pPr>
        <w:pStyle w:val="Heading5"/>
      </w:pPr>
      <w:bookmarkStart w:id="24" w:name="remarques"/>
      <w:bookmarkEnd w:id="24"/>
      <w:r>
        <w:t xml:space="preserve">Remarques</w:t>
      </w:r>
    </w:p>
    <w:p>
      <w:pPr>
        <w:pStyle w:val="FirstParagraph"/>
      </w:pPr>
      <w:r>
        <w:t xml:space="preserve">La contrainte Ucit actuelle est de 10% de fonds tiers au maximum dans DEQ. La stratÃ©gie</w:t>
      </w:r>
      <w:r>
        <w:t xml:space="preserve"> </w:t>
      </w:r>
      <w:r>
        <w:t xml:space="preserve">QasCash n’est de ce fait pas rÃ©alisable durant certaines pÃ©riodes.</w:t>
      </w:r>
    </w:p>
    <w:p>
      <w:pPr>
        <w:pStyle w:val="BodyText"/>
      </w:pPr>
      <w:r>
        <w:t xml:space="preserve">Le coÃ»t du hedge en Euro ainsi que le pro-forma de Q sont des estimations thÃ©oriques</w:t>
      </w:r>
      <w:r>
        <w:t xml:space="preserve"> </w:t>
      </w:r>
      <w:r>
        <w:t xml:space="preserve">et non des perfromances rÃ©alisÃ©es.</w:t>
      </w:r>
    </w:p>
    <w:p>
      <w:pPr>
        <w:pStyle w:val="BodyText"/>
      </w:pPr>
      <w:r>
        <w:t xml:space="preserve">Le pro-forma fÃ©vrier 2018 et la NAV de la tranche Euro de Q seront ajoutÃ©s Ã  cette Ã©tude</w:t>
      </w:r>
      <w:r>
        <w:t xml:space="preserve"> </w:t>
      </w:r>
      <w:r>
        <w:t xml:space="preserve">prochainement.</w:t>
      </w:r>
    </w:p>
    <w:p>
      <w:pPr>
        <w:pStyle w:val="BodyText"/>
      </w:pPr>
      <w:r>
        <w:t xml:space="preserve">La stratÃ©gie DEQexa doit se comprendre ex-Cash ET ex Fees. Nous ne pouvons malheureusement</w:t>
      </w:r>
      <w:r>
        <w:t xml:space="preserve"> </w:t>
      </w:r>
      <w:r>
        <w:t xml:space="preserve">pas distinguer les deux dans la NAV de Dharma Cell D. Une stratÃ©gie rÃ©ellement ex-Cash ne</w:t>
      </w:r>
      <w:r>
        <w:t xml:space="preserve"> </w:t>
      </w:r>
      <w:r>
        <w:t xml:space="preserve">peut etre Ã©tudiÃ©e que depuis le lancement du fonds Tfc DharmaResearch.</w:t>
      </w:r>
    </w:p>
    <w:p>
      <w:pPr>
        <w:pStyle w:val="Heading5"/>
      </w:pPr>
      <w:bookmarkStart w:id="25" w:name="conclusion-praliminaire"/>
      <w:bookmarkEnd w:id="25"/>
      <w:r>
        <w:t xml:space="preserve">Conclusion prÃ©liminaire</w:t>
      </w:r>
    </w:p>
    <w:p>
      <w:pPr>
        <w:pStyle w:val="FirstParagraph"/>
      </w:pPr>
      <w:r>
        <w:t xml:space="preserve">En dehors des pÃ©riodes de souscriptions massives, un niveau de cash relativement Ã©levÃ© a Ã©tÃ©</w:t>
      </w:r>
      <w:r>
        <w:t xml:space="preserve"> </w:t>
      </w:r>
      <w:r>
        <w:t xml:space="preserve">maintenu dans DEQ. Dans un marchÃ© haussier, cela a minimisÃ© la volatilitÃ© mais au dÃ©triment de</w:t>
      </w:r>
      <w:r>
        <w:t xml:space="preserve"> </w:t>
      </w:r>
      <w:r>
        <w:t xml:space="preserve">la performance. Il en rÃ©sulte une dÃ©gradation des ratios Sharpe et, dans une moindre mesure,</w:t>
      </w:r>
      <w:r>
        <w:t xml:space="preserve"> </w:t>
      </w:r>
      <w:r>
        <w:t xml:space="preserve">de Sortino lors de quasiment toutes les pÃ©riodes d’observation.</w:t>
      </w:r>
    </w:p>
    <w:p>
      <w:pPr>
        <w:pStyle w:val="BodyText"/>
      </w:pPr>
      <w:r>
        <w:t xml:space="preserve">La recherche d’un actif dÃ©corellÃ© mais offrant une rentabilitÃ© non nulle en remplacement du cash</w:t>
      </w:r>
      <w:r>
        <w:t xml:space="preserve"> </w:t>
      </w:r>
      <w:r>
        <w:t xml:space="preserve">est Ã©tudiÃ©e avec la stratÃ©gie QasCash, Q_hdg remplacant l’exposition journaliÃ¨re du cash dans DEQ</w:t>
      </w:r>
      <w:r>
        <w:t xml:space="preserve"> </w:t>
      </w:r>
      <w:r>
        <w:t xml:space="preserve">(max 10%), sans frais de transaction.</w:t>
      </w:r>
    </w:p>
    <w:p>
      <w:pPr>
        <w:pStyle w:val="BodyText"/>
      </w:pPr>
      <w:r>
        <w:t xml:space="preserve">La performance du proforma de Q depuis 1997 est exceptionnelle, mais sur la pÃ©riode observÃ©e (dÃ¨s</w:t>
      </w:r>
      <w:r>
        <w:t xml:space="preserve"> </w:t>
      </w:r>
      <w:r>
        <w:t xml:space="preserve">le 28 fÃ©vrier 2013), la stratÃ©gie est trÃ¨s en retrait et affiche un sharpe de 0.29 alors que DEQ</w:t>
      </w:r>
      <w:r>
        <w:t xml:space="preserve"> </w:t>
      </w:r>
      <w:r>
        <w:t xml:space="preserve">est a 0.68, le SPXT_hdg Ã  1.09 et le Bench a 0.90.</w:t>
      </w:r>
    </w:p>
    <w:p>
      <w:pPr>
        <w:pStyle w:val="BodyText"/>
      </w:pPr>
      <w:r>
        <w:t xml:space="preserve">La correlation de Q_hdg et DEQ reste toutefois basse et a priori avantageusement nÃ©gative dans</w:t>
      </w:r>
      <w:r>
        <w:t xml:space="preserve"> </w:t>
      </w:r>
      <w:r>
        <w:t xml:space="preserve">les phases de baisse de marchÃ©.</w:t>
      </w:r>
    </w:p>
    <w:p>
      <w:pPr>
        <w:pStyle w:val="BodyText"/>
      </w:pPr>
      <w:r>
        <w:t xml:space="preserve">Sur les 12+ derniers mois, Q_hdg affiche une correlation assez forte avec les marchÃ©s actions, une</w:t>
      </w:r>
      <w:r>
        <w:t xml:space="preserve"> </w:t>
      </w:r>
      <w:r>
        <w:t xml:space="preserve">volatilitÃ© supÃ©rieure et une performance nÃ©gative. TrÃ¨s Ã©loignÃ© du but recherchÃ© mais peut-etre</w:t>
      </w:r>
      <w:r>
        <w:t xml:space="preserve"> </w:t>
      </w:r>
      <w:r>
        <w:t xml:space="preserve">liÃ© au manque gÃ©nÃ©ral de volatilitÃ© des actifs sous-jascents?</w:t>
      </w:r>
    </w:p>
    <w:p>
      <w:pPr>
        <w:pStyle w:val="BodyText"/>
      </w:pPr>
      <w:r>
        <w:t xml:space="preserve">Lors des pÃ©riodes de correction rapide des marchÃ©s actions, Q_hdg affiche une correlation trÃ¨s basse</w:t>
      </w:r>
      <w:r>
        <w:t xml:space="preserve"> </w:t>
      </w:r>
      <w:r>
        <w:t xml:space="preserve">et rÃ©guliÃ¨rement nÃ©gative. Cela aurait permis d’amÃ©liorer les ratios et la performance de DEQ.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26" w:name="pariodes"/>
      <w:bookmarkEnd w:id="26"/>
      <w:r>
        <w:t xml:space="preserve">PÃ©riodes:</w:t>
      </w:r>
    </w:p>
    <w:p>
      <w:pPr>
        <w:pStyle w:val="SourceCode"/>
      </w:pPr>
      <w:r>
        <w:rPr>
          <w:rStyle w:val="VerbatimChar"/>
        </w:rPr>
        <w:t xml:space="preserve">du 2013-02-28 au 2015-05-14     Positive pour DEQ</w:t>
      </w:r>
      <w:r>
        <w:br w:type="textWrapping"/>
      </w:r>
      <w:r>
        <w:rPr>
          <w:rStyle w:val="VerbatimChar"/>
        </w:rPr>
        <w:t xml:space="preserve">du 2016-01-29 au 2016-11-11     Positive pour DEQ</w:t>
      </w:r>
      <w:r>
        <w:br w:type="textWrapping"/>
      </w:r>
      <w:r>
        <w:rPr>
          <w:rStyle w:val="VerbatimChar"/>
        </w:rPr>
        <w:t xml:space="preserve">du 2014-05-15 au 2016-01-29     NÃ©gative pour DEQ</w:t>
      </w:r>
      <w:r>
        <w:br w:type="textWrapping"/>
      </w:r>
      <w:r>
        <w:rPr>
          <w:rStyle w:val="VerbatimChar"/>
        </w:rPr>
        <w:t xml:space="preserve">du 2016-11-11 au 2017-08-17     NÃ©gative pour DEQ</w:t>
      </w:r>
      <w:r>
        <w:br w:type="textWrapping"/>
      </w:r>
      <w:r>
        <w:rPr>
          <w:rStyle w:val="VerbatimChar"/>
        </w:rPr>
        <w:t xml:space="preserve">du 2017-08-31 au 2018-01-31     depuis derniÃ¨re pÃ©riode</w:t>
      </w:r>
      <w:r>
        <w:br w:type="textWrapping"/>
      </w:r>
      <w:r>
        <w:rPr>
          <w:rStyle w:val="VerbatimChar"/>
        </w:rPr>
        <w:t xml:space="preserve">du 2016-12-30 au 2018-01-31     un an et+</w:t>
      </w:r>
      <w:r>
        <w:br w:type="textWrapping"/>
      </w:r>
      <w:r>
        <w:rPr>
          <w:rStyle w:val="VerbatimChar"/>
        </w:rPr>
        <w:t xml:space="preserve">du 2013-02-28 au 2018-01-31     lancement Dharma Cell D</w:t>
      </w:r>
      <w:r>
        <w:br w:type="textWrapping"/>
      </w:r>
      <w:r>
        <w:rPr>
          <w:rStyle w:val="VerbatimChar"/>
        </w:rPr>
        <w:t xml:space="preserve">du 2015-06-17 au 2018-01-31     lancement TFC DEQ</w:t>
      </w:r>
    </w:p>
    <w:p>
      <w:pPr>
        <w:pStyle w:val="Heading4"/>
      </w:pPr>
      <w:bookmarkStart w:id="27" w:name="abbr"/>
      <w:bookmarkEnd w:id="27"/>
      <w:r>
        <w:t xml:space="preserve">Abbr:</w:t>
      </w:r>
    </w:p>
    <w:p>
      <w:pPr>
        <w:pStyle w:val="SourceCode"/>
      </w:pPr>
      <w:r>
        <w:rPr>
          <w:rStyle w:val="VerbatimChar"/>
        </w:rPr>
        <w:t xml:space="preserve">DEQ       Dharma Equity Strategy (NAV of Dharma Cell C + TFC DharmaResearch)</w:t>
      </w:r>
      <w:r>
        <w:br w:type="textWrapping"/>
      </w:r>
      <w:r>
        <w:rPr>
          <w:rStyle w:val="VerbatimChar"/>
        </w:rPr>
        <w:t xml:space="preserve">Q         Q-Capital proforma jusquâ€™au 31 janvier 2018 (attente mise a jour)</w:t>
      </w:r>
      <w:r>
        <w:br w:type="textWrapping"/>
      </w:r>
      <w:r>
        <w:rPr>
          <w:rStyle w:val="VerbatimChar"/>
        </w:rPr>
        <w:t xml:space="preserve">Q_hdg     Q-Capital aprÃ¨s hedge en Euro (DiffÃ©rence des taux 1mois + spread)</w:t>
      </w:r>
      <w:r>
        <w:br w:type="textWrapping"/>
      </w:r>
      <w:r>
        <w:rPr>
          <w:rStyle w:val="VerbatimChar"/>
        </w:rPr>
        <w:t xml:space="preserve">BE500T    Bloomberg Europe 500 Total Return Index (Gross)</w:t>
      </w:r>
      <w:r>
        <w:br w:type="textWrapping"/>
      </w:r>
      <w:r>
        <w:rPr>
          <w:rStyle w:val="VerbatimChar"/>
        </w:rPr>
        <w:t xml:space="preserve">SPXT      S&amp;P 500  Total Return Index (Gross)</w:t>
      </w:r>
      <w:r>
        <w:br w:type="textWrapping"/>
      </w:r>
      <w:r>
        <w:rPr>
          <w:rStyle w:val="VerbatimChar"/>
        </w:rPr>
        <w:t xml:space="preserve">SPXT_hdg  SPXT aprÃ¨s hedge en Euro (meme methode que Q_hdg)</w:t>
      </w:r>
      <w:r>
        <w:br w:type="textWrapping"/>
      </w:r>
      <w:r>
        <w:rPr>
          <w:rStyle w:val="VerbatimChar"/>
        </w:rPr>
        <w:t xml:space="preserve">Bench     50% SPXT + 50% BE500T dÃ©balancÃ© journaliÃ¨re ment</w:t>
      </w:r>
      <w:r>
        <w:br w:type="textWrapping"/>
      </w:r>
      <w:r>
        <w:rPr>
          <w:rStyle w:val="VerbatimChar"/>
        </w:rPr>
        <w:t xml:space="preserve">DEQexa    DEQ ex cash, taxes &amp; Fees, stratÃ©gie pure 100% actions</w:t>
      </w:r>
      <w:r>
        <w:br w:type="textWrapping"/>
      </w:r>
      <w:r>
        <w:rPr>
          <w:rStyle w:val="VerbatimChar"/>
        </w:rPr>
        <w:t xml:space="preserve">QasCash   StratÃ©gie composÃ©e de DEQex + le cash de DEQ rÃ©investi en Q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4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4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4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4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4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4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4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4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4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4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4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46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46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46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84900" cy="88907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3_files/figure-docx/unnamed-chunk-46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8890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5A27" w:rsidRPr="008B45F2" w:rsidSect="00281C55">
      <w:pgSz w:w="11907" w:h="16839" w:code="9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6352E8"/>
    <w:multiLevelType w:val="multilevel"/>
    <w:tmpl w:val="D4566F7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22C57E0"/>
    <w:multiLevelType w:val="multilevel"/>
    <w:tmpl w:val="1CFE8E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C53273ED"/>
    <w:multiLevelType w:val="multilevel"/>
    <w:tmpl w:val="B2E0AB2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C7249789"/>
    <w:multiLevelType w:val="multilevel"/>
    <w:tmpl w:val="36C6B5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DABA2B11"/>
    <w:multiLevelType w:val="multilevel"/>
    <w:tmpl w:val="E6FE362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17F69BA"/>
    <w:multiLevelType w:val="multilevel"/>
    <w:tmpl w:val="7304E9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cfe462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0c6ccb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feb1e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  <w:lang w:val="en-US" w:eastAsia="en-US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rPr>
      <w:color w:val="4F81BD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BF67A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67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DharmaResearch Equities</vt:lpstr>
    </vt:vector>
  </TitlesOfParts>
  <Company/>
  <LinksUpToDate>false</LinksUpToDate>
  <CharactersWithSpaces>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DharmaResearch Equities</dc:title>
  <dc:creator>Artha Finance SA</dc:creator>
  <dcterms:created xsi:type="dcterms:W3CDTF">2018-04-11T14:21:38Z</dcterms:created>
  <dcterms:modified xsi:type="dcterms:W3CDTF">2018-04-11T14:21:38Z</dcterms:modified>
</cp:coreProperties>
</file>