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</w:t>
      </w:r>
      <w:r>
        <w:t xml:space="preserve"> </w:t>
      </w:r>
      <w:r>
        <w:t xml:space="preserve">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</w:t>
      </w:r>
      <w:r>
        <w:br w:type="textWrapping"/>
      </w:r>
      <w:r>
        <w:t xml:space="preserve">La stratégie QasCash n’est de ce fait pas réalisable durant certaines périodes.</w:t>
      </w:r>
    </w:p>
    <w:p>
      <w:pPr>
        <w:pStyle w:val="BodyText"/>
      </w:pPr>
      <w:r>
        <w:t xml:space="preserve">Le coût du hedge en Euro ainsi que le pro-forma de Q sont des estimations théoriques</w:t>
      </w:r>
      <w:r>
        <w:t xml:space="preserve"> </w:t>
      </w:r>
      <w:r>
        <w:t xml:space="preserve">et non des perfromances réalisées.</w:t>
      </w:r>
    </w:p>
    <w:p>
      <w:pPr>
        <w:pStyle w:val="BodyText"/>
      </w:pPr>
      <w:r>
        <w:t xml:space="preserve">Le pro-forma février 2018 et la NAV de la tranche Euro de Q seront ajoutés à cette étude</w:t>
      </w:r>
      <w:r>
        <w:t xml:space="preserve"> </w:t>
      </w:r>
      <w:r>
        <w:t xml:space="preserve">prochainement.</w:t>
      </w:r>
    </w:p>
    <w:p>
      <w:pPr>
        <w:pStyle w:val="BodyText"/>
      </w:pPr>
      <w:r>
        <w:t xml:space="preserve">La stratégie DEQex doit se comprendre ex-Cash ET ex Fees. Nous ne pouvons malheureusement</w:t>
      </w:r>
      <w:r>
        <w:t xml:space="preserve"> </w:t>
      </w:r>
      <w:r>
        <w:t xml:space="preserve">pas distinguer les deux dans la NAV de Dharma Cell D. Une stratégie réellement ex-Cash ne</w:t>
      </w:r>
      <w:r>
        <w:t xml:space="preserve"> </w:t>
      </w:r>
      <w:r>
        <w:t xml:space="preserve">peut etre étudiée que depuis le lancement du fonds Tfc DharmaResearch.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En dehors des périodes de souscriptions massives, un niveau de cash relativement élevé a été</w:t>
      </w:r>
      <w:r>
        <w:t xml:space="preserve"> </w:t>
      </w:r>
      <w:r>
        <w:t xml:space="preserve">maintenu dans DEQ. Dans un marché haussier, cela a minimisé la volatilité mais au détriment de</w:t>
      </w:r>
      <w:r>
        <w:t xml:space="preserve"> </w:t>
      </w:r>
      <w:r>
        <w:t xml:space="preserve">la performance. Il en résulte une dégradation des ratios Sharpe et Sortino lors de quasiment</w:t>
      </w:r>
      <w:r>
        <w:t xml:space="preserve"> </w:t>
      </w:r>
      <w:r>
        <w:t xml:space="preserve">toutes les périodes d’observation.</w:t>
      </w:r>
    </w:p>
    <w:p>
      <w:pPr>
        <w:pStyle w:val="BodyText"/>
      </w:pPr>
      <w:r>
        <w:t xml:space="preserve">La recherche d’un actif décorellé mais offrant une rentabilité non nulle en remplacement du cash</w:t>
      </w:r>
      <w:r>
        <w:t xml:space="preserve"> </w:t>
      </w:r>
      <w:r>
        <w:t xml:space="preserve">est étudiée avec la stratégie QasCash, Q_hdg remplacant l’exposition journalière du cash dans DEQ,</w:t>
      </w:r>
      <w:r>
        <w:t xml:space="preserve"> </w:t>
      </w:r>
      <w:r>
        <w:t xml:space="preserve">sans frais de transaction.</w:t>
      </w:r>
    </w:p>
    <w:p>
      <w:pPr>
        <w:pStyle w:val="BodyText"/>
      </w:pPr>
      <w:r>
        <w:t xml:space="preserve">La performance du proforma de Q depuis 1997 est exceptionnelle, mais sur la période observée (dès</w:t>
      </w:r>
      <w:r>
        <w:t xml:space="preserve"> </w:t>
      </w:r>
      <w:r>
        <w:t xml:space="preserve">le 28 février 2013), la stratégie est très en retrait et affiche un sharpe de 0.29 alors que DEQ</w:t>
      </w:r>
      <w:r>
        <w:t xml:space="preserve"> </w:t>
      </w:r>
      <w:r>
        <w:t xml:space="preserve">est a 0.68, le SPXT_hdg à 1.09 et le Bench a 0.90.</w:t>
      </w:r>
    </w:p>
    <w:p>
      <w:pPr>
        <w:pStyle w:val="BodyText"/>
      </w:pPr>
      <w:r>
        <w:t xml:space="preserve">La correlation de Q_hdg et DEQ reste toutefois basse et a prioro avantageusement négative dans</w:t>
      </w:r>
      <w:r>
        <w:t xml:space="preserve"> </w:t>
      </w:r>
      <w:r>
        <w:t xml:space="preserve">les phases de baisse de marché.</w:t>
      </w:r>
    </w:p>
    <w:p>
      <w:pPr>
        <w:pStyle w:val="BodyText"/>
      </w:pPr>
      <w:r>
        <w:t xml:space="preserve">Sur les 12+ derniers mois, Q_hdg affiche une correlation assez forte avec les marchés actions, une</w:t>
      </w:r>
      <w:r>
        <w:t xml:space="preserve"> </w:t>
      </w:r>
      <w:r>
        <w:t xml:space="preserve">volatilité supérieure et une performance négative. Très éloigné du but recherché mais peut-etre</w:t>
      </w:r>
      <w:r>
        <w:t xml:space="preserve"> </w:t>
      </w:r>
      <w:r>
        <w:t xml:space="preserve">lié au manque général de volatilité des actifs sous-jascents?</w:t>
      </w:r>
    </w:p>
    <w:p>
      <w:pPr>
        <w:pStyle w:val="BodyText"/>
      </w:pPr>
      <w:r>
        <w:t xml:space="preserve">Lors des périodes de correction rapide des marchés actions, Q_hdg affiche une correlation très basse</w:t>
      </w:r>
      <w:r>
        <w:t xml:space="preserve"> </w:t>
      </w:r>
      <w:r>
        <w:t xml:space="preserve">et régulièrement négative. Cela aurait permis d’améliorer les ratios et la performance de DEQ.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2018-01-31     depuis dernière période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     DEQ ex cash,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3138f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be1a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d969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2018-03-29T15:12:46Z</dcterms:created>
  <dcterms:modified xsi:type="dcterms:W3CDTF">2018-03-29T15:12:46Z</dcterms:modified>
</cp:coreProperties>
</file>