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 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</w:t>
      </w:r>
      <w:r>
        <w:br w:type="textWrapping"/>
      </w:r>
      <w:r>
        <w:t xml:space="preserve">La stratégie QasCash n’est de ce fait pas réalisable durant certaines périodes</w:t>
      </w:r>
    </w:p>
    <w:p>
      <w:pPr>
        <w:pStyle w:val="BodyText"/>
      </w:pPr>
      <w:r>
        <w:t xml:space="preserve">Le coût du hedge en Euro ainsi que le pro-forma de Q sont des estimations théoriques</w:t>
      </w:r>
    </w:p>
    <w:p>
      <w:pPr>
        <w:pStyle w:val="BodyText"/>
      </w:pPr>
      <w:r>
        <w:t xml:space="preserve">Le pro-forma février 2018 et la NAV de la tranche Euro de Q seront ajoutés à cette étude prochainement</w:t>
      </w:r>
    </w:p>
    <w:p>
      <w:pPr>
        <w:pStyle w:val="BodyText"/>
      </w:pPr>
      <w:r>
        <w:t xml:space="preserve">La stratégie DEQex doit se comprendre ex-Cash ET ex Fees. Nous ne pouvons malheureusement pas distinguer les deux dans la NAV de Dharma Cell D. Une stratégie réellement ex-Cash ne peut etre étudiée que depuis le lancement du fonds Tfc DharmaResearch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La performance du proforma de Q depuis 1997 est exceptionnelle, mais sur pa période observée (dès le 28 février 2013),</w:t>
      </w:r>
      <w:r>
        <w:t xml:space="preserve"> </w:t>
      </w:r>
      <w:r>
        <w:t xml:space="preserve">le fonds est très en retrait et affiche un sharpe de 0.29 alors que DEQ est a 0.68, le SPXT_hdg à 1.09 et le Bench a 0.90</w:t>
      </w:r>
    </w:p>
    <w:p>
      <w:pPr>
        <w:pStyle w:val="BodyText"/>
      </w:pPr>
      <w:r>
        <w:t xml:space="preserve">La correlation de Q_hdg et DEQ reste toutefois basse et avantageusement négative dans les phases de baisse de marché.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2018-01-31     depuis dernière période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     DEQ ex cash,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5026d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5dcc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99d5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2018-03-28T15:55:24Z</dcterms:created>
  <dcterms:modified xsi:type="dcterms:W3CDTF">2018-03-28T15:55:24Z</dcterms:modified>
</cp:coreProperties>
</file>