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AB37" w14:textId="3E402C70" w:rsidR="006D49E7" w:rsidRPr="008120CD" w:rsidRDefault="00C43F8D" w:rsidP="009A4998">
      <w:pPr>
        <w:pStyle w:val="PaperTitle"/>
      </w:pPr>
      <w:r w:rsidRPr="00C43F8D">
        <w:t>Importance of N2Hx Reaction Pathways in Modelling of NH3/H2/air Flame Chemistry</w:t>
      </w:r>
    </w:p>
    <w:p w14:paraId="6222F349" w14:textId="32851748" w:rsidR="006D49E7" w:rsidRPr="008120CD" w:rsidRDefault="00B90091" w:rsidP="00B80D4E">
      <w:pPr>
        <w:pStyle w:val="Authors"/>
      </w:pPr>
      <w:r w:rsidRPr="00937AE4">
        <w:rPr>
          <w:u w:val="single"/>
        </w:rPr>
        <w:t>Urothiyil Aahil</w:t>
      </w:r>
      <w:r w:rsidR="004E32B2" w:rsidRPr="00937AE4">
        <w:rPr>
          <w:rFonts w:hint="eastAsia"/>
          <w:u w:val="single"/>
          <w:vertAlign w:val="superscript"/>
        </w:rPr>
        <w:t>1</w:t>
      </w:r>
      <w:r w:rsidR="004E32B2" w:rsidRPr="008120CD">
        <w:rPr>
          <w:rFonts w:hint="eastAsia"/>
        </w:rPr>
        <w:t xml:space="preserve">, </w:t>
      </w:r>
      <w:r w:rsidR="00937AE4">
        <w:t>Abe Shunnosuke</w:t>
      </w:r>
      <w:r w:rsidR="004E32B2" w:rsidRPr="00937AE4">
        <w:rPr>
          <w:rFonts w:hint="eastAsia"/>
          <w:vertAlign w:val="superscript"/>
        </w:rPr>
        <w:t>1</w:t>
      </w:r>
      <w:r w:rsidR="004E32B2" w:rsidRPr="008120CD">
        <w:rPr>
          <w:rFonts w:hint="eastAsia"/>
        </w:rPr>
        <w:t xml:space="preserve">, </w:t>
      </w:r>
      <w:r w:rsidR="00937AE4">
        <w:t>Matsuda Dai</w:t>
      </w:r>
      <w:r w:rsidR="00937AE4">
        <w:rPr>
          <w:vertAlign w:val="superscript"/>
        </w:rPr>
        <w:t>1</w:t>
      </w:r>
      <w:r w:rsidR="00937AE4">
        <w:t>, Kitagawa Toshiaki</w:t>
      </w:r>
      <w:proofErr w:type="gramStart"/>
      <w:r w:rsidR="00937AE4">
        <w:rPr>
          <w:vertAlign w:val="superscript"/>
        </w:rPr>
        <w:t>1</w:t>
      </w:r>
      <w:r w:rsidR="00937AE4" w:rsidRPr="008120CD">
        <w:rPr>
          <w:rFonts w:hint="eastAsia"/>
        </w:rPr>
        <w:t xml:space="preserve"> </w:t>
      </w:r>
      <w:r w:rsidR="00937AE4">
        <w:t>,</w:t>
      </w:r>
      <w:proofErr w:type="spellStart"/>
      <w:r w:rsidR="00937AE4">
        <w:t>Ekenechukwu</w:t>
      </w:r>
      <w:proofErr w:type="spellEnd"/>
      <w:proofErr w:type="gramEnd"/>
      <w:r w:rsidR="00937AE4">
        <w:t xml:space="preserve"> Chijioke Okafor</w:t>
      </w:r>
      <w:r w:rsidR="00937AE4">
        <w:rPr>
          <w:vertAlign w:val="superscript"/>
        </w:rPr>
        <w:t>1</w:t>
      </w:r>
    </w:p>
    <w:p w14:paraId="71DC1062" w14:textId="7F0944DE" w:rsidR="004E32B2" w:rsidRPr="008120CD" w:rsidRDefault="004E32B2" w:rsidP="005C0554">
      <w:pPr>
        <w:pStyle w:val="affiliation"/>
        <w:rPr>
          <w:rFonts w:eastAsia="ＭＳ 明朝"/>
        </w:rPr>
      </w:pPr>
      <w:r w:rsidRPr="008120CD">
        <w:rPr>
          <w:rFonts w:eastAsia="ＭＳ 明朝" w:hint="eastAsia"/>
          <w:vertAlign w:val="superscript"/>
        </w:rPr>
        <w:t>1</w:t>
      </w:r>
      <w:r w:rsidR="00D550B6">
        <w:rPr>
          <w:rFonts w:eastAsia="ＭＳ 明朝"/>
        </w:rPr>
        <w:t>Department of Mechanical Engineering</w:t>
      </w:r>
      <w:r w:rsidR="007A48B7" w:rsidRPr="008120CD">
        <w:rPr>
          <w:rFonts w:eastAsia="ＭＳ 明朝"/>
        </w:rPr>
        <w:t xml:space="preserve">, </w:t>
      </w:r>
      <w:r w:rsidR="00D550B6">
        <w:rPr>
          <w:rFonts w:eastAsia="ＭＳ 明朝"/>
        </w:rPr>
        <w:t xml:space="preserve">Kyushu </w:t>
      </w:r>
      <w:r w:rsidR="007A48B7" w:rsidRPr="008120CD">
        <w:rPr>
          <w:rFonts w:eastAsia="ＭＳ 明朝"/>
        </w:rPr>
        <w:t>University</w:t>
      </w:r>
    </w:p>
    <w:p w14:paraId="226D69C7" w14:textId="020977D5" w:rsidR="004E32B2" w:rsidRPr="008120CD" w:rsidRDefault="00D550B6" w:rsidP="005C0554">
      <w:pPr>
        <w:pStyle w:val="affiliation"/>
        <w:rPr>
          <w:rFonts w:eastAsia="ＭＳ 明朝"/>
        </w:rPr>
      </w:pPr>
      <w:r>
        <w:rPr>
          <w:rFonts w:eastAsia="ＭＳ 明朝"/>
        </w:rPr>
        <w:t>7</w:t>
      </w:r>
      <w:r w:rsidR="007A48B7" w:rsidRPr="008120CD">
        <w:rPr>
          <w:rFonts w:eastAsia="ＭＳ 明朝"/>
        </w:rPr>
        <w:t>-</w:t>
      </w:r>
      <w:r>
        <w:rPr>
          <w:rFonts w:eastAsia="ＭＳ 明朝"/>
        </w:rPr>
        <w:t>4</w:t>
      </w:r>
      <w:r w:rsidR="007A48B7" w:rsidRPr="008120CD">
        <w:rPr>
          <w:rFonts w:eastAsia="ＭＳ 明朝"/>
        </w:rPr>
        <w:t>-</w:t>
      </w:r>
      <w:r>
        <w:rPr>
          <w:rFonts w:eastAsia="ＭＳ 明朝"/>
        </w:rPr>
        <w:t>4</w:t>
      </w:r>
      <w:r w:rsidR="007A48B7" w:rsidRPr="008120CD">
        <w:rPr>
          <w:rFonts w:eastAsia="ＭＳ 明朝"/>
        </w:rPr>
        <w:t xml:space="preserve">, </w:t>
      </w:r>
      <w:r>
        <w:rPr>
          <w:rFonts w:eastAsia="ＭＳ 明朝"/>
        </w:rPr>
        <w:t>Motooka</w:t>
      </w:r>
      <w:r w:rsidR="007A48B7" w:rsidRPr="008120CD">
        <w:rPr>
          <w:rFonts w:eastAsia="ＭＳ 明朝"/>
        </w:rPr>
        <w:t xml:space="preserve">, </w:t>
      </w:r>
      <w:r>
        <w:rPr>
          <w:rFonts w:eastAsia="ＭＳ 明朝"/>
        </w:rPr>
        <w:t>Nishi</w:t>
      </w:r>
      <w:r w:rsidR="007A48B7" w:rsidRPr="008120CD">
        <w:rPr>
          <w:rFonts w:eastAsia="ＭＳ 明朝"/>
        </w:rPr>
        <w:t>-</w:t>
      </w:r>
      <w:proofErr w:type="spellStart"/>
      <w:r w:rsidR="007A48B7" w:rsidRPr="008120CD">
        <w:rPr>
          <w:rFonts w:eastAsia="ＭＳ 明朝"/>
        </w:rPr>
        <w:t>ku</w:t>
      </w:r>
      <w:proofErr w:type="spellEnd"/>
      <w:r w:rsidR="007A48B7" w:rsidRPr="008120CD">
        <w:rPr>
          <w:rFonts w:eastAsia="ＭＳ 明朝"/>
        </w:rPr>
        <w:t xml:space="preserve">, </w:t>
      </w:r>
      <w:r>
        <w:rPr>
          <w:rFonts w:eastAsia="ＭＳ 明朝"/>
        </w:rPr>
        <w:t>Fukuoka</w:t>
      </w:r>
      <w:r w:rsidR="007A48B7" w:rsidRPr="008120CD">
        <w:rPr>
          <w:rFonts w:eastAsia="ＭＳ 明朝"/>
        </w:rPr>
        <w:t xml:space="preserve">, </w:t>
      </w:r>
      <w:r>
        <w:rPr>
          <w:rFonts w:eastAsia="ＭＳ 明朝"/>
        </w:rPr>
        <w:t>819-0395</w:t>
      </w:r>
      <w:r w:rsidR="007A48B7" w:rsidRPr="008120CD">
        <w:rPr>
          <w:rFonts w:eastAsia="ＭＳ 明朝"/>
        </w:rPr>
        <w:t>, Japan</w:t>
      </w:r>
    </w:p>
    <w:p w14:paraId="5A7FB99A" w14:textId="47A75B35" w:rsidR="004E32B2" w:rsidRPr="008120CD" w:rsidRDefault="00D550B6" w:rsidP="005C0554">
      <w:pPr>
        <w:pStyle w:val="affiliation"/>
        <w:rPr>
          <w:rFonts w:eastAsia="ＭＳ 明朝"/>
        </w:rPr>
      </w:pPr>
      <w:r w:rsidRPr="00D550B6">
        <w:rPr>
          <w:rFonts w:eastAsia="ＭＳ 明朝"/>
          <w:vertAlign w:val="superscript"/>
        </w:rPr>
        <w:t>1</w:t>
      </w:r>
      <w:r>
        <w:rPr>
          <w:rFonts w:eastAsia="ＭＳ 明朝"/>
        </w:rPr>
        <w:t>Student</w:t>
      </w:r>
    </w:p>
    <w:p w14:paraId="7C23072E" w14:textId="4A6684F8" w:rsidR="00D550B6" w:rsidRPr="008120CD" w:rsidRDefault="00D550B6" w:rsidP="00D550B6">
      <w:pPr>
        <w:pStyle w:val="affiliation"/>
        <w:rPr>
          <w:rFonts w:eastAsia="ＭＳ 明朝"/>
        </w:rPr>
      </w:pPr>
      <w:r>
        <w:rPr>
          <w:rFonts w:eastAsia="ＭＳ 明朝"/>
        </w:rPr>
        <w:t>2</w:t>
      </w:r>
      <w:r w:rsidRPr="008120CD">
        <w:rPr>
          <w:rFonts w:eastAsia="ＭＳ 明朝"/>
        </w:rPr>
        <w:t>-</w:t>
      </w:r>
      <w:r>
        <w:rPr>
          <w:rFonts w:eastAsia="ＭＳ 明朝"/>
        </w:rPr>
        <w:t>16</w:t>
      </w:r>
      <w:r w:rsidRPr="008120CD">
        <w:rPr>
          <w:rFonts w:eastAsia="ＭＳ 明朝"/>
        </w:rPr>
        <w:t>-</w:t>
      </w:r>
      <w:r>
        <w:rPr>
          <w:rFonts w:eastAsia="ＭＳ 明朝"/>
        </w:rPr>
        <w:t>4</w:t>
      </w:r>
      <w:r w:rsidRPr="008120CD">
        <w:rPr>
          <w:rFonts w:eastAsia="ＭＳ 明朝"/>
        </w:rPr>
        <w:t xml:space="preserve">, </w:t>
      </w:r>
      <w:proofErr w:type="spellStart"/>
      <w:r>
        <w:rPr>
          <w:rFonts w:eastAsia="ＭＳ 明朝"/>
        </w:rPr>
        <w:t>Susenji</w:t>
      </w:r>
      <w:proofErr w:type="spellEnd"/>
      <w:r w:rsidRPr="008120CD">
        <w:rPr>
          <w:rFonts w:eastAsia="ＭＳ 明朝"/>
        </w:rPr>
        <w:t xml:space="preserve">, </w:t>
      </w:r>
      <w:r>
        <w:rPr>
          <w:rFonts w:eastAsia="ＭＳ 明朝"/>
        </w:rPr>
        <w:t>Nishi</w:t>
      </w:r>
      <w:r w:rsidRPr="008120CD">
        <w:rPr>
          <w:rFonts w:eastAsia="ＭＳ 明朝"/>
        </w:rPr>
        <w:t>-</w:t>
      </w:r>
      <w:proofErr w:type="spellStart"/>
      <w:r w:rsidRPr="008120CD">
        <w:rPr>
          <w:rFonts w:eastAsia="ＭＳ 明朝"/>
        </w:rPr>
        <w:t>ku</w:t>
      </w:r>
      <w:proofErr w:type="spellEnd"/>
      <w:r w:rsidRPr="008120CD">
        <w:rPr>
          <w:rFonts w:eastAsia="ＭＳ 明朝"/>
        </w:rPr>
        <w:t xml:space="preserve">, </w:t>
      </w:r>
      <w:r>
        <w:rPr>
          <w:rFonts w:eastAsia="ＭＳ 明朝"/>
        </w:rPr>
        <w:t>Fukuoka</w:t>
      </w:r>
      <w:r w:rsidRPr="008120CD">
        <w:rPr>
          <w:rFonts w:eastAsia="ＭＳ 明朝"/>
        </w:rPr>
        <w:t xml:space="preserve">, </w:t>
      </w:r>
      <w:r>
        <w:rPr>
          <w:rFonts w:eastAsia="ＭＳ 明朝"/>
        </w:rPr>
        <w:t>819-0395</w:t>
      </w:r>
      <w:r w:rsidRPr="008120CD">
        <w:rPr>
          <w:rFonts w:eastAsia="ＭＳ 明朝"/>
        </w:rPr>
        <w:t>, Japan</w:t>
      </w:r>
    </w:p>
    <w:p w14:paraId="617A81AB" w14:textId="77777777" w:rsidR="006D49E7" w:rsidRPr="008120CD" w:rsidRDefault="006D49E7" w:rsidP="005C0554">
      <w:pPr>
        <w:pStyle w:val="ABSTRACTtitle"/>
        <w:rPr>
          <w:rFonts w:eastAsia="ＭＳ 明朝"/>
        </w:rPr>
      </w:pPr>
      <w:r w:rsidRPr="008120CD">
        <w:rPr>
          <w:rFonts w:eastAsia="ＭＳ 明朝" w:hint="eastAsia"/>
        </w:rPr>
        <w:t>ABSTRACT</w:t>
      </w:r>
    </w:p>
    <w:p w14:paraId="26BCB445" w14:textId="1183C9FD" w:rsidR="0072389D" w:rsidRPr="00354D01" w:rsidRDefault="002B6FDF" w:rsidP="00C43F8D">
      <w:pPr>
        <w:pStyle w:val="Abstract"/>
        <w:sectPr w:rsidR="0072389D" w:rsidRPr="00354D01" w:rsidSect="00F76BC7">
          <w:footerReference w:type="default" r:id="rId8"/>
          <w:pgSz w:w="11906" w:h="16838" w:code="9"/>
          <w:pgMar w:top="1418" w:right="1134" w:bottom="1418" w:left="1134" w:header="567" w:footer="454" w:gutter="0"/>
          <w:cols w:space="425"/>
          <w:docGrid w:linePitch="400"/>
        </w:sectPr>
      </w:pPr>
      <w:r>
        <w:t xml:space="preserve">A reduced chemical kinetics mechanism capable of modeling the unstretched laminar burning velocity of </w:t>
      </w:r>
      <w:r w:rsidR="00354D01">
        <w:t>NH</w:t>
      </w:r>
      <w:r w:rsidR="00354D01">
        <w:rPr>
          <w:vertAlign w:val="subscript"/>
        </w:rPr>
        <w:t>3</w:t>
      </w:r>
      <w:r>
        <w:t xml:space="preserve"> and its blends </w:t>
      </w:r>
      <w:proofErr w:type="gramStart"/>
      <w:r w:rsidR="00354D01">
        <w:t>was</w:t>
      </w:r>
      <w:proofErr w:type="gramEnd"/>
      <w:r>
        <w:t xml:space="preserve"> developed. Existing mechanisms were studied using reaction pathway analysis and sensitivity</w:t>
      </w:r>
      <w:r w:rsidR="00354D01">
        <w:t xml:space="preserve"> analysis for burning velocity</w:t>
      </w:r>
      <w:r>
        <w:t xml:space="preserve">. </w:t>
      </w:r>
      <w:r w:rsidR="00C43F8D">
        <w:t>The importance of N</w:t>
      </w:r>
      <w:r w:rsidR="00C43F8D">
        <w:rPr>
          <w:vertAlign w:val="subscript"/>
        </w:rPr>
        <w:t>2</w:t>
      </w:r>
      <w:r w:rsidR="00C43F8D">
        <w:t>H</w:t>
      </w:r>
      <w:r w:rsidR="00C43F8D">
        <w:rPr>
          <w:vertAlign w:val="subscript"/>
        </w:rPr>
        <w:t>x</w:t>
      </w:r>
      <w:r w:rsidR="00C43F8D">
        <w:t xml:space="preserve"> related pathways in controlling NH</w:t>
      </w:r>
      <w:r w:rsidR="00C43F8D">
        <w:rPr>
          <w:vertAlign w:val="subscript"/>
        </w:rPr>
        <w:t>3</w:t>
      </w:r>
      <w:r w:rsidR="00C43F8D">
        <w:t xml:space="preserve"> and H</w:t>
      </w:r>
      <w:r w:rsidR="00C43F8D">
        <w:rPr>
          <w:vertAlign w:val="subscript"/>
        </w:rPr>
        <w:t xml:space="preserve">2 </w:t>
      </w:r>
      <w:r w:rsidR="00C43F8D">
        <w:t>oxidation pathway</w:t>
      </w:r>
      <w:r w:rsidR="00354D01">
        <w:t xml:space="preserve"> interactions</w:t>
      </w:r>
      <w:r w:rsidR="00C43F8D">
        <w:t xml:space="preserve"> in NH</w:t>
      </w:r>
      <w:r w:rsidR="00C43F8D">
        <w:rPr>
          <w:vertAlign w:val="subscript"/>
        </w:rPr>
        <w:t>3</w:t>
      </w:r>
      <w:r w:rsidR="00C43F8D">
        <w:t>/H</w:t>
      </w:r>
      <w:r w:rsidR="00C43F8D">
        <w:rPr>
          <w:vertAlign w:val="subscript"/>
        </w:rPr>
        <w:t>2</w:t>
      </w:r>
      <w:r w:rsidR="00C43F8D">
        <w:t xml:space="preserve">/air flames </w:t>
      </w:r>
      <w:r w:rsidR="00354D01">
        <w:t>with intermediate H</w:t>
      </w:r>
      <w:r w:rsidR="00354D01">
        <w:rPr>
          <w:vertAlign w:val="subscript"/>
        </w:rPr>
        <w:t>2</w:t>
      </w:r>
      <w:r w:rsidR="00354D01">
        <w:t xml:space="preserve"> concentrations was recognized and described accurately in the new mechanism. </w:t>
      </w:r>
    </w:p>
    <w:p w14:paraId="305C90B6" w14:textId="1523BA2D" w:rsidR="006D49E7" w:rsidRPr="008120CD" w:rsidRDefault="006D49E7" w:rsidP="009C701D">
      <w:pPr>
        <w:pStyle w:val="section"/>
      </w:pPr>
      <w:r w:rsidRPr="008120CD">
        <w:rPr>
          <w:rFonts w:hint="eastAsia"/>
        </w:rPr>
        <w:t>Introduction</w:t>
      </w:r>
    </w:p>
    <w:p w14:paraId="0B169DE9" w14:textId="41132EF6" w:rsidR="00E41AD0" w:rsidRDefault="002B6FDF" w:rsidP="002B6FDF">
      <w:pPr>
        <w:pStyle w:val="Maintext"/>
      </w:pPr>
      <w:r w:rsidRPr="002B6FDF">
        <w:t xml:space="preserve">Ammonia has gained interest as a carbon free fuel for combustion systems and the blending of ammonia with other faster burning fuel, such as methane and hydrogen, is a method employed to improve the combustion characteristics of ammonia. To develop practical applications with these fuels, numerical simulations that can accurately evaluate the unstretched laminar burning velocity of the flame is required as </w:t>
      </w:r>
      <w:r w:rsidR="0085256C" w:rsidRPr="002B6FDF">
        <w:t>this</w:t>
      </w:r>
      <w:r w:rsidRPr="002B6FDF">
        <w:t xml:space="preserve"> property can be used to describe various premixed flame phenomena. Consequently, the development of chemical kinetics mechanisms that can accurately model this property at varied initial conditions are required. Moreover, reaction mechanisms with fewer species and reactions are desirable as large-scale combustion models and computational fluid dynamics simulations that employ bigger chemical kinetics mechanisms involve significantly more computational cost.</w:t>
      </w:r>
    </w:p>
    <w:p w14:paraId="418DB726" w14:textId="161E2509" w:rsidR="002B6FDF" w:rsidRDefault="002B6FDF" w:rsidP="002B6FDF">
      <w:pPr>
        <w:pStyle w:val="Maintext"/>
      </w:pPr>
      <w:r w:rsidRPr="002B6FDF">
        <w:t xml:space="preserve">Numerous chemical kinetic mechanisms that model NH3/air flames or specific blends of ammonia exist. However, most of these mechanisms were developed, optimized and validated for targeted mixtures, specific set of flame characteristics and select experimental conditions. For instance, a reduced mechanism developed by Okafor et al. </w:t>
      </w:r>
      <w:r>
        <w:fldChar w:fldCharType="begin"/>
      </w:r>
      <w:r>
        <w:instrText xml:space="preserve"> ADDIN ZOTERO_ITEM CSL_CITATION {"citationID":"3voblwc7","properties":{"unsorted":false,"formattedCitation":"[1]","plainCitation":"[1]","noteIndex":0},"citationItems":[{"id":196,"uris":["http://zotero.org/users/20740871/items/GI6AGGV5"],"itemData":{"id":196,"type":"article-journal","abstract":"Ammonia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fldChar w:fldCharType="separate"/>
      </w:r>
      <w:r w:rsidRPr="002B6FDF">
        <w:t>[1]</w:t>
      </w:r>
      <w:r>
        <w:fldChar w:fldCharType="end"/>
      </w:r>
      <w:r w:rsidRPr="002B6FDF">
        <w:t xml:space="preserve">, a chemical kinetics mechanism derived from a detailed mechanism by Okafor et al. </w:t>
      </w:r>
      <w:r w:rsidR="00944504">
        <w:fldChar w:fldCharType="begin"/>
      </w:r>
      <w:r w:rsidR="00944504">
        <w:instrText xml:space="preserve"> ADDIN ZOTERO_ITEM CSL_CITATION {"citationID":"CnJ2tDf2","properties":{"unsorted":false,"formattedCitation":"[2]","plainCitation":"[2]","noteIndex":0},"citationItems":[{"id":103,"uris":["http://zotero.org/users/20740871/items/YQ92NSUI"],"itemData":{"id":103,"type":"article-journal","abstract":"With the renewed interest in ammonia as a carbon-neutral fuel, mixtures of ammonia and methane are also being considered as fuel. In order to develop gas turbine combustors for the fuels, development of reaction mechanisms that accurately model the burning velocity and emissions from the flames is important. In this study, the laminar burning velocity of premixed methane–ammonia–air mixtures were studied experimentally and numerically over a wide range of equivalence ratios and ammonia concentrations. Ammonia concentration in the fuel, expressed in terms of the heat fraction of NH3 in the fuel, was varied from 0 to 0.3 while the equivalence ratio was varied from 0.8 to 1.3. The experiments were conducted using a constant volume chamber, at 298 K and 0.10 MPa. The burning velocity decreased with an increase in ammonia concentration. The numerical results showed that the kinetic mechanism by Tian et al. largely underestimates the unstretched laminar burning velocity owing mainly to the dominance of HCO (+H, OH, O2) = CO (+H2, H2O, HO2) over HCO = CO + H in the conversion of HCO to CO. GRI Mech 3.0 predicts the burning velocity of the mixture closely however some reactions relevant to the burning velocity and NO reduction in methane–ammonia flames are missing in the mechanism. A detailed reaction mechanism was developed based on GRI Mech 3.0 and the mechanism by Tian et al. and validated with the experimental results. The temperature and species profiles computed with the present model agree with that of GRI Mech 3.0 for methane–air flames. On the other hand, the NO profile computed with the present model agrees with Tian et al.’s mechanism for methane–ammonia flames with high ammonia concentration. Furthermore, the burned gas Markstein length was measured and was found to increase with equivalence ratio and ammonia concentration.","citation-key":"okaforExperimental2018","container-title":"Combustion and Flame","DOI":"10.1016/j.combustflame.2017.09.002","ISSN":"0010-2180","journalAbbreviation":"Combustion and Flame","page":"185-198","source":"ScienceDirect","title":"Experimental and numerical study of the laminar burning velocity of CH4–NH3–air premixed flames","volume":"187","author":[{"family":"Okafor","given":"Ekenechukwu C."},{"family":"Naito","given":"Yuji"},{"family":"Colson","given":"Sophie"},{"family":"Ichikawa","given":"Akinori"},{"family":"Kudo","given":"Taku"},{"family":"Hayakawa","given":"Akihiro"},{"family":"Kobayashi","given":"Hideaki"}],"issued":{"date-parts":[["2018",1,1]]}}}],"schema":"https://github.com/citation-style-language/schema/raw/master/csl-citation.json"} </w:instrText>
      </w:r>
      <w:r w:rsidR="00944504">
        <w:fldChar w:fldCharType="separate"/>
      </w:r>
      <w:r w:rsidR="00944504" w:rsidRPr="00944504">
        <w:t>[2]</w:t>
      </w:r>
      <w:r w:rsidR="00944504">
        <w:fldChar w:fldCharType="end"/>
      </w:r>
      <w:r w:rsidRPr="002B6FDF">
        <w:t xml:space="preserve"> and was optimized for </w:t>
      </w:r>
      <w:r w:rsidR="00BE38D3" w:rsidRPr="002B6FDF">
        <w:t>NH</w:t>
      </w:r>
      <w:r w:rsidR="00BE38D3" w:rsidRPr="00BE38D3">
        <w:rPr>
          <w:vertAlign w:val="subscript"/>
        </w:rPr>
        <w:t>3</w:t>
      </w:r>
      <w:r w:rsidR="00BE38D3" w:rsidRPr="002B6FDF">
        <w:t>/CH</w:t>
      </w:r>
      <w:r w:rsidR="00BE38D3" w:rsidRPr="00BE38D3">
        <w:rPr>
          <w:vertAlign w:val="subscript"/>
        </w:rPr>
        <w:t>4</w:t>
      </w:r>
      <w:r w:rsidR="00BE38D3" w:rsidRPr="002B6FDF">
        <w:t xml:space="preserve">/air </w:t>
      </w:r>
      <w:r w:rsidRPr="002B6FDF">
        <w:t xml:space="preserve">flames. This mechanism satisfactorily predicts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2B6FDF">
        <w:t xml:space="preserve"> at equivalence ratios ranging from lean to rich for </w:t>
      </w:r>
      <w:r w:rsidR="00BE38D3" w:rsidRPr="002B6FDF">
        <w:t>NH</w:t>
      </w:r>
      <w:r w:rsidR="00BE38D3" w:rsidRPr="00BE38D3">
        <w:rPr>
          <w:vertAlign w:val="subscript"/>
        </w:rPr>
        <w:t>3</w:t>
      </w:r>
      <w:r w:rsidR="00BE38D3" w:rsidRPr="002B6FDF">
        <w:t xml:space="preserve">/air </w:t>
      </w:r>
      <w:r w:rsidRPr="002B6FDF">
        <w:t xml:space="preserve">flames </w:t>
      </w:r>
      <w:r w:rsidR="00944504">
        <w:fldChar w:fldCharType="begin"/>
      </w:r>
      <w:r w:rsidR="00944504">
        <w:instrText xml:space="preserve"> ADDIN ZOTERO_ITEM CSL_CITATION {"citationID":"0m4kOABU","properties":{"unsorted":false,"formattedCitation":"[1], [3]","plainCitation":"[1], [3]","noteIndex":0},"citationItems":[{"id":196,"uris":["http://zotero.org/users/20740871/items/GI6AGGV5"],"itemData":{"id":196,"type":"article-journal","abstract":"Ammonia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id":820,"uris":["http://zotero.org/users/20740871/items/FV2BMELC"],"itemData":{"id":820,"type":"article-journal","abstract":"Ammonia is attracting more and more attentions due to its role as both a carbon-free fuel for gas turbines and an effective H2 carrier. Only a limit number of investigations on the laminar flame propagation and laminar burning velocity of ammonia have been performed on elevated pressures, which were focused on ammonia/air mixtures and suffered strong buoyancy effect. In this work, laminar flame propagation of ammonia/O2/N2 mixtures covering wide ranges of equivalence ratios, oxygen contents and initial pressures was investigated in a high-pressure constant-volume cylindrical combustion vessel. The oxygen enrichment speeds up the spherically expanding flames and consequently reduces buoyancy effect on the laminar flame propagation of ammonia. The laminar burning velocity was observed to increase with the increasing oxygen content, but decrease with the increasing initial pressure. A kinetic model of ammonia combustion consisting 38 species and 265 reactions was constructed from previous models with updated rate constants of important reactions. The present model can reasonably reproduce the laminar burning velocity data in this work and literature, as well as the ignition delay time and speciation data in literature. Based on the model analysis, effects of oxygen enrichment, equivalence ratio and initial pressure on laminar burning velocities of ammonia were analyzed in detail. It is revealed that the enhanced flame propagation with oxygen enrichment is mainly due to the increase of adiabatic flame temperature which in turn leads to higher concentrations of key radicals like H, OH and NH2. For NH3 and its major decomposition products like NH2 and NH, reactions with oxygenated species such as OH, O, O2 and NO are generally more important in the lean flames, while the role of reactions with H, NH and NH2 becomes crucial in the rich flames. The calculated pressure dependent coefficient indicates that NH3/O2/N2 flames exhibit clear pressure dependence, while this pressure dependence is weaker than those of the hydrocarbon and biofuel flames.","citation-key":"meiExperimental2019","container-title":"Combustion and Flame","DOI":"10.1016/j.combustflame.2019.08.033","ISSN":"0010-2180","journalAbbreviation":"Combustion and Flame","page":"236-246","source":"ScienceDirect","title":"Experimental and kinetic modeling investigation on the laminar flame propagation of ammonia under oxygen enrichment and elevated pressure conditions","volume":"210","author":[{"family":"Mei","given":"Bowen"},{"family":"Zhang","given":"Xiaoyuan"},{"family":"Ma","given":"Siyuan"},{"family":"Cui","given":"Mingli"},{"family":"Guo","given":"Hanwen"},{"family":"Cao","given":"Zhihao"},{"family":"Li","given":"Yuyang"}],"issued":{"date-parts":[["2019",12,1]]}}}],"schema":"https://github.com/citation-style-language/schema/raw/master/csl-citation.json"} </w:instrText>
      </w:r>
      <w:r w:rsidR="00944504">
        <w:fldChar w:fldCharType="separate"/>
      </w:r>
      <w:r w:rsidR="00944504" w:rsidRPr="00944504">
        <w:t>[1], [3]</w:t>
      </w:r>
      <w:r w:rsidR="00944504">
        <w:fldChar w:fldCharType="end"/>
      </w:r>
      <w:r w:rsidRPr="002B6FDF">
        <w:t xml:space="preserve"> and NH</w:t>
      </w:r>
      <w:r w:rsidRPr="00BE38D3">
        <w:rPr>
          <w:vertAlign w:val="subscript"/>
        </w:rPr>
        <w:t>3</w:t>
      </w:r>
      <w:r w:rsidRPr="002B6FDF">
        <w:t>/CH</w:t>
      </w:r>
      <w:r w:rsidRPr="00BE38D3">
        <w:rPr>
          <w:vertAlign w:val="subscript"/>
        </w:rPr>
        <w:t>4</w:t>
      </w:r>
      <w:r w:rsidRPr="002B6FDF">
        <w:t xml:space="preserve">/air flames </w:t>
      </w:r>
      <w:r w:rsidR="00944504">
        <w:fldChar w:fldCharType="begin"/>
      </w:r>
      <w:r w:rsidR="00944504">
        <w:instrText xml:space="preserve"> ADDIN ZOTERO_ITEM CSL_CITATION {"citationID":"Ln9l5IL0","properties":{"unsorted":false,"formattedCitation":"[1], [4]","plainCitation":"[1], [4]","noteIndex":0},"citationItems":[{"id":196,"uris":["http://zotero.org/users/20740871/items/GI6AGGV5"],"itemData":{"id":196,"type":"article-journal","abstract":"Ammonia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id":821,"uris":["http://zotero.org/users/20740871/items/W3WRTV76"],"itemData":{"id":821,"type":"article-journal","abstract":"Combustion of fuels to generate energy is integral to various human activities, both domestic and industrial. However, the predominance of hydrocarbon fuel usage produces emissions containing pollutants that cause multiple environmental complications and risks to human health. Therefore, replacement of conventional fuels to achieve zero carbon emission is of utmost importance. In terms of carbon-free fuel, ammonia offers several advantages over hydrogen. However, its low burning velocity and high fuel NOx emissions inhibit large-scale usage. Hence, hydrogen and methane have been studied in this review as possible secondary fuels to aid ammonia combustion and address the aforementioned issues. This review starts from the suitability of ammonia fuel as energy vector in terms of physicochemical and combustion characteristics, moving through the kinetics and mechanisms of ammonia-based and ammonia-fuel combustion. The impacts and limitations of each system are also addressed, thus providing a comparison on each system. Particularly, this review assesses and discusses the advantages and mechanisms involved with secondary fuel addition to the ammonia combustion, presenting the role of key reaction differences and the change in key reaction mechanism under different conditions at the level of reaction mechanisms. Finally, this review covers future perspectives and challenges on the usage and development of ammonia-based fuels, emphasizing the maturity of ammonia-based and ammonia-fuel combustion kinetics. Herein, this work summarizes the principles of the combustion reactions of ammonia-based and ammonia-fuel systematically and serves as a theoretical reference of ammonia-fuel combustion kinetics for transitioning into future practical applications where ammonia is an important energy vector.","citation-key":"chaiReview2021","container-title":"Renewable and Sustainable Energy Reviews","DOI":"10.1016/j.rser.2021.111254","ISSN":"1364-0321","journalAbbreviation":"Renewable and Sustainable Energy Reviews","page":"111254","source":"ScienceDirect","title":"A review on ammonia, ammonia-hydrogen and ammonia-methane fuels","volume":"147","author":[{"family":"Chai","given":"Wai Siong"},{"family":"Bao","given":"Yulei"},{"family":"Jin","given":"Pengfei"},{"family":"Tang","given":"Guang"},{"family":"Zhou","given":"Lei"}],"issued":{"date-parts":[["2021",9,1]]}}}],"schema":"https://github.com/citation-style-language/schema/raw/master/csl-citation.json"} </w:instrText>
      </w:r>
      <w:r w:rsidR="00944504">
        <w:fldChar w:fldCharType="separate"/>
      </w:r>
      <w:r w:rsidR="00944504" w:rsidRPr="00944504">
        <w:t>[1], [4]</w:t>
      </w:r>
      <w:r w:rsidR="00944504">
        <w:fldChar w:fldCharType="end"/>
      </w:r>
      <w:r w:rsidRPr="002B6FDF">
        <w:t xml:space="preserve">. This same reaction mechanism, however, is found to over-predict ignition delay times for </w:t>
      </w:r>
      <w:r w:rsidR="00944504">
        <w:t>NH</w:t>
      </w:r>
      <w:r w:rsidR="00944504" w:rsidRPr="00BE38D3">
        <w:rPr>
          <w:vertAlign w:val="subscript"/>
        </w:rPr>
        <w:t>3</w:t>
      </w:r>
      <w:r w:rsidRPr="002B6FDF">
        <w:t xml:space="preserve">/air combustion </w:t>
      </w:r>
      <w:r w:rsidR="00944504">
        <w:fldChar w:fldCharType="begin"/>
      </w:r>
      <w:r w:rsidR="00944504">
        <w:instrText xml:space="preserve"> ADDIN ZOTERO_ITEM CSL_CITATION {"citationID":"t3xDvDtq","properties":{"unsorted":false,"formattedCitation":"[5]","plainCitation":"[5]","noteIndex":0},"citationItems":[{"id":819,"uris":["http://zotero.org/users/20740871/items/BDRG248V"],"itemData":{"id":819,"type":"article-journal","abstract":"To achieve a reduced chemical model for comprehensive prediction of ammonia/hydrogen/methane mixture combustion, a detailed chemical mechanism with 128 species and 957 reactions was first assembled using models from literature. Directed relation graph with error propagation (DRGEP) with sensitivity analysis reduction method was then used to obtain compact reaction models. The studied reduction conditions cover ɸ = 0.5–2.0, temperature 1000–2000 K, and pressure 0.1–5 MPa. Finally, two reduced models have been obtained: 28 species and 213 reactions for ammonia/hydrogen and 51 species and 420 reactions for ammonia/hydrogen/methane. Ignition delay times and laminar burning velocities for single component and fuel mixtures predicted using the detailed and reduced mechanisms were compared with available experiments. Results showed that both detailed and reduced mechanisms performed fairly well for ignition delays, while over-predicted laminar burning velocity at fuel-rich conditions for single ammonia fuel and mixtures. The 51 species reduced mechanism was also tested in non-premixed coflow hydrogen/methane jet flames, while 1%–50% mole ammonia were added to the fuel stream. Modelling results showed that this 51-species mechanism was suitable for CFD modelling, and the speedup factor was over 5 when using the reduced mechanism with different codes. The flame structure, as well as NO and NO2 formation was studied. High NO concentrations were found in high-temperature region near the stoichiometric zone, while NO2 was dominant in the lean flame zone. Reaction flux analysis was performed to better understand NH3 oxidation and NOx emissions at low- and high-temperature conditions.","citation-key":"liChemical2019","container-title":"Fuel","DOI":"10.1016/j.fuel.2019.116059","ISSN":"0016-2361","journalAbbreviation":"Fuel","page":"116059","source":"ScienceDirect","title":"Chemical mechanism development and reduction for combustion of NH3/H2/CH4 mixtures","volume":"257","author":[{"family":"Li","given":"Rui"},{"family":"Konnov","given":"Alexander A."},{"family":"He","given":"Guoqiang"},{"family":"Qin","given":"Fei"},{"family":"Zhang","given":"Duo"}],"issued":{"date-parts":[["2019",12,1]]}}}],"schema":"https://github.com/citation-style-language/schema/raw/master/csl-citation.json"} </w:instrText>
      </w:r>
      <w:r w:rsidR="00944504">
        <w:fldChar w:fldCharType="separate"/>
      </w:r>
      <w:r w:rsidR="00944504" w:rsidRPr="00944504">
        <w:t>[5]</w:t>
      </w:r>
      <w:r w:rsidR="00944504">
        <w:fldChar w:fldCharType="end"/>
      </w:r>
      <w:r w:rsidRPr="002B6FDF">
        <w:t xml:space="preserve"> and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2B6FDF">
        <w:t xml:space="preserve"> of NH</w:t>
      </w:r>
      <w:r w:rsidRPr="00BE38D3">
        <w:rPr>
          <w:vertAlign w:val="subscript"/>
        </w:rPr>
        <w:t>3</w:t>
      </w:r>
      <w:r w:rsidRPr="002B6FDF">
        <w:t>/H</w:t>
      </w:r>
      <w:r w:rsidR="00BE38D3">
        <w:rPr>
          <w:vertAlign w:val="subscript"/>
        </w:rPr>
        <w:t>2</w:t>
      </w:r>
      <w:r w:rsidRPr="002B6FDF">
        <w:t xml:space="preserve">/air flames for hydrogen concentrations greater than </w:t>
      </w: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m:t>
        </m:r>
        <m:r>
          <w:rPr>
            <w:rFonts w:ascii="Cambria Math" w:hAnsi="Cambria Math"/>
          </w:rPr>
          <m:t>0.4</m:t>
        </m:r>
      </m:oMath>
      <w:r w:rsidRPr="002B6FDF">
        <w:t xml:space="preserve"> where </w:t>
      </w:r>
      <m:oMath>
        <m:sSub>
          <m:sSubPr>
            <m:ctrlPr>
              <w:rPr>
                <w:rFonts w:ascii="Cambria Math" w:hAnsi="Cambria Math"/>
              </w:rPr>
            </m:ctrlPr>
          </m:sSubPr>
          <m:e>
            <m:r>
              <w:rPr>
                <w:rFonts w:ascii="Cambria Math" w:hAnsi="Cambria Math"/>
              </w:rPr>
              <m:t>X</m:t>
            </m:r>
          </m:e>
          <m:sub>
            <m:r>
              <w:rPr>
                <w:rFonts w:ascii="Cambria Math" w:hAnsi="Cambria Math"/>
              </w:rPr>
              <m:t>H2</m:t>
            </m:r>
          </m:sub>
        </m:sSub>
      </m:oMath>
      <w:r w:rsidRPr="002B6FDF">
        <w:t xml:space="preserve"> is the molar fraction of the specie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oMath>
      <w:r w:rsidRPr="002B6FDF">
        <w:t xml:space="preserve"> in the fuel. The detailed mechanism by Gotama et al. </w:t>
      </w:r>
      <w:r w:rsidR="00944504">
        <w:fldChar w:fldCharType="begin"/>
      </w:r>
      <w:r w:rsidR="00944504">
        <w:instrText xml:space="preserve"> ADDIN ZOTERO_ITEM CSL_CITATION {"citationID":"wvsGtoCt","properties":{"unsorted":false,"formattedCitation":"[6]","plainCitation":"[6]","noteIndex":0},"citationItems":[{"id":733,"uris":["http://zotero.org/users/20740871/items/T3E45C4C"],"itemData":{"id":733,"type":"article-journal","abstract":"The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944504">
        <w:fldChar w:fldCharType="separate"/>
      </w:r>
      <w:r w:rsidR="00944504" w:rsidRPr="00944504">
        <w:t>[6]</w:t>
      </w:r>
      <w:r w:rsidR="00944504">
        <w:fldChar w:fldCharType="end"/>
      </w:r>
      <w:r w:rsidRPr="002B6FDF">
        <w:t xml:space="preserve">, a mechanism based on Han et al.'s mechanism </w:t>
      </w:r>
      <w:r w:rsidR="00944504">
        <w:fldChar w:fldCharType="begin"/>
      </w:r>
      <w:r w:rsidR="00944504">
        <w:instrText xml:space="preserve"> ADDIN ZOTERO_ITEM CSL_CITATION {"citationID":"wV63zMj3","properties":{"unsorted":false,"formattedCitation":"[7]","plainCitation":"[7]","noteIndex":0},"citationItems":[{"id":817,"uris":["http://zotero.org/users/20740871/items/CTPX433M"],"itemData":{"id":817,"type":"article-journal","abstract":"Ammonia (NH3) can be used as carbon-free alternative fuel for modern energy and transportation systems. Co-firing NH3 with syngas can overcome the high ignition energy and low burning velocities of pure NH3 flames on the one hand, while regarding the characteristics of syngas on the other hand, this strategy may have low-emission potential in real application, and a corresponding research can be helpful for validating or developing NH3 co-firing mechanisms with more complex fuels. The present study experimentally investigated laminar burning velocities of NH3/syngas/air flames at atmospheric pressure and 298 K using the heat flux method. Two types of syngas components were used, i.e., SYN_A: 5 vol% H2 + 95 vol% CO and SYN_B: 50 vol% H2 + 50 vol% CO, and the measured conditions cover wide ranges of mixing ratios and equivalence ratios. Several literature kinetic mechanisms were tested and a new mechanism was proposed. Results calculated by the present mechanism agree well with experimental data of the burning velocities and the ignition delay times of NH3, NH3/H2, NH3/CO, and NH3/syngas flames at various mixing ratios, equivalence ratios, and pressures. The present mechanism also reproduces the trend of NOx emission characteristic in literature. Detailed kinetic analyses using the present mechanism were carried out, showing the NH3 oxidation processes in NH3/syngas/air flames and the most rate-limiting reactions for predicting the laminar burning velocities. Important reactions with different rate parameters from different sources were labeled, which could be helpful for future organization or optimization of NH3 kinetic mechanisms.","citation-key":"hanExperimental2020","container-title":"Combustion and Flame","DOI":"10.1016/j.combustflame.2019.11.032","ISSN":"0010-2180","journalAbbreviation":"Combustion and Flame","page":"1-13","source":"ScienceDirect","title":"Experimental and kinetic modeling study of laminar burning velocities of NH3/syngas/air premixed flames","volume":"213","author":[{"family":"Han","given":"Xinlu"},{"family":"Wang","given":"Zhihua"},{"family":"He","given":"Yong"},{"family":"Zhu","given":"Yanqun"},{"family":"Cen","given":"Kefa"}],"issued":{"date-parts":[["2020",3,1]]}}}],"schema":"https://github.com/citation-style-language/schema/raw/master/csl-citation.json"} </w:instrText>
      </w:r>
      <w:r w:rsidR="00944504">
        <w:fldChar w:fldCharType="separate"/>
      </w:r>
      <w:r w:rsidR="00944504" w:rsidRPr="00944504">
        <w:t>[7]</w:t>
      </w:r>
      <w:r w:rsidR="00944504">
        <w:fldChar w:fldCharType="end"/>
      </w:r>
      <w:r w:rsidRPr="002B6FDF">
        <w:t>, was optimized for NH</w:t>
      </w:r>
      <w:r w:rsidRPr="00944504">
        <w:rPr>
          <w:vertAlign w:val="subscript"/>
        </w:rPr>
        <w:t>3</w:t>
      </w:r>
      <w:r w:rsidRPr="002B6FDF">
        <w:t>/H</w:t>
      </w:r>
      <w:r w:rsidRPr="00944504">
        <w:rPr>
          <w:vertAlign w:val="subscript"/>
        </w:rPr>
        <w:t>2</w:t>
      </w:r>
      <w:r w:rsidRPr="002B6FDF">
        <w:t xml:space="preserve">/air combustion and then was validated for </w:t>
      </w:r>
      <w:r w:rsidR="00944504">
        <w:t xml:space="preserve"> </w:t>
      </w: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m:t>
        </m:r>
        <m:r>
          <w:rPr>
            <w:rFonts w:ascii="Cambria Math" w:hAnsi="Cambria Math"/>
          </w:rPr>
          <m:t>0.4</m:t>
        </m:r>
      </m:oMath>
      <w:r w:rsidRPr="002B6FDF">
        <w:t xml:space="preserve"> at rich, stoichiometric and lean equivalence ratios </w:t>
      </w:r>
      <w:r w:rsidR="00944504">
        <w:fldChar w:fldCharType="begin"/>
      </w:r>
      <w:r w:rsidR="00944504">
        <w:instrText xml:space="preserve"> ADDIN ZOTERO_ITEM CSL_CITATION {"citationID":"0yYQkS5J","properties":{"unsorted":false,"formattedCitation":"[6]","plainCitation":"[6]","noteIndex":0},"citationItems":[{"id":733,"uris":["http://zotero.org/users/20740871/items/T3E45C4C"],"itemData":{"id":733,"type":"article-journal","abstract":"The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944504">
        <w:fldChar w:fldCharType="separate"/>
      </w:r>
      <w:r w:rsidR="00944504" w:rsidRPr="00944504">
        <w:t>[6]</w:t>
      </w:r>
      <w:r w:rsidR="00944504">
        <w:fldChar w:fldCharType="end"/>
      </w:r>
      <w:r w:rsidRPr="002B6FDF">
        <w:t xml:space="preserve">. Moreover, the mechanisms displayed accurate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944504">
        <w:t xml:space="preserve"> </w:t>
      </w:r>
      <w:r w:rsidRPr="002B6FDF">
        <w:t>predictions for H</w:t>
      </w:r>
      <w:r w:rsidRPr="00BE38D3">
        <w:rPr>
          <w:vertAlign w:val="subscript"/>
        </w:rPr>
        <w:t>2</w:t>
      </w:r>
      <w:r w:rsidRPr="002B6FDF">
        <w:t xml:space="preserve">/air flames at various equivalence ratios at atmospheric pressure. Gotama et al. also developed a reduced mechanism (26 species and 119 reactions) based on their detailed mechanism </w:t>
      </w:r>
      <w:r w:rsidR="00944504">
        <w:fldChar w:fldCharType="begin"/>
      </w:r>
      <w:r w:rsidR="00944504">
        <w:instrText xml:space="preserve"> ADDIN ZOTERO_ITEM CSL_CITATION {"citationID":"IJRshvFF","properties":{"unsorted":false,"formattedCitation":"[6]","plainCitation":"[6]","noteIndex":0},"citationItems":[{"id":733,"uris":["http://zotero.org/users/20740871/items/T3E45C4C"],"itemData":{"id":733,"type":"article-journal","abstract":"The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944504">
        <w:fldChar w:fldCharType="separate"/>
      </w:r>
      <w:r w:rsidR="00944504" w:rsidRPr="00944504">
        <w:t>[6]</w:t>
      </w:r>
      <w:r w:rsidR="00944504">
        <w:fldChar w:fldCharType="end"/>
      </w:r>
      <w:r w:rsidRPr="002B6FDF">
        <w:t xml:space="preserve">. The mechanism by Nakamura et al. </w:t>
      </w:r>
      <w:r w:rsidR="00944504">
        <w:fldChar w:fldCharType="begin"/>
      </w:r>
      <w:r w:rsidR="00944504">
        <w:instrText xml:space="preserve"> ADDIN ZOTERO_ITEM CSL_CITATION {"citationID":"4CEOKBKD","properties":{"unsorted":false,"formattedCitation":"[8]","plainCitation":"[8]","noteIndex":0},"citationItems":[{"id":780,"uris":["http://zotero.org/users/20740871/items/FX89RVZZ"],"itemData":{"id":780,"type":"article-journal","abstract":"Ammonia is considered to be one of the promising energy carriers in the future and reliable chemical kinetics to accurately predict ignition characteristics of ammonia/air mixtures is necessary for developing ammonia combustors. However, ignition characteristics of ammonia/air mixtures at low temperatures have not been well studied. The present study employed weak flames in a micro flow reactor with a controlled temperature profile, which have been extensively employed to examine ignition characteristics of hydrocarbons, to investigate ignition characteristics of ammonia/air mixtures at low temperatures. Species measurements for weak flames of ammonia/air mixtures at atmospheric pressure and equivalence ratios of 0.8, 1.0 and 1.2 under a maximum wall temperature of 1400 K were conducted using a mass spectrometer and profiles of the NH3, O2, H2O NO, and N2O mole fractions were obtained. Chemical kinetic modeling was conducted with extensive updates mainly for the N2Hx chemistry because N2Hx species were expected to be produced from the NH2 + NH2 reactions at low temperatures. The mechanism developed in the present study well predicted species profiles of NH3, O2 and H2O for weak flames measured in experiments. The present mechanism also well predicted the final values of the NO and N2O mole fractions behind the reaction zone of weak flames but overestimated these mole fractions in the reaction zone of weak flames. To confirm the existence of N2Hx species in the reaction zone of weak flames, signals from N2H4 were distinguished from measured signals. Sensitivity analysis and reaction flux analysis were conducted and the importance of the N2Hx chemistry in the reaction zone of weak flames at low temperatures was identified. Validation of the present mechanism with literature data on ignition delays and flame speeds were conducted and reasonable agreements with literature data were confirmed. For N2O and NO in the reaction zone of weak flames, however, there was discrepancy between measured and computational mole fractions and further improvements of chemical kinetics related to ammonia ignition are still necessary.","citation-key":"nakamuraKinetic2017","container-title":"Combustion and Flame","DOI":"10.1016/j.combustflame.2017.06.021","ISSN":"0010-2180","journalAbbreviation":"Combustion and Flame","page":"16-27","source":"ScienceDirect","title":"Kinetic modeling of ammonia/air weak flames in a micro flow reactor with a controlled temperature profile","volume":"185","author":[{"family":"Nakamura","given":"Hisashi"},{"family":"Hasegawa","given":"Susumu"},{"family":"Tezuka","given":"Takuya"}],"issued":{"date-parts":[["2017",11,1]]}}}],"schema":"https://github.com/citation-style-language/schema/raw/master/csl-citation.json"} </w:instrText>
      </w:r>
      <w:r w:rsidR="00944504">
        <w:fldChar w:fldCharType="separate"/>
      </w:r>
      <w:r w:rsidR="00944504" w:rsidRPr="00944504">
        <w:t>[8]</w:t>
      </w:r>
      <w:r w:rsidR="00944504">
        <w:fldChar w:fldCharType="end"/>
      </w:r>
      <w:r w:rsidRPr="002B6FDF">
        <w:t xml:space="preserve"> was developed with Miller and Bowman's mechanism </w:t>
      </w:r>
      <w:r w:rsidR="00944504">
        <w:fldChar w:fldCharType="begin"/>
      </w:r>
      <w:r w:rsidR="00944504">
        <w:instrText xml:space="preserve"> ADDIN ZOTERO_ITEM CSL_CITATION {"citationID":"ksHPcdKd","properties":{"unsorted":false,"formattedCitation":"[9]","plainCitation":"[9]","noteIndex":0},"citationItems":[{"id":797,"uris":["http://zotero.org/users/20740871/items/CFV92EAC"],"itemData":{"id":797,"type":"article-journal","abstract":"Our current understanding of the mechanisms and rate parameters for the gas-phase reactions of nitrogen compounds that are applicable to combustion-generated air pollution is discussed and illustrated by comparison of results from detailed kinetics calculations with experimental data. In particular, the mechanisms and rate parameters for thermal and prompt NO formation, for fuel nitrogen conversion, for the Thermal De-NOx and RAPRENOx processes, and for NO2 and N2O formation and removal processes are considered. Sensitivity and rate-of-production analyses are applied in the calculations to determine which elementary reactions are of greatest importance in the nitrogen conversion process. Available information on the rate parameters for these important elementary reactions has been surveyed, and recommendations for the rate coefficients for these reactions are provided. The principal areas of uncertainty in nitrogen reaction mechanisms and rate parameters are outlined.","citation-key":"millerMechanism1989","container-title":"Progress in Energy and Combustion Science","DOI":"10.1016/0360-1285(89)90017-8","ISSN":"0360-1285","issue":"4","journalAbbreviation":"Progress in Energy and Combustion Science","page":"287-338","source":"ScienceDirect","title":"Mechanism and modeling of nitrogen chemistry in combustion","volume":"15","author":[{"family":"Miller","given":"James A."},{"family":"Bowman","given":"Craig T."}],"issued":{"date-parts":[["1989",1,1]]}}}],"schema":"https://github.com/citation-style-language/schema/raw/master/csl-citation.json"} </w:instrText>
      </w:r>
      <w:r w:rsidR="00944504">
        <w:fldChar w:fldCharType="separate"/>
      </w:r>
      <w:r w:rsidR="00944504" w:rsidRPr="00944504">
        <w:t>[9]</w:t>
      </w:r>
      <w:r w:rsidR="00944504">
        <w:fldChar w:fldCharType="end"/>
      </w:r>
      <w:r w:rsidRPr="002B6FDF">
        <w:t xml:space="preserve"> as a base to which N</w:t>
      </w:r>
      <w:r w:rsidRPr="00BE38D3">
        <w:rPr>
          <w:vertAlign w:val="subscript"/>
        </w:rPr>
        <w:t>2</w:t>
      </w:r>
      <w:r w:rsidRPr="002B6FDF">
        <w:t>H</w:t>
      </w:r>
      <w:r w:rsidRPr="00BE38D3">
        <w:rPr>
          <w:vertAlign w:val="subscript"/>
        </w:rPr>
        <w:t>x</w:t>
      </w:r>
      <w:r w:rsidRPr="002B6FDF">
        <w:t xml:space="preserve"> </w:t>
      </w:r>
      <w:r w:rsidRPr="002B6FDF">
        <w:t xml:space="preserve">chemistry was added. This led to accurate </w:t>
      </w:r>
      <w:r w:rsidR="00944504" w:rsidRPr="002B6FDF">
        <w:t>predictions of</w:t>
      </w:r>
      <w:r w:rsidRPr="002B6FDF">
        <w:t xml:space="preserve"> NH</w:t>
      </w:r>
      <w:r w:rsidRPr="00944504">
        <w:rPr>
          <w:vertAlign w:val="subscript"/>
        </w:rPr>
        <w:t>3</w:t>
      </w:r>
      <w:r w:rsidRPr="002B6FDF">
        <w:t>, NO and N</w:t>
      </w:r>
      <w:r w:rsidRPr="00944504">
        <w:rPr>
          <w:vertAlign w:val="subscript"/>
        </w:rPr>
        <w:t>2</w:t>
      </w:r>
      <w:r w:rsidRPr="002B6FDF">
        <w:t>O profiles in NH</w:t>
      </w:r>
      <w:r w:rsidRPr="00944504">
        <w:rPr>
          <w:vertAlign w:val="subscript"/>
        </w:rPr>
        <w:t>3</w:t>
      </w:r>
      <w:r w:rsidRPr="002B6FDF">
        <w:t>/air flames. NH</w:t>
      </w:r>
      <w:r w:rsidRPr="00944504">
        <w:rPr>
          <w:vertAlign w:val="subscript"/>
        </w:rPr>
        <w:t>3</w:t>
      </w:r>
      <w:r w:rsidRPr="002B6FDF">
        <w:t xml:space="preserve">/air flame speed was reasonably predicted by this mechanism at lean and stoichiometric conditions </w:t>
      </w:r>
      <w:r w:rsidR="00944504">
        <w:fldChar w:fldCharType="begin"/>
      </w:r>
      <w:r w:rsidR="00944504">
        <w:instrText xml:space="preserve"> ADDIN ZOTERO_ITEM CSL_CITATION {"citationID":"xJZywTbo","properties":{"unsorted":false,"formattedCitation":"[3]","plainCitation":"[3]","noteIndex":0},"citationItems":[{"id":820,"uris":["http://zotero.org/users/20740871/items/FV2BMELC"],"itemData":{"id":820,"type":"article-journal","abstract":"Ammonia is attracting more and more attentions due to its role as both a carbon-free fuel for gas turbines and an effective H2 carrier. Only a limit number of investigations on the laminar flame propagation and laminar burning velocity of ammonia have been performed on elevated pressures, which were focused on ammonia/air mixtures and suffered strong buoyancy effect. In this work, laminar flame propagation of ammonia/O2/N2 mixtures covering wide ranges of equivalence ratios, oxygen contents and initial pressures was investigated in a high-pressure constant-volume cylindrical combustion vessel. The oxygen enrichment speeds up the spherically expanding flames and consequently reduces buoyancy effect on the laminar flame propagation of ammonia. The laminar burning velocity was observed to increase with the increasing oxygen content, but decrease with the increasing initial pressure. A kinetic model of ammonia combustion consisting 38 species and 265 reactions was constructed from previous models with updated rate constants of important reactions. The present model can reasonably reproduce the laminar burning velocity data in this work and literature, as well as the ignition delay time and speciation data in literature. Based on the model analysis, effects of oxygen enrichment, equivalence ratio and initial pressure on laminar burning velocities of ammonia were analyzed in detail. It is revealed that the enhanced flame propagation with oxygen enrichment is mainly due to the increase of adiabatic flame temperature which in turn leads to higher concentrations of key radicals like H, OH and NH2. For NH3 and its major decomposition products like NH2 and NH, reactions with oxygenated species such as OH, O, O2 and NO are generally more important in the lean flames, while the role of reactions with H, NH and NH2 becomes crucial in the rich flames. The calculated pressure dependent coefficient indicates that NH3/O2/N2 flames exhibit clear pressure dependence, while this pressure dependence is weaker than those of the hydrocarbon and biofuel flames.","citation-key":"meiExperimental2019","container-title":"Combustion and Flame","DOI":"10.1016/j.combustflame.2019.08.033","ISSN":"0010-2180","journalAbbreviation":"Combustion and Flame","page":"236-246","source":"ScienceDirect","title":"Experimental and kinetic modeling investigation on the laminar flame propagation of ammonia under oxygen enrichment and elevated pressure conditions","volume":"210","author":[{"family":"Mei","given":"Bowen"},{"family":"Zhang","given":"Xiaoyuan"},{"family":"Ma","given":"Siyuan"},{"family":"Cui","given":"Mingli"},{"family":"Guo","given":"Hanwen"},{"family":"Cao","given":"Zhihao"},{"family":"Li","given":"Yuyang"}],"issued":{"date-parts":[["2019",12,1]]}}}],"schema":"https://github.com/citation-style-language/schema/raw/master/csl-citation.json"} </w:instrText>
      </w:r>
      <w:r w:rsidR="00944504">
        <w:fldChar w:fldCharType="separate"/>
      </w:r>
      <w:r w:rsidR="00944504" w:rsidRPr="00944504">
        <w:t>[3]</w:t>
      </w:r>
      <w:r w:rsidR="00944504">
        <w:fldChar w:fldCharType="end"/>
      </w:r>
      <w:r w:rsidRPr="002B6FDF">
        <w:t xml:space="preserve"> too. Another study found Nakamura Mech's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2B6FDF">
        <w:t xml:space="preserve"> predictions of NH</w:t>
      </w:r>
      <w:r w:rsidR="00BE38D3">
        <w:rPr>
          <w:vertAlign w:val="subscript"/>
        </w:rPr>
        <w:t>3</w:t>
      </w:r>
      <w:r w:rsidRPr="002B6FDF">
        <w:t>/H</w:t>
      </w:r>
      <w:r w:rsidRPr="00BE38D3">
        <w:rPr>
          <w:vertAlign w:val="subscript"/>
        </w:rPr>
        <w:t>2</w:t>
      </w:r>
      <w:r w:rsidRPr="002B6FDF">
        <w:t>/air flames were satisfactory too, especially in fuel-rich conditions (</w:t>
      </w:r>
      <m:oMath>
        <m:r>
          <w:rPr>
            <w:rFonts w:ascii="Cambria Math" w:hAnsi="Cambria Math"/>
          </w:rPr>
          <m:t>ϕ=1.1</m:t>
        </m:r>
        <m:r>
          <w:rPr>
            <w:rFonts w:ascii="Cambria Math" w:hAnsi="Cambria Math"/>
          </w:rPr>
          <m:t>-</m:t>
        </m:r>
        <m:r>
          <w:rPr>
            <w:rFonts w:ascii="Cambria Math" w:hAnsi="Cambria Math"/>
          </w:rPr>
          <m:t>1.4</m:t>
        </m:r>
      </m:oMath>
      <w:r w:rsidRPr="002B6FDF">
        <w:t>). However, this mechanism struggles to accurately model NO and N</w:t>
      </w:r>
      <w:r w:rsidRPr="00BE38D3">
        <w:rPr>
          <w:vertAlign w:val="subscript"/>
        </w:rPr>
        <w:t>2</w:t>
      </w:r>
      <w:r w:rsidRPr="002B6FDF">
        <w:t>O profiles in the reaction zones of NH</w:t>
      </w:r>
      <w:r w:rsidRPr="00BE38D3">
        <w:rPr>
          <w:vertAlign w:val="subscript"/>
        </w:rPr>
        <w:t>3</w:t>
      </w:r>
      <w:r w:rsidRPr="002B6FDF">
        <w:t>/air flames. Hence, a demand for a reduced reaction mechanism that can accurately evaluate the unstretched laminar burning velocity of various ammonia blends for a wide range of initial conditions exists.</w:t>
      </w:r>
    </w:p>
    <w:p w14:paraId="2D927410" w14:textId="747101F5" w:rsidR="002B6FDF" w:rsidRDefault="002B6FDF" w:rsidP="002B6FDF">
      <w:pPr>
        <w:pStyle w:val="Maintext"/>
      </w:pPr>
      <w:r w:rsidRPr="002B6FDF">
        <w:t xml:space="preserve">This study aims to develop a reaction mechanism that can accurately model the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E38D3">
        <w:t xml:space="preserve"> </w:t>
      </w:r>
      <w:r w:rsidRPr="002B6FDF">
        <w:t>of NH</w:t>
      </w:r>
      <w:r w:rsidRPr="00BE38D3">
        <w:rPr>
          <w:vertAlign w:val="subscript"/>
        </w:rPr>
        <w:t>3</w:t>
      </w:r>
      <w:r w:rsidRPr="002B6FDF">
        <w:t>/air, NH</w:t>
      </w:r>
      <w:r w:rsidRPr="00BE38D3">
        <w:rPr>
          <w:vertAlign w:val="subscript"/>
        </w:rPr>
        <w:t>3</w:t>
      </w:r>
      <w:r w:rsidRPr="002B6FDF">
        <w:t>/CH</w:t>
      </w:r>
      <w:r w:rsidRPr="00BE38D3">
        <w:rPr>
          <w:vertAlign w:val="subscript"/>
        </w:rPr>
        <w:t>4</w:t>
      </w:r>
      <w:r w:rsidRPr="002B6FDF">
        <w:t>/air and NH</w:t>
      </w:r>
      <w:r w:rsidRPr="00BE38D3">
        <w:rPr>
          <w:vertAlign w:val="subscript"/>
        </w:rPr>
        <w:t>3</w:t>
      </w:r>
      <w:r w:rsidRPr="002B6FDF">
        <w:t>/H</w:t>
      </w:r>
      <w:r w:rsidRPr="00BE38D3">
        <w:rPr>
          <w:vertAlign w:val="subscript"/>
        </w:rPr>
        <w:t>2</w:t>
      </w:r>
      <w:r w:rsidRPr="002B6FDF">
        <w:t xml:space="preserve">/air flames. The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2B6FDF">
        <w:t>, being a flame characteristic that dictates fuel compatability for a wide range of practical applications, is prioritized for this present mechanism. This mechanism should maintain accurate predictions for rich and lean equivalence ratios, elevated pressures and varied fuel compositions.</w:t>
      </w:r>
    </w:p>
    <w:p w14:paraId="5031D8A7" w14:textId="77777777" w:rsidR="002B6FDF" w:rsidRPr="002B6FDF" w:rsidRDefault="002B6FDF" w:rsidP="002B6FDF">
      <w:pPr>
        <w:pStyle w:val="Maintext"/>
      </w:pPr>
    </w:p>
    <w:p w14:paraId="3BB32EDB" w14:textId="3E351DCA" w:rsidR="00FB78DF" w:rsidRDefault="002B6FDF" w:rsidP="009C701D">
      <w:pPr>
        <w:pStyle w:val="section"/>
      </w:pPr>
      <w:r>
        <w:t>Numerical Procedure</w:t>
      </w:r>
    </w:p>
    <w:p w14:paraId="131CF15F" w14:textId="3D93AEF8" w:rsidR="002B6FDF" w:rsidRDefault="002B6FDF" w:rsidP="002B6FDF">
      <w:pPr>
        <w:pStyle w:val="Maintext"/>
      </w:pPr>
      <w:r w:rsidRPr="002B6FDF">
        <w:t xml:space="preserve">In this study, the one-dimensional simulations for the unstretched laminar burning velocity,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2B6FDF">
        <w:t xml:space="preserve">, of premixed adiabatic flames were simulated using the Premixed Laminar Flame Speed Calculation Model in ANSYS Chemkin-PRO 2019 R3 and ANSYS Chemkin-PRO 2025 R2. The computation domain was set 10 cm and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2B6FDF">
        <w:t xml:space="preserve"> was calculated at the cold boundary of the computation domain. The adaptive grid setting</w:t>
      </w:r>
      <w:r w:rsidR="00BE38D3">
        <w:t>s</w:t>
      </w:r>
      <w:r w:rsidRPr="002B6FDF">
        <w:t xml:space="preserve"> GRAD and CURV were both set to 0.01. The ratio of H</w:t>
      </w:r>
      <w:r w:rsidRPr="00BE38D3">
        <w:rPr>
          <w:vertAlign w:val="subscript"/>
        </w:rPr>
        <w:t>2</w:t>
      </w:r>
      <w:r w:rsidRPr="002B6FDF">
        <w:t xml:space="preserve"> in the binary fuel, </w:t>
      </w:r>
      <m:oMath>
        <m:sSub>
          <m:sSubPr>
            <m:ctrlPr>
              <w:rPr>
                <w:rFonts w:ascii="Cambria Math" w:hAnsi="Cambria Math"/>
              </w:rPr>
            </m:ctrlPr>
          </m:sSubPr>
          <m:e>
            <m:r>
              <w:rPr>
                <w:rFonts w:ascii="Cambria Math" w:hAnsi="Cambria Math"/>
              </w:rPr>
              <m:t>X</m:t>
            </m:r>
          </m:e>
          <m:sub>
            <m:r>
              <m:rPr>
                <m:sty m:val="p"/>
              </m:rPr>
              <w:rPr>
                <w:rFonts w:ascii="Cambria Math" w:hAnsi="Cambria Math"/>
              </w:rPr>
              <m:t>H2</m:t>
            </m:r>
          </m:sub>
        </m:sSub>
      </m:oMath>
      <w:r w:rsidRPr="002B6FDF">
        <w:t xml:space="preserve">, is defined in </w:t>
      </w:r>
      <w:r w:rsidR="00BE38D3" w:rsidRPr="00BE38D3">
        <w:fldChar w:fldCharType="begin"/>
      </w:r>
      <w:r w:rsidR="00BE38D3" w:rsidRPr="00BE38D3">
        <w:instrText xml:space="preserve"> REF _Ref235768995 \h </w:instrText>
      </w:r>
      <w:r w:rsidR="00BE38D3" w:rsidRPr="00BE38D3">
        <w:instrText xml:space="preserve"> \* MERGEFORMAT </w:instrText>
      </w:r>
      <w:r w:rsidR="00BE38D3" w:rsidRPr="00BE38D3">
        <w:fldChar w:fldCharType="separate"/>
      </w:r>
      <w:r w:rsidR="00BE38D3" w:rsidRPr="00BE38D3">
        <w:t>(</w:t>
      </w:r>
      <w:r w:rsidR="00BE38D3" w:rsidRPr="00BE38D3">
        <w:rPr>
          <w:noProof/>
        </w:rPr>
        <w:t>1</w:t>
      </w:r>
      <w:r w:rsidR="00BE38D3" w:rsidRPr="00BE38D3">
        <w:t>)</w:t>
      </w:r>
      <w:r w:rsidR="00BE38D3" w:rsidRPr="00BE38D3">
        <w:fldChar w:fldCharType="end"/>
      </w:r>
      <w:r w:rsidRPr="002B6FDF">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H2</m:t>
            </m:r>
          </m:sub>
        </m:sSub>
      </m:oMath>
      <w:r w:rsidRPr="002B6FDF">
        <w:t xml:space="preserve"> was varied to study how each reaction mechanism's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E38D3">
        <w:t xml:space="preserve"> </w:t>
      </w:r>
      <w:r w:rsidRPr="002B6FDF">
        <w:t>predictions are affected by hydrogen addition.</w:t>
      </w:r>
    </w:p>
    <w:p w14:paraId="48CF4CBD" w14:textId="77777777" w:rsidR="002B6FDF" w:rsidRDefault="002B6FDF" w:rsidP="002B6FDF">
      <w:pPr>
        <w:pStyle w:val="Maintext"/>
      </w:pPr>
    </w:p>
    <w:tbl>
      <w:tblPr>
        <w:tblStyle w:val="TableGrid"/>
        <w:tblW w:w="5000" w:type="pct"/>
        <w:tblLook w:val="04A0" w:firstRow="1" w:lastRow="0" w:firstColumn="1" w:lastColumn="0" w:noHBand="0" w:noVBand="1"/>
      </w:tblPr>
      <w:tblGrid>
        <w:gridCol w:w="253"/>
        <w:gridCol w:w="3851"/>
        <w:gridCol w:w="450"/>
      </w:tblGrid>
      <w:tr w:rsidR="000430E3" w14:paraId="70560718" w14:textId="77777777" w:rsidTr="00792412">
        <w:tc>
          <w:tcPr>
            <w:tcW w:w="278" w:type="pct"/>
            <w:tcBorders>
              <w:top w:val="nil"/>
              <w:left w:val="nil"/>
              <w:bottom w:val="nil"/>
              <w:right w:val="nil"/>
            </w:tcBorders>
          </w:tcPr>
          <w:p w14:paraId="435E44F3" w14:textId="77777777" w:rsidR="000430E3" w:rsidRPr="002B6FDF" w:rsidRDefault="000430E3" w:rsidP="002B6FDF">
            <w:pPr>
              <w:pStyle w:val="Maintext"/>
              <w:ind w:firstLine="0"/>
              <w:jc w:val="center"/>
            </w:pPr>
          </w:p>
        </w:tc>
        <w:tc>
          <w:tcPr>
            <w:tcW w:w="4228" w:type="pct"/>
            <w:tcBorders>
              <w:top w:val="nil"/>
              <w:left w:val="nil"/>
              <w:bottom w:val="nil"/>
              <w:right w:val="nil"/>
            </w:tcBorders>
          </w:tcPr>
          <w:p w14:paraId="4C4630F8" w14:textId="399AAED9" w:rsidR="000430E3" w:rsidRPr="00792412" w:rsidRDefault="00BE38D3" w:rsidP="002B6FDF">
            <w:pPr>
              <w:pStyle w:val="Maintext"/>
              <w:ind w:firstLine="0"/>
              <w:jc w:val="center"/>
            </w:pPr>
            <m:oMathPara>
              <m:oMathParaPr>
                <m:jc m:val="center"/>
              </m:oMathParaP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m:t>
                </m:r>
                <m:f>
                  <m:fPr>
                    <m:ctrlPr>
                      <w:rPr>
                        <w:rFonts w:ascii="Cambria Math" w:hAnsi="Cambria Math"/>
                        <w:iCs/>
                      </w:rPr>
                    </m:ctrlPr>
                  </m:fPr>
                  <m:num>
                    <m:d>
                      <m:dPr>
                        <m:begChr m:val="["/>
                        <m:endChr m:val="]"/>
                        <m:ctrlPr>
                          <w:rPr>
                            <w:rFonts w:ascii="Cambria Math" w:hAnsi="Cambria Math"/>
                            <w:i/>
                          </w:rPr>
                        </m:ctrlPr>
                      </m:dPr>
                      <m:e>
                        <m:r>
                          <m:rPr>
                            <m:sty m:val="p"/>
                          </m:rPr>
                          <w:rPr>
                            <w:rFonts w:ascii="Cambria Math" w:hAnsi="Cambria Math"/>
                          </w:rPr>
                          <m:t>H2</m:t>
                        </m:r>
                        <m:ctrlPr>
                          <w:rPr>
                            <w:rFonts w:ascii="Cambria Math" w:hAnsi="Cambria Math"/>
                            <w:iCs/>
                          </w:rPr>
                        </m:ctrlPr>
                      </m:e>
                    </m:d>
                    <m:ctrlPr>
                      <w:rPr>
                        <w:rFonts w:ascii="Cambria Math" w:hAnsi="Cambria Math"/>
                        <w:i/>
                        <w:iCs/>
                      </w:rPr>
                    </m:ctrlPr>
                  </m:num>
                  <m:den>
                    <m:d>
                      <m:dPr>
                        <m:begChr m:val="["/>
                        <m:endChr m:val="]"/>
                        <m:ctrlPr>
                          <w:rPr>
                            <w:rFonts w:ascii="Cambria Math" w:hAnsi="Cambria Math"/>
                            <w:iCs/>
                          </w:rPr>
                        </m:ctrlPr>
                      </m:dPr>
                      <m:e>
                        <m:r>
                          <m:rPr>
                            <m:sty m:val="p"/>
                          </m:rPr>
                          <w:rPr>
                            <w:rFonts w:ascii="Cambria Math" w:hAnsi="Cambria Math"/>
                          </w:rPr>
                          <m:t>NH3</m:t>
                        </m:r>
                      </m:e>
                    </m:d>
                    <m:r>
                      <w:rPr>
                        <w:rFonts w:ascii="Cambria Math" w:hAnsi="Cambria Math"/>
                      </w:rPr>
                      <m:t>+[</m:t>
                    </m:r>
                    <m:r>
                      <m:rPr>
                        <m:sty m:val="p"/>
                      </m:rPr>
                      <w:rPr>
                        <w:rFonts w:ascii="Cambria Math" w:hAnsi="Cambria Math"/>
                      </w:rPr>
                      <m:t>H2</m:t>
                    </m:r>
                    <m:r>
                      <w:rPr>
                        <w:rFonts w:ascii="Cambria Math" w:hAnsi="Cambria Math"/>
                      </w:rPr>
                      <m:t>]</m:t>
                    </m:r>
                  </m:den>
                </m:f>
              </m:oMath>
            </m:oMathPara>
          </w:p>
        </w:tc>
        <w:tc>
          <w:tcPr>
            <w:tcW w:w="494" w:type="pct"/>
            <w:tcBorders>
              <w:top w:val="nil"/>
              <w:left w:val="nil"/>
              <w:bottom w:val="nil"/>
              <w:right w:val="nil"/>
            </w:tcBorders>
          </w:tcPr>
          <w:p w14:paraId="3BD187DD" w14:textId="61F6B1E6" w:rsidR="000430E3" w:rsidRPr="000430E3" w:rsidRDefault="000430E3" w:rsidP="00792412">
            <w:pPr>
              <w:pStyle w:val="Caption"/>
              <w:jc w:val="right"/>
              <w:rPr>
                <w:i w:val="0"/>
                <w:iCs w:val="0"/>
                <w:sz w:val="20"/>
                <w:szCs w:val="20"/>
              </w:rPr>
            </w:pPr>
            <w:bookmarkStart w:id="0" w:name="_Ref235768995"/>
            <w:r w:rsidRPr="000430E3">
              <w:rPr>
                <w:i w:val="0"/>
                <w:iCs w:val="0"/>
                <w:color w:val="auto"/>
                <w:sz w:val="20"/>
                <w:szCs w:val="20"/>
              </w:rPr>
              <w:t>(</w:t>
            </w:r>
            <w:r w:rsidRPr="000430E3">
              <w:rPr>
                <w:i w:val="0"/>
                <w:iCs w:val="0"/>
                <w:color w:val="auto"/>
                <w:sz w:val="20"/>
                <w:szCs w:val="20"/>
              </w:rPr>
              <w:fldChar w:fldCharType="begin"/>
            </w:r>
            <w:r w:rsidRPr="000430E3">
              <w:rPr>
                <w:i w:val="0"/>
                <w:iCs w:val="0"/>
                <w:color w:val="auto"/>
                <w:sz w:val="20"/>
                <w:szCs w:val="20"/>
              </w:rPr>
              <w:instrText xml:space="preserve"> SEQ Equation \* ARABIC </w:instrText>
            </w:r>
            <w:r w:rsidRPr="000430E3">
              <w:rPr>
                <w:i w:val="0"/>
                <w:iCs w:val="0"/>
                <w:color w:val="auto"/>
                <w:sz w:val="20"/>
                <w:szCs w:val="20"/>
              </w:rPr>
              <w:fldChar w:fldCharType="separate"/>
            </w:r>
            <w:r w:rsidRPr="000430E3">
              <w:rPr>
                <w:i w:val="0"/>
                <w:iCs w:val="0"/>
                <w:noProof/>
                <w:color w:val="auto"/>
                <w:sz w:val="20"/>
                <w:szCs w:val="20"/>
              </w:rPr>
              <w:t>1</w:t>
            </w:r>
            <w:r w:rsidRPr="000430E3">
              <w:rPr>
                <w:i w:val="0"/>
                <w:iCs w:val="0"/>
                <w:color w:val="auto"/>
                <w:sz w:val="20"/>
                <w:szCs w:val="20"/>
              </w:rPr>
              <w:fldChar w:fldCharType="end"/>
            </w:r>
            <w:r w:rsidRPr="000430E3">
              <w:rPr>
                <w:i w:val="0"/>
                <w:iCs w:val="0"/>
                <w:color w:val="auto"/>
                <w:sz w:val="20"/>
                <w:szCs w:val="20"/>
              </w:rPr>
              <w:t>)</w:t>
            </w:r>
            <w:bookmarkEnd w:id="0"/>
          </w:p>
        </w:tc>
      </w:tr>
    </w:tbl>
    <w:p w14:paraId="560CC135" w14:textId="77777777" w:rsidR="0050538D" w:rsidRDefault="0050538D" w:rsidP="00C23376">
      <w:pPr>
        <w:pStyle w:val="Maintext"/>
      </w:pPr>
    </w:p>
    <w:p w14:paraId="74BA6AE1" w14:textId="024617D4" w:rsidR="002B6FDF" w:rsidRDefault="00792412" w:rsidP="00C23376">
      <w:pPr>
        <w:pStyle w:val="Maintext"/>
      </w:pPr>
      <w:r w:rsidRPr="00792412">
        <w:t xml:space="preserve">The software was also used to compute rate of production of species, species concentrations and </w:t>
      </w:r>
      <w:r w:rsidR="00BE38D3" w:rsidRPr="00792412">
        <w:t>sensitivity</w:t>
      </w:r>
      <w:r w:rsidRPr="00792412">
        <w:t xml:space="preserve"> of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792412">
        <w:t xml:space="preserve"> to rate constants of elementary reactions. The reduced chemical kinetics mechanism by Okafor et al. </w:t>
      </w:r>
      <w:r w:rsidR="00C23376">
        <w:fldChar w:fldCharType="begin"/>
      </w:r>
      <w:r w:rsidR="00C23376">
        <w:instrText xml:space="preserve"> ADDIN ZOTERO_ITEM CSL_CITATION {"citationID":"7EBUaohz","properties":{"unsorted":false,"formattedCitation":"[1]","plainCitation":"[1]","noteIndex":0},"citationItems":[{"id":196,"uris":["http://zotero.org/users/20740871/items/GI6AGGV5"],"itemData":{"id":196,"type":"article-journal","abstract":"Ammonia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C23376">
        <w:fldChar w:fldCharType="separate"/>
      </w:r>
      <w:r w:rsidR="00C23376" w:rsidRPr="00C23376">
        <w:t>[1]</w:t>
      </w:r>
      <w:r w:rsidR="00C23376">
        <w:fldChar w:fldCharType="end"/>
      </w:r>
      <w:r w:rsidRPr="00792412">
        <w:t xml:space="preserve">, Gotama et al.'s </w:t>
      </w:r>
      <w:r w:rsidR="00C23376">
        <w:fldChar w:fldCharType="begin"/>
      </w:r>
      <w:r w:rsidR="00C23376">
        <w:instrText xml:space="preserve"> ADDIN ZOTERO_ITEM CSL_CITATION {"citationID":"AvqoraW5","properties":{"unsorted":false,"formattedCitation":"[6]","plainCitation":"[6]","noteIndex":0},"citationItems":[{"id":733,"uris":["http://zotero.org/users/20740871/items/T3E45C4C"],"itemData":{"id":733,"type":"article-journal","abstract":"The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C23376">
        <w:fldChar w:fldCharType="separate"/>
      </w:r>
      <w:r w:rsidR="00C23376" w:rsidRPr="00C23376">
        <w:t>[6]</w:t>
      </w:r>
      <w:r w:rsidR="00C23376">
        <w:fldChar w:fldCharType="end"/>
      </w:r>
      <w:r w:rsidRPr="00792412">
        <w:t xml:space="preserve"> detailed mechanism and Nakamura et al.'s </w:t>
      </w:r>
      <w:r w:rsidR="00C23376">
        <w:fldChar w:fldCharType="begin"/>
      </w:r>
      <w:r w:rsidR="00C23376">
        <w:instrText xml:space="preserve"> ADDIN ZOTERO_ITEM CSL_CITATION {"citationID":"BWLpPLRn","properties":{"unsorted":false,"formattedCitation":"[8]","plainCitation":"[8]","noteIndex":0},"citationItems":[{"id":780,"uris":["http://zotero.org/users/20740871/items/FX89RVZZ"],"itemData":{"id":780,"type":"article-journal","abstract":"Ammonia is considered to be one of the promising energy carriers in the future and reliable chemical kinetics to accurately predict ignition characteristics of ammonia/air mixtures is necessary for developing ammonia combustors. However, ignition characteristics of ammonia/air mixtures at low temperatures have not been well studied. The present study employed weak flames in a micro flow reactor with a controlled temperature profile, which have been extensively employed to examine ignition characteristics of hydrocarbons, to investigate ignition characteristics of ammonia/air mixtures at low temperatures. Species measurements for weak flames of ammonia/air mixtures at atmospheric pressure and equivalence ratios of 0.8, 1.0 and 1.2 under a maximum wall temperature of 1400 K were conducted using a mass spectrometer and profiles of the NH3, O2, H2O NO, and N2O mole fractions were obtained. Chemical kinetic modeling was conducted with extensive updates mainly for the N2Hx chemistry because N2Hx species were expected to be produced from the NH2 + NH2 reactions at low temperatures. The mechanism developed in the present study well predicted species profiles of NH3, O2 and H2O for weak flames measured in experiments. The present mechanism also well predicted the final values of the NO and N2O mole fractions behind the reaction zone of weak flames but overestimated these mole fractions in the reaction zone of weak flames. To confirm the existence of N2Hx species in the reaction zone of weak flames, signals from N2H4 were distinguished from measured signals. Sensitivity analysis and reaction flux analysis were conducted and the importance of the N2Hx chemistry in the reaction zone of weak flames at low temperatures was identified. Validation of the present mechanism with literature data on ignition delays and flame speeds were conducted and reasonable agreements with literature data were confirmed. For N2O and NO in the reaction zone of weak flames, however, there was discrepancy between measured and computational mole fractions and further improvements of chemical kinetics related to ammonia ignition are still necessary.","citation-key":"nakamuraKinetic2017","container-title":"Combustion and Flame","DOI":"10.1016/j.combustflame.2017.06.021","ISSN":"0010-2180","journalAbbreviation":"Combustion and Flame","page":"16-27","source":"ScienceDirect","title":"Kinetic modeling of ammonia/air weak flames in a micro flow reactor with a controlled temperature profile","volume":"185","author":[{"family":"Nakamura","given":"Hisashi"},{"family":"Hasegawa","given":"Susumu"},{"family":"Tezuka","given":"Takuya"}],"issued":{"date-parts":[["2017",11,1]]}}}],"schema":"https://github.com/citation-style-language/schema/raw/master/csl-citation.json"} </w:instrText>
      </w:r>
      <w:r w:rsidR="00C23376">
        <w:fldChar w:fldCharType="separate"/>
      </w:r>
      <w:r w:rsidR="00C23376" w:rsidRPr="00C23376">
        <w:t>[8]</w:t>
      </w:r>
      <w:r w:rsidR="00C23376">
        <w:fldChar w:fldCharType="end"/>
      </w:r>
      <w:r w:rsidRPr="00792412">
        <w:t xml:space="preserve"> mechanism were used in the simulations. Henceforth, for the purpose of discussion, </w:t>
      </w:r>
      <w:r w:rsidRPr="00792412">
        <w:lastRenderedPageBreak/>
        <w:t xml:space="preserve">these mechanisms shall be referred to as Okafor Reduced Mech, Gotama Mech and Nakamura Mech respectively. A reduced chemical kinetic model based on Okafor Reduced Mech. </w:t>
      </w:r>
      <w:r w:rsidR="00C23376">
        <w:fldChar w:fldCharType="begin"/>
      </w:r>
      <w:r w:rsidR="00C23376">
        <w:instrText xml:space="preserve"> ADDIN ZOTERO_ITEM CSL_CITATION {"citationID":"37J4HOGc","properties":{"unsorted":false,"formattedCitation":"[1]","plainCitation":"[1]","noteIndex":0},"citationItems":[{"id":196,"uris":["http://zotero.org/users/20740871/items/GI6AGGV5"],"itemData":{"id":196,"type":"article-journal","abstract":"Ammonia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C23376">
        <w:fldChar w:fldCharType="separate"/>
      </w:r>
      <w:r w:rsidR="00C23376" w:rsidRPr="00C23376">
        <w:t>[1]</w:t>
      </w:r>
      <w:r w:rsidR="00C23376">
        <w:fldChar w:fldCharType="end"/>
      </w:r>
      <w:r w:rsidRPr="00792412">
        <w:t xml:space="preserve"> with 43 species and 152 reactions was developed as described in the following section. The developed mechanism will be refe</w:t>
      </w:r>
      <w:r w:rsidR="00C23376">
        <w:t>r</w:t>
      </w:r>
      <w:r w:rsidRPr="00792412">
        <w:t>red to as Present Mech in this paper.</w:t>
      </w:r>
    </w:p>
    <w:p w14:paraId="2DD31044" w14:textId="2B6140D0" w:rsidR="00792412" w:rsidRPr="002B6FDF" w:rsidRDefault="00792412" w:rsidP="002B6FDF">
      <w:pPr>
        <w:pStyle w:val="Maintext"/>
      </w:pPr>
    </w:p>
    <w:p w14:paraId="04D04AEB" w14:textId="2FB0E1BE" w:rsidR="005C0554" w:rsidRPr="008120CD" w:rsidRDefault="00FB78DF" w:rsidP="00792412">
      <w:pPr>
        <w:pStyle w:val="section"/>
      </w:pPr>
      <w:r w:rsidRPr="008120CD">
        <w:t xml:space="preserve"> </w:t>
      </w:r>
      <w:r w:rsidR="00792412">
        <w:t>Development of the Present Mech</w:t>
      </w:r>
    </w:p>
    <w:p w14:paraId="2EE61DA2" w14:textId="2464D87C" w:rsidR="009C701D" w:rsidRDefault="00A74726" w:rsidP="00990AB6">
      <w:pPr>
        <w:pStyle w:val="Maintext"/>
        <w:spacing w:line="0" w:lineRule="atLeast"/>
        <w:rPr>
          <w:rFonts w:eastAsiaTheme="minorEastAsia"/>
        </w:rPr>
      </w:pPr>
      <w:r>
        <w:rPr>
          <w:rFonts w:eastAsiaTheme="minorEastAsia"/>
          <w:noProof/>
          <w:kern w:val="0"/>
          <w:sz w:val="24"/>
          <w:szCs w:val="24"/>
          <w:lang w:val="en-GB"/>
        </w:rPr>
        <mc:AlternateContent>
          <mc:Choice Requires="wps">
            <w:drawing>
              <wp:anchor distT="0" distB="0" distL="114300" distR="114300" simplePos="0" relativeHeight="251659264" behindDoc="0" locked="0" layoutInCell="1" allowOverlap="1" wp14:anchorId="48734BFB" wp14:editId="3329E13B">
                <wp:simplePos x="0" y="0"/>
                <wp:positionH relativeFrom="margin">
                  <wp:posOffset>1905</wp:posOffset>
                </wp:positionH>
                <wp:positionV relativeFrom="margin">
                  <wp:posOffset>3808730</wp:posOffset>
                </wp:positionV>
                <wp:extent cx="2934335" cy="2496185"/>
                <wp:effectExtent l="0" t="0" r="0" b="0"/>
                <wp:wrapSquare wrapText="bothSides"/>
                <wp:docPr id="139186225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335" cy="2496185"/>
                        </a:xfrm>
                        <a:prstGeom prst="rect">
                          <a:avLst/>
                        </a:prstGeom>
                        <a:solidFill>
                          <a:srgbClr val="FFFFFF"/>
                        </a:solidFill>
                        <a:ln w="9525">
                          <a:noFill/>
                          <a:miter lim="800000"/>
                          <a:headEnd/>
                          <a:tailEnd/>
                        </a:ln>
                      </wps:spPr>
                      <wps:txbx>
                        <w:txbxContent>
                          <w:p w14:paraId="64A86BE5" w14:textId="77777777" w:rsidR="00A74726" w:rsidRDefault="00A74726" w:rsidP="00A74726">
                            <w:pPr>
                              <w:jc w:val="center"/>
                            </w:pPr>
                            <w:r>
                              <w:rPr>
                                <w:rFonts w:asciiTheme="minorHAnsi" w:eastAsiaTheme="minorEastAsia" w:hAnsiTheme="minorHAnsi" w:cstheme="minorBidi"/>
                                <w:noProof/>
                                <w:kern w:val="0"/>
                                <w:lang w:val="en-GB"/>
                              </w:rPr>
                              <w:drawing>
                                <wp:inline distT="0" distB="0" distL="0" distR="0" wp14:anchorId="04B48CEC" wp14:editId="43CAFB2D">
                                  <wp:extent cx="2834049" cy="1700428"/>
                                  <wp:effectExtent l="0" t="0" r="4445" b="0"/>
                                  <wp:docPr id="124705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5069"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852520" cy="1711510"/>
                                          </a:xfrm>
                                          <a:prstGeom prst="rect">
                                            <a:avLst/>
                                          </a:prstGeom>
                                          <a:noFill/>
                                          <a:ln>
                                            <a:noFill/>
                                          </a:ln>
                                        </pic:spPr>
                                      </pic:pic>
                                    </a:graphicData>
                                  </a:graphic>
                                </wp:inline>
                              </w:drawing>
                            </w:r>
                          </w:p>
                          <w:p w14:paraId="2C40259B" w14:textId="77777777" w:rsidR="00A74726" w:rsidRDefault="00A74726" w:rsidP="00A74726">
                            <w:pPr>
                              <w:pStyle w:val="TableFigurecaption"/>
                              <w:spacing w:beforeLines="100" w:before="240"/>
                              <w:rPr>
                                <w:rFonts w:eastAsia="ＭＳ 明朝"/>
                              </w:rPr>
                            </w:pPr>
                            <w:r>
                              <w:rPr>
                                <w:rFonts w:eastAsia="ＭＳ 明朝"/>
                              </w:rPr>
                              <w:t xml:space="preserve">Fig. 1 </w:t>
                            </w:r>
                            <w:r w:rsidRPr="00E62A9C">
                              <w:rPr>
                                <w:rFonts w:eastAsia="ＭＳ 明朝"/>
                              </w:rPr>
                              <w:t>Experimental and numerical laminar burning velocity of NH3/H2/air flames under stoichiometric condition at various</w:t>
                            </w:r>
                            <w:r>
                              <w:rPr>
                                <w:rFonts w:eastAsia="ＭＳ 明朝"/>
                              </w:rPr>
                              <w:t xml:space="preserve"> </w:t>
                            </w:r>
                            <w:r w:rsidRPr="00E62A9C">
                              <w:rPr>
                                <w:rFonts w:eastAsia="ＭＳ 明朝"/>
                              </w:rPr>
                              <w:t>hydrogen concentrations</w:t>
                            </w:r>
                            <w:r>
                              <w:rPr>
                                <w:rFonts w:eastAsia="ＭＳ 明朝"/>
                              </w:rPr>
                              <w:t>.</w:t>
                            </w:r>
                          </w:p>
                          <w:p w14:paraId="33EF76FD" w14:textId="77777777" w:rsidR="00A74726" w:rsidRDefault="00A74726" w:rsidP="00A74726">
                            <w:pPr>
                              <w:pStyle w:val="TableFigurecaption"/>
                              <w:spacing w:beforeLines="100" w:before="240" w:afterLines="0" w:after="0"/>
                              <w:rPr>
                                <w:rFonts w:eastAsia="ＭＳ 明朝"/>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8734BFB" id="_x0000_t202" coordsize="21600,21600" o:spt="202" path="m,l,21600r21600,l21600,xe">
                <v:stroke joinstyle="miter"/>
                <v:path gradientshapeok="t" o:connecttype="rect"/>
              </v:shapetype>
              <v:shape id="Text Box 6" o:spid="_x0000_s1026" type="#_x0000_t202" style="position:absolute;left:0;text-align:left;margin-left:.15pt;margin-top:299.9pt;width:231.05pt;height:19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" stroked="f">
                <v:textbox>
                  <w:txbxContent>
                    <w:p w14:paraId="64A86BE5" w14:textId="77777777" w:rsidR="00A74726" w:rsidRDefault="00A74726" w:rsidP="00A74726">
                      <w:pPr>
                        <w:jc w:val="center"/>
                      </w:pPr>
                      <w:r>
                        <w:rPr>
                          <w:rFonts w:asciiTheme="minorHAnsi" w:eastAsiaTheme="minorEastAsia" w:hAnsiTheme="minorHAnsi" w:cstheme="minorBidi"/>
                          <w:noProof/>
                          <w:kern w:val="0"/>
                          <w:lang w:val="en-GB"/>
                        </w:rPr>
                        <w:drawing>
                          <wp:inline distT="0" distB="0" distL="0" distR="0" wp14:anchorId="04B48CEC" wp14:editId="43CAFB2D">
                            <wp:extent cx="2834049" cy="1700428"/>
                            <wp:effectExtent l="0" t="0" r="4445" b="0"/>
                            <wp:docPr id="124705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5069"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852520" cy="1711510"/>
                                    </a:xfrm>
                                    <a:prstGeom prst="rect">
                                      <a:avLst/>
                                    </a:prstGeom>
                                    <a:noFill/>
                                    <a:ln>
                                      <a:noFill/>
                                    </a:ln>
                                  </pic:spPr>
                                </pic:pic>
                              </a:graphicData>
                            </a:graphic>
                          </wp:inline>
                        </w:drawing>
                      </w:r>
                    </w:p>
                    <w:p w14:paraId="2C40259B" w14:textId="77777777" w:rsidR="00A74726" w:rsidRDefault="00A74726" w:rsidP="00A74726">
                      <w:pPr>
                        <w:pStyle w:val="TableFigurecaption"/>
                        <w:spacing w:beforeLines="100" w:before="240"/>
                        <w:rPr>
                          <w:rFonts w:eastAsia="ＭＳ 明朝"/>
                        </w:rPr>
                      </w:pPr>
                      <w:r>
                        <w:rPr>
                          <w:rFonts w:eastAsia="ＭＳ 明朝"/>
                        </w:rPr>
                        <w:t xml:space="preserve">Fig. 1 </w:t>
                      </w:r>
                      <w:r w:rsidRPr="00E62A9C">
                        <w:rPr>
                          <w:rFonts w:eastAsia="ＭＳ 明朝"/>
                        </w:rPr>
                        <w:t>Experimental and numerical laminar burning velocity of NH3/H2/air flames under stoichiometric condition at various</w:t>
                      </w:r>
                      <w:r>
                        <w:rPr>
                          <w:rFonts w:eastAsia="ＭＳ 明朝"/>
                        </w:rPr>
                        <w:t xml:space="preserve"> </w:t>
                      </w:r>
                      <w:r w:rsidRPr="00E62A9C">
                        <w:rPr>
                          <w:rFonts w:eastAsia="ＭＳ 明朝"/>
                        </w:rPr>
                        <w:t>hydrogen concentrations</w:t>
                      </w:r>
                      <w:r>
                        <w:rPr>
                          <w:rFonts w:eastAsia="ＭＳ 明朝"/>
                        </w:rPr>
                        <w:t>.</w:t>
                      </w:r>
                    </w:p>
                    <w:p w14:paraId="33EF76FD" w14:textId="77777777" w:rsidR="00A74726" w:rsidRDefault="00A74726" w:rsidP="00A74726">
                      <w:pPr>
                        <w:pStyle w:val="TableFigurecaption"/>
                        <w:spacing w:beforeLines="100" w:before="240" w:afterLines="0" w:after="0"/>
                        <w:rPr>
                          <w:rFonts w:eastAsia="ＭＳ 明朝"/>
                        </w:rPr>
                      </w:pPr>
                    </w:p>
                  </w:txbxContent>
                </v:textbox>
                <w10:wrap type="square" anchorx="margin" anchory="margin"/>
              </v:shape>
            </w:pict>
          </mc:Fallback>
        </mc:AlternateContent>
      </w:r>
      <w:r w:rsidR="00792412" w:rsidRPr="00792412">
        <w:rPr>
          <w:rFonts w:eastAsiaTheme="minorEastAsia"/>
        </w:rPr>
        <w:t xml:space="preserve">The new reaction mechanism developed in this paper was based on the Okafor Reduced mechanism. Okafor Reduced Mech was selected because this mechanism has been optimized and validated for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792412" w:rsidRPr="00792412">
        <w:rPr>
          <w:rFonts w:eastAsiaTheme="minorEastAsia"/>
        </w:rPr>
        <w:t xml:space="preserve"> prediction of </w:t>
      </w:r>
      <w:r w:rsidR="00C23376" w:rsidRPr="002B6FDF">
        <w:t>NH</w:t>
      </w:r>
      <w:r w:rsidR="00C23376" w:rsidRPr="00BE38D3">
        <w:rPr>
          <w:vertAlign w:val="subscript"/>
        </w:rPr>
        <w:t>3</w:t>
      </w:r>
      <w:r w:rsidR="00C23376" w:rsidRPr="002B6FDF">
        <w:t xml:space="preserve"> /air</w:t>
      </w:r>
      <w:r w:rsidR="00C23376" w:rsidRPr="00792412">
        <w:rPr>
          <w:rFonts w:eastAsiaTheme="minorEastAsia"/>
        </w:rPr>
        <w:t xml:space="preserve"> </w:t>
      </w:r>
      <w:r w:rsidR="00792412" w:rsidRPr="00792412">
        <w:rPr>
          <w:rFonts w:eastAsiaTheme="minorEastAsia"/>
        </w:rPr>
        <w:t xml:space="preserve">and </w:t>
      </w:r>
      <w:r w:rsidR="00C23376" w:rsidRPr="002B6FDF">
        <w:t>NH</w:t>
      </w:r>
      <w:r w:rsidR="00C23376" w:rsidRPr="00BE38D3">
        <w:rPr>
          <w:vertAlign w:val="subscript"/>
        </w:rPr>
        <w:t>3</w:t>
      </w:r>
      <w:r w:rsidR="00C23376" w:rsidRPr="002B6FDF">
        <w:t>/CH</w:t>
      </w:r>
      <w:r w:rsidR="00C23376" w:rsidRPr="00BE38D3">
        <w:rPr>
          <w:vertAlign w:val="subscript"/>
        </w:rPr>
        <w:t>4</w:t>
      </w:r>
      <w:r w:rsidR="00C23376" w:rsidRPr="002B6FDF">
        <w:t>/air</w:t>
      </w:r>
      <w:r w:rsidR="00C23376" w:rsidRPr="00792412">
        <w:rPr>
          <w:rFonts w:eastAsiaTheme="minorEastAsia"/>
        </w:rPr>
        <w:t xml:space="preserve"> </w:t>
      </w:r>
      <w:r w:rsidR="00792412" w:rsidRPr="00792412">
        <w:rPr>
          <w:rFonts w:eastAsiaTheme="minorEastAsia"/>
        </w:rPr>
        <w:t xml:space="preserve">flames. This is true for varying equivalence ratios, pressures and, in the case of </w:t>
      </w:r>
      <w:r w:rsidR="00C23376" w:rsidRPr="002B6FDF">
        <w:t>NH</w:t>
      </w:r>
      <w:r w:rsidR="00C23376" w:rsidRPr="00BE38D3">
        <w:rPr>
          <w:vertAlign w:val="subscript"/>
        </w:rPr>
        <w:t>3</w:t>
      </w:r>
      <w:r w:rsidR="00C23376" w:rsidRPr="002B6FDF">
        <w:t>/CH</w:t>
      </w:r>
      <w:r w:rsidR="00C23376" w:rsidRPr="00BE38D3">
        <w:rPr>
          <w:vertAlign w:val="subscript"/>
        </w:rPr>
        <w:t>4</w:t>
      </w:r>
      <w:r w:rsidR="00C23376" w:rsidRPr="002B6FDF">
        <w:t>/air</w:t>
      </w:r>
      <w:r w:rsidR="00C23376" w:rsidRPr="00792412">
        <w:rPr>
          <w:rFonts w:eastAsiaTheme="minorEastAsia"/>
        </w:rPr>
        <w:t xml:space="preserve"> </w:t>
      </w:r>
      <w:r w:rsidR="00792412" w:rsidRPr="00792412">
        <w:rPr>
          <w:rFonts w:eastAsiaTheme="minorEastAsia"/>
        </w:rPr>
        <w:t xml:space="preserve">flames, varying methane concentrations. This mechanism also models the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792412" w:rsidRPr="00792412">
        <w:rPr>
          <w:rFonts w:eastAsiaTheme="minorEastAsia"/>
        </w:rPr>
        <w:t xml:space="preserve"> of H</w:t>
      </w:r>
      <w:r w:rsidR="00792412" w:rsidRPr="00C23376">
        <w:rPr>
          <w:rFonts w:eastAsiaTheme="minorEastAsia"/>
          <w:vertAlign w:val="subscript"/>
        </w:rPr>
        <w:t>2</w:t>
      </w:r>
      <w:r w:rsidR="00792412" w:rsidRPr="00792412">
        <w:rPr>
          <w:rFonts w:eastAsiaTheme="minorEastAsia"/>
        </w:rPr>
        <w:t xml:space="preserve">/air flames satisfactorily for most of these conditions. This mechanism performs poorly when </w:t>
      </w:r>
      <w:r w:rsidR="00C23376" w:rsidRPr="00792412">
        <w:rPr>
          <w:rFonts w:eastAsiaTheme="minorEastAsia"/>
        </w:rPr>
        <w:t>it</w:t>
      </w:r>
      <w:r w:rsidR="00792412" w:rsidRPr="00792412">
        <w:rPr>
          <w:rFonts w:eastAsiaTheme="minorEastAsia"/>
        </w:rPr>
        <w:t xml:space="preserve"> is used to predict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C23376">
        <w:rPr>
          <w:rFonts w:eastAsiaTheme="minorEastAsia"/>
        </w:rPr>
        <w:t xml:space="preserve"> </w:t>
      </w:r>
      <w:r w:rsidR="00792412" w:rsidRPr="00792412">
        <w:rPr>
          <w:rFonts w:eastAsiaTheme="minorEastAsia"/>
        </w:rPr>
        <w:t>of NH</w:t>
      </w:r>
      <w:r w:rsidR="00792412" w:rsidRPr="00C23376">
        <w:rPr>
          <w:rFonts w:eastAsiaTheme="minorEastAsia"/>
          <w:vertAlign w:val="subscript"/>
        </w:rPr>
        <w:t>3</w:t>
      </w:r>
      <w:r w:rsidR="00792412" w:rsidRPr="00792412">
        <w:rPr>
          <w:rFonts w:eastAsiaTheme="minorEastAsia"/>
        </w:rPr>
        <w:t>/H</w:t>
      </w:r>
      <w:r w:rsidR="00792412" w:rsidRPr="00C23376">
        <w:rPr>
          <w:rFonts w:eastAsiaTheme="minorEastAsia"/>
          <w:vertAlign w:val="subscript"/>
        </w:rPr>
        <w:t>2</w:t>
      </w:r>
      <w:r w:rsidR="00792412" w:rsidRPr="00792412">
        <w:rPr>
          <w:rFonts w:eastAsiaTheme="minorEastAsia"/>
        </w:rPr>
        <w:t xml:space="preserve">/air flames at hydrogen concentrations greater than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H2</m:t>
            </m:r>
          </m:sub>
        </m:sSub>
        <m:r>
          <w:rPr>
            <w:rFonts w:ascii="Cambria Math" w:eastAsiaTheme="minorEastAsia" w:hAnsi="Cambria Math"/>
          </w:rPr>
          <m:t>=0.3</m:t>
        </m:r>
      </m:oMath>
      <w:r w:rsidR="00C23376">
        <w:rPr>
          <w:rFonts w:eastAsiaTheme="minorEastAsia"/>
        </w:rPr>
        <w:t xml:space="preserve"> </w:t>
      </w:r>
      <w:r w:rsidR="00792412" w:rsidRPr="00792412">
        <w:rPr>
          <w:rFonts w:eastAsiaTheme="minorEastAsia"/>
        </w:rPr>
        <w:t xml:space="preserve">as depicted in Fig. </w:t>
      </w:r>
      <w:r w:rsidR="00B6638D">
        <w:rPr>
          <w:rFonts w:eastAsiaTheme="minorEastAsia"/>
        </w:rPr>
        <w:t>1</w:t>
      </w:r>
      <w:r w:rsidR="00792412" w:rsidRPr="00792412">
        <w:rPr>
          <w:rFonts w:eastAsiaTheme="minorEastAsia"/>
        </w:rPr>
        <w:t>, a comparison of numerically simulated values and experimental measurements of burning veloctiy at varying hydrogen concentrations.</w:t>
      </w:r>
      <w:r w:rsidR="00C23376">
        <w:rPr>
          <w:rFonts w:eastAsiaTheme="minorEastAsia"/>
        </w:rPr>
        <w:t xml:space="preserve"> </w:t>
      </w:r>
      <w:r w:rsidR="00792412" w:rsidRPr="00792412">
        <w:rPr>
          <w:rFonts w:eastAsiaTheme="minorEastAsia"/>
        </w:rPr>
        <w:t xml:space="preserve">The mechanism's failure to predict the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792412" w:rsidRPr="00792412">
        <w:rPr>
          <w:rFonts w:eastAsiaTheme="minorEastAsia"/>
        </w:rPr>
        <w:t xml:space="preserve"> for this specific blend, despite accurately reproducing the individual components of NH</w:t>
      </w:r>
      <w:r w:rsidR="00792412" w:rsidRPr="00C23376">
        <w:rPr>
          <w:rFonts w:eastAsiaTheme="minorEastAsia"/>
          <w:vertAlign w:val="subscript"/>
        </w:rPr>
        <w:t>3</w:t>
      </w:r>
      <w:r w:rsidR="00792412" w:rsidRPr="00792412">
        <w:rPr>
          <w:rFonts w:eastAsiaTheme="minorEastAsia"/>
        </w:rPr>
        <w:t>/H</w:t>
      </w:r>
      <w:r w:rsidR="00792412" w:rsidRPr="00C23376">
        <w:rPr>
          <w:rFonts w:eastAsiaTheme="minorEastAsia"/>
          <w:vertAlign w:val="subscript"/>
        </w:rPr>
        <w:t>2</w:t>
      </w:r>
      <w:r w:rsidR="00792412" w:rsidRPr="00792412">
        <w:rPr>
          <w:rFonts w:eastAsiaTheme="minorEastAsia"/>
        </w:rPr>
        <w:t>/air flames, motivated the current investigation.</w:t>
      </w:r>
    </w:p>
    <w:p w14:paraId="6987D8EF" w14:textId="1E61AE35" w:rsidR="00792412" w:rsidRDefault="00792412" w:rsidP="00990AB6">
      <w:pPr>
        <w:pStyle w:val="Maintext"/>
        <w:spacing w:line="0" w:lineRule="atLeast"/>
        <w:rPr>
          <w:rFonts w:eastAsiaTheme="minorEastAsia"/>
        </w:rPr>
      </w:pPr>
      <w:r w:rsidRPr="00792412">
        <w:rPr>
          <w:rFonts w:eastAsiaTheme="minorEastAsia"/>
        </w:rPr>
        <w:t xml:space="preserve">Figure </w:t>
      </w:r>
      <w:r w:rsidR="00B6638D">
        <w:rPr>
          <w:rFonts w:eastAsiaTheme="minorEastAsia"/>
        </w:rPr>
        <w:t>1</w:t>
      </w:r>
      <w:r w:rsidRPr="00792412">
        <w:rPr>
          <w:rFonts w:eastAsiaTheme="minorEastAsia"/>
        </w:rPr>
        <w:t xml:space="preserve">'s comparison also highlights Gotama Mech and Nakamura Mech's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792412">
        <w:rPr>
          <w:rFonts w:eastAsiaTheme="minorEastAsia"/>
        </w:rPr>
        <w:t xml:space="preserve"> predictions agree with experimental measurements of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792412">
        <w:rPr>
          <w:rFonts w:eastAsiaTheme="minorEastAsia"/>
        </w:rPr>
        <w:t xml:space="preserve"> at all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H2</m:t>
            </m:r>
          </m:sub>
        </m:sSub>
      </m:oMath>
      <w:r w:rsidRPr="00792412">
        <w:rPr>
          <w:rFonts w:eastAsiaTheme="minorEastAsia"/>
        </w:rPr>
        <w:t>. Understanding where Gotama Mech and Nakamura Mech differ from Okafor Reduced Mech should provide insights as to where the under-prediction of NH</w:t>
      </w:r>
      <w:r w:rsidR="00C23376">
        <w:rPr>
          <w:rFonts w:eastAsiaTheme="minorEastAsia"/>
          <w:vertAlign w:val="subscript"/>
        </w:rPr>
        <w:t>3</w:t>
      </w:r>
      <w:r w:rsidRPr="00792412">
        <w:rPr>
          <w:rFonts w:eastAsiaTheme="minorEastAsia"/>
        </w:rPr>
        <w:t>/H</w:t>
      </w:r>
      <w:r w:rsidRPr="00C23376">
        <w:rPr>
          <w:rFonts w:eastAsiaTheme="minorEastAsia"/>
          <w:vertAlign w:val="subscript"/>
        </w:rPr>
        <w:t>2</w:t>
      </w:r>
      <w:r w:rsidRPr="00792412">
        <w:rPr>
          <w:rFonts w:eastAsiaTheme="minorEastAsia"/>
        </w:rPr>
        <w:t xml:space="preserve">/air flames stems from. In addition, development of Gotama Mech focused on improving </w:t>
      </w:r>
      <w:r w:rsidR="00C23376" w:rsidRPr="00792412">
        <w:rPr>
          <w:rFonts w:eastAsiaTheme="minorEastAsia"/>
        </w:rPr>
        <w:t>NH</w:t>
      </w:r>
      <w:r w:rsidR="00C23376">
        <w:rPr>
          <w:rFonts w:eastAsiaTheme="minorEastAsia"/>
          <w:vertAlign w:val="subscript"/>
        </w:rPr>
        <w:t>3</w:t>
      </w:r>
      <w:r w:rsidR="00C23376" w:rsidRPr="00792412">
        <w:rPr>
          <w:rFonts w:eastAsiaTheme="minorEastAsia"/>
        </w:rPr>
        <w:t>/H</w:t>
      </w:r>
      <w:r w:rsidR="00C23376" w:rsidRPr="00C23376">
        <w:rPr>
          <w:rFonts w:eastAsiaTheme="minorEastAsia"/>
          <w:vertAlign w:val="subscript"/>
        </w:rPr>
        <w:t>2</w:t>
      </w:r>
      <w:r w:rsidR="00C23376" w:rsidRPr="00792412">
        <w:rPr>
          <w:rFonts w:eastAsiaTheme="minorEastAsia"/>
        </w:rPr>
        <w:t>/air</w:t>
      </w:r>
      <w:r w:rsidRPr="00792412">
        <w:rPr>
          <w:rFonts w:eastAsiaTheme="minorEastAsia"/>
        </w:rPr>
        <w:t xml:space="preserve"> flame speed prediction at intermediate hydrogen concentration</w:t>
      </w:r>
      <w:r w:rsidR="0050538D">
        <w:rPr>
          <w:rFonts w:eastAsiaTheme="minorEastAsia"/>
        </w:rPr>
        <w:t xml:space="preserve"> </w:t>
      </w:r>
      <w:r w:rsidR="0050538D">
        <w:rPr>
          <w:rFonts w:eastAsiaTheme="minorEastAsia"/>
        </w:rPr>
        <w:fldChar w:fldCharType="begin"/>
      </w:r>
      <w:r w:rsidR="0050538D">
        <w:rPr>
          <w:rFonts w:eastAsiaTheme="minorEastAsia"/>
        </w:rPr>
        <w:instrText xml:space="preserve"> ADDIN ZOTERO_ITEM CSL_CITATION {"citationID":"4UA2wjEU","properties":{"unsorted":false,"formattedCitation":"[6]","plainCitation":"[6]","noteIndex":0},"citationItems":[{"id":733,"uris":["http://zotero.org/users/20740871/items/T3E45C4C"],"itemData":{"id":733,"type":"article-journal","abstract":"The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50538D">
        <w:rPr>
          <w:rFonts w:eastAsiaTheme="minorEastAsia"/>
        </w:rPr>
        <w:fldChar w:fldCharType="separate"/>
      </w:r>
      <w:r w:rsidR="0050538D" w:rsidRPr="0050538D">
        <w:t>[6]</w:t>
      </w:r>
      <w:r w:rsidR="0050538D">
        <w:rPr>
          <w:rFonts w:eastAsiaTheme="minorEastAsia"/>
        </w:rPr>
        <w:fldChar w:fldCharType="end"/>
      </w:r>
      <w:r w:rsidRPr="00792412">
        <w:rPr>
          <w:rFonts w:eastAsiaTheme="minorEastAsia"/>
        </w:rPr>
        <w:t>.</w:t>
      </w:r>
      <w:r w:rsidR="0050538D">
        <w:rPr>
          <w:rFonts w:eastAsiaTheme="minorEastAsia"/>
        </w:rPr>
        <w:t xml:space="preserve"> </w:t>
      </w:r>
    </w:p>
    <w:p w14:paraId="58D1D741" w14:textId="49935F99" w:rsidR="00792412" w:rsidRDefault="00792412" w:rsidP="00990AB6">
      <w:pPr>
        <w:pStyle w:val="Maintext"/>
        <w:spacing w:line="0" w:lineRule="atLeast"/>
        <w:rPr>
          <w:rFonts w:eastAsiaTheme="minorEastAsia"/>
        </w:rPr>
      </w:pPr>
      <w:r w:rsidRPr="00792412">
        <w:rPr>
          <w:rFonts w:eastAsiaTheme="minorEastAsia"/>
        </w:rPr>
        <w:t xml:space="preserve">To understand how oxidation kinetics of each fuel in the binary fuel interact with each other, reaction pathways for each mechanism </w:t>
      </w:r>
      <w:r w:rsidR="0050538D" w:rsidRPr="00792412">
        <w:rPr>
          <w:rFonts w:eastAsiaTheme="minorEastAsia"/>
        </w:rPr>
        <w:t>were</w:t>
      </w:r>
      <w:r w:rsidRPr="00792412">
        <w:rPr>
          <w:rFonts w:eastAsiaTheme="minorEastAsia"/>
        </w:rPr>
        <w:t xml:space="preserve"> constructed using integrated rate of production (IROP) of major species related to NH</w:t>
      </w:r>
      <w:r w:rsidRPr="0050538D">
        <w:rPr>
          <w:rFonts w:eastAsiaTheme="minorEastAsia"/>
          <w:vertAlign w:val="subscript"/>
        </w:rPr>
        <w:t>3</w:t>
      </w:r>
      <w:r w:rsidRPr="00792412">
        <w:rPr>
          <w:rFonts w:eastAsiaTheme="minorEastAsia"/>
        </w:rPr>
        <w:t xml:space="preserve"> and H</w:t>
      </w:r>
      <w:r w:rsidRPr="0050538D">
        <w:rPr>
          <w:rFonts w:eastAsiaTheme="minorEastAsia"/>
          <w:vertAlign w:val="subscript"/>
        </w:rPr>
        <w:t>2</w:t>
      </w:r>
      <w:r w:rsidRPr="00792412">
        <w:rPr>
          <w:rFonts w:eastAsiaTheme="minorEastAsia"/>
        </w:rPr>
        <w:t xml:space="preserve"> oxidation. Each IROP is calculated by integrating the rate of production,</w:t>
      </w:r>
      <w:r w:rsidR="0050538D">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R,i</m:t>
            </m:r>
          </m:sub>
        </m:sSub>
      </m:oMath>
      <w:r w:rsidRPr="00792412">
        <w:rPr>
          <w:rFonts w:eastAsiaTheme="minorEastAsia"/>
        </w:rPr>
        <w:t xml:space="preserve">, of specie </w:t>
      </w:r>
      <m:oMath>
        <m:r>
          <w:rPr>
            <w:rFonts w:ascii="Cambria Math" w:eastAsiaTheme="minorEastAsia" w:hAnsi="Cambria Math"/>
          </w:rPr>
          <m:t>i</m:t>
        </m:r>
      </m:oMath>
      <w:r w:rsidRPr="00792412">
        <w:rPr>
          <w:rFonts w:eastAsiaTheme="minorEastAsia"/>
        </w:rPr>
        <w:t xml:space="preserve"> in elementary </w:t>
      </w:r>
      <w:r w:rsidRPr="00792412">
        <w:rPr>
          <w:rFonts w:eastAsiaTheme="minorEastAsia"/>
        </w:rPr>
        <w:t xml:space="preserve">reaction </w:t>
      </w:r>
      <w:r w:rsidRPr="0050538D">
        <w:rPr>
          <w:rFonts w:eastAsiaTheme="minorEastAsia"/>
          <w:i/>
          <w:iCs/>
        </w:rPr>
        <w:t>R</w:t>
      </w:r>
      <w:r w:rsidRPr="00792412">
        <w:rPr>
          <w:rFonts w:eastAsiaTheme="minorEastAsia"/>
        </w:rPr>
        <w:t xml:space="preserve"> along the</w:t>
      </w:r>
      <w:r w:rsidR="0050538D">
        <w:rPr>
          <w:rFonts w:eastAsiaTheme="minorEastAsia"/>
        </w:rPr>
        <w:t xml:space="preserve"> length of the</w:t>
      </w:r>
      <w:r w:rsidRPr="00792412">
        <w:rPr>
          <w:rFonts w:eastAsiaTheme="minorEastAsia"/>
        </w:rPr>
        <w:t xml:space="preserve"> computational dom</w:t>
      </w:r>
      <w:r w:rsidR="0050538D">
        <w:rPr>
          <w:rFonts w:eastAsiaTheme="minorEastAsia"/>
        </w:rPr>
        <w:t>a</w:t>
      </w:r>
      <w:r w:rsidRPr="00792412">
        <w:rPr>
          <w:rFonts w:eastAsiaTheme="minorEastAsia"/>
        </w:rPr>
        <w:t>in</w:t>
      </w:r>
      <w:r w:rsidR="0050538D">
        <w:rPr>
          <w:rFonts w:eastAsiaTheme="minorEastAsia"/>
        </w:rPr>
        <w:t xml:space="preserve"> (10 cm)</w:t>
      </w:r>
      <w:r w:rsidRPr="00792412">
        <w:rPr>
          <w:rFonts w:eastAsiaTheme="minorEastAsia"/>
        </w:rPr>
        <w:t xml:space="preserve"> using Equation </w:t>
      </w:r>
      <w:r w:rsidR="0050538D" w:rsidRPr="0050538D">
        <w:rPr>
          <w:rFonts w:eastAsiaTheme="minorEastAsia"/>
        </w:rPr>
        <w:fldChar w:fldCharType="begin"/>
      </w:r>
      <w:r w:rsidR="0050538D" w:rsidRPr="0050538D">
        <w:rPr>
          <w:rFonts w:eastAsiaTheme="minorEastAsia"/>
        </w:rPr>
        <w:instrText xml:space="preserve"> REF _Ref235768995 \h </w:instrText>
      </w:r>
      <w:r w:rsidR="0050538D" w:rsidRPr="0050538D">
        <w:rPr>
          <w:rFonts w:eastAsiaTheme="minorEastAsia"/>
        </w:rPr>
      </w:r>
      <w:r w:rsidR="0050538D" w:rsidRPr="0050538D">
        <w:rPr>
          <w:rFonts w:eastAsiaTheme="minorEastAsia"/>
        </w:rPr>
        <w:instrText xml:space="preserve"> \* MERGEFORMAT </w:instrText>
      </w:r>
      <w:r w:rsidR="0050538D" w:rsidRPr="0050538D">
        <w:rPr>
          <w:rFonts w:eastAsiaTheme="minorEastAsia"/>
        </w:rPr>
        <w:fldChar w:fldCharType="separate"/>
      </w:r>
      <w:r w:rsidR="0050538D" w:rsidRPr="0050538D">
        <w:t>(</w:t>
      </w:r>
      <w:r w:rsidR="0050538D" w:rsidRPr="0050538D">
        <w:rPr>
          <w:noProof/>
        </w:rPr>
        <w:t>1</w:t>
      </w:r>
      <w:r w:rsidR="0050538D" w:rsidRPr="0050538D">
        <w:t>)</w:t>
      </w:r>
      <w:r w:rsidR="0050538D" w:rsidRPr="0050538D">
        <w:rPr>
          <w:rFonts w:eastAsiaTheme="minorEastAsia"/>
        </w:rPr>
        <w:fldChar w:fldCharType="end"/>
      </w:r>
      <w:r w:rsidRPr="00792412">
        <w:rPr>
          <w:rFonts w:eastAsiaTheme="minorEastAsia"/>
        </w:rPr>
        <w:t>. The IROP, hence, characterize</w:t>
      </w:r>
      <w:r w:rsidR="007549AE">
        <w:rPr>
          <w:rFonts w:eastAsiaTheme="minorEastAsia"/>
        </w:rPr>
        <w:t>s</w:t>
      </w:r>
      <w:r w:rsidRPr="00792412">
        <w:rPr>
          <w:rFonts w:eastAsiaTheme="minorEastAsia"/>
        </w:rPr>
        <w:t xml:space="preserve"> the contribution of each elementary reaction to the combustion of NH</w:t>
      </w:r>
      <w:r w:rsidRPr="0050538D">
        <w:rPr>
          <w:rFonts w:eastAsiaTheme="minorEastAsia"/>
          <w:vertAlign w:val="subscript"/>
        </w:rPr>
        <w:t>3</w:t>
      </w:r>
      <w:r w:rsidRPr="00792412">
        <w:rPr>
          <w:rFonts w:eastAsiaTheme="minorEastAsia"/>
        </w:rPr>
        <w:t>/H</w:t>
      </w:r>
      <w:r w:rsidRPr="0050538D">
        <w:rPr>
          <w:rFonts w:eastAsiaTheme="minorEastAsia"/>
          <w:vertAlign w:val="subscript"/>
        </w:rPr>
        <w:t>2</w:t>
      </w:r>
      <w:r w:rsidRPr="00792412">
        <w:rPr>
          <w:rFonts w:eastAsiaTheme="minorEastAsia"/>
        </w:rPr>
        <w:t>/air fuel in each chemical kinetics model.</w:t>
      </w:r>
    </w:p>
    <w:p w14:paraId="11EB5D9B" w14:textId="77777777" w:rsidR="00792412" w:rsidRDefault="00792412" w:rsidP="00990AB6">
      <w:pPr>
        <w:pStyle w:val="Maintext"/>
        <w:spacing w:line="0" w:lineRule="atLeast"/>
        <w:rPr>
          <w:rFonts w:eastAsiaTheme="minorEastAsia"/>
        </w:rPr>
      </w:pPr>
    </w:p>
    <w:tbl>
      <w:tblPr>
        <w:tblStyle w:val="TableGrid"/>
        <w:tblW w:w="5000" w:type="pct"/>
        <w:tblLook w:val="04A0" w:firstRow="1" w:lastRow="0" w:firstColumn="1" w:lastColumn="0" w:noHBand="0" w:noVBand="1"/>
      </w:tblPr>
      <w:tblGrid>
        <w:gridCol w:w="253"/>
        <w:gridCol w:w="3851"/>
        <w:gridCol w:w="450"/>
      </w:tblGrid>
      <w:tr w:rsidR="00792412" w14:paraId="2C512204" w14:textId="77777777" w:rsidTr="00792412">
        <w:tc>
          <w:tcPr>
            <w:tcW w:w="278" w:type="pct"/>
            <w:tcBorders>
              <w:top w:val="nil"/>
              <w:left w:val="nil"/>
              <w:bottom w:val="nil"/>
              <w:right w:val="nil"/>
            </w:tcBorders>
          </w:tcPr>
          <w:p w14:paraId="05B94F4F" w14:textId="77777777" w:rsidR="00792412" w:rsidRPr="002B6FDF" w:rsidRDefault="00792412" w:rsidP="002B6FDF">
            <w:pPr>
              <w:pStyle w:val="Maintext"/>
              <w:ind w:firstLine="0"/>
              <w:jc w:val="center"/>
            </w:pPr>
          </w:p>
        </w:tc>
        <w:tc>
          <w:tcPr>
            <w:tcW w:w="4228" w:type="pct"/>
            <w:tcBorders>
              <w:top w:val="nil"/>
              <w:left w:val="nil"/>
              <w:bottom w:val="nil"/>
              <w:right w:val="nil"/>
            </w:tcBorders>
          </w:tcPr>
          <w:p w14:paraId="31243515" w14:textId="32E5CC1F" w:rsidR="00792412" w:rsidRPr="00792412" w:rsidRDefault="0050538D" w:rsidP="002B6FDF">
            <w:pPr>
              <w:pStyle w:val="Maintext"/>
              <w:ind w:firstLine="0"/>
              <w:jc w:val="center"/>
            </w:pPr>
            <m:oMathPara>
              <m:oMathParaPr>
                <m:jc m:val="center"/>
              </m:oMathParaPr>
              <m:oMath>
                <m:nary>
                  <m:naryPr>
                    <m:ctrlPr>
                      <w:rPr>
                        <w:rFonts w:ascii="Cambria Math" w:hAnsi="Cambria Math"/>
                        <w:i/>
                      </w:rPr>
                    </m:ctrlPr>
                  </m:naryPr>
                  <m:sub>
                    <m:r>
                      <w:rPr>
                        <w:rFonts w:ascii="Cambria Math" w:hAnsi="Cambria Math"/>
                      </w:rPr>
                      <m:t>0</m:t>
                    </m:r>
                  </m:sub>
                  <m:sup>
                    <m:r>
                      <w:rPr>
                        <w:rFonts w:ascii="Cambria Math" w:hAnsi="Cambria Math"/>
                      </w:rPr>
                      <m:t>L</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ω</m:t>
                            </m:r>
                          </m:e>
                          <m:sub>
                            <m:r>
                              <w:rPr>
                                <w:rFonts w:ascii="Cambria Math" w:hAnsi="Cambria Math"/>
                              </w:rPr>
                              <m:t>R,i</m:t>
                            </m:r>
                          </m:sub>
                        </m:sSub>
                      </m:e>
                    </m:acc>
                    <m:r>
                      <m:rPr>
                        <m:sty m:val="p"/>
                      </m:rPr>
                      <w:rPr>
                        <w:rFonts w:ascii="Cambria Math" w:hAnsi="Cambria Math"/>
                      </w:rPr>
                      <m:t xml:space="preserve"> </m:t>
                    </m:r>
                    <m:r>
                      <m:rPr>
                        <m:sty m:val="p"/>
                      </m:rPr>
                      <w:rPr>
                        <w:rFonts w:ascii="Cambria Math" w:hAnsi="Cambria Math"/>
                      </w:rPr>
                      <m:t>d</m:t>
                    </m:r>
                    <m:r>
                      <w:rPr>
                        <w:rFonts w:ascii="Cambria Math" w:hAnsi="Cambria Math"/>
                      </w:rPr>
                      <m:t>x</m:t>
                    </m:r>
                  </m:e>
                </m:nary>
              </m:oMath>
            </m:oMathPara>
          </w:p>
        </w:tc>
        <w:tc>
          <w:tcPr>
            <w:tcW w:w="494" w:type="pct"/>
            <w:tcBorders>
              <w:top w:val="nil"/>
              <w:left w:val="nil"/>
              <w:bottom w:val="nil"/>
              <w:right w:val="nil"/>
            </w:tcBorders>
          </w:tcPr>
          <w:p w14:paraId="551546FC" w14:textId="06529B8C" w:rsidR="00792412" w:rsidRPr="000430E3" w:rsidRDefault="00792412" w:rsidP="00792412">
            <w:pPr>
              <w:pStyle w:val="Caption"/>
              <w:jc w:val="right"/>
              <w:rPr>
                <w:i w:val="0"/>
                <w:iCs w:val="0"/>
                <w:sz w:val="20"/>
                <w:szCs w:val="20"/>
              </w:rPr>
            </w:pPr>
            <w:r w:rsidRPr="000430E3">
              <w:rPr>
                <w:i w:val="0"/>
                <w:iCs w:val="0"/>
                <w:color w:val="auto"/>
                <w:sz w:val="20"/>
                <w:szCs w:val="20"/>
              </w:rPr>
              <w:t>(</w:t>
            </w:r>
            <w:r w:rsidRPr="000430E3">
              <w:rPr>
                <w:i w:val="0"/>
                <w:iCs w:val="0"/>
                <w:color w:val="auto"/>
                <w:sz w:val="20"/>
                <w:szCs w:val="20"/>
              </w:rPr>
              <w:fldChar w:fldCharType="begin"/>
            </w:r>
            <w:r w:rsidRPr="000430E3">
              <w:rPr>
                <w:i w:val="0"/>
                <w:iCs w:val="0"/>
                <w:color w:val="auto"/>
                <w:sz w:val="20"/>
                <w:szCs w:val="20"/>
              </w:rPr>
              <w:instrText xml:space="preserve"> SEQ Equation \* ARABIC </w:instrText>
            </w:r>
            <w:r w:rsidRPr="000430E3">
              <w:rPr>
                <w:i w:val="0"/>
                <w:iCs w:val="0"/>
                <w:color w:val="auto"/>
                <w:sz w:val="20"/>
                <w:szCs w:val="20"/>
              </w:rPr>
              <w:fldChar w:fldCharType="separate"/>
            </w:r>
            <w:r>
              <w:rPr>
                <w:i w:val="0"/>
                <w:iCs w:val="0"/>
                <w:noProof/>
                <w:color w:val="auto"/>
                <w:sz w:val="20"/>
                <w:szCs w:val="20"/>
              </w:rPr>
              <w:t>2</w:t>
            </w:r>
            <w:r w:rsidRPr="000430E3">
              <w:rPr>
                <w:i w:val="0"/>
                <w:iCs w:val="0"/>
                <w:color w:val="auto"/>
                <w:sz w:val="20"/>
                <w:szCs w:val="20"/>
              </w:rPr>
              <w:fldChar w:fldCharType="end"/>
            </w:r>
            <w:r w:rsidRPr="000430E3">
              <w:rPr>
                <w:i w:val="0"/>
                <w:iCs w:val="0"/>
                <w:color w:val="auto"/>
                <w:sz w:val="20"/>
                <w:szCs w:val="20"/>
              </w:rPr>
              <w:t>)</w:t>
            </w:r>
          </w:p>
        </w:tc>
      </w:tr>
    </w:tbl>
    <w:p w14:paraId="57A8D026" w14:textId="77777777" w:rsidR="0050538D" w:rsidRDefault="0050538D" w:rsidP="00990AB6">
      <w:pPr>
        <w:pStyle w:val="Maintext"/>
        <w:spacing w:line="0" w:lineRule="atLeast"/>
        <w:rPr>
          <w:rFonts w:eastAsiaTheme="minorEastAsia"/>
        </w:rPr>
      </w:pPr>
    </w:p>
    <w:p w14:paraId="357A3A52" w14:textId="20259C53" w:rsidR="00792412" w:rsidRDefault="00792412" w:rsidP="00990AB6">
      <w:pPr>
        <w:pStyle w:val="Maintext"/>
        <w:spacing w:line="0" w:lineRule="atLeast"/>
        <w:rPr>
          <w:rFonts w:eastAsiaTheme="minorEastAsia"/>
        </w:rPr>
      </w:pPr>
      <w:r w:rsidRPr="00792412">
        <w:rPr>
          <w:rFonts w:eastAsiaTheme="minorEastAsia"/>
        </w:rPr>
        <w:t xml:space="preserve">Figures </w:t>
      </w:r>
      <w:r w:rsidR="00B6638D">
        <w:rPr>
          <w:rFonts w:eastAsiaTheme="minorEastAsia"/>
        </w:rPr>
        <w:t>2</w:t>
      </w:r>
      <w:r w:rsidR="004A3A01">
        <w:rPr>
          <w:rFonts w:eastAsiaTheme="minorEastAsia"/>
        </w:rPr>
        <w:t xml:space="preserve"> (a) and (b)</w:t>
      </w:r>
      <w:r w:rsidRPr="00792412">
        <w:rPr>
          <w:rFonts w:eastAsiaTheme="minorEastAsia"/>
        </w:rPr>
        <w:t xml:space="preserve"> are reaction pathways of stoichiometric NH</w:t>
      </w:r>
      <w:r w:rsidRPr="0050538D">
        <w:rPr>
          <w:rFonts w:eastAsiaTheme="minorEastAsia"/>
          <w:vertAlign w:val="subscript"/>
        </w:rPr>
        <w:t>3</w:t>
      </w:r>
      <w:r w:rsidRPr="00792412">
        <w:rPr>
          <w:rFonts w:eastAsiaTheme="minorEastAsia"/>
        </w:rPr>
        <w:t>/H</w:t>
      </w:r>
      <w:r w:rsidRPr="0050538D">
        <w:rPr>
          <w:rFonts w:eastAsiaTheme="minorEastAsia"/>
          <w:vertAlign w:val="subscript"/>
        </w:rPr>
        <w:t>2</w:t>
      </w:r>
      <w:r w:rsidRPr="00792412">
        <w:rPr>
          <w:rFonts w:eastAsiaTheme="minorEastAsia"/>
        </w:rPr>
        <w:t xml:space="preserve">/air flame of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H2</m:t>
            </m:r>
          </m:sub>
        </m:sSub>
        <m:r>
          <w:rPr>
            <w:rFonts w:ascii="Cambria Math" w:eastAsiaTheme="minorEastAsia" w:hAnsi="Cambria Math"/>
          </w:rPr>
          <m:t>=0.5</m:t>
        </m:r>
      </m:oMath>
      <w:r w:rsidR="0050538D">
        <w:rPr>
          <w:rFonts w:eastAsiaTheme="minorEastAsia"/>
        </w:rPr>
        <w:t xml:space="preserve"> </w:t>
      </w:r>
      <w:r w:rsidRPr="00792412">
        <w:rPr>
          <w:rFonts w:eastAsiaTheme="minorEastAsia"/>
        </w:rPr>
        <w:t xml:space="preserve">computed using Okafor Reduced Mech and Gotama Mech respectively. The thickness of each arrow corresponds to the </w:t>
      </w:r>
      <w:r w:rsidR="0050538D">
        <w:rPr>
          <w:rFonts w:eastAsiaTheme="minorEastAsia"/>
        </w:rPr>
        <w:t>magnitude of each path’s</w:t>
      </w:r>
      <w:r w:rsidRPr="00792412">
        <w:rPr>
          <w:rFonts w:eastAsiaTheme="minorEastAsia"/>
        </w:rPr>
        <w:t xml:space="preserve"> IROP. Species besides each arrow have numbers that represent the percent contribution each elementary reaction has to the corresponding path. The pathways highlighted the key differences in how the interaction of </w:t>
      </w:r>
      <w:r w:rsidR="007549AE" w:rsidRPr="00792412">
        <w:rPr>
          <w:rFonts w:eastAsiaTheme="minorEastAsia"/>
        </w:rPr>
        <w:t>NH</w:t>
      </w:r>
      <w:r w:rsidR="007549AE" w:rsidRPr="007549AE">
        <w:rPr>
          <w:rFonts w:eastAsiaTheme="minorEastAsia"/>
          <w:vertAlign w:val="subscript"/>
        </w:rPr>
        <w:t>3</w:t>
      </w:r>
      <w:r w:rsidR="007549AE" w:rsidRPr="00792412">
        <w:rPr>
          <w:rFonts w:eastAsiaTheme="minorEastAsia"/>
        </w:rPr>
        <w:t>,</w:t>
      </w:r>
      <w:r w:rsidRPr="00792412">
        <w:rPr>
          <w:rFonts w:eastAsiaTheme="minorEastAsia"/>
        </w:rPr>
        <w:t xml:space="preserve"> and H</w:t>
      </w:r>
      <w:r w:rsidRPr="007549AE">
        <w:rPr>
          <w:rFonts w:eastAsiaTheme="minorEastAsia"/>
          <w:vertAlign w:val="subscript"/>
        </w:rPr>
        <w:t>2</w:t>
      </w:r>
      <w:r w:rsidRPr="00792412">
        <w:rPr>
          <w:rFonts w:eastAsiaTheme="minorEastAsia"/>
        </w:rPr>
        <w:t xml:space="preserve"> oxidation paths are modelled in each mechanism to inform the development of Present Mech.</w:t>
      </w:r>
    </w:p>
    <w:p w14:paraId="68DC3954" w14:textId="77777777" w:rsidR="00792412" w:rsidRPr="008120CD" w:rsidRDefault="00792412" w:rsidP="00990AB6">
      <w:pPr>
        <w:pStyle w:val="Maintext"/>
        <w:spacing w:line="0" w:lineRule="atLeast"/>
        <w:rPr>
          <w:rFonts w:eastAsiaTheme="minorEastAsia"/>
        </w:rPr>
      </w:pPr>
    </w:p>
    <w:p w14:paraId="24218BE0" w14:textId="7E93022D" w:rsidR="00FB78DF" w:rsidRPr="008120CD" w:rsidRDefault="00792412" w:rsidP="00792412">
      <w:pPr>
        <w:pStyle w:val="section"/>
      </w:pPr>
      <w:r>
        <w:t>Results and Discussion</w:t>
      </w:r>
    </w:p>
    <w:p w14:paraId="7172C3F8" w14:textId="15CA128A" w:rsidR="007549AE" w:rsidRDefault="00792412" w:rsidP="00990AB6">
      <w:pPr>
        <w:pStyle w:val="Maintext"/>
        <w:spacing w:line="0" w:lineRule="atLeast"/>
      </w:pPr>
      <w:r w:rsidRPr="00792412">
        <w:t xml:space="preserve">Comparisons between the pathways of Okafor Reduced Mech and Gotama Mech, Fig. </w:t>
      </w:r>
      <w:r w:rsidR="00B6638D">
        <w:t>2</w:t>
      </w:r>
      <w:r w:rsidR="004A1A39">
        <w:t xml:space="preserve"> (a) and (b)</w:t>
      </w:r>
      <w:r w:rsidRPr="00792412">
        <w:t xml:space="preserve"> respectively, highlight interactions between NH</w:t>
      </w:r>
      <w:r w:rsidRPr="007549AE">
        <w:rPr>
          <w:vertAlign w:val="subscript"/>
        </w:rPr>
        <w:t>3</w:t>
      </w:r>
      <w:r w:rsidRPr="00792412">
        <w:t xml:space="preserve"> and H</w:t>
      </w:r>
      <w:r w:rsidRPr="007549AE">
        <w:rPr>
          <w:vertAlign w:val="subscript"/>
        </w:rPr>
        <w:t>2</w:t>
      </w:r>
      <w:r w:rsidRPr="00792412">
        <w:t xml:space="preserve"> oxidation pathways at intermediate H</w:t>
      </w:r>
      <w:r w:rsidRPr="007549AE">
        <w:rPr>
          <w:vertAlign w:val="subscript"/>
        </w:rPr>
        <w:t>2</w:t>
      </w:r>
      <w:r w:rsidRPr="00792412">
        <w:t xml:space="preserve"> concentrations in the binary fuel are modelled differently in the two chemical kinetics models. For instance, reactions in the reaction path </w:t>
      </w: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3</m:t>
            </m:r>
          </m:sub>
        </m:sSub>
        <m:r>
          <w:rPr>
            <w:rFonts w:ascii="Cambria Math" w:hAnsi="Cambria Math"/>
          </w:rPr>
          <m:t>↔</m:t>
        </m:r>
        <m:sSub>
          <m:sSubPr>
            <m:ctrlPr>
              <w:rPr>
                <w:rFonts w:ascii="Cambria Math" w:hAnsi="Cambria Math"/>
                <w:iCs/>
              </w:rPr>
            </m:ctrlPr>
          </m:sSubPr>
          <m:e>
            <m:r>
              <m:rPr>
                <m:sty m:val="p"/>
              </m:rPr>
              <w:rPr>
                <w:rFonts w:ascii="Cambria Math" w:hAnsi="Cambria Math"/>
              </w:rPr>
              <m:t>N</m:t>
            </m:r>
            <m:ctrlPr>
              <w:rPr>
                <w:rFonts w:ascii="Cambria Math" w:hAnsi="Cambria Math"/>
                <w:i/>
              </w:rPr>
            </m:ctrlP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oMath>
      <w:r w:rsidRPr="007549AE">
        <w:rPr>
          <w:iCs/>
        </w:rPr>
        <w:t xml:space="preserve"> </w:t>
      </w:r>
      <w:r w:rsidRPr="00792412">
        <w:t>is modelled in Gotama Mech only. The forward reaction, the formation of N2H3, is given by;</w:t>
      </w:r>
    </w:p>
    <w:tbl>
      <w:tblPr>
        <w:tblStyle w:val="TableGrid"/>
        <w:tblW w:w="5000" w:type="pct"/>
        <w:tblLook w:val="04A0" w:firstRow="1" w:lastRow="0" w:firstColumn="1" w:lastColumn="0" w:noHBand="0" w:noVBand="1"/>
      </w:tblPr>
      <w:tblGrid>
        <w:gridCol w:w="222"/>
        <w:gridCol w:w="3749"/>
        <w:gridCol w:w="583"/>
      </w:tblGrid>
      <w:tr w:rsidR="007549AE" w14:paraId="7A8DB905" w14:textId="77777777" w:rsidTr="000430E3">
        <w:tc>
          <w:tcPr>
            <w:tcW w:w="350" w:type="pct"/>
            <w:tcBorders>
              <w:top w:val="nil"/>
              <w:left w:val="nil"/>
              <w:bottom w:val="nil"/>
              <w:right w:val="nil"/>
            </w:tcBorders>
          </w:tcPr>
          <w:p w14:paraId="70DE5BE3"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1D77F83F" w14:textId="4FC80687" w:rsidR="007549AE" w:rsidRPr="00792412" w:rsidRDefault="007549AE"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oMath>
            </m:oMathPara>
          </w:p>
        </w:tc>
        <w:tc>
          <w:tcPr>
            <w:tcW w:w="350" w:type="pct"/>
            <w:tcBorders>
              <w:top w:val="nil"/>
              <w:left w:val="nil"/>
              <w:bottom w:val="nil"/>
              <w:right w:val="nil"/>
            </w:tcBorders>
          </w:tcPr>
          <w:p w14:paraId="1E7B4834" w14:textId="5DAE5898"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sidRPr="007549AE">
              <w:rPr>
                <w:i w:val="0"/>
                <w:iCs w:val="0"/>
                <w:noProof/>
                <w:color w:val="auto"/>
                <w:sz w:val="20"/>
                <w:szCs w:val="20"/>
              </w:rPr>
              <w:t>1</w:t>
            </w:r>
            <w:r w:rsidRPr="007549AE">
              <w:rPr>
                <w:i w:val="0"/>
                <w:iCs w:val="0"/>
                <w:color w:val="auto"/>
                <w:sz w:val="20"/>
                <w:szCs w:val="20"/>
              </w:rPr>
              <w:fldChar w:fldCharType="end"/>
            </w:r>
            <w:r w:rsidRPr="007549AE">
              <w:rPr>
                <w:i w:val="0"/>
                <w:iCs w:val="0"/>
                <w:color w:val="auto"/>
                <w:sz w:val="20"/>
                <w:szCs w:val="20"/>
              </w:rPr>
              <w:t>)</w:t>
            </w:r>
          </w:p>
        </w:tc>
      </w:tr>
    </w:tbl>
    <w:p w14:paraId="38C4260F" w14:textId="57F4CE30" w:rsidR="007549AE" w:rsidRDefault="00792412" w:rsidP="00792412">
      <w:pPr>
        <w:pStyle w:val="Maintext"/>
        <w:spacing w:line="0" w:lineRule="atLeast"/>
        <w:ind w:firstLine="0"/>
      </w:pPr>
      <w:r>
        <w:t>a</w:t>
      </w:r>
      <w:r w:rsidRPr="00792412">
        <w:t>nd the reverse,</w:t>
      </w:r>
      <w:r w:rsidR="007549AE">
        <w:t xml:space="preserve"> </w:t>
      </w:r>
      <w:r w:rsidRPr="00792412">
        <w:t>the consumption of N2H3, is given by;</w:t>
      </w:r>
    </w:p>
    <w:p w14:paraId="0036A91C" w14:textId="77777777" w:rsidR="007549AE" w:rsidRPr="00F71DBB" w:rsidRDefault="007549AE" w:rsidP="00792412">
      <w:pPr>
        <w:pStyle w:val="Maintext"/>
        <w:spacing w:line="0" w:lineRule="atLeast"/>
        <w:ind w:firstLine="0"/>
        <w:rPr>
          <w:sz w:val="12"/>
          <w:szCs w:val="12"/>
        </w:rPr>
      </w:pPr>
    </w:p>
    <w:tbl>
      <w:tblPr>
        <w:tblStyle w:val="TableGrid"/>
        <w:tblW w:w="5000" w:type="pct"/>
        <w:tblLook w:val="04A0" w:firstRow="1" w:lastRow="0" w:firstColumn="1" w:lastColumn="0" w:noHBand="0" w:noVBand="1"/>
      </w:tblPr>
      <w:tblGrid>
        <w:gridCol w:w="222"/>
        <w:gridCol w:w="3749"/>
        <w:gridCol w:w="583"/>
      </w:tblGrid>
      <w:tr w:rsidR="007549AE" w14:paraId="50039E5D" w14:textId="77777777" w:rsidTr="000430E3">
        <w:tc>
          <w:tcPr>
            <w:tcW w:w="350" w:type="pct"/>
            <w:tcBorders>
              <w:top w:val="nil"/>
              <w:left w:val="nil"/>
              <w:bottom w:val="nil"/>
              <w:right w:val="nil"/>
            </w:tcBorders>
          </w:tcPr>
          <w:p w14:paraId="5BE70A41"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49814631" w14:textId="70DBC55F" w:rsidR="007549AE" w:rsidRPr="00792412" w:rsidRDefault="007549AE"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2NH</m:t>
                    </m:r>
                  </m:e>
                  <m:sub>
                    <m:r>
                      <m:rPr>
                        <m:sty m:val="p"/>
                      </m:rPr>
                      <w:rPr>
                        <w:rFonts w:ascii="Cambria Math" w:hAnsi="Cambria Math"/>
                      </w:rPr>
                      <m:t>2</m:t>
                    </m:r>
                  </m:sub>
                </m:sSub>
                <m:r>
                  <w:rPr>
                    <w:rFonts w:ascii="Cambria Math" w:hAnsi="Cambria Math"/>
                  </w:rPr>
                  <m:t>=</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7F6E92D3" w14:textId="41732A10"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Pr>
                <w:i w:val="0"/>
                <w:iCs w:val="0"/>
                <w:noProof/>
                <w:color w:val="auto"/>
                <w:sz w:val="20"/>
                <w:szCs w:val="20"/>
              </w:rPr>
              <w:t>2</w:t>
            </w:r>
            <w:r w:rsidRPr="007549AE">
              <w:rPr>
                <w:i w:val="0"/>
                <w:iCs w:val="0"/>
                <w:color w:val="auto"/>
                <w:sz w:val="20"/>
                <w:szCs w:val="20"/>
              </w:rPr>
              <w:fldChar w:fldCharType="end"/>
            </w:r>
            <w:r w:rsidRPr="007549AE">
              <w:rPr>
                <w:i w:val="0"/>
                <w:iCs w:val="0"/>
                <w:color w:val="auto"/>
                <w:sz w:val="20"/>
                <w:szCs w:val="20"/>
              </w:rPr>
              <w:t>)</w:t>
            </w:r>
          </w:p>
        </w:tc>
      </w:tr>
    </w:tbl>
    <w:p w14:paraId="4964167A" w14:textId="07CFF23C" w:rsidR="00FB78DF" w:rsidRPr="008120CD" w:rsidRDefault="00792412" w:rsidP="00792412">
      <w:pPr>
        <w:pStyle w:val="Maintext"/>
        <w:spacing w:line="0" w:lineRule="atLeast"/>
        <w:ind w:firstLine="0"/>
      </w:pPr>
      <w:r w:rsidRPr="00792412">
        <w:t>Gotama Mech's reaction pathway depicts the involvement of N2H3 in the control of intermediates important in ammonia oxidation pathway.</w:t>
      </w:r>
    </w:p>
    <w:p w14:paraId="0C822429" w14:textId="4DEE11AE" w:rsidR="00F10C17" w:rsidRDefault="00792412" w:rsidP="00B6638D">
      <w:pPr>
        <w:pStyle w:val="Maintext"/>
        <w:keepNext/>
        <w:keepLines/>
        <w:spacing w:line="0" w:lineRule="atLeast"/>
        <w:ind w:firstLine="288"/>
        <w:rPr>
          <w:rFonts w:eastAsiaTheme="minorEastAsia"/>
        </w:rPr>
      </w:pPr>
      <w:r w:rsidRPr="00792412">
        <w:rPr>
          <w:rFonts w:eastAsiaTheme="minorEastAsia"/>
        </w:rPr>
        <w:t xml:space="preserve">The reaction pathway </w:t>
      </w:r>
      <m:oMath>
        <m:r>
          <m:rPr>
            <m:sty m:val="p"/>
          </m:rPr>
          <w:rPr>
            <w:rFonts w:ascii="Cambria Math" w:eastAsiaTheme="minorEastAsia" w:hAnsi="Cambria Math"/>
          </w:rPr>
          <m:t>NNH</m:t>
        </m:r>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 xml:space="preserve"> </m:t>
            </m:r>
            <m:r>
              <m:rPr>
                <m:sty m:val="p"/>
              </m:rPr>
              <w:rPr>
                <w:rFonts w:ascii="Cambria Math" w:eastAsiaTheme="minorEastAsia" w:hAnsi="Cambria Math"/>
              </w:rPr>
              <m:t>N</m:t>
            </m:r>
          </m:e>
          <m:sub>
            <m:r>
              <m:rPr>
                <m:sty m:val="p"/>
              </m:rPr>
              <w:rPr>
                <w:rFonts w:ascii="Cambria Math" w:eastAsiaTheme="minorEastAsia" w:hAnsi="Cambria Math"/>
              </w:rPr>
              <m:t>2</m:t>
            </m:r>
          </m:sub>
        </m:sSub>
      </m:oMath>
      <w:r w:rsidRPr="00792412">
        <w:rPr>
          <w:rFonts w:eastAsiaTheme="minorEastAsia"/>
        </w:rPr>
        <w:t xml:space="preserve"> were distinct between Okafor Reduced Mech and Gotama Mech. Figure </w:t>
      </w:r>
      <w:r w:rsidR="004A1A39">
        <w:rPr>
          <w:rFonts w:eastAsiaTheme="minorEastAsia"/>
        </w:rPr>
        <w:t>1</w:t>
      </w:r>
      <w:r w:rsidRPr="00792412">
        <w:rPr>
          <w:rFonts w:eastAsiaTheme="minorEastAsia"/>
        </w:rPr>
        <w:t xml:space="preserve"> shows that Gotama Mech exhibits an IROP approximately 2.2 times larger Okafor Reduced Mech and the pathway is primarily contributed to by the reaction;</w:t>
      </w:r>
    </w:p>
    <w:p w14:paraId="6F461DC5" w14:textId="41F79095" w:rsidR="007549AE" w:rsidRPr="00F71DBB" w:rsidRDefault="007549AE" w:rsidP="00B6638D">
      <w:pPr>
        <w:pStyle w:val="Maintext"/>
        <w:keepLines/>
        <w:spacing w:line="0" w:lineRule="atLeast"/>
        <w:ind w:firstLine="0"/>
        <w:rPr>
          <w:rFonts w:eastAsiaTheme="minorEastAsia"/>
          <w:sz w:val="12"/>
          <w:szCs w:val="12"/>
        </w:rPr>
      </w:pPr>
    </w:p>
    <w:tbl>
      <w:tblPr>
        <w:tblStyle w:val="TableGrid"/>
        <w:tblW w:w="5000" w:type="pct"/>
        <w:tblLook w:val="04A0" w:firstRow="1" w:lastRow="0" w:firstColumn="1" w:lastColumn="0" w:noHBand="0" w:noVBand="1"/>
      </w:tblPr>
      <w:tblGrid>
        <w:gridCol w:w="222"/>
        <w:gridCol w:w="3749"/>
        <w:gridCol w:w="583"/>
      </w:tblGrid>
      <w:tr w:rsidR="007549AE" w14:paraId="2A03EF43" w14:textId="77777777" w:rsidTr="000430E3">
        <w:tc>
          <w:tcPr>
            <w:tcW w:w="350" w:type="pct"/>
            <w:tcBorders>
              <w:top w:val="nil"/>
              <w:left w:val="nil"/>
              <w:bottom w:val="nil"/>
              <w:right w:val="nil"/>
            </w:tcBorders>
          </w:tcPr>
          <w:p w14:paraId="1CD070F9"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038AB210" w14:textId="68881175" w:rsidR="007549AE" w:rsidRPr="00792412" w:rsidRDefault="00F71DBB" w:rsidP="002B6FDF">
            <w:pPr>
              <w:pStyle w:val="Maintext"/>
              <w:ind w:firstLine="0"/>
              <w:jc w:val="center"/>
            </w:pPr>
            <m:oMathPara>
              <m:oMathParaPr>
                <m:jc m:val="center"/>
              </m:oMathParaPr>
              <m:oMath>
                <m:r>
                  <m:rPr>
                    <m:sty m:val="p"/>
                  </m:rPr>
                  <w:rPr>
                    <w:rFonts w:ascii="Cambria Math" w:hAnsi="Cambria Math"/>
                  </w:rPr>
                  <m:t>N</m:t>
                </m:r>
                <m:r>
                  <m:rPr>
                    <m:sty m:val="p"/>
                  </m:rPr>
                  <w:rPr>
                    <w:rFonts w:ascii="Cambria Math" w:hAnsi="Cambria Math"/>
                  </w:rPr>
                  <m:t>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7ADDCCBA" w14:textId="0E051F9F"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Pr>
                <w:i w:val="0"/>
                <w:iCs w:val="0"/>
                <w:noProof/>
                <w:color w:val="auto"/>
                <w:sz w:val="20"/>
                <w:szCs w:val="20"/>
              </w:rPr>
              <w:t>3</w:t>
            </w:r>
            <w:r w:rsidRPr="007549AE">
              <w:rPr>
                <w:i w:val="0"/>
                <w:iCs w:val="0"/>
                <w:color w:val="auto"/>
                <w:sz w:val="20"/>
                <w:szCs w:val="20"/>
              </w:rPr>
              <w:fldChar w:fldCharType="end"/>
            </w:r>
            <w:r w:rsidRPr="007549AE">
              <w:rPr>
                <w:i w:val="0"/>
                <w:iCs w:val="0"/>
                <w:color w:val="auto"/>
                <w:sz w:val="20"/>
                <w:szCs w:val="20"/>
              </w:rPr>
              <w:t>)</w:t>
            </w:r>
          </w:p>
        </w:tc>
      </w:tr>
    </w:tbl>
    <w:p w14:paraId="51BF10E3" w14:textId="0CEF1209" w:rsidR="009C701D" w:rsidRDefault="00792412" w:rsidP="00F10C17">
      <w:pPr>
        <w:pStyle w:val="Maintext"/>
        <w:spacing w:line="0" w:lineRule="atLeast"/>
        <w:ind w:firstLine="0"/>
        <w:rPr>
          <w:rFonts w:eastAsiaTheme="minorEastAsia"/>
        </w:rPr>
      </w:pPr>
      <w:r w:rsidRPr="00792412">
        <w:rPr>
          <w:rFonts w:eastAsiaTheme="minorEastAsia"/>
        </w:rPr>
        <w:t xml:space="preserve">in Gotama Mech. In Gotama Mech this pathway has become </w:t>
      </w:r>
      <w:r w:rsidR="00F10C17">
        <w:rPr>
          <w:rFonts w:eastAsiaTheme="minorEastAsia"/>
        </w:rPr>
        <w:t xml:space="preserve">a </w:t>
      </w:r>
      <w:r w:rsidRPr="00792412">
        <w:rPr>
          <w:rFonts w:eastAsiaTheme="minorEastAsia"/>
        </w:rPr>
        <w:t>significant contributor to H radical generation at intermediate hydrogen concentration.</w:t>
      </w:r>
    </w:p>
    <w:p w14:paraId="70F9F791" w14:textId="4B1CCA4E" w:rsidR="00792412" w:rsidRDefault="00792412" w:rsidP="00990AB6">
      <w:pPr>
        <w:pStyle w:val="Maintext"/>
        <w:spacing w:line="0" w:lineRule="atLeast"/>
        <w:rPr>
          <w:rFonts w:eastAsiaTheme="minorEastAsia"/>
        </w:rPr>
      </w:pPr>
      <w:r w:rsidRPr="00792412">
        <w:rPr>
          <w:rFonts w:eastAsiaTheme="minorEastAsia"/>
        </w:rPr>
        <w:t xml:space="preserve">Another reaction pathway, </w:t>
      </w:r>
      <m:oMath>
        <m:sSub>
          <m:sSubPr>
            <m:ctrlPr>
              <w:rPr>
                <w:rFonts w:ascii="Cambria Math" w:eastAsiaTheme="minorEastAsia" w:hAnsi="Cambria Math"/>
                <w:iCs/>
              </w:rPr>
            </m:ctrlPr>
          </m:sSubPr>
          <m:e>
            <m:r>
              <m:rPr>
                <m:sty m:val="p"/>
              </m:rPr>
              <w:rPr>
                <w:rFonts w:ascii="Cambria Math" w:eastAsiaTheme="minorEastAsia" w:hAnsi="Cambria Math"/>
              </w:rPr>
              <m:t>NH</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oMath>
      <w:r w:rsidRPr="00792412">
        <w:rPr>
          <w:rFonts w:eastAsiaTheme="minorEastAsia"/>
        </w:rPr>
        <w:t xml:space="preserve"> can also be depicted to exhibit increased IROP in Gotama Mech, approximately 3 times larger than in Okafor Reduced Mech. The reaction; </w:t>
      </w:r>
    </w:p>
    <w:p w14:paraId="2B90D007" w14:textId="77777777" w:rsidR="00F71DBB" w:rsidRPr="00F71DBB" w:rsidRDefault="00F71DBB" w:rsidP="00990AB6">
      <w:pPr>
        <w:pStyle w:val="Maintext"/>
        <w:spacing w:line="0" w:lineRule="atLeast"/>
        <w:rPr>
          <w:rFonts w:eastAsiaTheme="minorEastAsia"/>
          <w:sz w:val="12"/>
          <w:szCs w:val="12"/>
        </w:rPr>
      </w:pPr>
    </w:p>
    <w:tbl>
      <w:tblPr>
        <w:tblStyle w:val="TableGrid"/>
        <w:tblW w:w="5000" w:type="pct"/>
        <w:tblLook w:val="04A0" w:firstRow="1" w:lastRow="0" w:firstColumn="1" w:lastColumn="0" w:noHBand="0" w:noVBand="1"/>
      </w:tblPr>
      <w:tblGrid>
        <w:gridCol w:w="222"/>
        <w:gridCol w:w="3749"/>
        <w:gridCol w:w="583"/>
      </w:tblGrid>
      <w:tr w:rsidR="00F71DBB" w14:paraId="185382A1" w14:textId="77777777" w:rsidTr="000430E3">
        <w:tc>
          <w:tcPr>
            <w:tcW w:w="350" w:type="pct"/>
            <w:tcBorders>
              <w:top w:val="nil"/>
              <w:left w:val="nil"/>
              <w:bottom w:val="nil"/>
              <w:right w:val="nil"/>
            </w:tcBorders>
          </w:tcPr>
          <w:p w14:paraId="1D90E254" w14:textId="77777777" w:rsidR="00F71DBB" w:rsidRPr="002B6FDF" w:rsidRDefault="00F71DBB" w:rsidP="002B6FDF">
            <w:pPr>
              <w:pStyle w:val="Maintext"/>
              <w:ind w:firstLine="0"/>
              <w:jc w:val="center"/>
            </w:pPr>
          </w:p>
        </w:tc>
        <w:tc>
          <w:tcPr>
            <w:tcW w:w="4300" w:type="pct"/>
            <w:tcBorders>
              <w:top w:val="nil"/>
              <w:left w:val="nil"/>
              <w:bottom w:val="nil"/>
              <w:right w:val="nil"/>
            </w:tcBorders>
          </w:tcPr>
          <w:p w14:paraId="5A477646" w14:textId="27C89B23" w:rsidR="00F71DBB" w:rsidRPr="00F71DBB" w:rsidRDefault="00F71DBB"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02913965" w14:textId="2B2DF97E" w:rsidR="00F71DBB" w:rsidRPr="000430E3" w:rsidRDefault="00F71DBB"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Pr>
                <w:i w:val="0"/>
                <w:iCs w:val="0"/>
                <w:noProof/>
                <w:color w:val="auto"/>
                <w:sz w:val="20"/>
                <w:szCs w:val="20"/>
              </w:rPr>
              <w:t>4</w:t>
            </w:r>
            <w:r w:rsidRPr="007549AE">
              <w:rPr>
                <w:i w:val="0"/>
                <w:iCs w:val="0"/>
                <w:color w:val="auto"/>
                <w:sz w:val="20"/>
                <w:szCs w:val="20"/>
              </w:rPr>
              <w:fldChar w:fldCharType="end"/>
            </w:r>
            <w:r w:rsidRPr="007549AE">
              <w:rPr>
                <w:i w:val="0"/>
                <w:iCs w:val="0"/>
                <w:color w:val="auto"/>
                <w:sz w:val="20"/>
                <w:szCs w:val="20"/>
              </w:rPr>
              <w:t>)</w:t>
            </w:r>
          </w:p>
        </w:tc>
      </w:tr>
    </w:tbl>
    <w:p w14:paraId="26DCEEAA" w14:textId="37180DBF" w:rsidR="00792412" w:rsidRDefault="00792412" w:rsidP="00792412">
      <w:pPr>
        <w:pStyle w:val="Maintext"/>
        <w:spacing w:line="0" w:lineRule="atLeast"/>
        <w:ind w:firstLine="0"/>
        <w:rPr>
          <w:rFonts w:eastAsiaTheme="minorEastAsia"/>
        </w:rPr>
      </w:pPr>
      <w:r w:rsidRPr="00792412">
        <w:rPr>
          <w:rFonts w:eastAsiaTheme="minorEastAsia"/>
        </w:rPr>
        <w:t>in the biggest contributor to the pathway.</w:t>
      </w:r>
      <w:r w:rsidR="00F10C17">
        <w:rPr>
          <w:rFonts w:eastAsiaTheme="minorEastAsia"/>
        </w:rPr>
        <w:t xml:space="preserve"> </w:t>
      </w:r>
      <w:r w:rsidR="00F71DBB">
        <w:rPr>
          <w:rFonts w:eastAsiaTheme="minorEastAsia"/>
        </w:rPr>
        <w:t>(R4)</w:t>
      </w:r>
      <w:r w:rsidRPr="00792412">
        <w:rPr>
          <w:rFonts w:eastAsiaTheme="minorEastAsia"/>
        </w:rPr>
        <w:t xml:space="preserve"> is a H radical generating reaction while consuming NH</w:t>
      </w:r>
      <w:r w:rsidRPr="00F71DBB">
        <w:rPr>
          <w:rFonts w:eastAsiaTheme="minorEastAsia"/>
          <w:vertAlign w:val="subscript"/>
        </w:rPr>
        <w:t>2</w:t>
      </w:r>
      <w:r w:rsidRPr="00792412">
        <w:rPr>
          <w:rFonts w:eastAsiaTheme="minorEastAsia"/>
        </w:rPr>
        <w:t xml:space="preserve"> and NH intermediates. Moreover, the increased N</w:t>
      </w:r>
      <w:r w:rsidRPr="00F71DBB">
        <w:rPr>
          <w:rFonts w:eastAsiaTheme="minorEastAsia"/>
          <w:vertAlign w:val="subscript"/>
        </w:rPr>
        <w:t>2</w:t>
      </w:r>
      <w:r w:rsidRPr="00792412">
        <w:rPr>
          <w:rFonts w:eastAsiaTheme="minorEastAsia"/>
        </w:rPr>
        <w:t>H</w:t>
      </w:r>
      <w:r w:rsidRPr="00F71DBB">
        <w:rPr>
          <w:rFonts w:eastAsiaTheme="minorEastAsia"/>
          <w:vertAlign w:val="subscript"/>
        </w:rPr>
        <w:t>2</w:t>
      </w:r>
      <w:r w:rsidRPr="00792412">
        <w:rPr>
          <w:rFonts w:eastAsiaTheme="minorEastAsia"/>
        </w:rPr>
        <w:t xml:space="preserve"> production </w:t>
      </w:r>
      <w:r w:rsidRPr="00792412">
        <w:rPr>
          <w:rFonts w:eastAsiaTheme="minorEastAsia"/>
        </w:rPr>
        <w:lastRenderedPageBreak/>
        <w:t xml:space="preserve">further contributes to promote the pathway </w:t>
      </w:r>
      <m:oMath>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m:t>
        </m:r>
        <m:r>
          <m:rPr>
            <m:sty m:val="p"/>
          </m:rPr>
          <w:rPr>
            <w:rFonts w:ascii="Cambria Math" w:eastAsiaTheme="minorEastAsia" w:hAnsi="Cambria Math"/>
          </w:rPr>
          <m:t>NNH</m:t>
        </m:r>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oMath>
      <w:r w:rsidRPr="00792412">
        <w:rPr>
          <w:rFonts w:eastAsiaTheme="minorEastAsia"/>
        </w:rPr>
        <w:t xml:space="preserve"> as the IROP for these pathways in Gotama Mech were approximately 2.8 times and 2.2 times that of Okafor Reduced Mech</w:t>
      </w:r>
      <w:r w:rsidR="00F71DBB">
        <w:rPr>
          <w:rFonts w:eastAsiaTheme="minorEastAsia"/>
        </w:rPr>
        <w:t xml:space="preserve"> respectively</w:t>
      </w:r>
      <w:r w:rsidRPr="00792412">
        <w:rPr>
          <w:rFonts w:eastAsiaTheme="minorEastAsia"/>
        </w:rPr>
        <w:t>. In additon, (R1) was the significant reaction in the latter pathway suggesting .</w:t>
      </w:r>
    </w:p>
    <w:p w14:paraId="77DF0BCD" w14:textId="47A3EB67" w:rsidR="00F10C17" w:rsidRDefault="00F10C17" w:rsidP="00F10C17">
      <w:pPr>
        <w:pStyle w:val="Maintext"/>
        <w:spacing w:line="0" w:lineRule="atLeast"/>
        <w:ind w:firstLine="360"/>
        <w:rPr>
          <w:rFonts w:eastAsiaTheme="minorEastAsia"/>
        </w:rPr>
      </w:pPr>
      <w:r w:rsidRPr="00F10C17">
        <w:rPr>
          <w:rFonts w:eastAsiaTheme="minorEastAsia"/>
        </w:rPr>
        <w:t>N</w:t>
      </w:r>
      <w:r w:rsidRPr="008A4E8F">
        <w:rPr>
          <w:rFonts w:eastAsiaTheme="minorEastAsia"/>
          <w:vertAlign w:val="subscript"/>
        </w:rPr>
        <w:t>2</w:t>
      </w:r>
      <w:r w:rsidRPr="00F10C17">
        <w:rPr>
          <w:rFonts w:eastAsiaTheme="minorEastAsia"/>
        </w:rPr>
        <w:t>H</w:t>
      </w:r>
      <w:r w:rsidRPr="008A4E8F">
        <w:rPr>
          <w:rFonts w:eastAsiaTheme="minorEastAsia"/>
          <w:vertAlign w:val="subscript"/>
        </w:rPr>
        <w:t>x</w:t>
      </w:r>
      <w:r w:rsidRPr="00F10C17">
        <w:rPr>
          <w:rFonts w:eastAsiaTheme="minorEastAsia"/>
        </w:rPr>
        <w:t xml:space="preserve"> species' involvement in NH3 and H2 oxidation pathway interactions as hydrogen concentrations in an NH</w:t>
      </w:r>
      <w:r w:rsidRPr="008A4E8F">
        <w:rPr>
          <w:rFonts w:eastAsiaTheme="minorEastAsia"/>
          <w:vertAlign w:val="subscript"/>
        </w:rPr>
        <w:t>3</w:t>
      </w:r>
      <w:r w:rsidRPr="00F10C17">
        <w:rPr>
          <w:rFonts w:eastAsiaTheme="minorEastAsia"/>
        </w:rPr>
        <w:t>/H</w:t>
      </w:r>
      <w:r w:rsidRPr="008A4E8F">
        <w:rPr>
          <w:rFonts w:eastAsiaTheme="minorEastAsia"/>
          <w:vertAlign w:val="subscript"/>
        </w:rPr>
        <w:t>2</w:t>
      </w:r>
      <w:r w:rsidRPr="00F10C17">
        <w:rPr>
          <w:rFonts w:eastAsiaTheme="minorEastAsia"/>
        </w:rPr>
        <w:t xml:space="preserve">/air flame at </w:t>
      </w:r>
      <m:oMath>
        <m:sSub>
          <m:sSubPr>
            <m:ctrlPr>
              <w:rPr>
                <w:rFonts w:ascii="Cambria Math" w:eastAsiaTheme="minorEastAsia" w:hAnsi="Cambria Math"/>
                <w:i/>
              </w:rPr>
            </m:ctrlPr>
          </m:sSubPr>
          <m:e>
            <m:r>
              <w:rPr>
                <w:rFonts w:ascii="Cambria Math" w:eastAsiaTheme="minorEastAsia" w:hAnsi="Cambria Math"/>
              </w:rPr>
              <m:t>X</m:t>
            </m:r>
          </m:e>
          <m:sub>
            <m:r>
              <m:rPr>
                <m:sty m:val="p"/>
              </m:rPr>
              <w:rPr>
                <w:rFonts w:ascii="Cambria Math" w:eastAsiaTheme="minorEastAsia" w:hAnsi="Cambria Math"/>
              </w:rPr>
              <m:t>H2</m:t>
            </m:r>
          </m:sub>
        </m:sSub>
        <m:r>
          <w:rPr>
            <w:rFonts w:ascii="Cambria Math" w:eastAsiaTheme="minorEastAsia" w:hAnsi="Cambria Math"/>
          </w:rPr>
          <m:t>=0.5</m:t>
        </m:r>
      </m:oMath>
      <w:r w:rsidRPr="00F10C17">
        <w:rPr>
          <w:rFonts w:eastAsiaTheme="minorEastAsia"/>
        </w:rPr>
        <w:t xml:space="preserve"> was evident in Gotama Mech. Moreover, the general increase in IROP of </w:t>
      </w:r>
      <w:r w:rsidR="008A4E8F" w:rsidRPr="00F10C17">
        <w:rPr>
          <w:rFonts w:eastAsiaTheme="minorEastAsia"/>
        </w:rPr>
        <w:t>N</w:t>
      </w:r>
      <w:r w:rsidR="008A4E8F" w:rsidRPr="008A4E8F">
        <w:rPr>
          <w:rFonts w:eastAsiaTheme="minorEastAsia"/>
          <w:vertAlign w:val="subscript"/>
        </w:rPr>
        <w:t>2</w:t>
      </w:r>
      <w:r w:rsidR="008A4E8F" w:rsidRPr="00F10C17">
        <w:rPr>
          <w:rFonts w:eastAsiaTheme="minorEastAsia"/>
        </w:rPr>
        <w:t>H</w:t>
      </w:r>
      <w:r w:rsidR="008A4E8F" w:rsidRPr="008A4E8F">
        <w:rPr>
          <w:rFonts w:eastAsiaTheme="minorEastAsia"/>
          <w:vertAlign w:val="subscript"/>
        </w:rPr>
        <w:t>x</w:t>
      </w:r>
      <w:r w:rsidR="008A4E8F" w:rsidRPr="00F10C17">
        <w:rPr>
          <w:rFonts w:eastAsiaTheme="minorEastAsia"/>
        </w:rPr>
        <w:t xml:space="preserve"> </w:t>
      </w:r>
      <w:r w:rsidRPr="00F10C17">
        <w:rPr>
          <w:rFonts w:eastAsiaTheme="minorEastAsia"/>
        </w:rPr>
        <w:t xml:space="preserve">related reactions, relative to Okafor Reduced Mech's reaction pathway, along with the reactions and reaction pathways discussed in this section, it can be inferred that the </w:t>
      </w:r>
      <w:r w:rsidR="008A4E8F" w:rsidRPr="00F10C17">
        <w:rPr>
          <w:rFonts w:eastAsiaTheme="minorEastAsia"/>
        </w:rPr>
        <w:t>N</w:t>
      </w:r>
      <w:r w:rsidR="008A4E8F" w:rsidRPr="008A4E8F">
        <w:rPr>
          <w:rFonts w:eastAsiaTheme="minorEastAsia"/>
          <w:vertAlign w:val="subscript"/>
        </w:rPr>
        <w:t>2</w:t>
      </w:r>
      <w:r w:rsidR="008A4E8F" w:rsidRPr="00F10C17">
        <w:rPr>
          <w:rFonts w:eastAsiaTheme="minorEastAsia"/>
        </w:rPr>
        <w:t>H</w:t>
      </w:r>
      <w:r w:rsidR="008A4E8F" w:rsidRPr="008A4E8F">
        <w:rPr>
          <w:rFonts w:eastAsiaTheme="minorEastAsia"/>
          <w:vertAlign w:val="subscript"/>
        </w:rPr>
        <w:t>x</w:t>
      </w:r>
      <w:r w:rsidR="008A4E8F" w:rsidRPr="00F10C17">
        <w:rPr>
          <w:rFonts w:eastAsiaTheme="minorEastAsia"/>
        </w:rPr>
        <w:t xml:space="preserve"> </w:t>
      </w:r>
      <w:r w:rsidRPr="00F10C17">
        <w:rPr>
          <w:rFonts w:eastAsiaTheme="minorEastAsia"/>
        </w:rPr>
        <w:t xml:space="preserve">chemistry </w:t>
      </w:r>
      <w:r w:rsidR="008A4E8F" w:rsidRPr="00F10C17">
        <w:rPr>
          <w:rFonts w:eastAsiaTheme="minorEastAsia"/>
        </w:rPr>
        <w:t>has</w:t>
      </w:r>
      <w:r w:rsidRPr="00F10C17">
        <w:rPr>
          <w:rFonts w:eastAsiaTheme="minorEastAsia"/>
        </w:rPr>
        <w:t xml:space="preserve"> been modelled very differently in the two chemical kinetics models. Hence, to reproduce </w:t>
      </w:r>
      <w:r w:rsidR="008A4E8F" w:rsidRPr="00F10C17">
        <w:rPr>
          <w:rFonts w:eastAsiaTheme="minorEastAsia"/>
        </w:rPr>
        <w:t>this phenomenon</w:t>
      </w:r>
      <w:r w:rsidRPr="00F10C17">
        <w:rPr>
          <w:rFonts w:eastAsiaTheme="minorEastAsia"/>
        </w:rPr>
        <w:t xml:space="preserve"> accurately, Present Mech was developed by adding the </w:t>
      </w:r>
      <w:r w:rsidR="008A4E8F" w:rsidRPr="00F10C17">
        <w:rPr>
          <w:rFonts w:eastAsiaTheme="minorEastAsia"/>
        </w:rPr>
        <w:t>N</w:t>
      </w:r>
      <w:r w:rsidR="008A4E8F" w:rsidRPr="008A4E8F">
        <w:rPr>
          <w:rFonts w:eastAsiaTheme="minorEastAsia"/>
          <w:vertAlign w:val="subscript"/>
        </w:rPr>
        <w:t>2</w:t>
      </w:r>
      <w:r w:rsidR="008A4E8F" w:rsidRPr="00F10C17">
        <w:rPr>
          <w:rFonts w:eastAsiaTheme="minorEastAsia"/>
        </w:rPr>
        <w:t>H</w:t>
      </w:r>
      <w:r w:rsidR="008A4E8F" w:rsidRPr="008A4E8F">
        <w:rPr>
          <w:rFonts w:eastAsiaTheme="minorEastAsia"/>
          <w:vertAlign w:val="subscript"/>
        </w:rPr>
        <w:t>x</w:t>
      </w:r>
      <w:r w:rsidR="008A4E8F" w:rsidRPr="00F10C17">
        <w:rPr>
          <w:rFonts w:eastAsiaTheme="minorEastAsia"/>
        </w:rPr>
        <w:t xml:space="preserve"> </w:t>
      </w:r>
      <w:r w:rsidRPr="00F10C17">
        <w:rPr>
          <w:rFonts w:eastAsiaTheme="minorEastAsia"/>
        </w:rPr>
        <w:t xml:space="preserve">chemistry from Gotama Mech </w:t>
      </w:r>
      <w:r w:rsidR="00023D24">
        <w:rPr>
          <w:rFonts w:eastAsiaTheme="minorEastAsia"/>
        </w:rPr>
        <w:t>[6]</w:t>
      </w:r>
      <w:r w:rsidRPr="00F10C17">
        <w:rPr>
          <w:rFonts w:eastAsiaTheme="minorEastAsia"/>
        </w:rPr>
        <w:t xml:space="preserve"> to Okafor Reduced Mech </w:t>
      </w:r>
      <w:r w:rsidR="00023D24">
        <w:rPr>
          <w:rFonts w:eastAsiaTheme="minorEastAsia"/>
        </w:rPr>
        <w:t>[1]</w:t>
      </w:r>
      <w:r w:rsidRPr="00F10C17">
        <w:rPr>
          <w:rFonts w:eastAsiaTheme="minorEastAsia"/>
        </w:rPr>
        <w:t xml:space="preserve">. The reaction pathway of the Present Mech, hence, behaves similar to Gotama Mech when xH2=0.5 in the binary fuel. Figure \ref{fig-lbv_nh3-h2} shows that, consequently, the Present Mech's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023D24">
        <w:rPr>
          <w:rFonts w:eastAsiaTheme="minorEastAsia"/>
        </w:rPr>
        <w:t xml:space="preserve"> </w:t>
      </w:r>
      <w:r w:rsidRPr="00F10C17">
        <w:rPr>
          <w:rFonts w:eastAsiaTheme="minorEastAsia"/>
        </w:rPr>
        <w:t>predictions improve due to this and can now emulate experimental measurements of stoichiometric NH</w:t>
      </w:r>
      <w:r w:rsidRPr="006843ED">
        <w:rPr>
          <w:rFonts w:eastAsiaTheme="minorEastAsia"/>
          <w:vertAlign w:val="subscript"/>
        </w:rPr>
        <w:t>3</w:t>
      </w:r>
      <w:r w:rsidRPr="00F10C17">
        <w:rPr>
          <w:rFonts w:eastAsiaTheme="minorEastAsia"/>
        </w:rPr>
        <w:t>/H</w:t>
      </w:r>
      <w:r w:rsidRPr="006843ED">
        <w:rPr>
          <w:rFonts w:eastAsiaTheme="minorEastAsia"/>
          <w:vertAlign w:val="subscript"/>
        </w:rPr>
        <w:t>2</w:t>
      </w:r>
      <w:r w:rsidRPr="00F10C17">
        <w:rPr>
          <w:rFonts w:eastAsiaTheme="minorEastAsia"/>
        </w:rPr>
        <w:t>/air burning velocity accurately across all hydrogen concentrations at atmospheric pressure.</w:t>
      </w:r>
    </w:p>
    <w:p w14:paraId="5E850F1A" w14:textId="58D2CAC3" w:rsidR="00A74726" w:rsidRDefault="00A74726" w:rsidP="00F10C17">
      <w:pPr>
        <w:pStyle w:val="Maintext"/>
        <w:spacing w:line="0" w:lineRule="atLeast"/>
        <w:ind w:firstLine="360"/>
        <w:rPr>
          <w:rFonts w:eastAsiaTheme="minorEastAsia"/>
        </w:rPr>
      </w:pPr>
      <w:r w:rsidRPr="008120CD">
        <w:rPr>
          <w:rFonts w:eastAsia="ＭＳ 明朝"/>
          <w:noProof/>
        </w:rPr>
        <mc:AlternateContent>
          <mc:Choice Requires="wps">
            <w:drawing>
              <wp:anchor distT="0" distB="0" distL="114300" distR="114300" simplePos="0" relativeHeight="251661312" behindDoc="1" locked="0" layoutInCell="1" allowOverlap="1" wp14:anchorId="29B972F5" wp14:editId="263913AF">
                <wp:simplePos x="721995" y="4406900"/>
                <wp:positionH relativeFrom="margin">
                  <wp:align>center</wp:align>
                </wp:positionH>
                <wp:positionV relativeFrom="margin">
                  <wp:align>top</wp:align>
                </wp:positionV>
                <wp:extent cx="6092190" cy="3752215"/>
                <wp:effectExtent l="0" t="0" r="3810" b="635"/>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190" cy="3752215"/>
                        </a:xfrm>
                        <a:prstGeom prst="rect">
                          <a:avLst/>
                        </a:prstGeom>
                        <a:solidFill>
                          <a:srgbClr val="FFFFFF"/>
                        </a:solidFill>
                        <a:ln w="9525">
                          <a:noFill/>
                          <a:miter lim="800000"/>
                          <a:headEnd/>
                          <a:tailEnd/>
                        </a:ln>
                      </wps:spPr>
                      <wps:txbx>
                        <w:txbxContent>
                          <w:p w14:paraId="4BDBEE31" w14:textId="77777777" w:rsidR="00A74726" w:rsidRDefault="00A74726" w:rsidP="00A74726">
                            <w:pPr>
                              <w:jc w:val="center"/>
                            </w:pPr>
                          </w:p>
                          <w:p w14:paraId="4F4D99C7" w14:textId="77777777" w:rsidR="00A74726" w:rsidRDefault="00A74726" w:rsidP="00A74726">
                            <w:pPr>
                              <w:jc w:val="center"/>
                            </w:pPr>
                          </w:p>
                          <w:p w14:paraId="6F11482C" w14:textId="77777777" w:rsidR="00A74726" w:rsidRDefault="00A74726" w:rsidP="00A74726">
                            <w:pPr>
                              <w:jc w:val="center"/>
                            </w:pPr>
                            <w:r w:rsidRPr="00294B58">
                              <w:rPr>
                                <w:rFonts w:eastAsia="ＭＳ 明朝" w:hint="eastAsia"/>
                                <w:noProof/>
                              </w:rPr>
                              <w:drawing>
                                <wp:inline distT="0" distB="0" distL="0" distR="0" wp14:anchorId="79718452" wp14:editId="12EE3E25">
                                  <wp:extent cx="6178815" cy="2494783"/>
                                  <wp:effectExtent l="0" t="0" r="0" b="1270"/>
                                  <wp:docPr id="1405510766" name="図 172580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45277" name="図 172580489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203110" cy="2504592"/>
                                          </a:xfrm>
                                          <a:prstGeom prst="rect">
                                            <a:avLst/>
                                          </a:prstGeom>
                                        </pic:spPr>
                                      </pic:pic>
                                    </a:graphicData>
                                  </a:graphic>
                                </wp:inline>
                              </w:drawing>
                            </w:r>
                          </w:p>
                          <w:p w14:paraId="050ABADF" w14:textId="77777777" w:rsidR="00A74726" w:rsidRDefault="00A74726" w:rsidP="00A74726">
                            <w:pPr>
                              <w:pStyle w:val="TableFigurecaption"/>
                              <w:spacing w:beforeLines="100" w:before="240"/>
                              <w:ind w:left="840" w:firstLine="840"/>
                              <w:rPr>
                                <w:rFonts w:eastAsia="ＭＳ 明朝"/>
                              </w:rPr>
                            </w:pPr>
                            <w:r>
                              <w:rPr>
                                <w:rFonts w:eastAsia="ＭＳ 明朝"/>
                              </w:rPr>
                              <w:t xml:space="preserve">(a) Okafor Reduced Mech </w:t>
                            </w:r>
                            <w:r>
                              <w:rPr>
                                <w:rFonts w:eastAsia="ＭＳ 明朝"/>
                              </w:rPr>
                              <w:tab/>
                            </w:r>
                            <w:r>
                              <w:rPr>
                                <w:rFonts w:eastAsia="ＭＳ 明朝"/>
                              </w:rPr>
                              <w:tab/>
                            </w:r>
                            <w:r>
                              <w:rPr>
                                <w:rFonts w:eastAsia="ＭＳ 明朝"/>
                              </w:rPr>
                              <w:tab/>
                            </w:r>
                            <w:r>
                              <w:rPr>
                                <w:rFonts w:eastAsia="ＭＳ 明朝"/>
                              </w:rPr>
                              <w:tab/>
                              <w:t>(b) Gotama Mech</w:t>
                            </w:r>
                            <w:r>
                              <w:rPr>
                                <w:rFonts w:eastAsia="ＭＳ 明朝"/>
                              </w:rPr>
                              <w:tab/>
                            </w:r>
                            <w:r>
                              <w:rPr>
                                <w:rFonts w:eastAsia="ＭＳ 明朝"/>
                              </w:rPr>
                              <w:tab/>
                            </w:r>
                          </w:p>
                          <w:p w14:paraId="07AFAC4C" w14:textId="77777777" w:rsidR="00A74726" w:rsidRPr="00990AB6" w:rsidRDefault="00A74726" w:rsidP="00A74726">
                            <w:pPr>
                              <w:pStyle w:val="TableFigurecaption"/>
                              <w:spacing w:beforeLines="100" w:before="240"/>
                              <w:rPr>
                                <w:rFonts w:eastAsia="ＭＳ 明朝"/>
                              </w:rPr>
                            </w:pPr>
                            <w:r w:rsidRPr="008120CD">
                              <w:rPr>
                                <w:rFonts w:eastAsia="ＭＳ 明朝"/>
                              </w:rPr>
                              <w:t>Fig. </w:t>
                            </w:r>
                            <w:r>
                              <w:rPr>
                                <w:rFonts w:eastAsia="ＭＳ 明朝"/>
                              </w:rPr>
                              <w:t>2</w:t>
                            </w:r>
                            <w:r w:rsidRPr="008120CD">
                              <w:rPr>
                                <w:rFonts w:eastAsia="ＭＳ 明朝"/>
                              </w:rPr>
                              <w:t xml:space="preserve"> </w:t>
                            </w:r>
                            <w:r w:rsidRPr="009F4BD3">
                              <w:rPr>
                                <w:rFonts w:eastAsia="ＭＳ 明朝"/>
                              </w:rPr>
                              <w:t>Reaction pathway of NH</w:t>
                            </w:r>
                            <w:r w:rsidRPr="009F4BD3">
                              <w:rPr>
                                <w:rFonts w:eastAsia="ＭＳ 明朝"/>
                                <w:vertAlign w:val="subscript"/>
                              </w:rPr>
                              <w:t>3</w:t>
                            </w:r>
                            <w:r w:rsidRPr="009F4BD3">
                              <w:rPr>
                                <w:rFonts w:eastAsia="ＭＳ 明朝"/>
                              </w:rPr>
                              <w:t>/H</w:t>
                            </w:r>
                            <w:r w:rsidRPr="009F4BD3">
                              <w:rPr>
                                <w:rFonts w:eastAsia="ＭＳ 明朝"/>
                                <w:vertAlign w:val="subscript"/>
                              </w:rPr>
                              <w:t>2</w:t>
                            </w:r>
                            <w:r w:rsidRPr="009F4BD3">
                              <w:rPr>
                                <w:rFonts w:eastAsia="ＭＳ 明朝"/>
                              </w:rPr>
                              <w:t xml:space="preserve">/air flame at </w:t>
                            </w:r>
                            <m:oMath>
                              <m:sSub>
                                <m:sSubPr>
                                  <m:ctrlPr>
                                    <w:rPr>
                                      <w:rFonts w:ascii="Cambria Math" w:eastAsia="ＭＳ 明朝" w:hAnsi="Cambria Math"/>
                                      <w:i/>
                                    </w:rPr>
                                  </m:ctrlPr>
                                </m:sSubPr>
                                <m:e>
                                  <m:r>
                                    <w:rPr>
                                      <w:rFonts w:ascii="Cambria Math" w:eastAsia="ＭＳ 明朝" w:hAnsi="Cambria Math"/>
                                    </w:rPr>
                                    <m:t>X</m:t>
                                  </m:r>
                                </m:e>
                                <m:sub>
                                  <m:r>
                                    <m:rPr>
                                      <m:sty m:val="p"/>
                                    </m:rPr>
                                    <w:rPr>
                                      <w:rFonts w:ascii="Cambria Math" w:eastAsia="ＭＳ 明朝" w:hAnsi="Cambria Math"/>
                                    </w:rPr>
                                    <m:t>H2</m:t>
                                  </m:r>
                                </m:sub>
                              </m:sSub>
                            </m:oMath>
                            <w:r w:rsidRPr="009F4BD3">
                              <w:rPr>
                                <w:rFonts w:eastAsia="ＭＳ 明朝"/>
                              </w:rPr>
                              <w:t>=0.5 and equivalence ratio of 1.0 using</w:t>
                            </w:r>
                            <w:r>
                              <w:rPr>
                                <w:rFonts w:eastAsia="ＭＳ 明朝"/>
                              </w:rPr>
                              <w:t xml:space="preserve"> (a)</w:t>
                            </w:r>
                            <w:r w:rsidRPr="009F4BD3">
                              <w:rPr>
                                <w:rFonts w:eastAsia="ＭＳ 明朝"/>
                              </w:rPr>
                              <w:t xml:space="preserve"> </w:t>
                            </w:r>
                            <w:r>
                              <w:rPr>
                                <w:rFonts w:eastAsia="ＭＳ 明朝"/>
                              </w:rPr>
                              <w:t xml:space="preserve">Okafor Reduced Mech and (b) </w:t>
                            </w:r>
                            <w:r w:rsidRPr="009F4BD3">
                              <w:rPr>
                                <w:rFonts w:eastAsia="ＭＳ 明朝"/>
                              </w:rPr>
                              <w:t xml:space="preserve">Gotama </w:t>
                            </w:r>
                            <w:r>
                              <w:rPr>
                                <w:rFonts w:eastAsia="ＭＳ 明朝"/>
                              </w:rPr>
                              <w:t>Mech.</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9B972F5" id="テキスト ボックス 2" o:spid="_x0000_s1027" type="#_x0000_t202" style="position:absolute;left:0;text-align:left;margin-left:0;margin-top:0;width:479.7pt;height:295.45pt;z-index:-251655168;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" stroked="f">
                <v:textbox>
                  <w:txbxContent>
                    <w:p w14:paraId="4BDBEE31" w14:textId="77777777" w:rsidR="00A74726" w:rsidRDefault="00A74726" w:rsidP="00A74726">
                      <w:pPr>
                        <w:jc w:val="center"/>
                      </w:pPr>
                    </w:p>
                    <w:p w14:paraId="4F4D99C7" w14:textId="77777777" w:rsidR="00A74726" w:rsidRDefault="00A74726" w:rsidP="00A74726">
                      <w:pPr>
                        <w:jc w:val="center"/>
                      </w:pPr>
                    </w:p>
                    <w:p w14:paraId="6F11482C" w14:textId="77777777" w:rsidR="00A74726" w:rsidRDefault="00A74726" w:rsidP="00A74726">
                      <w:pPr>
                        <w:jc w:val="center"/>
                      </w:pPr>
                      <w:r w:rsidRPr="00294B58">
                        <w:rPr>
                          <w:rFonts w:eastAsia="ＭＳ 明朝" w:hint="eastAsia"/>
                          <w:noProof/>
                        </w:rPr>
                        <w:drawing>
                          <wp:inline distT="0" distB="0" distL="0" distR="0" wp14:anchorId="79718452" wp14:editId="12EE3E25">
                            <wp:extent cx="6178815" cy="2494783"/>
                            <wp:effectExtent l="0" t="0" r="0" b="1270"/>
                            <wp:docPr id="1405510766" name="図 172580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45277" name="図 172580489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203110" cy="2504592"/>
                                    </a:xfrm>
                                    <a:prstGeom prst="rect">
                                      <a:avLst/>
                                    </a:prstGeom>
                                  </pic:spPr>
                                </pic:pic>
                              </a:graphicData>
                            </a:graphic>
                          </wp:inline>
                        </w:drawing>
                      </w:r>
                    </w:p>
                    <w:p w14:paraId="050ABADF" w14:textId="77777777" w:rsidR="00A74726" w:rsidRDefault="00A74726" w:rsidP="00A74726">
                      <w:pPr>
                        <w:pStyle w:val="TableFigurecaption"/>
                        <w:spacing w:beforeLines="100" w:before="240"/>
                        <w:ind w:left="840" w:firstLine="840"/>
                        <w:rPr>
                          <w:rFonts w:eastAsia="ＭＳ 明朝"/>
                        </w:rPr>
                      </w:pPr>
                      <w:r>
                        <w:rPr>
                          <w:rFonts w:eastAsia="ＭＳ 明朝"/>
                        </w:rPr>
                        <w:t xml:space="preserve">(a) Okafor Reduced Mech </w:t>
                      </w:r>
                      <w:r>
                        <w:rPr>
                          <w:rFonts w:eastAsia="ＭＳ 明朝"/>
                        </w:rPr>
                        <w:tab/>
                      </w:r>
                      <w:r>
                        <w:rPr>
                          <w:rFonts w:eastAsia="ＭＳ 明朝"/>
                        </w:rPr>
                        <w:tab/>
                      </w:r>
                      <w:r>
                        <w:rPr>
                          <w:rFonts w:eastAsia="ＭＳ 明朝"/>
                        </w:rPr>
                        <w:tab/>
                      </w:r>
                      <w:r>
                        <w:rPr>
                          <w:rFonts w:eastAsia="ＭＳ 明朝"/>
                        </w:rPr>
                        <w:tab/>
                        <w:t>(b) Gotama Mech</w:t>
                      </w:r>
                      <w:r>
                        <w:rPr>
                          <w:rFonts w:eastAsia="ＭＳ 明朝"/>
                        </w:rPr>
                        <w:tab/>
                      </w:r>
                      <w:r>
                        <w:rPr>
                          <w:rFonts w:eastAsia="ＭＳ 明朝"/>
                        </w:rPr>
                        <w:tab/>
                      </w:r>
                    </w:p>
                    <w:p w14:paraId="07AFAC4C" w14:textId="77777777" w:rsidR="00A74726" w:rsidRPr="00990AB6" w:rsidRDefault="00A74726" w:rsidP="00A74726">
                      <w:pPr>
                        <w:pStyle w:val="TableFigurecaption"/>
                        <w:spacing w:beforeLines="100" w:before="240"/>
                        <w:rPr>
                          <w:rFonts w:eastAsia="ＭＳ 明朝"/>
                        </w:rPr>
                      </w:pPr>
                      <w:r w:rsidRPr="008120CD">
                        <w:rPr>
                          <w:rFonts w:eastAsia="ＭＳ 明朝"/>
                        </w:rPr>
                        <w:t>Fig. </w:t>
                      </w:r>
                      <w:r>
                        <w:rPr>
                          <w:rFonts w:eastAsia="ＭＳ 明朝"/>
                        </w:rPr>
                        <w:t>2</w:t>
                      </w:r>
                      <w:r w:rsidRPr="008120CD">
                        <w:rPr>
                          <w:rFonts w:eastAsia="ＭＳ 明朝"/>
                        </w:rPr>
                        <w:t xml:space="preserve"> </w:t>
                      </w:r>
                      <w:r w:rsidRPr="009F4BD3">
                        <w:rPr>
                          <w:rFonts w:eastAsia="ＭＳ 明朝"/>
                        </w:rPr>
                        <w:t>Reaction pathway of NH</w:t>
                      </w:r>
                      <w:r w:rsidRPr="009F4BD3">
                        <w:rPr>
                          <w:rFonts w:eastAsia="ＭＳ 明朝"/>
                          <w:vertAlign w:val="subscript"/>
                        </w:rPr>
                        <w:t>3</w:t>
                      </w:r>
                      <w:r w:rsidRPr="009F4BD3">
                        <w:rPr>
                          <w:rFonts w:eastAsia="ＭＳ 明朝"/>
                        </w:rPr>
                        <w:t>/H</w:t>
                      </w:r>
                      <w:r w:rsidRPr="009F4BD3">
                        <w:rPr>
                          <w:rFonts w:eastAsia="ＭＳ 明朝"/>
                          <w:vertAlign w:val="subscript"/>
                        </w:rPr>
                        <w:t>2</w:t>
                      </w:r>
                      <w:r w:rsidRPr="009F4BD3">
                        <w:rPr>
                          <w:rFonts w:eastAsia="ＭＳ 明朝"/>
                        </w:rPr>
                        <w:t xml:space="preserve">/air flame at </w:t>
                      </w:r>
                      <m:oMath>
                        <m:sSub>
                          <m:sSubPr>
                            <m:ctrlPr>
                              <w:rPr>
                                <w:rFonts w:ascii="Cambria Math" w:eastAsia="ＭＳ 明朝" w:hAnsi="Cambria Math"/>
                                <w:i/>
                              </w:rPr>
                            </m:ctrlPr>
                          </m:sSubPr>
                          <m:e>
                            <m:r>
                              <w:rPr>
                                <w:rFonts w:ascii="Cambria Math" w:eastAsia="ＭＳ 明朝" w:hAnsi="Cambria Math"/>
                              </w:rPr>
                              <m:t>X</m:t>
                            </m:r>
                          </m:e>
                          <m:sub>
                            <m:r>
                              <m:rPr>
                                <m:sty m:val="p"/>
                              </m:rPr>
                              <w:rPr>
                                <w:rFonts w:ascii="Cambria Math" w:eastAsia="ＭＳ 明朝" w:hAnsi="Cambria Math"/>
                              </w:rPr>
                              <m:t>H2</m:t>
                            </m:r>
                          </m:sub>
                        </m:sSub>
                      </m:oMath>
                      <w:r w:rsidRPr="009F4BD3">
                        <w:rPr>
                          <w:rFonts w:eastAsia="ＭＳ 明朝"/>
                        </w:rPr>
                        <w:t>=0.5 and equivalence ratio of 1.0 using</w:t>
                      </w:r>
                      <w:r>
                        <w:rPr>
                          <w:rFonts w:eastAsia="ＭＳ 明朝"/>
                        </w:rPr>
                        <w:t xml:space="preserve"> (a)</w:t>
                      </w:r>
                      <w:r w:rsidRPr="009F4BD3">
                        <w:rPr>
                          <w:rFonts w:eastAsia="ＭＳ 明朝"/>
                        </w:rPr>
                        <w:t xml:space="preserve"> </w:t>
                      </w:r>
                      <w:r>
                        <w:rPr>
                          <w:rFonts w:eastAsia="ＭＳ 明朝"/>
                        </w:rPr>
                        <w:t xml:space="preserve">Okafor Reduced Mech and (b) </w:t>
                      </w:r>
                      <w:r w:rsidRPr="009F4BD3">
                        <w:rPr>
                          <w:rFonts w:eastAsia="ＭＳ 明朝"/>
                        </w:rPr>
                        <w:t xml:space="preserve">Gotama </w:t>
                      </w:r>
                      <w:r>
                        <w:rPr>
                          <w:rFonts w:eastAsia="ＭＳ 明朝"/>
                        </w:rPr>
                        <w:t>Mech.</w:t>
                      </w:r>
                    </w:p>
                  </w:txbxContent>
                </v:textbox>
                <w10:wrap type="square" anchorx="margin" anchory="margin"/>
              </v:shape>
            </w:pict>
          </mc:Fallback>
        </mc:AlternateContent>
      </w:r>
    </w:p>
    <w:p w14:paraId="1F7EE6B4" w14:textId="63104972" w:rsidR="00F10C17" w:rsidRDefault="00F10C17" w:rsidP="00F10C17">
      <w:pPr>
        <w:pStyle w:val="Maintext"/>
        <w:spacing w:line="0" w:lineRule="atLeast"/>
        <w:ind w:firstLine="360"/>
        <w:rPr>
          <w:rFonts w:eastAsiaTheme="minorEastAsia"/>
        </w:rPr>
      </w:pPr>
      <w:r w:rsidRPr="00F10C17">
        <w:rPr>
          <w:rFonts w:eastAsiaTheme="minorEastAsia"/>
        </w:rPr>
        <w:t xml:space="preserve">Figure </w:t>
      </w:r>
      <w:r w:rsidR="00B6638D">
        <w:rPr>
          <w:rFonts w:eastAsiaTheme="minorEastAsia"/>
        </w:rPr>
        <w:t>2</w:t>
      </w:r>
      <w:r w:rsidRPr="00F10C17">
        <w:rPr>
          <w:rFonts w:eastAsiaTheme="minorEastAsia"/>
        </w:rPr>
        <w:t xml:space="preserve"> shows the normalized sensitivity of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to rate constants of the elementary reactions using the Present Mech. Reaction (R4) is shown to play a significant role in promoting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in Present Mech while remaining insignificant in Okafor Reduced Mech. In addition, reaction (R1) only significantly inhibits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in the Present Mech while remaining insignificant Okafor Reduced Mech's sensitiviy analysis. The figure also shows other NHx and N2Hx related reactions being more significant with respect to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in Present Mech at intermediate hydrogen concentration.</w:t>
      </w:r>
    </w:p>
    <w:p w14:paraId="7082EA69" w14:textId="2C9F947A" w:rsidR="00F10C17" w:rsidRDefault="00F10C17" w:rsidP="00F10C17">
      <w:pPr>
        <w:pStyle w:val="Maintext"/>
        <w:spacing w:line="0" w:lineRule="atLeast"/>
        <w:ind w:firstLine="360"/>
        <w:rPr>
          <w:rFonts w:eastAsiaTheme="minorEastAsia"/>
        </w:rPr>
      </w:pPr>
      <w:r w:rsidRPr="00F10C17">
        <w:rPr>
          <w:rFonts w:eastAsiaTheme="minorEastAsia"/>
        </w:rPr>
        <w:t>The reactions (R2), (R3) and (R4) involve N</w:t>
      </w:r>
      <w:r w:rsidRPr="00B90091">
        <w:rPr>
          <w:rFonts w:eastAsiaTheme="minorEastAsia"/>
          <w:vertAlign w:val="subscript"/>
        </w:rPr>
        <w:t>2</w:t>
      </w:r>
      <w:r w:rsidRPr="00F10C17">
        <w:rPr>
          <w:rFonts w:eastAsiaTheme="minorEastAsia"/>
        </w:rPr>
        <w:t>H</w:t>
      </w:r>
      <w:r w:rsidRPr="00B90091">
        <w:rPr>
          <w:rFonts w:eastAsiaTheme="minorEastAsia"/>
          <w:vertAlign w:val="subscript"/>
        </w:rPr>
        <w:t>x</w:t>
      </w:r>
      <w:r w:rsidRPr="00F10C17">
        <w:rPr>
          <w:rFonts w:eastAsiaTheme="minorEastAsia"/>
        </w:rPr>
        <w:t xml:space="preserve"> species and control H radical concentration</w:t>
      </w:r>
      <w:r w:rsidR="006843ED">
        <w:rPr>
          <w:rFonts w:eastAsiaTheme="minorEastAsia"/>
        </w:rPr>
        <w:t xml:space="preserve">s, </w:t>
      </w:r>
      <w:r w:rsidRPr="00F10C17">
        <w:rPr>
          <w:rFonts w:eastAsiaTheme="minorEastAsia"/>
        </w:rPr>
        <w:t xml:space="preserve">an important radical for promoting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The increased IROP of these reactions in Present Mech imply an increase in H radical concentration which, correlates with the increased burning veloctiy predictions of this mechanism relative to Okafor Reduced Mech. Moreover, the formation and consumption of N</w:t>
      </w:r>
      <w:r w:rsidRPr="006843ED">
        <w:rPr>
          <w:rFonts w:eastAsiaTheme="minorEastAsia"/>
          <w:vertAlign w:val="subscript"/>
        </w:rPr>
        <w:t>2</w:t>
      </w:r>
      <w:r w:rsidRPr="00F10C17">
        <w:rPr>
          <w:rFonts w:eastAsiaTheme="minorEastAsia"/>
        </w:rPr>
        <w:t>H</w:t>
      </w:r>
      <w:r w:rsidRPr="006843ED">
        <w:rPr>
          <w:rFonts w:eastAsiaTheme="minorEastAsia"/>
          <w:vertAlign w:val="subscript"/>
        </w:rPr>
        <w:t>3</w:t>
      </w:r>
      <w:r w:rsidRPr="00F10C17">
        <w:rPr>
          <w:rFonts w:eastAsiaTheme="minorEastAsia"/>
        </w:rPr>
        <w:t xml:space="preserve"> with (R1) and (R2) respectively control NH and NH</w:t>
      </w:r>
      <w:r w:rsidRPr="006843ED">
        <w:rPr>
          <w:rFonts w:eastAsiaTheme="minorEastAsia"/>
          <w:vertAlign w:val="subscript"/>
        </w:rPr>
        <w:t>2</w:t>
      </w:r>
      <w:r w:rsidRPr="00F10C17">
        <w:rPr>
          <w:rFonts w:eastAsiaTheme="minorEastAsia"/>
        </w:rPr>
        <w:t xml:space="preserve"> concentrations. NH</w:t>
      </w:r>
      <w:r w:rsidRPr="006843ED">
        <w:rPr>
          <w:rFonts w:eastAsiaTheme="minorEastAsia"/>
          <w:vertAlign w:val="subscript"/>
        </w:rPr>
        <w:t>x</w:t>
      </w:r>
      <w:r w:rsidRPr="00F10C17">
        <w:rPr>
          <w:rFonts w:eastAsiaTheme="minorEastAsia"/>
        </w:rPr>
        <w:t xml:space="preserve"> species are important as they interact with H and OH radicals </w:t>
      </w:r>
      <w:r w:rsidR="006843ED" w:rsidRPr="00F10C17">
        <w:rPr>
          <w:rFonts w:eastAsiaTheme="minorEastAsia"/>
        </w:rPr>
        <w:t>and</w:t>
      </w:r>
      <w:r w:rsidRPr="00F10C17">
        <w:rPr>
          <w:rFonts w:eastAsiaTheme="minorEastAsia"/>
        </w:rPr>
        <w:t xml:space="preserve"> produce these radicals. (R4) is an example of NH</w:t>
      </w:r>
      <w:r w:rsidRPr="006843ED">
        <w:rPr>
          <w:rFonts w:eastAsiaTheme="minorEastAsia"/>
          <w:vertAlign w:val="subscript"/>
        </w:rPr>
        <w:t>x</w:t>
      </w:r>
      <w:r w:rsidRPr="00F10C17">
        <w:rPr>
          <w:rFonts w:eastAsiaTheme="minorEastAsia"/>
        </w:rPr>
        <w:t xml:space="preserve"> species' involved in the production of an H radical. The other product of (R4), N</w:t>
      </w:r>
      <w:r w:rsidRPr="006843ED">
        <w:rPr>
          <w:rFonts w:eastAsiaTheme="minorEastAsia"/>
          <w:vertAlign w:val="subscript"/>
        </w:rPr>
        <w:t>2</w:t>
      </w:r>
      <w:r w:rsidRPr="00F10C17">
        <w:rPr>
          <w:rFonts w:eastAsiaTheme="minorEastAsia"/>
        </w:rPr>
        <w:t>H</w:t>
      </w:r>
      <w:r w:rsidRPr="006843ED">
        <w:rPr>
          <w:rFonts w:eastAsiaTheme="minorEastAsia"/>
          <w:vertAlign w:val="subscript"/>
        </w:rPr>
        <w:t>2</w:t>
      </w:r>
      <w:r w:rsidRPr="00F10C17">
        <w:rPr>
          <w:rFonts w:eastAsiaTheme="minorEastAsia"/>
        </w:rPr>
        <w:t xml:space="preserve">, is part of the pathway to form NNH which also produces H radicals via (R3). Moreover, reaction (R4)'s significant positive effect on the flame's burning velocity further </w:t>
      </w:r>
      <w:r w:rsidR="006843ED">
        <w:rPr>
          <w:rFonts w:eastAsiaTheme="minorEastAsia"/>
        </w:rPr>
        <w:t>supports the theory</w:t>
      </w:r>
      <w:r w:rsidRPr="00F10C17">
        <w:rPr>
          <w:rFonts w:eastAsiaTheme="minorEastAsia"/>
        </w:rPr>
        <w:t xml:space="preserve"> </w:t>
      </w:r>
      <w:r w:rsidR="006843ED">
        <w:rPr>
          <w:rFonts w:eastAsiaTheme="minorEastAsia"/>
        </w:rPr>
        <w:t>that</w:t>
      </w:r>
      <w:r w:rsidRPr="00F10C17">
        <w:rPr>
          <w:rFonts w:eastAsiaTheme="minorEastAsia"/>
        </w:rPr>
        <w:t xml:space="preserve"> N</w:t>
      </w:r>
      <w:r w:rsidRPr="006843ED">
        <w:rPr>
          <w:rFonts w:eastAsiaTheme="minorEastAsia"/>
          <w:vertAlign w:val="subscript"/>
        </w:rPr>
        <w:t>2</w:t>
      </w:r>
      <w:r w:rsidRPr="00F10C17">
        <w:rPr>
          <w:rFonts w:eastAsiaTheme="minorEastAsia"/>
        </w:rPr>
        <w:t>H</w:t>
      </w:r>
      <w:r w:rsidRPr="006843ED">
        <w:rPr>
          <w:rFonts w:eastAsiaTheme="minorEastAsia"/>
          <w:vertAlign w:val="subscript"/>
        </w:rPr>
        <w:t>x</w:t>
      </w:r>
      <w:r w:rsidRPr="00F10C17">
        <w:rPr>
          <w:rFonts w:eastAsiaTheme="minorEastAsia"/>
        </w:rPr>
        <w:t xml:space="preserve"> species and their reaction pathways </w:t>
      </w:r>
      <w:r w:rsidR="006843ED">
        <w:rPr>
          <w:rFonts w:eastAsiaTheme="minorEastAsia"/>
        </w:rPr>
        <w:t>are important to accurately describe flame with</w:t>
      </w:r>
      <w:r w:rsidRPr="00F10C17">
        <w:rPr>
          <w:rFonts w:eastAsiaTheme="minorEastAsia"/>
        </w:rPr>
        <w:t xml:space="preserve"> fuel </w:t>
      </w:r>
      <w:r w:rsidR="006843ED" w:rsidRPr="00F10C17">
        <w:rPr>
          <w:rFonts w:eastAsiaTheme="minorEastAsia"/>
        </w:rPr>
        <w:t>compositions</w:t>
      </w:r>
      <w:r w:rsidRPr="00F10C17">
        <w:rPr>
          <w:rFonts w:eastAsiaTheme="minorEastAsia"/>
        </w:rPr>
        <w:t xml:space="preserve"> of intermediate hydrogen concentration. Therefore, the Present Mech with a more accurate N</w:t>
      </w:r>
      <w:r w:rsidRPr="006B559B">
        <w:rPr>
          <w:rFonts w:eastAsiaTheme="minorEastAsia"/>
          <w:vertAlign w:val="subscript"/>
        </w:rPr>
        <w:t>2</w:t>
      </w:r>
      <w:r w:rsidRPr="00F10C17">
        <w:rPr>
          <w:rFonts w:eastAsiaTheme="minorEastAsia"/>
        </w:rPr>
        <w:t>H</w:t>
      </w:r>
      <w:r w:rsidRPr="006B559B">
        <w:rPr>
          <w:rFonts w:eastAsiaTheme="minorEastAsia"/>
          <w:vertAlign w:val="subscript"/>
        </w:rPr>
        <w:t>x</w:t>
      </w:r>
      <w:r w:rsidRPr="00F10C17">
        <w:rPr>
          <w:rFonts w:eastAsiaTheme="minorEastAsia"/>
        </w:rPr>
        <w:t xml:space="preserve"> chemistry </w:t>
      </w:r>
      <w:r w:rsidR="006843ED" w:rsidRPr="00F10C17">
        <w:rPr>
          <w:rFonts w:eastAsiaTheme="minorEastAsia"/>
        </w:rPr>
        <w:t>can</w:t>
      </w:r>
      <w:r w:rsidRPr="00F10C17">
        <w:rPr>
          <w:rFonts w:eastAsiaTheme="minorEastAsia"/>
        </w:rPr>
        <w:t xml:space="preserve"> predict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under these conditions accurately</w:t>
      </w:r>
      <w:r w:rsidR="006843ED">
        <w:rPr>
          <w:rFonts w:eastAsiaTheme="minorEastAsia"/>
        </w:rPr>
        <w:t>.</w:t>
      </w:r>
    </w:p>
    <w:p w14:paraId="4985A622" w14:textId="77777777" w:rsidR="00F10C17" w:rsidRPr="008120CD" w:rsidRDefault="00F10C17" w:rsidP="00F10C17">
      <w:pPr>
        <w:pStyle w:val="Maintext"/>
        <w:spacing w:line="0" w:lineRule="atLeast"/>
        <w:ind w:firstLine="360"/>
        <w:rPr>
          <w:rFonts w:eastAsiaTheme="minorEastAsia"/>
        </w:rPr>
      </w:pPr>
    </w:p>
    <w:p w14:paraId="1FBF2B07" w14:textId="599B9836" w:rsidR="00FB78DF" w:rsidRPr="008120CD" w:rsidRDefault="00F10C17" w:rsidP="00F10C17">
      <w:pPr>
        <w:pStyle w:val="section"/>
      </w:pPr>
      <w:r>
        <w:t>Validation</w:t>
      </w:r>
    </w:p>
    <w:p w14:paraId="7FEA4F4B" w14:textId="179C3375" w:rsidR="00F10C17" w:rsidRDefault="00F10C17" w:rsidP="00F10C17">
      <w:pPr>
        <w:pStyle w:val="Maintext"/>
      </w:pPr>
      <w:r w:rsidRPr="00F10C17">
        <w:t xml:space="preserve">The Present Mech was validated with experimental data for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of NH</w:t>
      </w:r>
      <w:r w:rsidRPr="006B559B">
        <w:rPr>
          <w:vertAlign w:val="subscript"/>
        </w:rPr>
        <w:t>3</w:t>
      </w:r>
      <w:r w:rsidRPr="00F10C17">
        <w:t>/H</w:t>
      </w:r>
      <w:r w:rsidRPr="006B559B">
        <w:rPr>
          <w:vertAlign w:val="subscript"/>
        </w:rPr>
        <w:t>2</w:t>
      </w:r>
      <w:r w:rsidRPr="00F10C17">
        <w:t xml:space="preserve">/air from the datasets consolidated by Han et al. </w:t>
      </w:r>
      <w:r w:rsidR="00F1372F">
        <w:fldChar w:fldCharType="begin"/>
      </w:r>
      <w:r w:rsidR="00F1372F">
        <w:instrText xml:space="preserve"> ADDIN ZOTERO_ITEM CSL_CITATION {"citationID":"g6iCrZkh","properties":{"unsorted":false,"formattedCitation":"[10]","plainCitation":"[10]","noteIndex":0},"citationItems":[{"id":720,"uris":["http://zotero.org/users/20740871/items/FXITQJ6I"],"itemData":{"id":720,"type":"article-journal","abstract":"Ammonia (NH3) is a promising carbon-free fuel, where the H2 enrichment strategy often adopted to enhance the combustion. One of the fundamental combustion properties, the laminar burning velocity (SL), has been extensively investigated in the literature. Many measurements providing laminar burning velocity data are available, but exhibited significant data scatter, i.e., inconsistency much beyond the reported uncertainties among different experimental results under the same conditions. Ensuring data consistency is crucial for reliable model validation and the development of predictive kinetic models with low uncertainty. The present study focuses on the data consistency of NH3+H2 laminar burning velocities. To complement the existing literature datasets for consistency analysis, experiments were performed using the heat flux method at 298 K and 1 atm, and at various equivalence ratios, oxygen ratios, and H2 blending ratios (xH2). Based on simulations of six widely-used kinetic models from Han, Stagni, Konnov, Shrestha, KAUST, and NUIG, linear relationship was found between lnSL and xH2 across a broad range of conditions, with sensitivity analysis understanding the trend from a kinetic perspective. Based on this linear relationship, a new data consistency criterion was proposed. Through the new and the previously existing criteria, 12 consistent experimental datasets were identified from the 20 available datasets of NH3+H2+N2+O2 laminar burning velocities (already excluding those without stretch or heat loss corrections). The present consistency analysis noticeably reduced the data scatter ranges, e.g., for 60%NH3+40%H2+air laminar burning velocities at 298 K and 1 atm, it was reduced from 9 cm/s to 3 cm/s, the latter being comparable to the reported experimental uncertainties. In addition to the found consistent data sets, which were suggested for future model validation and optimization studies, the present methodology using all available data consistency criteria has potential to help other fuel systems to filter out less reliable data sets, effectively overcoming the data scatter from different measurements.","citation-key":"hannovel2026","container-title":"Combustion and Flame","DOI":"10.1016/j.combustflame.2026.114855","ISSN":"0010-2180","journalAbbreviation":"Combustion and Flame","page":"114855","source":"ScienceDirect","title":"A novel data consistency analysis for experimental laminar burning velocities of NH3-H2 mixtures","volume":"286","author":[{"family":"Han","given":"Xinlu"},{"family":"Wan","given":"Kaidi"},{"family":"Nagy","given":"Tibor"}],"issued":{"date-parts":[["2026",4,1]]}}}],"schema":"https://github.com/citation-style-language/schema/raw/master/csl-citation.json"} </w:instrText>
      </w:r>
      <w:r w:rsidR="00F1372F">
        <w:fldChar w:fldCharType="separate"/>
      </w:r>
      <w:r w:rsidR="00F1372F" w:rsidRPr="00F1372F">
        <w:t>[10]</w:t>
      </w:r>
      <w:r w:rsidR="00F1372F">
        <w:fldChar w:fldCharType="end"/>
      </w:r>
      <w:r w:rsidRPr="00F10C17">
        <w:t>. These data sets were proven to be consistent with each other and widely used chemical kinetic mechanisms. Present Mech was validated for NH</w:t>
      </w:r>
      <w:r w:rsidRPr="00F1372F">
        <w:rPr>
          <w:vertAlign w:val="subscript"/>
        </w:rPr>
        <w:t>3</w:t>
      </w:r>
      <w:r w:rsidRPr="00F10C17">
        <w:t>/CH</w:t>
      </w:r>
      <w:r w:rsidRPr="00F1372F">
        <w:rPr>
          <w:vertAlign w:val="subscript"/>
        </w:rPr>
        <w:t>4</w:t>
      </w:r>
      <w:r w:rsidRPr="00F10C17">
        <w:t xml:space="preserve">/air flames also. Experimental data for </w:t>
      </w:r>
      <w:r w:rsidR="00F1372F" w:rsidRPr="00F10C17">
        <w:t>NH</w:t>
      </w:r>
      <w:r w:rsidR="00F1372F" w:rsidRPr="00F1372F">
        <w:rPr>
          <w:vertAlign w:val="subscript"/>
        </w:rPr>
        <w:t>3</w:t>
      </w:r>
      <w:r w:rsidR="00F1372F" w:rsidRPr="00F10C17">
        <w:t>/CH</w:t>
      </w:r>
      <w:r w:rsidR="00F1372F" w:rsidRPr="00F1372F">
        <w:rPr>
          <w:vertAlign w:val="subscript"/>
        </w:rPr>
        <w:t>4</w:t>
      </w:r>
      <w:r w:rsidR="00F1372F" w:rsidRPr="00F10C17">
        <w:t xml:space="preserve">/air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was compiled from</w:t>
      </w:r>
      <w:r w:rsidR="004A3A01">
        <w:t xml:space="preserve"> </w:t>
      </w:r>
      <w:r w:rsidRPr="00F10C17">
        <w:t xml:space="preserve">three datasets: Okafor et al. (2019) </w:t>
      </w:r>
      <w:r w:rsidR="00F1372F">
        <w:fldChar w:fldCharType="begin"/>
      </w:r>
      <w:r w:rsidR="00F1372F">
        <w:instrText xml:space="preserve"> ADDIN ZOTERO_ITEM CSL_CITATION {"citationID":"idJpMGCp","properties":{"unsorted":false,"formattedCitation":"[1]","plainCitation":"[1]","noteIndex":0},"citationItems":[{"id":196,"uris":["http://zotero.org/users/20740871/items/GI6AGGV5"],"itemData":{"id":196,"type":"article-journal","abstract":"Ammonia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F1372F">
        <w:fldChar w:fldCharType="separate"/>
      </w:r>
      <w:r w:rsidR="00F1372F" w:rsidRPr="00F1372F">
        <w:t>[1]</w:t>
      </w:r>
      <w:r w:rsidR="00F1372F">
        <w:fldChar w:fldCharType="end"/>
      </w:r>
      <w:r w:rsidRPr="00F10C17">
        <w:t xml:space="preserve">, Han et al. (2019) </w:t>
      </w:r>
      <w:r w:rsidR="00F1372F">
        <w:fldChar w:fldCharType="begin"/>
      </w:r>
      <w:r w:rsidR="00F1372F">
        <w:instrText xml:space="preserve"> ADDIN ZOTERO_ITEM CSL_CITATION {"citationID":"hRHllHiM","properties":{"unsorted":false,"formattedCitation":"[11]","plainCitation":"[11]","noteIndex":0},"citationItems":[{"id":251,"uris":["http://zotero.org/users/20740871/items/F9C8WH9E"],"itemData":{"id":251,"type":"article-journal","abstract":"Ammonia (NH3) is a promising energy carrier to store and transport renewable hydrogen (H2) that can be generated using, e.g., wind and solar energy. Direct combustion of NH3 is one of the possible methods to utilize the energy by the end users. To understand the combustion characteristics of NH3 as a fuel, the laminar burning velocities of NH3/air, NH3/H2/air, NH3/CO/air and NH3/CH4/air premixed flames were investigated experimentally using the heat flux method. Measurements are reported for a wide range of equivalence ratios and blending ratios. Kinetic modeling was also performed using available chemical kinetic mechanisms, namely the GRI-Mech 3.0, the Okafor et al. and the San Diego mechanisms. The experimental results for NH3/air flames agree well with the literature data and it is found that blending NH3 with H2 is the most effective manner to increase the burning velocity of NH3 based fuel mixtures. None of the kinetic mechanisms used can accurately predict most of the measured data. Sensitivity and reaction path analyses indicate that the oxidation of NH3 blended with the additive fuels considered can be understood as the parallel oxidation processes of the individual fuels, and that the source of discrepancy between the experimental and modeling results is related to the inaccuracy of the rate parameters of the N-containing reactions. In this regard, the present detailed and reliable experimental data is of special value for model development and validation.","citation-key":"hanExperimentalKineticModeling2019","container-title":"Combustion and Flame","DOI":"10.1016/j.combustflame.2019.05.003","ISSN":"0010-2180","journalAbbreviation":"Combustion and Flame","page":"214-226","source":"ScienceDirect","title":"Experimental and kinetic modeling study of laminar burning velocities of NH3/air, NH3/H2/air, NH3/CO/air and NH3/CH4/air premixed flames","volume":"206","author":[{"family":"Han","given":"Xinlu"},{"family":"Wang","given":"Zhihua"},{"family":"Costa","given":"Mário"},{"family":"Sun","given":"Zhiwei"},{"family":"He","given":"Yong"},{"family":"Cen","given":"Kefa"}],"issued":{"date-parts":[["2019",8,1]]}}}],"schema":"https://github.com/citation-style-language/schema/raw/master/csl-citation.json"} </w:instrText>
      </w:r>
      <w:r w:rsidR="00F1372F">
        <w:fldChar w:fldCharType="separate"/>
      </w:r>
      <w:r w:rsidR="00F1372F" w:rsidRPr="00F1372F">
        <w:t>[11]</w:t>
      </w:r>
      <w:r w:rsidR="00F1372F">
        <w:fldChar w:fldCharType="end"/>
      </w:r>
      <w:r w:rsidRPr="00F10C17">
        <w:t xml:space="preserve"> and Ling et al</w:t>
      </w:r>
      <w:r w:rsidR="00F1372F">
        <w:t>.</w:t>
      </w:r>
      <w:r w:rsidRPr="00F10C17">
        <w:t xml:space="preserve"> (2026) </w:t>
      </w:r>
      <w:r w:rsidR="00F1372F">
        <w:fldChar w:fldCharType="begin"/>
      </w:r>
      <w:r w:rsidR="00F1372F">
        <w:instrText xml:space="preserve"> ADDIN ZOTERO_ITEM CSL_CITATION {"citationID":"5apekVSt","properties":{"unsorted":false,"formattedCitation":"[12]","plainCitation":"[12]","noteIndex":0},"citationItems":[{"id":742,"uris":["http://zotero.org/users/20740871/items/77FZMWLF"],"itemData":{"id":742,"type":"article-journal","abstract":"Blending the carbon-free alternative fuel, NH3, into natural gas flames has potential to reduce the carbon emissions. The understanding of fundamental combustion properties is essential for in applications. In this study, the laminar burning velocity (SL) of the pre-dissociated ammonia + methane flame was measured by the heat flux method, under equivalent ratio ϕ = 0.6-1.5, oxygen concentration xO2 = 0.21-0.3 and ammonia dissociating ratio γ = 0-1, at 298 K and 1 atm. Most of the conditions have not been reported before in literature. Simulations were caried out using four models, where Han model shows the best agreement with the present experimental data. Reaction sensitivity analysis confirms a recent finding (DOI: 10.1016/j.proci.2024.105653) oxygen concentration and unburned mixture temperature Tu have the same effect on the SL of pre-dissociated NH3 + CH4 flame. Therefore, experimental data measured at 298 K under various oxygen conditions can be used to validate the kinetic model at elevated unburned temperatures, without requiring direct high-temperature measurements. Results show that SL increases linearly with oxygen content. and higher γ significantly amplify the promoting effect of NH3, particularly under lean and rich conditions. At Tu = 598 K, α slightly decreases with the increase of γ in lean conditions, while Ea shows non-monotonic variation. Radical analysis reveals that NH and NNH compete to consume H and OH at low γ, whereas enhanced dissociating continuously replenishes H radicals, weakening nitrogen hydrogen competition. At ϕ = 1, α remains nearly constant and Ea stabilizes when γ &gt; 0.4. Under rich conditions, both α and Ea show significant non-monotonic behavior due to γ redistributes flux between carbon chain and nitrogen radical pathways. Oxygen limitation reduces the sensitivity of H and OH, while CH3 decreases and NH, NNH increase. Nitrogen conversion follows: NH3→NH2→NH→N2O→N2, shifting from oxidation dominated NO formation under lean conditions to NCO mediated reduction mechanism under stoichiometric and rich conditions. With increasing γ, nitrogen transformation progressively favors the reduction pathway.","citation-key":"lingExperimental2026","container-title":"Journal of the Energy Institute","DOI":"10.1016/j.joei.2026.102503","ISSN":"1743-9671","journalAbbreviation":"Journal of the Energy Institute","page":"102503","source":"ScienceDirect","title":"Experimental and kinetic modeling study of the laminar burning velocity of pre-dissociated NH3 + CH4 flames","volume":"126","author":[{"family":"Ling","given":"Zhongqian"},{"family":"Lin","given":"Jiayi"},{"family":"Li","given":"Jiamin"},{"family":"Han","given":"Xinlu"},{"family":"Liu","given":"Maosheng"},{"family":"Yuan","given":"Dingkun"},{"family":"Wang","given":"Zhihua"}],"issued":{"date-parts":[["2026",6,1]]}}}],"schema":"https://github.com/citation-style-language/schema/raw/master/csl-citation.json"} </w:instrText>
      </w:r>
      <w:r w:rsidR="00F1372F">
        <w:fldChar w:fldCharType="separate"/>
      </w:r>
      <w:r w:rsidR="00F1372F" w:rsidRPr="00F1372F">
        <w:t>[12]</w:t>
      </w:r>
      <w:r w:rsidR="00F1372F">
        <w:fldChar w:fldCharType="end"/>
      </w:r>
      <w:r w:rsidRPr="00F10C17">
        <w:t xml:space="preserve">. However, experimental datasets, for </w:t>
      </w:r>
      <w:r w:rsidRPr="00F10C17">
        <w:lastRenderedPageBreak/>
        <w:t xml:space="preserve">both fuel blends, lacked ample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measurements at elevated pressures, making validation of Present Mech for high pressure combustion difficult.</w:t>
      </w:r>
    </w:p>
    <w:p w14:paraId="7E355FF6" w14:textId="3FE6ACF0" w:rsidR="00F10C17" w:rsidRPr="00F10C17" w:rsidRDefault="00F10C17" w:rsidP="00F10C17">
      <w:pPr>
        <w:pStyle w:val="Maintext"/>
      </w:pPr>
      <w:r w:rsidRPr="00F10C17">
        <w:t>The results displayed accurate modelling of NH</w:t>
      </w:r>
      <w:r w:rsidRPr="00F1372F">
        <w:rPr>
          <w:vertAlign w:val="subscript"/>
        </w:rPr>
        <w:t>3</w:t>
      </w:r>
      <w:r w:rsidRPr="00F10C17">
        <w:t>/H</w:t>
      </w:r>
      <w:r w:rsidRPr="00F1372F">
        <w:rPr>
          <w:vertAlign w:val="subscript"/>
        </w:rPr>
        <w:t>2</w:t>
      </w:r>
      <w:r w:rsidRPr="00F10C17">
        <w:t xml:space="preserve">/air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at all the equivalence ratios tested for all hydrogen </w:t>
      </w:r>
      <w:r w:rsidR="00F1372F" w:rsidRPr="00F10C17">
        <w:t>concentration</w:t>
      </w:r>
      <w:r w:rsidR="00F1372F">
        <w:t xml:space="preserve">s at </w:t>
      </w:r>
      <w:r w:rsidRPr="00F10C17">
        <w:t>atmospheric pressure. At 3 atm of pressure, intermediate H2 concentration (</w:t>
      </w:r>
      <m:oMath>
        <m:sSub>
          <m:sSubPr>
            <m:ctrlPr>
              <w:rPr>
                <w:rFonts w:ascii="Cambria Math" w:hAnsi="Cambria Math"/>
                <w:i/>
              </w:rPr>
            </m:ctrlPr>
          </m:sSubPr>
          <m:e>
            <m:r>
              <w:rPr>
                <w:rFonts w:ascii="Cambria Math" w:hAnsi="Cambria Math"/>
              </w:rPr>
              <m:t>X</m:t>
            </m:r>
          </m:e>
          <m:sub>
            <m:r>
              <w:rPr>
                <w:rFonts w:ascii="Cambria Math" w:hAnsi="Cambria Math"/>
              </w:rPr>
              <m:t>H2</m:t>
            </m:r>
          </m:sub>
        </m:sSub>
        <m:r>
          <w:rPr>
            <w:rFonts w:ascii="Cambria Math" w:hAnsi="Cambria Math"/>
          </w:rPr>
          <m:t>=0.4, 0.6</m:t>
        </m:r>
      </m:oMath>
      <w:r w:rsidRPr="00F10C17">
        <w:t xml:space="preserve">) were validated while, at 5 atm of pressure, only </w:t>
      </w:r>
      <m:oMath>
        <m:sSub>
          <m:sSubPr>
            <m:ctrlPr>
              <w:rPr>
                <w:rFonts w:ascii="Cambria Math" w:hAnsi="Cambria Math"/>
                <w:i/>
              </w:rPr>
            </m:ctrlPr>
          </m:sSubPr>
          <m:e>
            <m:r>
              <w:rPr>
                <w:rFonts w:ascii="Cambria Math" w:hAnsi="Cambria Math"/>
              </w:rPr>
              <m:t>X</m:t>
            </m:r>
          </m:e>
          <m:sub>
            <m:r>
              <w:rPr>
                <w:rFonts w:ascii="Cambria Math" w:hAnsi="Cambria Math"/>
              </w:rPr>
              <m:t>H2</m:t>
            </m:r>
          </m:sub>
        </m:sSub>
        <m:r>
          <w:rPr>
            <w:rFonts w:ascii="Cambria Math" w:hAnsi="Cambria Math"/>
          </w:rPr>
          <m:t>=0.4</m:t>
        </m:r>
      </m:oMath>
      <w:r w:rsidRPr="00F10C17">
        <w:t xml:space="preserve"> could be validated. This suggests that Present Mech is now capable of modelling flame speed of hydrogen enriched ammonia combustion. When comparing NH</w:t>
      </w:r>
      <w:r w:rsidRPr="00B90091">
        <w:rPr>
          <w:vertAlign w:val="subscript"/>
        </w:rPr>
        <w:t>3</w:t>
      </w:r>
      <w:r w:rsidRPr="00F10C17">
        <w:t>/CH</w:t>
      </w:r>
      <w:r w:rsidRPr="00B90091">
        <w:rPr>
          <w:vertAlign w:val="subscript"/>
        </w:rPr>
        <w:t>4</w:t>
      </w:r>
      <w:r w:rsidRPr="00F10C17">
        <w:t xml:space="preserve">/air predictions to measured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F10C17">
        <w:t xml:space="preserve">, the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predictions are satisfactory. The model </w:t>
      </w:r>
      <w:r w:rsidR="00B90091" w:rsidRPr="00F10C17">
        <w:t>can</w:t>
      </w:r>
      <w:r w:rsidRPr="00F10C17">
        <w:t xml:space="preserve"> match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predictions to Okafor et al. (2019) </w:t>
      </w:r>
      <w:r w:rsidR="00B90091">
        <w:fldChar w:fldCharType="begin"/>
      </w:r>
      <w:r w:rsidR="00B90091">
        <w:instrText xml:space="preserve"> ADDIN ZOTERO_ITEM CSL_CITATION {"citationID":"RaXOGHsk","properties":{"unsorted":false,"formattedCitation":"[1]","plainCitation":"[1]","noteIndex":0},"citationItems":[{"id":196,"uris":["http://zotero.org/users/20740871/items/GI6AGGV5"],"itemData":{"id":196,"type":"article-journal","abstract":"Ammonia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B90091">
        <w:fldChar w:fldCharType="separate"/>
      </w:r>
      <w:r w:rsidR="00B90091" w:rsidRPr="00B90091">
        <w:t>[1]</w:t>
      </w:r>
      <w:r w:rsidR="00B90091">
        <w:fldChar w:fldCharType="end"/>
      </w:r>
      <w:r w:rsidRPr="00F10C17">
        <w:t xml:space="preserve"> for all the its data points across elevated pressures, increasing </w:t>
      </w:r>
      <m:oMath>
        <m:sSub>
          <m:sSubPr>
            <m:ctrlPr>
              <w:rPr>
                <w:rFonts w:ascii="Cambria Math" w:hAnsi="Cambria Math"/>
                <w:i/>
              </w:rPr>
            </m:ctrlPr>
          </m:sSubPr>
          <m:e>
            <m:r>
              <w:rPr>
                <w:rFonts w:ascii="Cambria Math" w:hAnsi="Cambria Math"/>
              </w:rPr>
              <m:t>X</m:t>
            </m:r>
          </m:e>
          <m:sub>
            <m:r>
              <w:rPr>
                <w:rFonts w:ascii="Cambria Math" w:hAnsi="Cambria Math"/>
              </w:rPr>
              <m:t>CH4</m:t>
            </m:r>
          </m:sub>
        </m:sSub>
      </m:oMath>
      <w:r w:rsidRPr="00F10C17">
        <w:t xml:space="preserve"> and different equivalence ratios. This implies that the underlying Okafor Reduced Mech optimizations for NH</w:t>
      </w:r>
      <w:r w:rsidRPr="00B90091">
        <w:rPr>
          <w:vertAlign w:val="subscript"/>
        </w:rPr>
        <w:t>3</w:t>
      </w:r>
      <w:r w:rsidRPr="00F10C17">
        <w:t>/CH</w:t>
      </w:r>
      <w:r w:rsidRPr="00B90091">
        <w:rPr>
          <w:vertAlign w:val="subscript"/>
        </w:rPr>
        <w:t>4</w:t>
      </w:r>
      <w:r w:rsidRPr="00F10C17">
        <w:t>/air flame chemistry in Present Mech is unaffected.</w:t>
      </w:r>
    </w:p>
    <w:p w14:paraId="7C64D9DC" w14:textId="3A56A1DF" w:rsidR="006D49E7" w:rsidRPr="00F10C17" w:rsidRDefault="006D49E7" w:rsidP="00F10C17">
      <w:pPr>
        <w:pStyle w:val="Maintext"/>
        <w:rPr>
          <w:rFonts w:eastAsia="ＭＳ 明朝"/>
        </w:rPr>
      </w:pPr>
    </w:p>
    <w:p w14:paraId="061F0DF4" w14:textId="036AAF5B" w:rsidR="006D49E7" w:rsidRPr="008120CD" w:rsidRDefault="006D49E7" w:rsidP="00F851F9">
      <w:pPr>
        <w:pStyle w:val="ReferencesAcknowledgements"/>
        <w:spacing w:beforeLines="0" w:before="0" w:line="0" w:lineRule="atLeast"/>
        <w:rPr>
          <w:rFonts w:eastAsia="ＭＳ 明朝"/>
        </w:rPr>
      </w:pPr>
      <w:r w:rsidRPr="008120CD">
        <w:rPr>
          <w:rFonts w:eastAsia="ＭＳ 明朝"/>
        </w:rPr>
        <w:t>References</w:t>
      </w:r>
    </w:p>
    <w:p w14:paraId="481A08E9" w14:textId="5ED0F42C" w:rsidR="00C43F8D" w:rsidRDefault="00C43F8D" w:rsidP="00C43F8D">
      <w:pPr>
        <w:pStyle w:val="Reference"/>
      </w:pPr>
      <w:r>
        <w:t xml:space="preserve">E. C. Okafor, Y. Naito, S. Colson, A. Ichikawa, T. Kudo, A. Hayakawa, and H. Kobayashi, </w:t>
      </w:r>
      <w:r>
        <w:rPr>
          <w:i/>
          <w:iCs/>
        </w:rPr>
        <w:t>Combustion and Flame</w:t>
      </w:r>
      <w:r>
        <w:t>, 204, (2019), 162–175</w:t>
      </w:r>
      <w:r>
        <w:t>.</w:t>
      </w:r>
    </w:p>
    <w:p w14:paraId="29D49C27" w14:textId="09627D7B" w:rsidR="00C43F8D" w:rsidRDefault="00C43F8D" w:rsidP="00C43F8D">
      <w:pPr>
        <w:pStyle w:val="Reference"/>
      </w:pPr>
      <w:r>
        <w:t xml:space="preserve">E. C. Okafor, Y. Naito, S. Colson, A. Ichikawa, T. Kudo, A. Hayakawa, and H. Kobayashi, </w:t>
      </w:r>
      <w:r>
        <w:rPr>
          <w:i/>
          <w:iCs/>
        </w:rPr>
        <w:t>Combustion and Flame</w:t>
      </w:r>
      <w:r>
        <w:t>, 187, (2018), 185–198</w:t>
      </w:r>
      <w:r>
        <w:t>.</w:t>
      </w:r>
    </w:p>
    <w:p w14:paraId="5C773EE9" w14:textId="59774605" w:rsidR="00C43F8D" w:rsidRDefault="00C43F8D" w:rsidP="00C43F8D">
      <w:pPr>
        <w:pStyle w:val="Reference"/>
      </w:pPr>
      <w:r>
        <w:t xml:space="preserve">B. Mei, X. Zhang, S. Ma, M. Cui, H. Guo, Z. Cao, and Y. Li, </w:t>
      </w:r>
      <w:r>
        <w:rPr>
          <w:i/>
          <w:iCs/>
        </w:rPr>
        <w:t>Combustion and Flame</w:t>
      </w:r>
      <w:r>
        <w:t>, 210, (2019), 236–246</w:t>
      </w:r>
      <w:r>
        <w:t>.</w:t>
      </w:r>
    </w:p>
    <w:p w14:paraId="1936A0D1" w14:textId="77777777" w:rsidR="00C43F8D" w:rsidRDefault="00C43F8D" w:rsidP="00C43F8D">
      <w:pPr>
        <w:pStyle w:val="Reference"/>
      </w:pPr>
      <w:r>
        <w:t xml:space="preserve">W. S. Chai, Y. Bao, P. Jin, G. Tang, and L. Zhou, </w:t>
      </w:r>
      <w:r>
        <w:rPr>
          <w:i/>
          <w:iCs/>
        </w:rPr>
        <w:t>Renewable and Sustainable Energy Reviews</w:t>
      </w:r>
      <w:r>
        <w:t>, 147, (2021), 111254.</w:t>
      </w:r>
    </w:p>
    <w:p w14:paraId="5FC44013" w14:textId="77777777" w:rsidR="00C43F8D" w:rsidRDefault="00C43F8D" w:rsidP="00C43F8D">
      <w:pPr>
        <w:pStyle w:val="Reference"/>
      </w:pPr>
      <w:r>
        <w:t xml:space="preserve">R. Li, A. A. Konnov, G. He, F. Qin, and D. </w:t>
      </w:r>
      <w:proofErr w:type="gramStart"/>
      <w:r>
        <w:t>Zhang,</w:t>
      </w:r>
      <w:proofErr w:type="gramEnd"/>
      <w:r>
        <w:t xml:space="preserve"> </w:t>
      </w:r>
      <w:r>
        <w:rPr>
          <w:i/>
          <w:iCs/>
        </w:rPr>
        <w:t>Fuel</w:t>
      </w:r>
      <w:r>
        <w:t>, 257, (2019), 116059.</w:t>
      </w:r>
    </w:p>
    <w:p w14:paraId="06DB040E" w14:textId="77777777" w:rsidR="00C43F8D" w:rsidRDefault="00C43F8D" w:rsidP="00C43F8D">
      <w:pPr>
        <w:pStyle w:val="Reference"/>
      </w:pPr>
      <w:r>
        <w:t xml:space="preserve">G. J. Gotama, A. Hayakawa, E. C. Okafor, R. </w:t>
      </w:r>
      <w:proofErr w:type="spellStart"/>
      <w:r>
        <w:t>Kanoshima</w:t>
      </w:r>
      <w:proofErr w:type="spellEnd"/>
      <w:r>
        <w:t xml:space="preserve">, M. Hayashi, T. Kudo, and H. Kobayashi, </w:t>
      </w:r>
      <w:r>
        <w:rPr>
          <w:i/>
          <w:iCs/>
        </w:rPr>
        <w:t>Combustion and Flame</w:t>
      </w:r>
      <w:r>
        <w:t>, 236, (2022), 111753.</w:t>
      </w:r>
    </w:p>
    <w:p w14:paraId="1B3736D3" w14:textId="77777777" w:rsidR="00C43F8D" w:rsidRDefault="00C43F8D" w:rsidP="00C43F8D">
      <w:pPr>
        <w:pStyle w:val="Reference"/>
      </w:pPr>
      <w:r>
        <w:t xml:space="preserve">X. Han, Z. Wang, Y. He, Y. Zhu, and K. Cen, </w:t>
      </w:r>
      <w:r>
        <w:rPr>
          <w:i/>
          <w:iCs/>
        </w:rPr>
        <w:t>Combustion and Flame</w:t>
      </w:r>
      <w:r>
        <w:t>, 213, (2020), 1–13.</w:t>
      </w:r>
    </w:p>
    <w:p w14:paraId="303EF6CC" w14:textId="77777777" w:rsidR="00C43F8D" w:rsidRDefault="00C43F8D" w:rsidP="00C43F8D">
      <w:pPr>
        <w:pStyle w:val="Reference"/>
      </w:pPr>
      <w:r>
        <w:t xml:space="preserve">H. Nakamura, S. Hasegawa, and T. Tezuka, </w:t>
      </w:r>
      <w:r>
        <w:rPr>
          <w:i/>
          <w:iCs/>
        </w:rPr>
        <w:t>Combustion and Flame</w:t>
      </w:r>
      <w:r>
        <w:t>, 185, (2017), 16–27.</w:t>
      </w:r>
    </w:p>
    <w:p w14:paraId="7A8EC826" w14:textId="77777777" w:rsidR="00C43F8D" w:rsidRDefault="00C43F8D" w:rsidP="00C43F8D">
      <w:pPr>
        <w:pStyle w:val="Reference"/>
      </w:pPr>
      <w:r>
        <w:t xml:space="preserve">J. A. Miller and C. T. Bowman, </w:t>
      </w:r>
      <w:r>
        <w:rPr>
          <w:i/>
          <w:iCs/>
        </w:rPr>
        <w:t>Progress in Energy and Combustion Science</w:t>
      </w:r>
      <w:r>
        <w:t>, 15, (1989), 287–338.</w:t>
      </w:r>
    </w:p>
    <w:p w14:paraId="52A1440D" w14:textId="77777777" w:rsidR="00C43F8D" w:rsidRDefault="00C43F8D" w:rsidP="00C43F8D">
      <w:pPr>
        <w:pStyle w:val="Reference"/>
      </w:pPr>
      <w:r>
        <w:t xml:space="preserve">H. Nakamura and S. Hasegawa, </w:t>
      </w:r>
      <w:r>
        <w:rPr>
          <w:i/>
          <w:iCs/>
        </w:rPr>
        <w:t>Proceedings of the Combustion Institute</w:t>
      </w:r>
      <w:r>
        <w:t>, 36, (2017), 4217–4226.</w:t>
      </w:r>
    </w:p>
    <w:p w14:paraId="0FBC9672" w14:textId="77777777" w:rsidR="00C43F8D" w:rsidRDefault="00C43F8D" w:rsidP="00C43F8D">
      <w:pPr>
        <w:pStyle w:val="Reference"/>
      </w:pPr>
      <w:r>
        <w:t xml:space="preserve">J. Otomo, M. Koshi, T. </w:t>
      </w:r>
      <w:proofErr w:type="spellStart"/>
      <w:r>
        <w:t>Mitsumori</w:t>
      </w:r>
      <w:proofErr w:type="spellEnd"/>
      <w:r>
        <w:t xml:space="preserve">, H. Iwasaki, and K. Yamada, </w:t>
      </w:r>
      <w:r>
        <w:rPr>
          <w:i/>
          <w:iCs/>
        </w:rPr>
        <w:t>International Journal of Hydrogen Energy</w:t>
      </w:r>
      <w:r>
        <w:t>, 43, (2018), 3004–3014.</w:t>
      </w:r>
    </w:p>
    <w:p w14:paraId="50E44038" w14:textId="77777777" w:rsidR="00C43F8D" w:rsidRDefault="00C43F8D" w:rsidP="00C43F8D">
      <w:pPr>
        <w:pStyle w:val="Reference"/>
      </w:pPr>
      <w:r>
        <w:t>Abe, S., Kitagawa, T., and Okafor E. C., Proceedings of the 35th Internal Combustion Engine Symposium [No. 24-51], (2024).</w:t>
      </w:r>
    </w:p>
    <w:p w14:paraId="5F809602" w14:textId="77777777" w:rsidR="00C43F8D" w:rsidRDefault="00C43F8D" w:rsidP="00C43F8D">
      <w:pPr>
        <w:pStyle w:val="Reference"/>
      </w:pPr>
      <w:r>
        <w:t xml:space="preserve">X. Han, K. Wan, and T. Nagy, </w:t>
      </w:r>
      <w:r>
        <w:rPr>
          <w:i/>
          <w:iCs/>
        </w:rPr>
        <w:t>Combustion and Flame</w:t>
      </w:r>
      <w:r>
        <w:t>, 286, (2026), 114855.</w:t>
      </w:r>
    </w:p>
    <w:p w14:paraId="6307B99E" w14:textId="77777777" w:rsidR="00C43F8D" w:rsidRDefault="00C43F8D" w:rsidP="00C43F8D">
      <w:pPr>
        <w:pStyle w:val="Reference"/>
      </w:pPr>
      <w:r>
        <w:t xml:space="preserve">X. Han, Z. Wang, M. Costa, Z. Sun, Y. He, and K. Cen, </w:t>
      </w:r>
      <w:r>
        <w:rPr>
          <w:i/>
          <w:iCs/>
        </w:rPr>
        <w:t>Combustion and Flame</w:t>
      </w:r>
      <w:r>
        <w:t>, 206, (2019), 214–226.</w:t>
      </w:r>
    </w:p>
    <w:p w14:paraId="309DD4C4" w14:textId="6448F965" w:rsidR="00594F4C" w:rsidRPr="00C43F8D" w:rsidRDefault="00C43F8D" w:rsidP="00C43F8D">
      <w:pPr>
        <w:pStyle w:val="Reference"/>
      </w:pPr>
      <w:r>
        <w:t xml:space="preserve">Z. Ling, J. Lin, J. Li, X. Han, M. Liu, D. Yuan, and Z. Wang, </w:t>
      </w:r>
      <w:r>
        <w:rPr>
          <w:i/>
          <w:iCs/>
        </w:rPr>
        <w:t>Journal of the Energy Institute</w:t>
      </w:r>
      <w:r>
        <w:t>, 126, (2026), 102503.</w:t>
      </w:r>
    </w:p>
    <w:sectPr w:rsidR="00594F4C" w:rsidRPr="00C43F8D" w:rsidSect="00F76BC7">
      <w:headerReference w:type="default" r:id="rId11"/>
      <w:footerReference w:type="default" r:id="rId12"/>
      <w:type w:val="continuous"/>
      <w:pgSz w:w="11906" w:h="16838"/>
      <w:pgMar w:top="1418" w:right="1134" w:bottom="1418" w:left="1134" w:header="851" w:footer="964" w:gutter="0"/>
      <w:cols w:num="2" w:space="53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BAC9E" w14:textId="77777777" w:rsidR="00927803" w:rsidRDefault="00927803">
      <w:r>
        <w:separator/>
      </w:r>
    </w:p>
  </w:endnote>
  <w:endnote w:type="continuationSeparator" w:id="0">
    <w:p w14:paraId="54B2AD89" w14:textId="77777777" w:rsidR="00927803" w:rsidRDefault="00927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平成明朝">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4AFA" w14:textId="77777777" w:rsidR="0072389D" w:rsidRPr="00C6254D" w:rsidRDefault="0072389D" w:rsidP="0072389D">
    <w:pPr>
      <w:rPr>
        <w:rFonts w:eastAsia="ＭＳ 明朝"/>
      </w:rPr>
    </w:pPr>
    <w:r w:rsidRPr="00C6254D">
      <w:rPr>
        <w:rFonts w:eastAsia="ＭＳ 明朝"/>
        <w:noProof/>
      </w:rPr>
      <mc:AlternateContent>
        <mc:Choice Requires="wps">
          <w:drawing>
            <wp:anchor distT="0" distB="0" distL="114300" distR="114300" simplePos="0" relativeHeight="251659264" behindDoc="0" locked="0" layoutInCell="1" allowOverlap="1" wp14:anchorId="361DDC07" wp14:editId="328EBBD4">
              <wp:simplePos x="0" y="0"/>
              <wp:positionH relativeFrom="column">
                <wp:posOffset>13335</wp:posOffset>
              </wp:positionH>
              <wp:positionV relativeFrom="paragraph">
                <wp:posOffset>81280</wp:posOffset>
              </wp:positionV>
              <wp:extent cx="2838450" cy="1"/>
              <wp:effectExtent l="0" t="0" r="19050" b="19050"/>
              <wp:wrapNone/>
              <wp:docPr id="7" name="直線コネクタ 7"/>
              <wp:cNvGraphicFramePr/>
              <a:graphic xmlns:a="http://schemas.openxmlformats.org/drawingml/2006/main">
                <a:graphicData uri="http://schemas.microsoft.com/office/word/2010/wordprocessingShape">
                  <wps:wsp>
                    <wps:cNvCnPr/>
                    <wps:spPr>
                      <a:xfrm flipV="1">
                        <a:off x="0" y="0"/>
                        <a:ext cx="2838450" cy="1"/>
                      </a:xfrm>
                      <a:prstGeom prst="line">
                        <a:avLst/>
                      </a:prstGeom>
                      <a:noFill/>
                      <a:ln w="1270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5FD8D1D5" id="直線コネクタ 7"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5pt,6.4pt" to="224.5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" strokecolor="windowText" strokeweight="1pt"/>
          </w:pict>
        </mc:Fallback>
      </mc:AlternateContent>
    </w:r>
  </w:p>
  <w:p w14:paraId="281C3D4D" w14:textId="07DE1C34" w:rsidR="0072389D" w:rsidRPr="00C6254D" w:rsidRDefault="0072389D" w:rsidP="0072389D">
    <w:pPr>
      <w:rPr>
        <w:rFonts w:eastAsia="ＭＳ 明朝"/>
      </w:rPr>
    </w:pPr>
    <w:r w:rsidRPr="00C6254D">
      <w:rPr>
        <w:rFonts w:eastAsia="ＭＳ 明朝" w:hint="eastAsia"/>
      </w:rPr>
      <w:t xml:space="preserve">Corresponding author: </w:t>
    </w:r>
    <w:r w:rsidR="00D66464">
      <w:rPr>
        <w:rFonts w:eastAsia="ＭＳ 明朝"/>
      </w:rPr>
      <w:t>First Name Family Name</w:t>
    </w:r>
  </w:p>
  <w:p w14:paraId="5E687CB3" w14:textId="3C7F146C" w:rsidR="0072389D" w:rsidRPr="00C6254D" w:rsidRDefault="0072389D" w:rsidP="0072389D">
    <w:pPr>
      <w:rPr>
        <w:rFonts w:eastAsia="ＭＳ 明朝"/>
      </w:rPr>
    </w:pPr>
    <w:r w:rsidRPr="00C6254D">
      <w:rPr>
        <w:rFonts w:eastAsia="ＭＳ 明朝" w:hint="eastAsia"/>
        <w:i/>
      </w:rPr>
      <w:t>E-mail address</w:t>
    </w:r>
    <w:r w:rsidRPr="00C6254D">
      <w:rPr>
        <w:rFonts w:eastAsia="ＭＳ 明朝" w:hint="eastAsia"/>
      </w:rPr>
      <w:t xml:space="preserve">: </w:t>
    </w:r>
    <w:r w:rsidR="00891CA0">
      <w:rPr>
        <w:rFonts w:eastAsia="ＭＳ 明朝"/>
      </w:rPr>
      <w:t>corresp</w:t>
    </w:r>
    <w:r w:rsidR="00F6640B">
      <w:rPr>
        <w:rFonts w:eastAsia="ＭＳ 明朝"/>
      </w:rPr>
      <w:t>author</w:t>
    </w:r>
    <w:r w:rsidRPr="00C6254D">
      <w:rPr>
        <w:rFonts w:eastAsia="ＭＳ 明朝" w:hint="eastAsia"/>
      </w:rPr>
      <w:t>@</w:t>
    </w:r>
    <w:r w:rsidR="00F6640B">
      <w:rPr>
        <w:rFonts w:eastAsia="ＭＳ 明朝"/>
      </w:rPr>
      <w:t>ifs</w:t>
    </w:r>
    <w:r w:rsidRPr="00C6254D">
      <w:rPr>
        <w:rFonts w:eastAsia="ＭＳ 明朝" w:hint="eastAsia"/>
      </w:rPr>
      <w:t>.tohoku.ac.jp</w:t>
    </w:r>
  </w:p>
  <w:p w14:paraId="6984D50A" w14:textId="77777777" w:rsidR="0072389D" w:rsidRPr="00F6640B" w:rsidRDefault="0072389D" w:rsidP="00723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6759" w14:textId="77777777" w:rsidR="0072389D" w:rsidRPr="0072389D" w:rsidRDefault="0072389D" w:rsidP="00723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7E44" w14:textId="77777777" w:rsidR="00927803" w:rsidRDefault="00927803">
      <w:r>
        <w:separator/>
      </w:r>
    </w:p>
  </w:footnote>
  <w:footnote w:type="continuationSeparator" w:id="0">
    <w:p w14:paraId="0B6F892B" w14:textId="77777777" w:rsidR="00927803" w:rsidRDefault="00927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2011" w14:textId="77777777" w:rsidR="0072389D" w:rsidRDefault="0072389D">
    <w:pPr>
      <w:pStyle w:val="Header"/>
    </w:pPr>
  </w:p>
  <w:p w14:paraId="3542142D" w14:textId="77777777" w:rsidR="00687D8F" w:rsidRDefault="00687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CF2"/>
    <w:multiLevelType w:val="hybridMultilevel"/>
    <w:tmpl w:val="DD024508"/>
    <w:lvl w:ilvl="0" w:tplc="9C3659F8">
      <w:start w:val="1"/>
      <w:numFmt w:val="lowerLetter"/>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 w15:restartNumberingAfterBreak="0">
    <w:nsid w:val="0E784F37"/>
    <w:multiLevelType w:val="multilevel"/>
    <w:tmpl w:val="7C70576C"/>
    <w:styleLink w:val="2"/>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3857812"/>
    <w:multiLevelType w:val="hybridMultilevel"/>
    <w:tmpl w:val="2DA8E214"/>
    <w:lvl w:ilvl="0" w:tplc="C540CBCC">
      <w:start w:val="1"/>
      <w:numFmt w:val="decimal"/>
      <w:pStyle w:val="Reference"/>
      <w:lvlText w:val="[%1] "/>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86C1718"/>
    <w:multiLevelType w:val="hybridMultilevel"/>
    <w:tmpl w:val="43F46DF6"/>
    <w:lvl w:ilvl="0" w:tplc="3BF0B1EA">
      <w:start w:val="1"/>
      <w:numFmt w:val="decimal"/>
      <w:lvlText w:val="2-%1."/>
      <w:lvlJc w:val="left"/>
      <w:pPr>
        <w:ind w:left="440" w:hanging="440"/>
      </w:pPr>
      <w:rPr>
        <w:rFonts w:hint="eastAsia"/>
      </w:rPr>
    </w:lvl>
    <w:lvl w:ilvl="1" w:tplc="3BF0B1EA">
      <w:start w:val="1"/>
      <w:numFmt w:val="decimal"/>
      <w:lvlText w:val="2-%2."/>
      <w:lvlJc w:val="left"/>
      <w:pPr>
        <w:ind w:left="880" w:hanging="44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DB96881"/>
    <w:multiLevelType w:val="multilevel"/>
    <w:tmpl w:val="182491DE"/>
    <w:styleLink w:val="8"/>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298A441A"/>
    <w:multiLevelType w:val="multilevel"/>
    <w:tmpl w:val="0F74241A"/>
    <w:styleLink w:val="5"/>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30917A7B"/>
    <w:multiLevelType w:val="multilevel"/>
    <w:tmpl w:val="F1F041E8"/>
    <w:styleLink w:val="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49A21690"/>
    <w:multiLevelType w:val="hybridMultilevel"/>
    <w:tmpl w:val="A0380B7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51270177"/>
    <w:multiLevelType w:val="multilevel"/>
    <w:tmpl w:val="FF725CC2"/>
    <w:styleLink w:val="6"/>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5622195C"/>
    <w:multiLevelType w:val="multilevel"/>
    <w:tmpl w:val="7284956E"/>
    <w:styleLink w:val="4"/>
    <w:lvl w:ilvl="0">
      <w:start w:val="1"/>
      <w:numFmt w:val="decimal"/>
      <w:lvlText w:val="%1[1] "/>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11" w15:restartNumberingAfterBreak="0">
    <w:nsid w:val="654E40D3"/>
    <w:multiLevelType w:val="multilevel"/>
    <w:tmpl w:val="3D34777A"/>
    <w:styleLink w:val="3"/>
    <w:lvl w:ilvl="0">
      <w:start w:val="1"/>
      <w:numFmt w:val="none"/>
      <w:lvlText w:val="[1] "/>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12" w15:restartNumberingAfterBreak="0">
    <w:nsid w:val="6C1A66D4"/>
    <w:multiLevelType w:val="multilevel"/>
    <w:tmpl w:val="87BCC9E0"/>
    <w:lvl w:ilvl="0">
      <w:start w:val="1"/>
      <w:numFmt w:val="decimal"/>
      <w:pStyle w:val="section"/>
      <w:lvlText w:val="%1."/>
      <w:lvlJc w:val="left"/>
      <w:pPr>
        <w:ind w:left="360" w:hanging="360"/>
      </w:pPr>
      <w:rPr>
        <w:rFonts w:hint="default"/>
      </w:rPr>
    </w:lvl>
    <w:lvl w:ilvl="1">
      <w:start w:val="1"/>
      <w:numFmt w:val="decimal"/>
      <w:pStyle w:val="Subsection"/>
      <w:isLgl/>
      <w:lvlText w:val="%1.%2  "/>
      <w:lvlJc w:val="left"/>
      <w:pPr>
        <w:ind w:left="360" w:hanging="360"/>
      </w:pPr>
      <w:rPr>
        <w:rFonts w:hint="default"/>
      </w:rPr>
    </w:lvl>
    <w:lvl w:ilvl="2">
      <w:start w:val="1"/>
      <w:numFmt w:val="decimal"/>
      <w:pStyle w:val="subsubsection"/>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72D47AD6"/>
    <w:multiLevelType w:val="multilevel"/>
    <w:tmpl w:val="7F6E11FC"/>
    <w:styleLink w:val="7"/>
    <w:lvl w:ilvl="0">
      <w:start w:val="1"/>
      <w:numFmt w:val="decimal"/>
      <w:lvlText w:val="%1."/>
      <w:lvlJc w:val="left"/>
      <w:pPr>
        <w:ind w:left="360" w:hanging="360"/>
      </w:pPr>
      <w:rPr>
        <w:rFonts w:hint="default"/>
      </w:rPr>
    </w:lvl>
    <w:lvl w:ilvl="1">
      <w:start w:val="1"/>
      <w:numFmt w:val="decimal"/>
      <w:lvlText w:val=".%2  %1"/>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427385142">
    <w:abstractNumId w:val="12"/>
  </w:num>
  <w:num w:numId="2" w16cid:durableId="987706551">
    <w:abstractNumId w:val="3"/>
  </w:num>
  <w:num w:numId="3" w16cid:durableId="641813209">
    <w:abstractNumId w:val="7"/>
  </w:num>
  <w:num w:numId="4" w16cid:durableId="643698014">
    <w:abstractNumId w:val="1"/>
  </w:num>
  <w:num w:numId="5" w16cid:durableId="1950552632">
    <w:abstractNumId w:val="2"/>
  </w:num>
  <w:num w:numId="6" w16cid:durableId="641160190">
    <w:abstractNumId w:val="11"/>
  </w:num>
  <w:num w:numId="7" w16cid:durableId="62029372">
    <w:abstractNumId w:val="10"/>
  </w:num>
  <w:num w:numId="8" w16cid:durableId="1606503576">
    <w:abstractNumId w:val="6"/>
  </w:num>
  <w:num w:numId="9" w16cid:durableId="1705131004">
    <w:abstractNumId w:val="9"/>
  </w:num>
  <w:num w:numId="10" w16cid:durableId="780414384">
    <w:abstractNumId w:val="13"/>
  </w:num>
  <w:num w:numId="11" w16cid:durableId="1938782168">
    <w:abstractNumId w:val="5"/>
  </w:num>
  <w:num w:numId="12" w16cid:durableId="1692875334">
    <w:abstractNumId w:val="8"/>
  </w:num>
  <w:num w:numId="16" w16cid:durableId="1909924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5A7"/>
    <w:rsid w:val="00001238"/>
    <w:rsid w:val="000137D4"/>
    <w:rsid w:val="00023D24"/>
    <w:rsid w:val="00027F24"/>
    <w:rsid w:val="000430E3"/>
    <w:rsid w:val="00045399"/>
    <w:rsid w:val="000522DF"/>
    <w:rsid w:val="0005722A"/>
    <w:rsid w:val="00061750"/>
    <w:rsid w:val="00084BAD"/>
    <w:rsid w:val="000A15A7"/>
    <w:rsid w:val="000B66DC"/>
    <w:rsid w:val="000D0B1A"/>
    <w:rsid w:val="001136A5"/>
    <w:rsid w:val="00115A71"/>
    <w:rsid w:val="001272E2"/>
    <w:rsid w:val="001475F6"/>
    <w:rsid w:val="00185AC3"/>
    <w:rsid w:val="001C21A8"/>
    <w:rsid w:val="001E0AE4"/>
    <w:rsid w:val="001E5091"/>
    <w:rsid w:val="001E5B94"/>
    <w:rsid w:val="00200454"/>
    <w:rsid w:val="002024CF"/>
    <w:rsid w:val="00215C54"/>
    <w:rsid w:val="00216828"/>
    <w:rsid w:val="0022253D"/>
    <w:rsid w:val="002448F7"/>
    <w:rsid w:val="002474E9"/>
    <w:rsid w:val="00256099"/>
    <w:rsid w:val="00261365"/>
    <w:rsid w:val="00275874"/>
    <w:rsid w:val="00282149"/>
    <w:rsid w:val="00291463"/>
    <w:rsid w:val="00294B58"/>
    <w:rsid w:val="002A4900"/>
    <w:rsid w:val="002B342B"/>
    <w:rsid w:val="002B51FA"/>
    <w:rsid w:val="002B6FDF"/>
    <w:rsid w:val="002C76A9"/>
    <w:rsid w:val="002D025A"/>
    <w:rsid w:val="002E4237"/>
    <w:rsid w:val="00313DC5"/>
    <w:rsid w:val="00335A46"/>
    <w:rsid w:val="00335C6F"/>
    <w:rsid w:val="00354D01"/>
    <w:rsid w:val="00365A58"/>
    <w:rsid w:val="0037729D"/>
    <w:rsid w:val="003A26FB"/>
    <w:rsid w:val="003A4B34"/>
    <w:rsid w:val="003C040E"/>
    <w:rsid w:val="003C3152"/>
    <w:rsid w:val="003F656E"/>
    <w:rsid w:val="00410398"/>
    <w:rsid w:val="0043632E"/>
    <w:rsid w:val="00441354"/>
    <w:rsid w:val="00442B41"/>
    <w:rsid w:val="0044326F"/>
    <w:rsid w:val="0045144F"/>
    <w:rsid w:val="004863DA"/>
    <w:rsid w:val="0048681A"/>
    <w:rsid w:val="004A1A39"/>
    <w:rsid w:val="004A3A01"/>
    <w:rsid w:val="004A5218"/>
    <w:rsid w:val="004B723C"/>
    <w:rsid w:val="004E32B2"/>
    <w:rsid w:val="004E42F0"/>
    <w:rsid w:val="0050538D"/>
    <w:rsid w:val="00544871"/>
    <w:rsid w:val="0054492D"/>
    <w:rsid w:val="00556E8A"/>
    <w:rsid w:val="00585771"/>
    <w:rsid w:val="00590DD3"/>
    <w:rsid w:val="005912DA"/>
    <w:rsid w:val="00594F4C"/>
    <w:rsid w:val="005B1F48"/>
    <w:rsid w:val="005C0554"/>
    <w:rsid w:val="005D44C4"/>
    <w:rsid w:val="0061669B"/>
    <w:rsid w:val="00642267"/>
    <w:rsid w:val="00656C61"/>
    <w:rsid w:val="006841C1"/>
    <w:rsid w:val="006843ED"/>
    <w:rsid w:val="0068494B"/>
    <w:rsid w:val="00687D8F"/>
    <w:rsid w:val="006A0A3A"/>
    <w:rsid w:val="006A7483"/>
    <w:rsid w:val="006B559B"/>
    <w:rsid w:val="006B5BB7"/>
    <w:rsid w:val="006C0AE7"/>
    <w:rsid w:val="006D49E7"/>
    <w:rsid w:val="006E6187"/>
    <w:rsid w:val="006F043F"/>
    <w:rsid w:val="006F119C"/>
    <w:rsid w:val="0072389D"/>
    <w:rsid w:val="00727533"/>
    <w:rsid w:val="0073158A"/>
    <w:rsid w:val="007549AE"/>
    <w:rsid w:val="007563AD"/>
    <w:rsid w:val="0076010D"/>
    <w:rsid w:val="007631BE"/>
    <w:rsid w:val="007851CA"/>
    <w:rsid w:val="00792412"/>
    <w:rsid w:val="007A48B7"/>
    <w:rsid w:val="007F2B5D"/>
    <w:rsid w:val="00803DC3"/>
    <w:rsid w:val="008120CD"/>
    <w:rsid w:val="00821224"/>
    <w:rsid w:val="00821EA1"/>
    <w:rsid w:val="00825F06"/>
    <w:rsid w:val="0085256C"/>
    <w:rsid w:val="00866099"/>
    <w:rsid w:val="00891CA0"/>
    <w:rsid w:val="008A21C8"/>
    <w:rsid w:val="008A4E8F"/>
    <w:rsid w:val="008B5D7C"/>
    <w:rsid w:val="008B63AB"/>
    <w:rsid w:val="008B74EC"/>
    <w:rsid w:val="008C6875"/>
    <w:rsid w:val="008F6B20"/>
    <w:rsid w:val="00914DFF"/>
    <w:rsid w:val="00927803"/>
    <w:rsid w:val="009364B3"/>
    <w:rsid w:val="00937AE4"/>
    <w:rsid w:val="00944504"/>
    <w:rsid w:val="00956166"/>
    <w:rsid w:val="00965648"/>
    <w:rsid w:val="00972B21"/>
    <w:rsid w:val="00990AB6"/>
    <w:rsid w:val="00992B06"/>
    <w:rsid w:val="009A1B22"/>
    <w:rsid w:val="009A4998"/>
    <w:rsid w:val="009C701D"/>
    <w:rsid w:val="009E0FBF"/>
    <w:rsid w:val="009F4BD3"/>
    <w:rsid w:val="00A3713A"/>
    <w:rsid w:val="00A430CC"/>
    <w:rsid w:val="00A51DCA"/>
    <w:rsid w:val="00A74726"/>
    <w:rsid w:val="00AC535E"/>
    <w:rsid w:val="00AE0AFB"/>
    <w:rsid w:val="00B2716A"/>
    <w:rsid w:val="00B45DB5"/>
    <w:rsid w:val="00B6030A"/>
    <w:rsid w:val="00B6157C"/>
    <w:rsid w:val="00B6638D"/>
    <w:rsid w:val="00B76A42"/>
    <w:rsid w:val="00B80D4E"/>
    <w:rsid w:val="00B86D96"/>
    <w:rsid w:val="00B90091"/>
    <w:rsid w:val="00BC2A9E"/>
    <w:rsid w:val="00BC62C6"/>
    <w:rsid w:val="00BC74BF"/>
    <w:rsid w:val="00BE38D3"/>
    <w:rsid w:val="00BE6366"/>
    <w:rsid w:val="00C23376"/>
    <w:rsid w:val="00C41FBE"/>
    <w:rsid w:val="00C43F8D"/>
    <w:rsid w:val="00C5349E"/>
    <w:rsid w:val="00C6254D"/>
    <w:rsid w:val="00C756A1"/>
    <w:rsid w:val="00C76C1C"/>
    <w:rsid w:val="00C9151F"/>
    <w:rsid w:val="00CB1C41"/>
    <w:rsid w:val="00CD7154"/>
    <w:rsid w:val="00D1667C"/>
    <w:rsid w:val="00D3388E"/>
    <w:rsid w:val="00D550B6"/>
    <w:rsid w:val="00D57E91"/>
    <w:rsid w:val="00D66464"/>
    <w:rsid w:val="00D73B75"/>
    <w:rsid w:val="00D7540B"/>
    <w:rsid w:val="00D768BC"/>
    <w:rsid w:val="00D951CF"/>
    <w:rsid w:val="00DA0A90"/>
    <w:rsid w:val="00DA167B"/>
    <w:rsid w:val="00DA50AE"/>
    <w:rsid w:val="00DA665E"/>
    <w:rsid w:val="00DB7544"/>
    <w:rsid w:val="00E41AD0"/>
    <w:rsid w:val="00E42670"/>
    <w:rsid w:val="00E42A6A"/>
    <w:rsid w:val="00E430E5"/>
    <w:rsid w:val="00E47FBC"/>
    <w:rsid w:val="00E6114F"/>
    <w:rsid w:val="00E6269E"/>
    <w:rsid w:val="00E75BDA"/>
    <w:rsid w:val="00E8080B"/>
    <w:rsid w:val="00E85144"/>
    <w:rsid w:val="00EA15AB"/>
    <w:rsid w:val="00EA5000"/>
    <w:rsid w:val="00EB4195"/>
    <w:rsid w:val="00EB626E"/>
    <w:rsid w:val="00EC4656"/>
    <w:rsid w:val="00EF7430"/>
    <w:rsid w:val="00F1025A"/>
    <w:rsid w:val="00F10C17"/>
    <w:rsid w:val="00F1372F"/>
    <w:rsid w:val="00F15121"/>
    <w:rsid w:val="00F20C17"/>
    <w:rsid w:val="00F47C96"/>
    <w:rsid w:val="00F50F95"/>
    <w:rsid w:val="00F6640B"/>
    <w:rsid w:val="00F67E71"/>
    <w:rsid w:val="00F71DBB"/>
    <w:rsid w:val="00F76BC7"/>
    <w:rsid w:val="00F851F9"/>
    <w:rsid w:val="00F94D24"/>
    <w:rsid w:val="00FB78DF"/>
    <w:rsid w:val="00FC2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4DF5BA"/>
  <w15:docId w15:val="{EDBB86C6-69E4-471B-94CE-C48BB317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54"/>
    <w:pPr>
      <w:widowControl w:val="0"/>
      <w:jc w:val="both"/>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quation">
    <w:name w:val="Equation"/>
    <w:basedOn w:val="Normal"/>
    <w:rsid w:val="000A15A7"/>
    <w:pPr>
      <w:widowControl/>
      <w:tabs>
        <w:tab w:val="center" w:pos="4320"/>
      </w:tabs>
    </w:pPr>
    <w:rPr>
      <w:rFonts w:eastAsia="ＭＳ 明朝"/>
      <w:kern w:val="0"/>
    </w:rPr>
  </w:style>
  <w:style w:type="paragraph" w:styleId="Header">
    <w:name w:val="header"/>
    <w:basedOn w:val="Normal"/>
    <w:link w:val="HeaderChar"/>
    <w:uiPriority w:val="99"/>
    <w:rsid w:val="000A15A7"/>
    <w:pPr>
      <w:tabs>
        <w:tab w:val="center" w:pos="4252"/>
        <w:tab w:val="right" w:pos="8504"/>
      </w:tabs>
      <w:snapToGrid w:val="0"/>
    </w:pPr>
  </w:style>
  <w:style w:type="character" w:customStyle="1" w:styleId="HeaderChar">
    <w:name w:val="Header Char"/>
    <w:basedOn w:val="DefaultParagraphFont"/>
    <w:link w:val="Header"/>
    <w:uiPriority w:val="99"/>
    <w:rsid w:val="000A15A7"/>
    <w:rPr>
      <w:rFonts w:ascii="Times" w:eastAsia="平成明朝" w:hAnsi="Times" w:cs="Times New Roman"/>
      <w:sz w:val="24"/>
      <w:szCs w:val="20"/>
    </w:rPr>
  </w:style>
  <w:style w:type="paragraph" w:styleId="Footer">
    <w:name w:val="footer"/>
    <w:basedOn w:val="Normal"/>
    <w:link w:val="FooterChar"/>
    <w:uiPriority w:val="99"/>
    <w:unhideWhenUsed/>
    <w:rsid w:val="006D49E7"/>
    <w:pPr>
      <w:tabs>
        <w:tab w:val="center" w:pos="4252"/>
        <w:tab w:val="right" w:pos="8504"/>
      </w:tabs>
      <w:snapToGrid w:val="0"/>
    </w:pPr>
  </w:style>
  <w:style w:type="character" w:customStyle="1" w:styleId="FooterChar">
    <w:name w:val="Footer Char"/>
    <w:basedOn w:val="DefaultParagraphFont"/>
    <w:link w:val="Footer"/>
    <w:uiPriority w:val="99"/>
    <w:rsid w:val="006D49E7"/>
    <w:rPr>
      <w:rFonts w:ascii="Times" w:eastAsia="平成明朝" w:hAnsi="Times" w:cs="Times New Roman"/>
      <w:sz w:val="24"/>
      <w:szCs w:val="20"/>
    </w:rPr>
  </w:style>
  <w:style w:type="paragraph" w:styleId="BalloonText">
    <w:name w:val="Balloon Text"/>
    <w:basedOn w:val="Normal"/>
    <w:link w:val="BalloonTextChar"/>
    <w:uiPriority w:val="99"/>
    <w:semiHidden/>
    <w:unhideWhenUsed/>
    <w:rsid w:val="0082122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21224"/>
    <w:rPr>
      <w:rFonts w:asciiTheme="majorHAnsi" w:eastAsiaTheme="majorEastAsia" w:hAnsiTheme="majorHAnsi" w:cstheme="majorBidi"/>
      <w:sz w:val="18"/>
      <w:szCs w:val="18"/>
    </w:rPr>
  </w:style>
  <w:style w:type="character" w:styleId="CommentReference">
    <w:name w:val="annotation reference"/>
    <w:basedOn w:val="DefaultParagraphFont"/>
    <w:uiPriority w:val="99"/>
    <w:semiHidden/>
    <w:unhideWhenUsed/>
    <w:rsid w:val="00045399"/>
    <w:rPr>
      <w:sz w:val="18"/>
      <w:szCs w:val="18"/>
    </w:rPr>
  </w:style>
  <w:style w:type="paragraph" w:styleId="CommentText">
    <w:name w:val="annotation text"/>
    <w:basedOn w:val="Normal"/>
    <w:link w:val="CommentTextChar"/>
    <w:uiPriority w:val="99"/>
    <w:semiHidden/>
    <w:unhideWhenUsed/>
    <w:rsid w:val="00045399"/>
    <w:pPr>
      <w:jc w:val="left"/>
    </w:pPr>
  </w:style>
  <w:style w:type="character" w:customStyle="1" w:styleId="CommentTextChar">
    <w:name w:val="Comment Text Char"/>
    <w:basedOn w:val="DefaultParagraphFont"/>
    <w:link w:val="CommentText"/>
    <w:uiPriority w:val="99"/>
    <w:semiHidden/>
    <w:rsid w:val="00045399"/>
    <w:rPr>
      <w:rFonts w:ascii="Times" w:eastAsia="平成明朝" w:hAnsi="Times" w:cs="Times New Roman"/>
      <w:sz w:val="24"/>
      <w:szCs w:val="20"/>
    </w:rPr>
  </w:style>
  <w:style w:type="paragraph" w:styleId="CommentSubject">
    <w:name w:val="annotation subject"/>
    <w:basedOn w:val="CommentText"/>
    <w:next w:val="CommentText"/>
    <w:link w:val="CommentSubjectChar"/>
    <w:uiPriority w:val="99"/>
    <w:semiHidden/>
    <w:unhideWhenUsed/>
    <w:rsid w:val="00045399"/>
    <w:rPr>
      <w:b/>
      <w:bCs/>
    </w:rPr>
  </w:style>
  <w:style w:type="character" w:customStyle="1" w:styleId="CommentSubjectChar">
    <w:name w:val="Comment Subject Char"/>
    <w:basedOn w:val="CommentTextChar"/>
    <w:link w:val="CommentSubject"/>
    <w:uiPriority w:val="99"/>
    <w:semiHidden/>
    <w:rsid w:val="00045399"/>
    <w:rPr>
      <w:rFonts w:ascii="Times" w:eastAsia="平成明朝" w:hAnsi="Times" w:cs="Times New Roman"/>
      <w:b/>
      <w:bCs/>
      <w:sz w:val="24"/>
      <w:szCs w:val="20"/>
    </w:rPr>
  </w:style>
  <w:style w:type="paragraph" w:styleId="Revision">
    <w:name w:val="Revision"/>
    <w:hidden/>
    <w:uiPriority w:val="99"/>
    <w:semiHidden/>
    <w:rsid w:val="00B2716A"/>
    <w:rPr>
      <w:rFonts w:ascii="Times" w:eastAsia="平成明朝" w:hAnsi="Times" w:cs="Times New Roman"/>
      <w:sz w:val="24"/>
      <w:szCs w:val="20"/>
    </w:rPr>
  </w:style>
  <w:style w:type="paragraph" w:styleId="Title">
    <w:name w:val="Title"/>
    <w:basedOn w:val="Normal"/>
    <w:next w:val="Normal"/>
    <w:link w:val="TitleChar"/>
    <w:uiPriority w:val="10"/>
    <w:qFormat/>
    <w:rsid w:val="009A4998"/>
    <w:pPr>
      <w:jc w:val="center"/>
    </w:pPr>
    <w:rPr>
      <w:b/>
      <w:sz w:val="24"/>
      <w:szCs w:val="24"/>
    </w:rPr>
  </w:style>
  <w:style w:type="paragraph" w:customStyle="1" w:styleId="section">
    <w:name w:val="section"/>
    <w:basedOn w:val="Normal"/>
    <w:autoRedefine/>
    <w:qFormat/>
    <w:rsid w:val="009C701D"/>
    <w:pPr>
      <w:numPr>
        <w:numId w:val="1"/>
      </w:numPr>
      <w:ind w:left="357" w:hanging="357"/>
      <w:contextualSpacing/>
    </w:pPr>
    <w:rPr>
      <w:rFonts w:eastAsia="ＭＳ 明朝"/>
      <w:b/>
      <w:bCs/>
    </w:rPr>
  </w:style>
  <w:style w:type="paragraph" w:customStyle="1" w:styleId="Subsection">
    <w:name w:val="Subsection"/>
    <w:basedOn w:val="section"/>
    <w:qFormat/>
    <w:rsid w:val="00FB78DF"/>
    <w:pPr>
      <w:numPr>
        <w:ilvl w:val="1"/>
      </w:numPr>
    </w:pPr>
  </w:style>
  <w:style w:type="numbering" w:customStyle="1" w:styleId="1">
    <w:name w:val="現在のリスト1"/>
    <w:uiPriority w:val="99"/>
    <w:rsid w:val="005C0554"/>
    <w:pPr>
      <w:numPr>
        <w:numId w:val="3"/>
      </w:numPr>
    </w:pPr>
  </w:style>
  <w:style w:type="numbering" w:customStyle="1" w:styleId="2">
    <w:name w:val="現在のリスト2"/>
    <w:uiPriority w:val="99"/>
    <w:rsid w:val="005C0554"/>
    <w:pPr>
      <w:numPr>
        <w:numId w:val="4"/>
      </w:numPr>
    </w:pPr>
  </w:style>
  <w:style w:type="paragraph" w:customStyle="1" w:styleId="subsubsection">
    <w:name w:val="subsubsection"/>
    <w:basedOn w:val="section"/>
    <w:qFormat/>
    <w:rsid w:val="005C0554"/>
    <w:pPr>
      <w:numPr>
        <w:ilvl w:val="2"/>
      </w:numPr>
    </w:pPr>
  </w:style>
  <w:style w:type="paragraph" w:customStyle="1" w:styleId="Equationnumber">
    <w:name w:val="Equation number"/>
    <w:basedOn w:val="Equation"/>
    <w:qFormat/>
    <w:rsid w:val="005C0554"/>
    <w:pPr>
      <w:tabs>
        <w:tab w:val="clear" w:pos="4320"/>
        <w:tab w:val="left" w:pos="284"/>
        <w:tab w:val="right" w:pos="4560"/>
      </w:tabs>
      <w:spacing w:beforeLines="50" w:before="120" w:afterLines="50" w:after="120"/>
      <w:jc w:val="right"/>
    </w:pPr>
    <w:rPr>
      <w:rFonts w:eastAsia="Times New Roman"/>
    </w:rPr>
  </w:style>
  <w:style w:type="numbering" w:customStyle="1" w:styleId="3">
    <w:name w:val="現在のリスト3"/>
    <w:uiPriority w:val="99"/>
    <w:rsid w:val="005C0554"/>
    <w:pPr>
      <w:numPr>
        <w:numId w:val="6"/>
      </w:numPr>
    </w:pPr>
  </w:style>
  <w:style w:type="numbering" w:customStyle="1" w:styleId="4">
    <w:name w:val="現在のリスト4"/>
    <w:uiPriority w:val="99"/>
    <w:rsid w:val="005C0554"/>
    <w:pPr>
      <w:numPr>
        <w:numId w:val="7"/>
      </w:numPr>
    </w:pPr>
  </w:style>
  <w:style w:type="paragraph" w:customStyle="1" w:styleId="Reference">
    <w:name w:val="Reference"/>
    <w:basedOn w:val="Normal"/>
    <w:qFormat/>
    <w:rsid w:val="00FB78DF"/>
    <w:pPr>
      <w:numPr>
        <w:numId w:val="5"/>
      </w:numPr>
    </w:pPr>
    <w:rPr>
      <w:rFonts w:eastAsia="ＭＳ 明朝"/>
    </w:rPr>
  </w:style>
  <w:style w:type="paragraph" w:customStyle="1" w:styleId="ReferencesAcknowledgements">
    <w:name w:val="References/Acknowledgements"/>
    <w:basedOn w:val="Normal"/>
    <w:qFormat/>
    <w:rsid w:val="005C0554"/>
    <w:pPr>
      <w:spacing w:beforeLines="100" w:before="240"/>
    </w:pPr>
    <w:rPr>
      <w:b/>
      <w:bCs/>
    </w:rPr>
  </w:style>
  <w:style w:type="paragraph" w:customStyle="1" w:styleId="Abstract">
    <w:name w:val="Abstract"/>
    <w:basedOn w:val="Normal"/>
    <w:qFormat/>
    <w:rsid w:val="005C0554"/>
    <w:pPr>
      <w:spacing w:afterLines="100" w:after="240"/>
    </w:pPr>
    <w:rPr>
      <w:rFonts w:eastAsia="ＭＳ 明朝"/>
    </w:rPr>
  </w:style>
  <w:style w:type="paragraph" w:customStyle="1" w:styleId="Authors">
    <w:name w:val="Authors"/>
    <w:basedOn w:val="Normal"/>
    <w:qFormat/>
    <w:rsid w:val="00B80D4E"/>
    <w:pPr>
      <w:spacing w:beforeLines="100" w:before="240"/>
      <w:jc w:val="center"/>
    </w:pPr>
    <w:rPr>
      <w:rFonts w:eastAsia="ＭＳ 明朝"/>
    </w:rPr>
  </w:style>
  <w:style w:type="paragraph" w:customStyle="1" w:styleId="affiliation">
    <w:name w:val="affiliation"/>
    <w:basedOn w:val="Normal"/>
    <w:qFormat/>
    <w:rsid w:val="005C0554"/>
    <w:pPr>
      <w:jc w:val="center"/>
    </w:pPr>
  </w:style>
  <w:style w:type="paragraph" w:customStyle="1" w:styleId="ABSTRACTtitle">
    <w:name w:val="ABSTRACT title"/>
    <w:basedOn w:val="Normal"/>
    <w:qFormat/>
    <w:rsid w:val="005C0554"/>
    <w:pPr>
      <w:spacing w:beforeLines="100" w:before="240"/>
      <w:jc w:val="center"/>
    </w:pPr>
    <w:rPr>
      <w:b/>
    </w:rPr>
  </w:style>
  <w:style w:type="paragraph" w:customStyle="1" w:styleId="Maintext">
    <w:name w:val="Main text"/>
    <w:basedOn w:val="Normal"/>
    <w:qFormat/>
    <w:rsid w:val="005C0554"/>
    <w:pPr>
      <w:ind w:firstLine="284"/>
    </w:pPr>
  </w:style>
  <w:style w:type="paragraph" w:customStyle="1" w:styleId="TableFigurecaption">
    <w:name w:val="Table/Figure caption"/>
    <w:basedOn w:val="Normal"/>
    <w:qFormat/>
    <w:rsid w:val="00FB78DF"/>
    <w:pPr>
      <w:spacing w:afterLines="100" w:after="240"/>
    </w:pPr>
  </w:style>
  <w:style w:type="paragraph" w:customStyle="1" w:styleId="FigureTable">
    <w:name w:val="Figure/Table"/>
    <w:basedOn w:val="Normal"/>
    <w:qFormat/>
    <w:rsid w:val="00FB78DF"/>
    <w:pPr>
      <w:jc w:val="center"/>
    </w:pPr>
    <w:rPr>
      <w:rFonts w:eastAsia="ＭＳ 明朝"/>
      <w:noProof/>
    </w:rPr>
  </w:style>
  <w:style w:type="character" w:customStyle="1" w:styleId="TitleChar">
    <w:name w:val="Title Char"/>
    <w:basedOn w:val="DefaultParagraphFont"/>
    <w:link w:val="Title"/>
    <w:uiPriority w:val="10"/>
    <w:rsid w:val="009A4998"/>
    <w:rPr>
      <w:rFonts w:ascii="Times New Roman" w:eastAsia="Times New Roman" w:hAnsi="Times New Roman" w:cs="Times New Roman"/>
      <w:b/>
      <w:sz w:val="24"/>
      <w:szCs w:val="24"/>
    </w:rPr>
  </w:style>
  <w:style w:type="paragraph" w:customStyle="1" w:styleId="PaperTitle">
    <w:name w:val="Paper Title"/>
    <w:basedOn w:val="Title"/>
    <w:autoRedefine/>
    <w:qFormat/>
    <w:rsid w:val="009A4998"/>
  </w:style>
  <w:style w:type="numbering" w:customStyle="1" w:styleId="5">
    <w:name w:val="現在のリスト5"/>
    <w:uiPriority w:val="99"/>
    <w:rsid w:val="00FB78DF"/>
    <w:pPr>
      <w:numPr>
        <w:numId w:val="8"/>
      </w:numPr>
    </w:pPr>
  </w:style>
  <w:style w:type="numbering" w:customStyle="1" w:styleId="6">
    <w:name w:val="現在のリスト6"/>
    <w:uiPriority w:val="99"/>
    <w:rsid w:val="00FB78DF"/>
    <w:pPr>
      <w:numPr>
        <w:numId w:val="9"/>
      </w:numPr>
    </w:pPr>
  </w:style>
  <w:style w:type="numbering" w:customStyle="1" w:styleId="7">
    <w:name w:val="現在のリスト7"/>
    <w:uiPriority w:val="99"/>
    <w:rsid w:val="00FB78DF"/>
    <w:pPr>
      <w:numPr>
        <w:numId w:val="10"/>
      </w:numPr>
    </w:pPr>
  </w:style>
  <w:style w:type="numbering" w:customStyle="1" w:styleId="8">
    <w:name w:val="現在のリスト8"/>
    <w:uiPriority w:val="99"/>
    <w:rsid w:val="00FB78DF"/>
    <w:pPr>
      <w:numPr>
        <w:numId w:val="11"/>
      </w:numPr>
    </w:pPr>
  </w:style>
  <w:style w:type="character" w:styleId="PlaceholderText">
    <w:name w:val="Placeholder Text"/>
    <w:basedOn w:val="DefaultParagraphFont"/>
    <w:uiPriority w:val="99"/>
    <w:semiHidden/>
    <w:rsid w:val="002B6FDF"/>
    <w:rPr>
      <w:color w:val="666666"/>
    </w:rPr>
  </w:style>
  <w:style w:type="table" w:styleId="TableGrid">
    <w:name w:val="Table Grid"/>
    <w:basedOn w:val="TableNormal"/>
    <w:uiPriority w:val="59"/>
    <w:rsid w:val="002B6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30E3"/>
    <w:pPr>
      <w:spacing w:after="200"/>
    </w:pPr>
    <w:rPr>
      <w:i/>
      <w:iCs/>
      <w:color w:val="1F497D" w:themeColor="text2"/>
      <w:sz w:val="18"/>
      <w:szCs w:val="18"/>
    </w:rPr>
  </w:style>
  <w:style w:type="paragraph" w:styleId="NormalWeb">
    <w:name w:val="Normal (Web)"/>
    <w:basedOn w:val="Normal"/>
    <w:uiPriority w:val="99"/>
    <w:semiHidden/>
    <w:unhideWhenUsed/>
    <w:rsid w:val="00C43F8D"/>
    <w:pPr>
      <w:widowControl/>
      <w:spacing w:before="100" w:beforeAutospacing="1" w:after="100" w:afterAutospacing="1"/>
      <w:jc w:val="left"/>
    </w:pPr>
    <w:rPr>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87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4FFC8-C435-48A3-B31D-8924DFA1D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4</Pages>
  <Words>12412</Words>
  <Characters>70752</Characters>
  <Application>Microsoft Office Word</Application>
  <DocSecurity>0</DocSecurity>
  <Lines>589</Lines>
  <Paragraphs>165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Microsoft</Company>
  <LinksUpToDate>false</LinksUpToDate>
  <CharactersWithSpaces>82999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nagayoshi</dc:creator>
  <cp:keywords/>
  <dc:description/>
  <cp:lastModifiedBy>Urothiyil Aahil Ashraf</cp:lastModifiedBy>
  <cp:revision>7</cp:revision>
  <cp:lastPrinted>2014-03-11T05:39:00Z</cp:lastPrinted>
  <dcterms:created xsi:type="dcterms:W3CDTF">2025-05-03T20:43:00Z</dcterms:created>
  <dcterms:modified xsi:type="dcterms:W3CDTF">2026-07-24T00:51:00Z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id="De8vQlsk"/&gt;&lt;style id="http://www.zotero.org/styles/ieee"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