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6D07A" w14:textId="5ACF2CEA" w:rsidR="001C1D56" w:rsidRPr="00267B4E" w:rsidRDefault="001C7B2F" w:rsidP="007E0AEF">
      <w:pPr>
        <w:pStyle w:val="Subheading"/>
        <w:spacing w:before="0" w:after="0" w:line="360" w:lineRule="auto"/>
        <w:jc w:val="center"/>
        <w:rPr>
          <w:rFonts w:ascii="Times New Roman" w:hAnsi="Times New Roman" w:cs="Times New Roman"/>
          <w:sz w:val="32"/>
          <w:szCs w:val="40"/>
        </w:rPr>
      </w:pPr>
      <w:bookmarkStart w:id="0" w:name="_Hlk34868134"/>
      <w:bookmarkStart w:id="1" w:name="_Toc491980471"/>
      <w:bookmarkStart w:id="2" w:name="_Ref476678229"/>
      <w:bookmarkStart w:id="3" w:name="_Toc490487514"/>
      <w:bookmarkStart w:id="4" w:name="Section1"/>
      <w:bookmarkStart w:id="5" w:name="_GoBack"/>
      <w:bookmarkEnd w:id="5"/>
      <w:r w:rsidRPr="00267B4E">
        <w:rPr>
          <w:rFonts w:ascii="Times New Roman" w:hAnsi="Times New Roman" w:cs="Times New Roman"/>
          <w:sz w:val="32"/>
          <w:szCs w:val="40"/>
        </w:rPr>
        <w:t xml:space="preserve">Global </w:t>
      </w:r>
      <w:r w:rsidR="00490EBA" w:rsidRPr="00267B4E">
        <w:rPr>
          <w:rFonts w:ascii="Times New Roman" w:hAnsi="Times New Roman" w:cs="Times New Roman"/>
          <w:sz w:val="32"/>
          <w:szCs w:val="40"/>
        </w:rPr>
        <w:t>L</w:t>
      </w:r>
      <w:r w:rsidR="006521AB" w:rsidRPr="00267B4E">
        <w:rPr>
          <w:rFonts w:ascii="Times New Roman" w:hAnsi="Times New Roman" w:cs="Times New Roman"/>
          <w:sz w:val="32"/>
          <w:szCs w:val="40"/>
        </w:rPr>
        <w:t xml:space="preserve">essons from </w:t>
      </w:r>
      <w:r w:rsidR="00490EBA" w:rsidRPr="00267B4E">
        <w:rPr>
          <w:rFonts w:ascii="Times New Roman" w:hAnsi="Times New Roman" w:cs="Times New Roman"/>
          <w:sz w:val="32"/>
          <w:szCs w:val="40"/>
        </w:rPr>
        <w:t>C</w:t>
      </w:r>
      <w:r w:rsidR="00282420" w:rsidRPr="00267B4E">
        <w:rPr>
          <w:rFonts w:ascii="Times New Roman" w:hAnsi="Times New Roman" w:cs="Times New Roman"/>
          <w:sz w:val="32"/>
          <w:szCs w:val="40"/>
        </w:rPr>
        <w:t xml:space="preserve">limate </w:t>
      </w:r>
      <w:r w:rsidR="00490EBA" w:rsidRPr="00267B4E">
        <w:rPr>
          <w:rFonts w:ascii="Times New Roman" w:hAnsi="Times New Roman" w:cs="Times New Roman"/>
          <w:sz w:val="32"/>
          <w:szCs w:val="40"/>
        </w:rPr>
        <w:t>C</w:t>
      </w:r>
      <w:r w:rsidR="00282420" w:rsidRPr="00267B4E">
        <w:rPr>
          <w:rFonts w:ascii="Times New Roman" w:hAnsi="Times New Roman" w:cs="Times New Roman"/>
          <w:sz w:val="32"/>
          <w:szCs w:val="40"/>
        </w:rPr>
        <w:t xml:space="preserve">hange </w:t>
      </w:r>
      <w:r w:rsidR="00490EBA" w:rsidRPr="00267B4E">
        <w:rPr>
          <w:rFonts w:ascii="Times New Roman" w:hAnsi="Times New Roman" w:cs="Times New Roman"/>
          <w:sz w:val="32"/>
          <w:szCs w:val="40"/>
        </w:rPr>
        <w:t>L</w:t>
      </w:r>
      <w:r w:rsidR="00844ED0" w:rsidRPr="00267B4E">
        <w:rPr>
          <w:rFonts w:ascii="Times New Roman" w:hAnsi="Times New Roman" w:cs="Times New Roman"/>
          <w:sz w:val="32"/>
          <w:szCs w:val="40"/>
        </w:rPr>
        <w:t>egislation</w:t>
      </w:r>
      <w:r w:rsidR="006521AB" w:rsidRPr="00267B4E">
        <w:rPr>
          <w:rFonts w:ascii="Times New Roman" w:hAnsi="Times New Roman" w:cs="Times New Roman"/>
          <w:sz w:val="32"/>
          <w:szCs w:val="40"/>
        </w:rPr>
        <w:t xml:space="preserve"> and</w:t>
      </w:r>
      <w:r w:rsidR="00573396" w:rsidRPr="00267B4E">
        <w:rPr>
          <w:rFonts w:ascii="Times New Roman" w:hAnsi="Times New Roman" w:cs="Times New Roman"/>
          <w:sz w:val="32"/>
          <w:szCs w:val="40"/>
        </w:rPr>
        <w:t xml:space="preserve"> </w:t>
      </w:r>
      <w:r w:rsidR="00490EBA" w:rsidRPr="00267B4E">
        <w:rPr>
          <w:rFonts w:ascii="Times New Roman" w:hAnsi="Times New Roman" w:cs="Times New Roman"/>
          <w:sz w:val="32"/>
          <w:szCs w:val="40"/>
        </w:rPr>
        <w:t>L</w:t>
      </w:r>
      <w:r w:rsidR="006521AB" w:rsidRPr="00267B4E">
        <w:rPr>
          <w:rFonts w:ascii="Times New Roman" w:hAnsi="Times New Roman" w:cs="Times New Roman"/>
          <w:sz w:val="32"/>
          <w:szCs w:val="40"/>
        </w:rPr>
        <w:t>itigation</w:t>
      </w:r>
    </w:p>
    <w:p w14:paraId="54DB4214" w14:textId="401DFE51" w:rsidR="00C8360D" w:rsidRPr="00A56606" w:rsidRDefault="00522C94" w:rsidP="00090DEC">
      <w:pPr>
        <w:jc w:val="center"/>
      </w:pPr>
      <w:r w:rsidRPr="00A56606">
        <w:t>Shaikh Eskander</w:t>
      </w:r>
      <w:r w:rsidR="00A10ECE" w:rsidRPr="00A56606">
        <w:rPr>
          <w:vertAlign w:val="superscript"/>
        </w:rPr>
        <w:t>1,2</w:t>
      </w:r>
      <w:r w:rsidRPr="00A56606">
        <w:t xml:space="preserve"> </w:t>
      </w:r>
      <w:r w:rsidR="00732B12" w:rsidRPr="00A56606">
        <w:t>, Sam Fankhauser</w:t>
      </w:r>
      <w:r w:rsidR="00732B12" w:rsidRPr="00A56606">
        <w:rPr>
          <w:vertAlign w:val="superscript"/>
        </w:rPr>
        <w:t>1,*</w:t>
      </w:r>
      <w:r w:rsidR="00732B12" w:rsidRPr="00A56606">
        <w:t xml:space="preserve"> </w:t>
      </w:r>
      <w:r w:rsidRPr="00A56606">
        <w:t xml:space="preserve">and </w:t>
      </w:r>
      <w:r w:rsidR="00BC565C" w:rsidRPr="00A56606">
        <w:t>Joana Setzer</w:t>
      </w:r>
      <w:r w:rsidRPr="00A56606">
        <w:rPr>
          <w:vertAlign w:val="superscript"/>
        </w:rPr>
        <w:t>1</w:t>
      </w:r>
    </w:p>
    <w:bookmarkEnd w:id="0"/>
    <w:p w14:paraId="3A3CDE49" w14:textId="77777777" w:rsidR="00282420" w:rsidRPr="00A56606" w:rsidRDefault="00282420" w:rsidP="00090DEC">
      <w:pPr>
        <w:jc w:val="center"/>
      </w:pPr>
    </w:p>
    <w:p w14:paraId="6346ED02" w14:textId="7224D14C" w:rsidR="00282420" w:rsidRPr="00A56606" w:rsidRDefault="007C734E" w:rsidP="00090DEC">
      <w:pPr>
        <w:jc w:val="center"/>
      </w:pPr>
      <w:r w:rsidRPr="00A56606">
        <w:t>Paper for the</w:t>
      </w:r>
    </w:p>
    <w:p w14:paraId="694C1BF6" w14:textId="1D4B5BCF" w:rsidR="00A330C2" w:rsidRPr="00A56606" w:rsidRDefault="00282420" w:rsidP="00090DEC">
      <w:pPr>
        <w:jc w:val="center"/>
      </w:pPr>
      <w:r w:rsidRPr="00A56606">
        <w:t>2</w:t>
      </w:r>
      <w:r w:rsidRPr="00A56606">
        <w:rPr>
          <w:vertAlign w:val="superscript"/>
        </w:rPr>
        <w:t>nd</w:t>
      </w:r>
      <w:r w:rsidR="004D40DC" w:rsidRPr="00A56606">
        <w:t xml:space="preserve"> </w:t>
      </w:r>
      <w:r w:rsidRPr="00A56606">
        <w:t>Annual NBER Environmental and Energy Policy and the Economy Conference</w:t>
      </w:r>
    </w:p>
    <w:p w14:paraId="612EF7B5" w14:textId="77777777" w:rsidR="00A330C2" w:rsidRPr="00A56606" w:rsidRDefault="00A330C2" w:rsidP="00090DEC">
      <w:pPr>
        <w:jc w:val="center"/>
      </w:pPr>
    </w:p>
    <w:p w14:paraId="0700AEF6" w14:textId="4816F1D9" w:rsidR="00C8360D" w:rsidRPr="00A56606" w:rsidRDefault="004210C8" w:rsidP="00090DEC">
      <w:pPr>
        <w:jc w:val="center"/>
      </w:pPr>
      <w:r>
        <w:t>6</w:t>
      </w:r>
      <w:r w:rsidR="00BD133A">
        <w:t xml:space="preserve"> June </w:t>
      </w:r>
      <w:r w:rsidR="001042A1" w:rsidRPr="00A56606">
        <w:t>2020</w:t>
      </w:r>
      <w:r w:rsidR="00282420" w:rsidRPr="00A56606">
        <w:br/>
      </w:r>
    </w:p>
    <w:p w14:paraId="3E208248" w14:textId="77777777" w:rsidR="009815B3" w:rsidRPr="00A56606" w:rsidRDefault="009815B3" w:rsidP="00090DEC">
      <w:pPr>
        <w:jc w:val="center"/>
      </w:pPr>
    </w:p>
    <w:p w14:paraId="580BD6E5" w14:textId="77777777" w:rsidR="007E0AEF" w:rsidRDefault="007E0AEF" w:rsidP="00811433">
      <w:pPr>
        <w:spacing w:line="480" w:lineRule="auto"/>
        <w:rPr>
          <w:b/>
          <w:bCs/>
          <w:i/>
        </w:rPr>
      </w:pPr>
      <w:bookmarkStart w:id="6" w:name="_Ref476675811"/>
      <w:bookmarkStart w:id="7" w:name="_Ref476753873"/>
      <w:bookmarkEnd w:id="1"/>
      <w:bookmarkEnd w:id="2"/>
      <w:bookmarkEnd w:id="3"/>
    </w:p>
    <w:p w14:paraId="5197E9B0" w14:textId="4BECD749" w:rsidR="007E0AEF" w:rsidRDefault="00573396" w:rsidP="00811433">
      <w:pPr>
        <w:spacing w:line="480" w:lineRule="auto"/>
        <w:rPr>
          <w:iCs/>
        </w:rPr>
      </w:pPr>
      <w:r w:rsidRPr="00A56606">
        <w:rPr>
          <w:b/>
          <w:bCs/>
          <w:i/>
        </w:rPr>
        <w:t>Keywords</w:t>
      </w:r>
      <w:r w:rsidRPr="00A56606">
        <w:rPr>
          <w:b/>
          <w:bCs/>
          <w:iCs/>
        </w:rPr>
        <w:t>:</w:t>
      </w:r>
      <w:r w:rsidRPr="00A56606">
        <w:rPr>
          <w:iCs/>
        </w:rPr>
        <w:t xml:space="preserve"> Climate change; laws; litigation. </w:t>
      </w:r>
      <w:r w:rsidR="003D09A3">
        <w:rPr>
          <w:iCs/>
        </w:rPr>
        <w:t xml:space="preserve"> </w:t>
      </w:r>
      <w:r w:rsidR="0051320D">
        <w:rPr>
          <w:iCs/>
        </w:rPr>
        <w:t xml:space="preserve"> </w:t>
      </w:r>
      <w:r w:rsidR="0051320D">
        <w:rPr>
          <w:iCs/>
        </w:rPr>
        <w:tab/>
      </w:r>
    </w:p>
    <w:p w14:paraId="22EF3872" w14:textId="00710968" w:rsidR="00573396" w:rsidRDefault="00573396" w:rsidP="00811433">
      <w:pPr>
        <w:spacing w:line="480" w:lineRule="auto"/>
        <w:rPr>
          <w:iCs/>
        </w:rPr>
      </w:pPr>
      <w:r w:rsidRPr="00A56606">
        <w:rPr>
          <w:b/>
          <w:bCs/>
          <w:i/>
        </w:rPr>
        <w:t>JEL Classifications</w:t>
      </w:r>
      <w:r w:rsidRPr="00A56606">
        <w:rPr>
          <w:b/>
          <w:bCs/>
          <w:iCs/>
        </w:rPr>
        <w:t>:</w:t>
      </w:r>
      <w:r w:rsidRPr="00A56606">
        <w:rPr>
          <w:iCs/>
        </w:rPr>
        <w:t xml:space="preserve"> K32, Q54, Q58. </w:t>
      </w:r>
    </w:p>
    <w:p w14:paraId="07855B1C" w14:textId="77777777" w:rsidR="00811433" w:rsidRDefault="00811433" w:rsidP="00811433">
      <w:pPr>
        <w:spacing w:line="480" w:lineRule="auto"/>
        <w:rPr>
          <w:iCs/>
        </w:rPr>
      </w:pPr>
    </w:p>
    <w:p w14:paraId="22050030" w14:textId="77777777" w:rsidR="00811433" w:rsidRDefault="00811433" w:rsidP="00811433">
      <w:pPr>
        <w:spacing w:line="480" w:lineRule="auto"/>
        <w:rPr>
          <w:iCs/>
        </w:rPr>
      </w:pPr>
    </w:p>
    <w:p w14:paraId="3AA59D9B" w14:textId="77FBE800" w:rsidR="003D09A3" w:rsidRDefault="00A330C2" w:rsidP="00811433">
      <w:pPr>
        <w:spacing w:line="480" w:lineRule="auto"/>
        <w:rPr>
          <w:b/>
          <w:bCs/>
          <w:iCs/>
        </w:rPr>
      </w:pPr>
      <w:r w:rsidRPr="00A56606">
        <w:rPr>
          <w:b/>
          <w:bCs/>
          <w:iCs/>
        </w:rPr>
        <w:t>Acknowledgements</w:t>
      </w:r>
    </w:p>
    <w:p w14:paraId="06CCC05A" w14:textId="12DA52B2" w:rsidR="0051320D" w:rsidRDefault="00A330C2" w:rsidP="00811433">
      <w:pPr>
        <w:spacing w:line="480" w:lineRule="auto"/>
        <w:rPr>
          <w:bCs/>
        </w:rPr>
      </w:pPr>
      <w:r w:rsidRPr="00A56606">
        <w:rPr>
          <w:bCs/>
        </w:rPr>
        <w:t>We acknowledge financial support from the Grantham Foundation for the Protection of the Environment, and from the UK Economic and Social Research Council (ESRC) through its support of the Centre for Climate Change Economics and Policy (CCCEP). We are grateful to Caterina Gennaioli, Matthew Kotchen and Michal Nachmany for their insights and feedback.</w:t>
      </w:r>
      <w:r w:rsidR="00811433">
        <w:rPr>
          <w:bCs/>
        </w:rPr>
        <w:t xml:space="preserve"> </w:t>
      </w:r>
      <w:r w:rsidR="00811433" w:rsidRPr="00811433">
        <w:rPr>
          <w:bCs/>
        </w:rPr>
        <w:t>For acknowledgments, sources of research support, and disclosure of the authors</w:t>
      </w:r>
      <w:r w:rsidR="00811433">
        <w:rPr>
          <w:bCs/>
        </w:rPr>
        <w:t>’</w:t>
      </w:r>
      <w:r w:rsidR="00811433" w:rsidRPr="00811433">
        <w:rPr>
          <w:bCs/>
        </w:rPr>
        <w:t xml:space="preserve"> material financial relati</w:t>
      </w:r>
      <w:r w:rsidR="00811433">
        <w:rPr>
          <w:bCs/>
        </w:rPr>
        <w:t xml:space="preserve">onships, if any, please see </w:t>
      </w:r>
      <w:r w:rsidR="00D04FED" w:rsidRPr="00D04FED">
        <w:rPr>
          <w:bCs/>
        </w:rPr>
        <w:t>https://</w:t>
      </w:r>
      <w:r w:rsidR="00D04FED">
        <w:rPr>
          <w:bCs/>
        </w:rPr>
        <w:t>www</w:t>
      </w:r>
      <w:r w:rsidR="00D04FED" w:rsidRPr="00D04FED">
        <w:rPr>
          <w:bCs/>
        </w:rPr>
        <w:t>.nber.org/books-and-chapters/environmental-and-energy-policy-and-economy-volume-2/global-lessons-climate-change-legislation-and-litigation</w:t>
      </w:r>
      <w:r w:rsidR="00811433" w:rsidRPr="00811433">
        <w:rPr>
          <w:bCs/>
        </w:rPr>
        <w:t>.</w:t>
      </w:r>
    </w:p>
    <w:p w14:paraId="21741024" w14:textId="77777777" w:rsidR="00811433" w:rsidRDefault="00811433" w:rsidP="00B57541">
      <w:pPr>
        <w:spacing w:after="120"/>
        <w:jc w:val="both"/>
        <w:rPr>
          <w:bCs/>
        </w:rPr>
      </w:pPr>
    </w:p>
    <w:p w14:paraId="7C9BFEA8" w14:textId="77777777" w:rsidR="00811433" w:rsidRPr="0051320D" w:rsidRDefault="00811433" w:rsidP="00B57541">
      <w:pPr>
        <w:spacing w:after="120"/>
        <w:jc w:val="both"/>
        <w:rPr>
          <w:bCs/>
        </w:rPr>
      </w:pPr>
    </w:p>
    <w:p w14:paraId="19A7BA8D" w14:textId="64B28A46" w:rsidR="007C734E" w:rsidRPr="00A56606" w:rsidRDefault="007C734E" w:rsidP="002A140D">
      <w:pPr>
        <w:spacing w:after="120" w:line="276" w:lineRule="auto"/>
        <w:jc w:val="both"/>
        <w:rPr>
          <w:sz w:val="20"/>
          <w:szCs w:val="20"/>
        </w:rPr>
      </w:pPr>
      <w:r w:rsidRPr="00A56606">
        <w:rPr>
          <w:sz w:val="20"/>
          <w:szCs w:val="20"/>
          <w:vertAlign w:val="superscript"/>
        </w:rPr>
        <w:t xml:space="preserve">1 </w:t>
      </w:r>
      <w:r w:rsidRPr="00A56606">
        <w:rPr>
          <w:sz w:val="20"/>
          <w:szCs w:val="20"/>
        </w:rPr>
        <w:t>Grantham Research Institute on Climate Change and the Environment and Centre for Climate Change Economics and Policy (CCCEP), London School of Economics. Houghton St, London WC2A 2AE, UK</w:t>
      </w:r>
    </w:p>
    <w:p w14:paraId="13329026" w14:textId="10CF1E2C" w:rsidR="007C734E" w:rsidRPr="00A56606" w:rsidRDefault="007C734E" w:rsidP="00F46D2F">
      <w:pPr>
        <w:spacing w:after="120" w:line="276" w:lineRule="auto"/>
        <w:jc w:val="both"/>
        <w:rPr>
          <w:sz w:val="20"/>
          <w:szCs w:val="20"/>
        </w:rPr>
      </w:pPr>
      <w:r w:rsidRPr="00A56606">
        <w:rPr>
          <w:sz w:val="20"/>
          <w:szCs w:val="20"/>
          <w:vertAlign w:val="superscript"/>
        </w:rPr>
        <w:t xml:space="preserve">2 </w:t>
      </w:r>
      <w:r w:rsidRPr="00A56606">
        <w:rPr>
          <w:sz w:val="20"/>
          <w:szCs w:val="20"/>
        </w:rPr>
        <w:t>Kingston University London, Penrhyn Road, Kingston Upon Thames, Surrey KT1 2EE, UK.</w:t>
      </w:r>
    </w:p>
    <w:p w14:paraId="74C54636" w14:textId="7A4E05C5" w:rsidR="009D7EBE" w:rsidRDefault="0074740E" w:rsidP="00F46D2F">
      <w:pPr>
        <w:spacing w:after="120" w:line="276" w:lineRule="auto"/>
        <w:jc w:val="both"/>
        <w:rPr>
          <w:sz w:val="20"/>
          <w:szCs w:val="20"/>
        </w:rPr>
      </w:pPr>
      <w:r w:rsidRPr="00A56606">
        <w:rPr>
          <w:sz w:val="20"/>
          <w:szCs w:val="20"/>
        </w:rPr>
        <w:t>* Corresponding author: s.fankhauser@lse.ac.uk.</w:t>
      </w:r>
    </w:p>
    <w:p w14:paraId="40DFD141" w14:textId="77777777" w:rsidR="002A140D" w:rsidRDefault="002A140D" w:rsidP="00F46D2F">
      <w:pPr>
        <w:spacing w:after="120" w:line="276" w:lineRule="auto"/>
        <w:jc w:val="both"/>
        <w:rPr>
          <w:sz w:val="20"/>
          <w:szCs w:val="20"/>
        </w:rPr>
      </w:pPr>
    </w:p>
    <w:p w14:paraId="656B752A" w14:textId="77777777" w:rsidR="002A140D" w:rsidRDefault="002A140D" w:rsidP="00F46D2F">
      <w:pPr>
        <w:spacing w:after="120" w:line="276" w:lineRule="auto"/>
        <w:jc w:val="both"/>
        <w:rPr>
          <w:sz w:val="20"/>
          <w:szCs w:val="20"/>
        </w:rPr>
      </w:pPr>
    </w:p>
    <w:p w14:paraId="5A1DA6E7" w14:textId="77777777" w:rsidR="002A140D" w:rsidRDefault="002A140D">
      <w:pPr>
        <w:spacing w:after="200" w:line="2" w:lineRule="auto"/>
        <w:rPr>
          <w:b/>
        </w:rPr>
      </w:pPr>
      <w:r>
        <w:rPr>
          <w:b/>
        </w:rPr>
        <w:br w:type="page"/>
      </w:r>
    </w:p>
    <w:p w14:paraId="3E98DD49" w14:textId="77777777" w:rsidR="002A140D" w:rsidRDefault="002A140D" w:rsidP="002A140D">
      <w:pPr>
        <w:spacing w:after="120"/>
        <w:rPr>
          <w:b/>
        </w:rPr>
      </w:pPr>
    </w:p>
    <w:p w14:paraId="096E0C8B" w14:textId="77777777" w:rsidR="002A140D" w:rsidRDefault="002A140D" w:rsidP="002A140D">
      <w:pPr>
        <w:spacing w:after="120"/>
        <w:rPr>
          <w:b/>
        </w:rPr>
      </w:pPr>
    </w:p>
    <w:p w14:paraId="72046BAE" w14:textId="61782B2F" w:rsidR="002A140D" w:rsidRPr="00A56606" w:rsidRDefault="002A140D" w:rsidP="002A140D">
      <w:pPr>
        <w:spacing w:line="480" w:lineRule="auto"/>
        <w:jc w:val="center"/>
        <w:rPr>
          <w:b/>
        </w:rPr>
      </w:pPr>
      <w:r w:rsidRPr="00A56606">
        <w:rPr>
          <w:b/>
        </w:rPr>
        <w:t>Abstract</w:t>
      </w:r>
    </w:p>
    <w:p w14:paraId="667AC231" w14:textId="2EA3EAEC" w:rsidR="002A140D" w:rsidRDefault="002A140D" w:rsidP="00B1076E">
      <w:pPr>
        <w:spacing w:line="480" w:lineRule="auto"/>
        <w:ind w:firstLine="720"/>
        <w:rPr>
          <w:sz w:val="20"/>
          <w:szCs w:val="20"/>
        </w:rPr>
      </w:pPr>
      <w:r w:rsidRPr="00A56606">
        <w:t>There is no country in the world that does not have at least one law or policy dealing with climate change. The most prolific countries have well over 20, and globally there are 1,800 such laws. Some of them are executive orders or policies issued by governments, others are legislative acts passed by parliament. The judiciary has been involved in 1,500 court cases that concern climate change (</w:t>
      </w:r>
      <w:r>
        <w:t xml:space="preserve">over </w:t>
      </w:r>
      <w:r w:rsidRPr="00A56606">
        <w:t xml:space="preserve">1,100 of which in the US). We use </w:t>
      </w:r>
      <w:r w:rsidRPr="00A56606">
        <w:rPr>
          <w:i/>
          <w:iCs/>
        </w:rPr>
        <w:t>Climate Change Laws of the World</w:t>
      </w:r>
      <w:r w:rsidRPr="00A56606">
        <w:t xml:space="preserve"> (CCLW), a publicly accessible database, to analyze patterns and trends in climate change legislation and litigation over the past 30 years. The data reveal that global legislative activity peaked around 200</w:t>
      </w:r>
      <w:r>
        <w:t>9</w:t>
      </w:r>
      <w:r w:rsidRPr="00A56606">
        <w:t>-1</w:t>
      </w:r>
      <w:r>
        <w:t>4</w:t>
      </w:r>
      <w:r w:rsidRPr="00A56606">
        <w:t xml:space="preserve">, well before the Paris Agreement. Accounting for effectiveness </w:t>
      </w:r>
      <w:r>
        <w:t xml:space="preserve">in implementation </w:t>
      </w:r>
      <w:r w:rsidRPr="00A56606">
        <w:t xml:space="preserve">and the length of time laws have been in </w:t>
      </w:r>
      <w:r>
        <w:t>place</w:t>
      </w:r>
      <w:r w:rsidRPr="00A56606">
        <w:t xml:space="preserve">, the UK and South Korea are the most comprehensive legislators among G20 </w:t>
      </w:r>
      <w:r>
        <w:t xml:space="preserve">countries </w:t>
      </w:r>
      <w:r w:rsidRPr="00A56606">
        <w:t xml:space="preserve">and Spain within the OECD. Climate change legislation is less of a partisan issue than is commonly assumed: the number of climate laws passed by governments of the left, center and right is roughly proportional to their time in office. We also find that legislative activity decreases in times of economic difficulty. Where courts have got involved, judges outside the US have ruled in favor of enhanced climate protection in </w:t>
      </w:r>
      <w:r>
        <w:t xml:space="preserve">about half of the </w:t>
      </w:r>
      <w:r w:rsidRPr="00A56606">
        <w:t xml:space="preserve">cases (US judges are more </w:t>
      </w:r>
      <w:r>
        <w:t xml:space="preserve">inclined </w:t>
      </w:r>
      <w:r w:rsidRPr="00A56606">
        <w:t>to rule against climate protection).</w:t>
      </w:r>
    </w:p>
    <w:p w14:paraId="0E78CE43" w14:textId="77777777" w:rsidR="002A140D" w:rsidRDefault="002A140D" w:rsidP="00F46D2F">
      <w:pPr>
        <w:spacing w:after="120" w:line="276" w:lineRule="auto"/>
        <w:jc w:val="both"/>
        <w:rPr>
          <w:sz w:val="20"/>
          <w:szCs w:val="20"/>
        </w:rPr>
      </w:pPr>
    </w:p>
    <w:p w14:paraId="4B8D8880" w14:textId="77777777" w:rsidR="002A140D" w:rsidRDefault="002A140D" w:rsidP="00F46D2F">
      <w:pPr>
        <w:spacing w:after="120" w:line="276" w:lineRule="auto"/>
        <w:jc w:val="both"/>
        <w:rPr>
          <w:sz w:val="20"/>
          <w:szCs w:val="20"/>
        </w:rPr>
      </w:pPr>
    </w:p>
    <w:p w14:paraId="0FBA7E21" w14:textId="77777777" w:rsidR="002A140D" w:rsidRDefault="002A140D" w:rsidP="00F46D2F">
      <w:pPr>
        <w:spacing w:after="120" w:line="276" w:lineRule="auto"/>
        <w:jc w:val="both"/>
        <w:rPr>
          <w:sz w:val="20"/>
          <w:szCs w:val="20"/>
        </w:rPr>
      </w:pPr>
    </w:p>
    <w:p w14:paraId="0085737C" w14:textId="77777777" w:rsidR="002A140D" w:rsidRDefault="002A140D" w:rsidP="00F46D2F">
      <w:pPr>
        <w:spacing w:after="120" w:line="276" w:lineRule="auto"/>
        <w:jc w:val="both"/>
        <w:rPr>
          <w:sz w:val="20"/>
          <w:szCs w:val="20"/>
        </w:rPr>
      </w:pPr>
    </w:p>
    <w:p w14:paraId="501AA494" w14:textId="2928AA38" w:rsidR="002A140D" w:rsidRDefault="002A140D">
      <w:pPr>
        <w:spacing w:after="200" w:line="2" w:lineRule="auto"/>
        <w:rPr>
          <w:sz w:val="20"/>
          <w:szCs w:val="20"/>
        </w:rPr>
      </w:pPr>
      <w:r>
        <w:rPr>
          <w:sz w:val="20"/>
          <w:szCs w:val="20"/>
        </w:rPr>
        <w:br w:type="page"/>
      </w:r>
    </w:p>
    <w:p w14:paraId="1816E1C4" w14:textId="77777777" w:rsidR="002A140D" w:rsidRPr="00A56606" w:rsidRDefault="002A140D" w:rsidP="00F46D2F">
      <w:pPr>
        <w:spacing w:after="120" w:line="276" w:lineRule="auto"/>
        <w:jc w:val="both"/>
      </w:pPr>
    </w:p>
    <w:p w14:paraId="57430543" w14:textId="4B75D595" w:rsidR="007C734E" w:rsidRPr="005D3BA3" w:rsidRDefault="007C734E" w:rsidP="005D3BA3">
      <w:pPr>
        <w:pStyle w:val="Heading1"/>
        <w:keepNext/>
        <w:keepLines/>
        <w:pageBreakBefore w:val="0"/>
        <w:numPr>
          <w:ilvl w:val="0"/>
          <w:numId w:val="37"/>
        </w:numPr>
        <w:autoSpaceDE/>
        <w:autoSpaceDN/>
        <w:adjustRightInd/>
        <w:spacing w:before="240" w:after="240" w:line="360" w:lineRule="auto"/>
        <w:ind w:left="360" w:hanging="360"/>
        <w:rPr>
          <w:rFonts w:eastAsiaTheme="majorEastAsia" w:cs="Times New Roman"/>
          <w:b/>
          <w:bCs/>
          <w:sz w:val="24"/>
          <w:szCs w:val="28"/>
        </w:rPr>
      </w:pPr>
      <w:r w:rsidRPr="005D3BA3">
        <w:rPr>
          <w:rFonts w:eastAsiaTheme="majorEastAsia" w:cs="Times New Roman"/>
          <w:b/>
          <w:bCs/>
          <w:sz w:val="24"/>
          <w:szCs w:val="28"/>
        </w:rPr>
        <w:t>Introduction</w:t>
      </w:r>
    </w:p>
    <w:p w14:paraId="6F7A3CAE" w14:textId="27AE6F34" w:rsidR="005F6173" w:rsidRDefault="00BD133A" w:rsidP="005F6173">
      <w:pPr>
        <w:spacing w:line="480" w:lineRule="auto"/>
        <w:ind w:firstLine="720"/>
      </w:pPr>
      <w:r>
        <w:t xml:space="preserve">The international climate </w:t>
      </w:r>
      <w:r w:rsidR="00EB3B97">
        <w:t xml:space="preserve">change architecture </w:t>
      </w:r>
      <w:r w:rsidR="00B52184">
        <w:t>commits nations to</w:t>
      </w:r>
      <w:r>
        <w:t xml:space="preserve"> </w:t>
      </w:r>
      <w:r w:rsidR="00D53A41" w:rsidRPr="00255A7E">
        <w:t>accelerate</w:t>
      </w:r>
      <w:r w:rsidR="00B52184">
        <w:t xml:space="preserve"> their</w:t>
      </w:r>
      <w:r w:rsidR="00D53A41" w:rsidRPr="00255A7E">
        <w:t xml:space="preserve"> a</w:t>
      </w:r>
      <w:r w:rsidR="00D53A41" w:rsidRPr="00436BB1">
        <w:t>ction</w:t>
      </w:r>
      <w:r w:rsidR="00B52184">
        <w:t>s</w:t>
      </w:r>
      <w:r w:rsidR="00D53A41" w:rsidRPr="00436BB1">
        <w:t xml:space="preserve"> </w:t>
      </w:r>
      <w:r w:rsidR="00FF20B9" w:rsidRPr="00436BB1">
        <w:t xml:space="preserve">on </w:t>
      </w:r>
      <w:r w:rsidR="009D7EBE" w:rsidRPr="00436BB1">
        <w:t xml:space="preserve">climate change. </w:t>
      </w:r>
      <w:r>
        <w:t xml:space="preserve">Under </w:t>
      </w:r>
      <w:r w:rsidR="00E9794F" w:rsidRPr="00436BB1">
        <w:t>the Paris Agreement</w:t>
      </w:r>
      <w:r w:rsidR="00D66D72" w:rsidRPr="00436BB1">
        <w:t>,</w:t>
      </w:r>
      <w:r w:rsidR="00E9794F" w:rsidRPr="00436BB1">
        <w:t xml:space="preserve"> countries </w:t>
      </w:r>
      <w:r>
        <w:t xml:space="preserve">are obliged to </w:t>
      </w:r>
      <w:r w:rsidR="00E9794F" w:rsidRPr="00436BB1">
        <w:t xml:space="preserve">ratchet up their </w:t>
      </w:r>
      <w:r w:rsidR="00C51E0B" w:rsidRPr="00436BB1">
        <w:t>N</w:t>
      </w:r>
      <w:r w:rsidR="00E9794F" w:rsidRPr="00436BB1">
        <w:t xml:space="preserve">ationally </w:t>
      </w:r>
      <w:r w:rsidR="00C51E0B" w:rsidRPr="00436BB1">
        <w:t>D</w:t>
      </w:r>
      <w:r w:rsidR="00E9794F" w:rsidRPr="00436BB1">
        <w:t xml:space="preserve">etermined </w:t>
      </w:r>
      <w:r w:rsidR="00C51E0B" w:rsidRPr="00436BB1">
        <w:t>C</w:t>
      </w:r>
      <w:r w:rsidR="00E9794F" w:rsidRPr="00436BB1">
        <w:t xml:space="preserve">ontributions </w:t>
      </w:r>
      <w:r w:rsidR="00C51E0B" w:rsidRPr="00436BB1">
        <w:t xml:space="preserve">(NDCs) </w:t>
      </w:r>
      <w:r w:rsidR="00E9794F" w:rsidRPr="00436BB1">
        <w:t xml:space="preserve">to the Paris process </w:t>
      </w:r>
      <w:r w:rsidR="000C554F" w:rsidRPr="00436BB1">
        <w:t>in</w:t>
      </w:r>
      <w:r w:rsidR="00E9794F" w:rsidRPr="00436BB1">
        <w:t xml:space="preserve"> 2020. </w:t>
      </w:r>
      <w:r>
        <w:t xml:space="preserve">According to climate scientists, </w:t>
      </w:r>
      <w:r w:rsidR="00E9794F" w:rsidRPr="00A56606">
        <w:t xml:space="preserve">current </w:t>
      </w:r>
      <w:r w:rsidR="00AE762B" w:rsidRPr="00A56606">
        <w:t xml:space="preserve">emission reduction </w:t>
      </w:r>
      <w:r w:rsidR="00E9794F" w:rsidRPr="00A56606">
        <w:t xml:space="preserve">commitments are likely to result in a global mean temperature rise of around 3°C by 2100, rather than the “well below 2°C” envisaged </w:t>
      </w:r>
      <w:r w:rsidR="00E9794F" w:rsidRPr="00255A7E">
        <w:t>under</w:t>
      </w:r>
      <w:r w:rsidR="00282420" w:rsidRPr="00436BB1">
        <w:t xml:space="preserve"> Paris (Rogelj </w:t>
      </w:r>
      <w:r w:rsidR="00282420" w:rsidRPr="005D3BA3">
        <w:rPr>
          <w:iCs/>
        </w:rPr>
        <w:t>et al.</w:t>
      </w:r>
      <w:r w:rsidR="00282420" w:rsidRPr="00436BB1">
        <w:t xml:space="preserve"> 2016).</w:t>
      </w:r>
    </w:p>
    <w:p w14:paraId="39A3575B" w14:textId="77777777" w:rsidR="005F6173" w:rsidRDefault="00D53A41" w:rsidP="005F6173">
      <w:pPr>
        <w:spacing w:line="480" w:lineRule="auto"/>
        <w:ind w:firstLine="720"/>
      </w:pPr>
      <w:r w:rsidRPr="00436BB1">
        <w:t>We observe that</w:t>
      </w:r>
      <w:r w:rsidR="000C554F" w:rsidRPr="00436BB1">
        <w:t xml:space="preserve"> national </w:t>
      </w:r>
      <w:r w:rsidR="00D75E54" w:rsidRPr="00436BB1">
        <w:t xml:space="preserve">climate </w:t>
      </w:r>
      <w:r w:rsidR="000C554F" w:rsidRPr="00436BB1">
        <w:t>action</w:t>
      </w:r>
      <w:r w:rsidR="00194B59" w:rsidRPr="00436BB1">
        <w:t xml:space="preserve"> </w:t>
      </w:r>
      <w:r w:rsidR="00D75E54" w:rsidRPr="00436BB1">
        <w:t xml:space="preserve">is </w:t>
      </w:r>
      <w:r w:rsidR="004B35CA" w:rsidRPr="00436BB1">
        <w:t>accelerating</w:t>
      </w:r>
      <w:r w:rsidR="00126914" w:rsidRPr="00436BB1">
        <w:t>. Between 1990 and 1999, only 110 laws and significant policies were passed that directly or indirectly addressed climate change. Between 2010 and 2019 th</w:t>
      </w:r>
      <w:r w:rsidR="00F013DE" w:rsidRPr="00436BB1">
        <w:t xml:space="preserve">e flow of new laws </w:t>
      </w:r>
      <w:r w:rsidR="00126914" w:rsidRPr="00436BB1">
        <w:t xml:space="preserve">had grown </w:t>
      </w:r>
      <w:r w:rsidR="00BA39F8" w:rsidRPr="00436BB1">
        <w:t xml:space="preserve">tenfold </w:t>
      </w:r>
      <w:r w:rsidR="00126914" w:rsidRPr="00436BB1">
        <w:t xml:space="preserve">to about 1,100 laws and policies. The total </w:t>
      </w:r>
      <w:r w:rsidR="00F013DE" w:rsidRPr="00436BB1">
        <w:t>stock</w:t>
      </w:r>
      <w:r w:rsidR="00126914" w:rsidRPr="00436BB1">
        <w:t xml:space="preserve"> of climate change laws and policies </w:t>
      </w:r>
      <w:r w:rsidR="00BA39F8" w:rsidRPr="00436BB1">
        <w:t xml:space="preserve">worldwide </w:t>
      </w:r>
      <w:r w:rsidR="00126914" w:rsidRPr="00436BB1">
        <w:t>now stands at 1,800 and continues to grow.</w:t>
      </w:r>
    </w:p>
    <w:p w14:paraId="49D5B9B6" w14:textId="77777777" w:rsidR="005F6173" w:rsidRDefault="008208A2" w:rsidP="005F6173">
      <w:pPr>
        <w:spacing w:line="480" w:lineRule="auto"/>
        <w:ind w:firstLine="720"/>
      </w:pPr>
      <w:r>
        <w:t>O</w:t>
      </w:r>
      <w:r w:rsidR="00A47C25" w:rsidRPr="00436BB1">
        <w:t xml:space="preserve">ur </w:t>
      </w:r>
      <w:r w:rsidR="00296192" w:rsidRPr="00436BB1">
        <w:t>awareness</w:t>
      </w:r>
      <w:r w:rsidR="00A47C25" w:rsidRPr="00436BB1">
        <w:t xml:space="preserve"> of</w:t>
      </w:r>
      <w:r w:rsidR="002F0058" w:rsidRPr="00436BB1">
        <w:t xml:space="preserve"> </w:t>
      </w:r>
      <w:r w:rsidR="000C554F" w:rsidRPr="00436BB1">
        <w:t>those</w:t>
      </w:r>
      <w:r w:rsidR="002F0058" w:rsidRPr="00436BB1">
        <w:t xml:space="preserve"> </w:t>
      </w:r>
      <w:r w:rsidR="007F06B3" w:rsidRPr="00436BB1">
        <w:t xml:space="preserve">initiatives </w:t>
      </w:r>
      <w:r w:rsidR="00A47C25" w:rsidRPr="00436BB1">
        <w:t>is improving</w:t>
      </w:r>
      <w:r>
        <w:t xml:space="preserve"> at the same time</w:t>
      </w:r>
      <w:r w:rsidR="00A47C25" w:rsidRPr="00436BB1">
        <w:t xml:space="preserve">. </w:t>
      </w:r>
      <w:r w:rsidR="00BA1068" w:rsidRPr="00436BB1">
        <w:t xml:space="preserve">In 2013, climate change legislation was tracked in just 33 countries (Townshend </w:t>
      </w:r>
      <w:r w:rsidR="00BA1068" w:rsidRPr="005F6173">
        <w:rPr>
          <w:iCs/>
        </w:rPr>
        <w:t>et al.</w:t>
      </w:r>
      <w:r w:rsidR="00BA1068" w:rsidRPr="00436BB1">
        <w:t xml:space="preserve"> 2013). By 2015 the number had risen to 66 countries </w:t>
      </w:r>
      <w:r w:rsidR="00BB0C1A" w:rsidRPr="00436BB1">
        <w:t xml:space="preserve">(Fankhauser </w:t>
      </w:r>
      <w:r w:rsidR="00BB0C1A" w:rsidRPr="005F6173">
        <w:rPr>
          <w:iCs/>
        </w:rPr>
        <w:t>et al.</w:t>
      </w:r>
      <w:r w:rsidR="00BB0C1A" w:rsidRPr="00436BB1">
        <w:t xml:space="preserve"> 201</w:t>
      </w:r>
      <w:r w:rsidR="00B2540B" w:rsidRPr="00436BB1">
        <w:t>5a, b</w:t>
      </w:r>
      <w:r w:rsidR="00BB0C1A" w:rsidRPr="00436BB1">
        <w:t>).</w:t>
      </w:r>
      <w:r w:rsidR="00A47C25" w:rsidRPr="00436BB1">
        <w:t xml:space="preserve"> </w:t>
      </w:r>
      <w:r w:rsidR="00DA11A5" w:rsidRPr="00436BB1">
        <w:t>Today</w:t>
      </w:r>
      <w:r w:rsidR="00BA1068" w:rsidRPr="00436BB1">
        <w:t xml:space="preserve"> coverage is global at the level of nation states. </w:t>
      </w:r>
      <w:r w:rsidR="008B0DA2" w:rsidRPr="00436BB1">
        <w:t xml:space="preserve">In the course of </w:t>
      </w:r>
      <w:r w:rsidR="00156868" w:rsidRPr="00436BB1">
        <w:t xml:space="preserve">the </w:t>
      </w:r>
      <w:r w:rsidR="008B0DA2" w:rsidRPr="00436BB1">
        <w:t>data gathering</w:t>
      </w:r>
      <w:r w:rsidR="00D82B43" w:rsidRPr="00436BB1">
        <w:t>,</w:t>
      </w:r>
      <w:r w:rsidR="008B0DA2" w:rsidRPr="00436BB1">
        <w:t xml:space="preserve"> </w:t>
      </w:r>
      <w:r w:rsidR="001E0ABF" w:rsidRPr="00436BB1">
        <w:t xml:space="preserve">understanding also grew about the breadth of actions that are relevant to climate change, which brought </w:t>
      </w:r>
      <w:r w:rsidR="001A7048" w:rsidRPr="00436BB1">
        <w:t>additional laws into the count. This was</w:t>
      </w:r>
      <w:r w:rsidR="00BA5B7F" w:rsidRPr="00436BB1">
        <w:t xml:space="preserve"> </w:t>
      </w:r>
      <w:r w:rsidR="001A7048" w:rsidRPr="00436BB1">
        <w:t xml:space="preserve">the case </w:t>
      </w:r>
      <w:r w:rsidR="000A6F10" w:rsidRPr="00436BB1">
        <w:t xml:space="preserve">especially </w:t>
      </w:r>
      <w:r w:rsidR="004D3639" w:rsidRPr="00436BB1">
        <w:t>for</w:t>
      </w:r>
      <w:r w:rsidR="001A7048" w:rsidRPr="00436BB1">
        <w:t xml:space="preserve"> </w:t>
      </w:r>
      <w:r w:rsidR="00BA5B7F" w:rsidRPr="00436BB1">
        <w:t>adaptation</w:t>
      </w:r>
      <w:r w:rsidR="001A7048" w:rsidRPr="00436BB1">
        <w:t xml:space="preserve"> laws</w:t>
      </w:r>
      <w:r w:rsidR="000E19CD" w:rsidRPr="00436BB1">
        <w:t>,</w:t>
      </w:r>
      <w:r w:rsidR="00BA5B7F" w:rsidRPr="00436BB1">
        <w:t xml:space="preserve"> where the delineation with related activities, such as disaster risk management, is </w:t>
      </w:r>
      <w:r w:rsidR="00B52058" w:rsidRPr="00436BB1">
        <w:t>necessarily fuzzy</w:t>
      </w:r>
      <w:r w:rsidR="00BA5B7F" w:rsidRPr="00436BB1">
        <w:t>.</w:t>
      </w:r>
      <w:r w:rsidR="00144803" w:rsidRPr="00436BB1">
        <w:t xml:space="preserve"> </w:t>
      </w:r>
    </w:p>
    <w:p w14:paraId="14B0D200" w14:textId="77777777" w:rsidR="005F6173" w:rsidRDefault="000412A8" w:rsidP="005F6173">
      <w:pPr>
        <w:spacing w:line="480" w:lineRule="auto"/>
        <w:ind w:firstLine="720"/>
      </w:pPr>
      <w:r w:rsidRPr="00436BB1">
        <w:t xml:space="preserve">Climate </w:t>
      </w:r>
      <w:r w:rsidR="00846BF8" w:rsidRPr="00436BB1">
        <w:t>legislation is an essential part of climate change governance, as</w:t>
      </w:r>
      <w:r w:rsidRPr="00436BB1">
        <w:t xml:space="preserve"> </w:t>
      </w:r>
      <w:r w:rsidR="00846BF8" w:rsidRPr="00436BB1">
        <w:t xml:space="preserve">successful </w:t>
      </w:r>
      <w:r w:rsidRPr="00436BB1">
        <w:t xml:space="preserve">action </w:t>
      </w:r>
      <w:r w:rsidR="00846BF8" w:rsidRPr="00436BB1">
        <w:t>against</w:t>
      </w:r>
      <w:r w:rsidRPr="00436BB1">
        <w:t xml:space="preserve"> climate change requires a legal basis</w:t>
      </w:r>
      <w:r w:rsidR="00261432" w:rsidRPr="00436BB1">
        <w:t xml:space="preserve">. </w:t>
      </w:r>
      <w:r w:rsidRPr="00436BB1">
        <w:t xml:space="preserve">Emissions pledges are not credible unless the targets, and the measures enacted to achieve them, are rooted in law. Although climate laws and </w:t>
      </w:r>
      <w:r w:rsidRPr="00436BB1">
        <w:lastRenderedPageBreak/>
        <w:t>policies vary greatly in scope and ambition</w:t>
      </w:r>
      <w:r w:rsidR="00144803" w:rsidRPr="00436BB1">
        <w:t xml:space="preserve"> (that is, at the intensive margin)</w:t>
      </w:r>
      <w:r w:rsidRPr="00436BB1">
        <w:t xml:space="preserve">, their growing number </w:t>
      </w:r>
      <w:r w:rsidR="00144803" w:rsidRPr="00436BB1">
        <w:t xml:space="preserve">(the extensive margin) </w:t>
      </w:r>
      <w:r w:rsidRPr="00436BB1">
        <w:t>is an important indicator of countries’ ambition on climate change.</w:t>
      </w:r>
    </w:p>
    <w:p w14:paraId="18308571" w14:textId="77777777" w:rsidR="005F6173" w:rsidRDefault="004D44C7" w:rsidP="005F6173">
      <w:pPr>
        <w:spacing w:line="480" w:lineRule="auto"/>
        <w:ind w:firstLine="720"/>
      </w:pPr>
      <w:r w:rsidRPr="00436BB1">
        <w:t xml:space="preserve">In addition to </w:t>
      </w:r>
      <w:r w:rsidR="00610A6F" w:rsidRPr="00436BB1">
        <w:t xml:space="preserve">the </w:t>
      </w:r>
      <w:r w:rsidRPr="00436BB1">
        <w:t>laws</w:t>
      </w:r>
      <w:r w:rsidR="00144803" w:rsidRPr="00436BB1">
        <w:t>, edicts</w:t>
      </w:r>
      <w:r w:rsidRPr="00436BB1">
        <w:t xml:space="preserve"> and policies passed by </w:t>
      </w:r>
      <w:r w:rsidR="00FA3734" w:rsidRPr="00436BB1">
        <w:t>e</w:t>
      </w:r>
      <w:r w:rsidRPr="00436BB1">
        <w:t xml:space="preserve">xecutive and </w:t>
      </w:r>
      <w:r w:rsidR="00FA3734" w:rsidRPr="00436BB1">
        <w:t>l</w:t>
      </w:r>
      <w:r w:rsidRPr="00436BB1">
        <w:t xml:space="preserve">egislative bodies, </w:t>
      </w:r>
      <w:r w:rsidR="00AB6FDA" w:rsidRPr="00436BB1">
        <w:t>we are observing</w:t>
      </w:r>
      <w:r w:rsidRPr="00436BB1">
        <w:t xml:space="preserve"> an increasing participation </w:t>
      </w:r>
      <w:r w:rsidR="00610A6F" w:rsidRPr="00436BB1">
        <w:t>by</w:t>
      </w:r>
      <w:r w:rsidRPr="00436BB1">
        <w:t xml:space="preserve"> the </w:t>
      </w:r>
      <w:r w:rsidR="00FA3734" w:rsidRPr="00436BB1">
        <w:t>j</w:t>
      </w:r>
      <w:r w:rsidRPr="00436BB1">
        <w:t>udiciary</w:t>
      </w:r>
      <w:r w:rsidR="00DE2BA4" w:rsidRPr="00436BB1">
        <w:t xml:space="preserve"> in the governance of climate change</w:t>
      </w:r>
      <w:r w:rsidR="00C16668" w:rsidRPr="00436BB1">
        <w:t xml:space="preserve">. </w:t>
      </w:r>
      <w:r w:rsidR="003305CD">
        <w:t>About</w:t>
      </w:r>
      <w:r w:rsidR="007C34C7" w:rsidRPr="00436BB1">
        <w:t xml:space="preserve"> </w:t>
      </w:r>
      <w:r w:rsidR="00A94102" w:rsidRPr="00436BB1">
        <w:t>1,</w:t>
      </w:r>
      <w:r w:rsidR="007C34C7" w:rsidRPr="00436BB1">
        <w:t>5</w:t>
      </w:r>
      <w:r w:rsidR="00A94102" w:rsidRPr="00436BB1">
        <w:t xml:space="preserve">00 climate change-related court cases have </w:t>
      </w:r>
      <w:r w:rsidR="001F4A64">
        <w:t>so far</w:t>
      </w:r>
      <w:r w:rsidR="001F4A64" w:rsidRPr="00436BB1">
        <w:t xml:space="preserve"> </w:t>
      </w:r>
      <w:r w:rsidR="00A94102" w:rsidRPr="00436BB1">
        <w:t xml:space="preserve">been </w:t>
      </w:r>
      <w:r w:rsidR="001F4A64">
        <w:t>identified</w:t>
      </w:r>
      <w:r w:rsidR="001F4A64" w:rsidRPr="00436BB1">
        <w:t xml:space="preserve"> </w:t>
      </w:r>
      <w:r w:rsidR="00A94102" w:rsidRPr="00436BB1">
        <w:t>worldwide</w:t>
      </w:r>
      <w:r w:rsidR="006A4917" w:rsidRPr="00436BB1">
        <w:t xml:space="preserve">, </w:t>
      </w:r>
      <w:r w:rsidR="000B28D2">
        <w:t xml:space="preserve">three quarters </w:t>
      </w:r>
      <w:r w:rsidR="00A94102" w:rsidRPr="00436BB1">
        <w:t xml:space="preserve">of which in the United States.  </w:t>
      </w:r>
    </w:p>
    <w:p w14:paraId="25D233CD" w14:textId="77777777" w:rsidR="005F6173" w:rsidRDefault="00FA3734" w:rsidP="005F6173">
      <w:pPr>
        <w:spacing w:line="480" w:lineRule="auto"/>
        <w:ind w:firstLine="720"/>
      </w:pPr>
      <w:r w:rsidRPr="00436BB1">
        <w:t xml:space="preserve">The relationship between climate legislation and litigation is still unclear (Setzer </w:t>
      </w:r>
      <w:r w:rsidR="00610A6F" w:rsidRPr="00436BB1">
        <w:t xml:space="preserve">and </w:t>
      </w:r>
      <w:r w:rsidRPr="00436BB1">
        <w:t>Vanhala 2019)</w:t>
      </w:r>
      <w:r w:rsidR="00894CEA" w:rsidRPr="00436BB1">
        <w:t>, but broadly the</w:t>
      </w:r>
      <w:r w:rsidR="00BF607E" w:rsidRPr="00436BB1">
        <w:t xml:space="preserve"> two</w:t>
      </w:r>
      <w:r w:rsidR="00894CEA" w:rsidRPr="00436BB1">
        <w:t xml:space="preserve"> appear to</w:t>
      </w:r>
      <w:r w:rsidR="00846BF8" w:rsidRPr="00436BB1">
        <w:t xml:space="preserve"> </w:t>
      </w:r>
      <w:r w:rsidR="00144803" w:rsidRPr="00436BB1">
        <w:t>serve</w:t>
      </w:r>
      <w:r w:rsidR="00894CEA" w:rsidRPr="00436BB1">
        <w:t xml:space="preserve"> complement</w:t>
      </w:r>
      <w:r w:rsidR="00846BF8" w:rsidRPr="00436BB1">
        <w:t>ary</w:t>
      </w:r>
      <w:r w:rsidR="007041DB" w:rsidRPr="00436BB1">
        <w:t xml:space="preserve"> function</w:t>
      </w:r>
      <w:r w:rsidR="00144803" w:rsidRPr="00436BB1">
        <w:t>s</w:t>
      </w:r>
      <w:r w:rsidR="00894CEA" w:rsidRPr="00436BB1">
        <w:t>.</w:t>
      </w:r>
      <w:r w:rsidR="001F4A64" w:rsidRPr="00436BB1">
        <w:t xml:space="preserve"> </w:t>
      </w:r>
      <w:r w:rsidR="001D6556">
        <w:t>T</w:t>
      </w:r>
      <w:r w:rsidR="001D6556" w:rsidRPr="00436BB1">
        <w:t>he judiciary is</w:t>
      </w:r>
      <w:r w:rsidR="001D6556">
        <w:t xml:space="preserve"> </w:t>
      </w:r>
      <w:r w:rsidR="001D6556" w:rsidRPr="00436BB1">
        <w:t>implementing government policy prescriptions, interpreting climate legislation and filling enforcement gaps</w:t>
      </w:r>
      <w:r w:rsidR="001D6556">
        <w:t xml:space="preserve">. </w:t>
      </w:r>
      <w:r w:rsidR="00A94102" w:rsidRPr="00436BB1">
        <w:t xml:space="preserve">While </w:t>
      </w:r>
      <w:r w:rsidR="00894CEA" w:rsidRPr="00436BB1">
        <w:t>“</w:t>
      </w:r>
      <w:r w:rsidR="00A94102" w:rsidRPr="00436BB1">
        <w:t>r</w:t>
      </w:r>
      <w:r w:rsidR="00894CEA" w:rsidRPr="00436BB1">
        <w:t xml:space="preserve">egulation through litigation” can compensate for deficits in the </w:t>
      </w:r>
      <w:r w:rsidRPr="00436BB1">
        <w:t>volume or quality of legislation</w:t>
      </w:r>
      <w:r w:rsidR="00894CEA" w:rsidRPr="00436BB1">
        <w:t xml:space="preserve">, </w:t>
      </w:r>
      <w:r w:rsidR="00A94102" w:rsidRPr="00436BB1">
        <w:t>the judiciary</w:t>
      </w:r>
      <w:r w:rsidR="00912A54">
        <w:t xml:space="preserve"> </w:t>
      </w:r>
      <w:r w:rsidR="002455DF">
        <w:t>is</w:t>
      </w:r>
      <w:r w:rsidR="001D6556">
        <w:t xml:space="preserve"> </w:t>
      </w:r>
      <w:r w:rsidR="003305CD">
        <w:t xml:space="preserve">also </w:t>
      </w:r>
      <w:r w:rsidR="001D6556">
        <w:t xml:space="preserve">mobilized </w:t>
      </w:r>
      <w:r w:rsidRPr="00436BB1">
        <w:t xml:space="preserve">in </w:t>
      </w:r>
      <w:r w:rsidR="00A94102" w:rsidRPr="00436BB1">
        <w:t>countries</w:t>
      </w:r>
      <w:r w:rsidRPr="00436BB1">
        <w:t xml:space="preserve"> with </w:t>
      </w:r>
      <w:r w:rsidR="00846BF8" w:rsidRPr="00436BB1">
        <w:t>progressive</w:t>
      </w:r>
      <w:r w:rsidRPr="00436BB1">
        <w:t xml:space="preserve"> climate change legislation. </w:t>
      </w:r>
      <w:r w:rsidR="001D6556">
        <w:t>In fact, l</w:t>
      </w:r>
      <w:r w:rsidR="000A3CA6" w:rsidRPr="00436BB1">
        <w:t>egal</w:t>
      </w:r>
      <w:r w:rsidRPr="00436BB1">
        <w:t xml:space="preserve"> mobilization </w:t>
      </w:r>
      <w:r w:rsidR="00DD733C" w:rsidRPr="00436BB1">
        <w:t>for climate change</w:t>
      </w:r>
      <w:r w:rsidR="005F6173">
        <w:t>—</w:t>
      </w:r>
      <w:r w:rsidR="00A836D3" w:rsidRPr="00436BB1">
        <w:t xml:space="preserve">using the </w:t>
      </w:r>
      <w:r w:rsidR="001E0ABF" w:rsidRPr="00436BB1">
        <w:t>courts</w:t>
      </w:r>
      <w:r w:rsidR="00A836D3" w:rsidRPr="00436BB1">
        <w:t xml:space="preserve"> and legal techniques as an instrument for obtaining wider collective objectives</w:t>
      </w:r>
      <w:r w:rsidR="005F6173">
        <w:t>—</w:t>
      </w:r>
      <w:r w:rsidR="001D6556">
        <w:t xml:space="preserve">often occurs </w:t>
      </w:r>
      <w:r w:rsidR="00041692" w:rsidRPr="00436BB1">
        <w:t>combin</w:t>
      </w:r>
      <w:r w:rsidR="00DD733C" w:rsidRPr="00436BB1">
        <w:t>ation</w:t>
      </w:r>
      <w:r w:rsidR="00041692" w:rsidRPr="00436BB1">
        <w:t xml:space="preserve"> with other forms of mobilization, such as </w:t>
      </w:r>
      <w:r w:rsidRPr="00436BB1">
        <w:t>legislative activity</w:t>
      </w:r>
      <w:r w:rsidR="00041692" w:rsidRPr="00436BB1">
        <w:t>,</w:t>
      </w:r>
      <w:r w:rsidR="001E0ABF" w:rsidRPr="00436BB1">
        <w:t xml:space="preserve"> </w:t>
      </w:r>
      <w:r w:rsidR="00144803" w:rsidRPr="00436BB1">
        <w:t xml:space="preserve">but also </w:t>
      </w:r>
      <w:r w:rsidR="001E0ABF" w:rsidRPr="00436BB1">
        <w:t>political pressure and</w:t>
      </w:r>
      <w:r w:rsidRPr="00436BB1">
        <w:t xml:space="preserve"> </w:t>
      </w:r>
      <w:r w:rsidR="00846BF8" w:rsidRPr="00436BB1">
        <w:t xml:space="preserve">grassroots activism </w:t>
      </w:r>
      <w:r w:rsidR="0050516F" w:rsidRPr="00A56606">
        <w:t>(Setzer and Vanhala, 2019)</w:t>
      </w:r>
      <w:r w:rsidRPr="00A56606">
        <w:t>.</w:t>
      </w:r>
    </w:p>
    <w:p w14:paraId="4D79B94C" w14:textId="5D3FA833" w:rsidR="001E0933" w:rsidRDefault="004305A0" w:rsidP="005F6173">
      <w:pPr>
        <w:spacing w:line="480" w:lineRule="auto"/>
        <w:ind w:firstLine="720"/>
      </w:pPr>
      <w:r w:rsidRPr="00255A7E">
        <w:t>One of the best to</w:t>
      </w:r>
      <w:r w:rsidRPr="00436BB1">
        <w:t xml:space="preserve">ols for tracking global trends in </w:t>
      </w:r>
      <w:r w:rsidR="00387070" w:rsidRPr="00436BB1">
        <w:t>climate change policy</w:t>
      </w:r>
      <w:r w:rsidR="00004B94" w:rsidRPr="00436BB1">
        <w:t>,</w:t>
      </w:r>
      <w:r w:rsidR="00387070" w:rsidRPr="00436BB1">
        <w:t xml:space="preserve"> legislation</w:t>
      </w:r>
      <w:r w:rsidR="00D874EE" w:rsidRPr="00436BB1">
        <w:t xml:space="preserve"> </w:t>
      </w:r>
      <w:r w:rsidR="00004B94" w:rsidRPr="00436BB1">
        <w:t xml:space="preserve">and litigation </w:t>
      </w:r>
      <w:r w:rsidR="00D874EE" w:rsidRPr="00436BB1">
        <w:t>is</w:t>
      </w:r>
      <w:r w:rsidRPr="00436BB1">
        <w:t xml:space="preserve"> </w:t>
      </w:r>
      <w:r w:rsidR="00387070" w:rsidRPr="00436BB1">
        <w:rPr>
          <w:i/>
        </w:rPr>
        <w:t>Climate Change Laws of the World</w:t>
      </w:r>
      <w:r w:rsidR="00DD2A39" w:rsidRPr="00436BB1">
        <w:t xml:space="preserve"> (CCLW),</w:t>
      </w:r>
      <w:r w:rsidRPr="00436BB1">
        <w:t xml:space="preserve"> a </w:t>
      </w:r>
      <w:r w:rsidR="00172BA7" w:rsidRPr="00436BB1">
        <w:t xml:space="preserve">searchable, publicly accessible database </w:t>
      </w:r>
      <w:r w:rsidR="00CC4A95" w:rsidRPr="00436BB1">
        <w:t xml:space="preserve">created and maintained </w:t>
      </w:r>
      <w:r w:rsidR="00387070" w:rsidRPr="00436BB1">
        <w:t xml:space="preserve">by the Grantham Research Institute </w:t>
      </w:r>
      <w:r w:rsidR="0082265B" w:rsidRPr="00436BB1">
        <w:t xml:space="preserve">on Climate Change and the Environment </w:t>
      </w:r>
      <w:r w:rsidR="00387070" w:rsidRPr="00436BB1">
        <w:t>at the London School of Economics.</w:t>
      </w:r>
      <w:bookmarkEnd w:id="4"/>
      <w:bookmarkEnd w:id="6"/>
      <w:bookmarkEnd w:id="7"/>
      <w:r w:rsidR="001E0933" w:rsidRPr="00A56606">
        <w:rPr>
          <w:rStyle w:val="EndnoteReference"/>
        </w:rPr>
        <w:endnoteReference w:id="2"/>
      </w:r>
      <w:r w:rsidR="001E0933" w:rsidRPr="00A56606">
        <w:t xml:space="preserve"> </w:t>
      </w:r>
      <w:r w:rsidR="001E0933" w:rsidRPr="00A56606">
        <w:rPr>
          <w:rStyle w:val="EndnoteReference"/>
        </w:rPr>
        <w:endnoteReference w:id="3"/>
      </w:r>
      <w:r w:rsidR="001E0933" w:rsidRPr="00A56606">
        <w:t xml:space="preserve"> The database is a joint initiative with the Sabin Centre for Climate Change Law at Columbia Law School</w:t>
      </w:r>
      <w:r w:rsidR="001E0933" w:rsidRPr="00255A7E">
        <w:t>. At</w:t>
      </w:r>
      <w:r w:rsidR="001E0933" w:rsidRPr="00436BB1">
        <w:t xml:space="preserve"> the end of 2019 it featured 1,800 climate laws in 198 jurisdictions, alongside 3</w:t>
      </w:r>
      <w:r w:rsidR="001E0933">
        <w:t>55</w:t>
      </w:r>
      <w:r w:rsidR="001E0933" w:rsidRPr="00436BB1">
        <w:t xml:space="preserve"> court cases in 3</w:t>
      </w:r>
      <w:r w:rsidR="001E0933">
        <w:t>6</w:t>
      </w:r>
      <w:r w:rsidR="001E0933" w:rsidRPr="00436BB1">
        <w:t xml:space="preserve"> </w:t>
      </w:r>
      <w:r w:rsidR="001E0933">
        <w:t>jurisdictions</w:t>
      </w:r>
      <w:r w:rsidR="001E0933" w:rsidRPr="00436BB1">
        <w:t>.</w:t>
      </w:r>
      <w:r w:rsidR="001E0933" w:rsidRPr="00A56606">
        <w:rPr>
          <w:rStyle w:val="EndnoteReference"/>
        </w:rPr>
        <w:endnoteReference w:id="4"/>
      </w:r>
      <w:r w:rsidR="001E0933" w:rsidRPr="00A56606">
        <w:t xml:space="preserve"> The aim is </w:t>
      </w:r>
      <w:r w:rsidR="001E0933" w:rsidRPr="00A56606">
        <w:lastRenderedPageBreak/>
        <w:t>to provide transparency about the actions of individual</w:t>
      </w:r>
      <w:r w:rsidR="001E0933" w:rsidRPr="00255A7E">
        <w:t xml:space="preserve"> countries in addressing </w:t>
      </w:r>
      <w:r w:rsidR="001E0933" w:rsidRPr="00436BB1">
        <w:t>global climate change, the ultimate collective action problem.</w:t>
      </w:r>
    </w:p>
    <w:p w14:paraId="6C774919" w14:textId="77777777" w:rsidR="001E0933" w:rsidRDefault="001E0933" w:rsidP="005F6173">
      <w:pPr>
        <w:spacing w:line="480" w:lineRule="auto"/>
        <w:ind w:firstLine="720"/>
      </w:pPr>
      <w:r w:rsidRPr="00436BB1">
        <w:t xml:space="preserve">This paper uses CCLW to </w:t>
      </w:r>
      <w:r w:rsidRPr="00A56606">
        <w:t xml:space="preserve">analyze patterns and trends in </w:t>
      </w:r>
      <w:r w:rsidRPr="00436BB1">
        <w:t>national climate change legislation and litigation over the past 30 years. It provides an overview of what countries are already doing</w:t>
      </w:r>
      <w:r>
        <w:t>—</w:t>
      </w:r>
      <w:r w:rsidRPr="00436BB1">
        <w:t>and what countries that are not yet doing it could potentially do</w:t>
      </w:r>
      <w:r>
        <w:t>—</w:t>
      </w:r>
      <w:r w:rsidRPr="00436BB1">
        <w:t xml:space="preserve">to implement the objectives of the Paris Agreement. We look at the contribution of governments (the executive), parliaments (the legislature) and courts (the judiciary).  </w:t>
      </w:r>
    </w:p>
    <w:p w14:paraId="39148C6E" w14:textId="77777777" w:rsidR="001E0933" w:rsidRDefault="001E0933" w:rsidP="002231A6">
      <w:pPr>
        <w:spacing w:line="480" w:lineRule="auto"/>
        <w:ind w:firstLine="720"/>
      </w:pPr>
      <w:r w:rsidRPr="00436BB1">
        <w:t>Our interest is in high-level patterns. We do not aspire to provide detailed case studies or carefully identified statistical relationships. There is an emerging literature that is aiming to do this (cited below). We restrict ourselves to a few simple statistics and correlations. The data reveal that global legislative activity peaked before the Paris Agreement</w:t>
      </w:r>
      <w:r>
        <w:t xml:space="preserve"> in around 2009–14</w:t>
      </w:r>
      <w:r w:rsidRPr="00436BB1">
        <w:t xml:space="preserve">. We find that climate change legislation is </w:t>
      </w:r>
      <w:r>
        <w:t>in most countries a bipartisan concern</w:t>
      </w:r>
      <w:r w:rsidRPr="00436BB1">
        <w:t xml:space="preserve"> and that legislative activity decreases in times of economic difficulty. The UK and South Korea are the most comprehensive legislators among the G20</w:t>
      </w:r>
      <w:r>
        <w:t>,</w:t>
      </w:r>
      <w:r w:rsidRPr="00436BB1">
        <w:t xml:space="preserve"> and Spain is the most comprehensive legislator within the OECD. Where courts have got involved, judges outside the US have ruled in favor of enhanced climate protection in</w:t>
      </w:r>
      <w:r>
        <w:t xml:space="preserve"> about half of the </w:t>
      </w:r>
      <w:r w:rsidRPr="00436BB1">
        <w:t>cases.</w:t>
      </w:r>
    </w:p>
    <w:p w14:paraId="059274A8" w14:textId="645C18C6" w:rsidR="001E0933" w:rsidRPr="00436BB1" w:rsidRDefault="001E0933" w:rsidP="002231A6">
      <w:pPr>
        <w:spacing w:line="480" w:lineRule="auto"/>
        <w:ind w:firstLine="720"/>
      </w:pPr>
      <w:r w:rsidRPr="00436BB1">
        <w:t xml:space="preserve">The next section briefly introduces the CCLW database, including its history, scope, shortcomings and a few descriptive statistics. Section 3 discusses some key findings that may be gleaned from the data.  Section 4 concludes. </w:t>
      </w:r>
    </w:p>
    <w:p w14:paraId="43F9F222" w14:textId="77777777" w:rsidR="001E0933" w:rsidRPr="00436BB1" w:rsidRDefault="001E0933" w:rsidP="002231A6">
      <w:pPr>
        <w:spacing w:line="480" w:lineRule="auto"/>
        <w:ind w:firstLine="360"/>
        <w:jc w:val="both"/>
      </w:pPr>
    </w:p>
    <w:p w14:paraId="7FD52FE0" w14:textId="13E9D66E" w:rsidR="001E0933" w:rsidRPr="002231A6" w:rsidRDefault="001E0933" w:rsidP="002231A6">
      <w:pPr>
        <w:pStyle w:val="Heading1"/>
        <w:keepNext/>
        <w:keepLines/>
        <w:pageBreakBefore w:val="0"/>
        <w:numPr>
          <w:ilvl w:val="0"/>
          <w:numId w:val="37"/>
        </w:numPr>
        <w:tabs>
          <w:tab w:val="left" w:pos="360"/>
        </w:tabs>
        <w:autoSpaceDE/>
        <w:autoSpaceDN/>
        <w:adjustRightInd/>
        <w:spacing w:after="0" w:line="480" w:lineRule="auto"/>
        <w:ind w:left="-90" w:firstLine="90"/>
        <w:rPr>
          <w:rFonts w:eastAsiaTheme="majorEastAsia" w:cs="Times New Roman"/>
          <w:b/>
          <w:bCs/>
          <w:sz w:val="24"/>
          <w:szCs w:val="28"/>
        </w:rPr>
      </w:pPr>
      <w:r w:rsidRPr="002231A6">
        <w:rPr>
          <w:rFonts w:eastAsiaTheme="majorEastAsia" w:cs="Times New Roman"/>
          <w:b/>
          <w:bCs/>
          <w:sz w:val="24"/>
          <w:szCs w:val="28"/>
        </w:rPr>
        <w:lastRenderedPageBreak/>
        <w:t xml:space="preserve">The </w:t>
      </w:r>
      <w:r w:rsidRPr="002231A6">
        <w:rPr>
          <w:rFonts w:eastAsiaTheme="majorEastAsia" w:cs="Times New Roman"/>
          <w:b/>
          <w:bCs/>
          <w:i/>
          <w:iCs/>
          <w:sz w:val="24"/>
          <w:szCs w:val="28"/>
        </w:rPr>
        <w:t>Climate Change Laws of the World</w:t>
      </w:r>
      <w:r w:rsidRPr="002231A6">
        <w:rPr>
          <w:rFonts w:eastAsiaTheme="majorEastAsia" w:cs="Times New Roman"/>
          <w:b/>
          <w:bCs/>
          <w:sz w:val="24"/>
          <w:szCs w:val="28"/>
        </w:rPr>
        <w:t xml:space="preserve"> Database</w:t>
      </w:r>
    </w:p>
    <w:p w14:paraId="3C706F05" w14:textId="38C2487E" w:rsidR="001E0933" w:rsidRPr="00436BB1" w:rsidRDefault="001E0933" w:rsidP="002231A6">
      <w:pPr>
        <w:pStyle w:val="Heading2"/>
        <w:keepNext/>
        <w:keepLines/>
        <w:spacing w:after="0" w:line="480" w:lineRule="auto"/>
        <w:jc w:val="both"/>
        <w:rPr>
          <w:rFonts w:eastAsiaTheme="majorEastAsia"/>
          <w:bCs/>
          <w:i/>
          <w:noProof/>
          <w:szCs w:val="26"/>
        </w:rPr>
      </w:pPr>
      <w:r w:rsidRPr="00436BB1">
        <w:rPr>
          <w:rFonts w:eastAsiaTheme="majorEastAsia"/>
          <w:bCs/>
          <w:i/>
          <w:noProof/>
          <w:szCs w:val="26"/>
        </w:rPr>
        <w:t>2.1 Background</w:t>
      </w:r>
    </w:p>
    <w:p w14:paraId="4AEDBEC1" w14:textId="77777777" w:rsidR="001E0933" w:rsidRDefault="001E0933" w:rsidP="00907AE8">
      <w:pPr>
        <w:spacing w:line="480" w:lineRule="auto"/>
        <w:ind w:firstLine="720"/>
      </w:pPr>
      <w:r w:rsidRPr="00436BB1">
        <w:t xml:space="preserve">The </w:t>
      </w:r>
      <w:r w:rsidRPr="00436BB1">
        <w:rPr>
          <w:i/>
        </w:rPr>
        <w:t>Climate Change Laws of the World</w:t>
      </w:r>
      <w:r w:rsidRPr="00436BB1">
        <w:t xml:space="preserve"> database has been compiled over a decade with the help of international partners such as the Inter-Parliamentary Union (IPU), the global organization of national parliaments, and the Global Legislators Organization for a Balanced Environment (GLOBE), an international legislators’ forum.  The impetus for the initiative was a desire to document national climate action following the 2009 Copenhagen summit and debunk the myth that each country was acting alone (Townshend </w:t>
      </w:r>
      <w:r w:rsidRPr="00907AE8">
        <w:rPr>
          <w:iCs/>
        </w:rPr>
        <w:t>et al.</w:t>
      </w:r>
      <w:r w:rsidRPr="00436BB1">
        <w:t xml:space="preserve"> 2011). Over the years, reporting grew from a handful of major emitters to global coverage. Collaboration with the Sabin Center on Climate Change Law at Columbia Law School from 2015 onward (when the database acquired its current name) allowed the extension of the database from climate change legislation to climate change litigation.</w:t>
      </w:r>
    </w:p>
    <w:p w14:paraId="5A934FF7" w14:textId="77777777" w:rsidR="001E0933" w:rsidRDefault="001E0933" w:rsidP="00907AE8">
      <w:pPr>
        <w:spacing w:line="480" w:lineRule="auto"/>
        <w:ind w:firstLine="720"/>
      </w:pPr>
      <w:r w:rsidRPr="00436BB1">
        <w:t>Data are collected in real time from official sources such as government websites, parliamentary records and court documents. There is an internal protocol to ensure new entries conform with CCLW’s definition and interpretation of what constitutes climate change legislation and litigation. Most entries contain a link to the actual text of the law or the filing and court decision.</w:t>
      </w:r>
    </w:p>
    <w:p w14:paraId="4C6DA05A" w14:textId="35C1A36A" w:rsidR="001E0933" w:rsidRPr="00436BB1" w:rsidRDefault="001E0933" w:rsidP="00907AE8">
      <w:pPr>
        <w:spacing w:line="480" w:lineRule="auto"/>
        <w:ind w:firstLine="720"/>
      </w:pPr>
      <w:r w:rsidRPr="00436BB1">
        <w:t xml:space="preserve">This is the first academic synthesis of the main patterns and trends that the CCLW data reveal. So far, the data have mostly served to assess global progress in adopting climate policies (Dubash </w:t>
      </w:r>
      <w:r w:rsidRPr="00907AE8">
        <w:rPr>
          <w:iCs/>
        </w:rPr>
        <w:t>et al.</w:t>
      </w:r>
      <w:r w:rsidRPr="00436BB1">
        <w:t xml:space="preserve"> 2013; Iacobuta </w:t>
      </w:r>
      <w:r w:rsidRPr="00907AE8">
        <w:rPr>
          <w:iCs/>
        </w:rPr>
        <w:t>et al.</w:t>
      </w:r>
      <w:r w:rsidRPr="00436BB1">
        <w:t xml:space="preserve"> 2018; Townshend </w:t>
      </w:r>
      <w:r w:rsidRPr="00907AE8">
        <w:rPr>
          <w:iCs/>
        </w:rPr>
        <w:t>et al.</w:t>
      </w:r>
      <w:r w:rsidRPr="00436BB1">
        <w:t xml:space="preserve"> 2013), understand the political economy of passing climate laws (Fankhauser </w:t>
      </w:r>
      <w:r w:rsidRPr="00907AE8">
        <w:rPr>
          <w:iCs/>
        </w:rPr>
        <w:t>et al.</w:t>
      </w:r>
      <w:r w:rsidRPr="00436BB1">
        <w:t xml:space="preserve"> 2015a, b), identify good practice in climate change governance (Averchenkova </w:t>
      </w:r>
      <w:r w:rsidRPr="00907AE8">
        <w:rPr>
          <w:iCs/>
        </w:rPr>
        <w:t>et al.</w:t>
      </w:r>
      <w:r w:rsidRPr="00436BB1">
        <w:t xml:space="preserve"> 2017; Jordan </w:t>
      </w:r>
      <w:r w:rsidRPr="00436BB1">
        <w:rPr>
          <w:i/>
          <w:iCs/>
        </w:rPr>
        <w:t>et al.</w:t>
      </w:r>
      <w:r w:rsidRPr="00436BB1">
        <w:t xml:space="preserve"> 2018) and assess the environmental impact of climate legislation (Eskander and Fankhauser 2020). The litigation data have been </w:t>
      </w:r>
      <w:r w:rsidRPr="00436BB1">
        <w:lastRenderedPageBreak/>
        <w:t xml:space="preserve">used to assess trends in climate litigation (Burger </w:t>
      </w:r>
      <w:r w:rsidRPr="00907AE8">
        <w:rPr>
          <w:iCs/>
        </w:rPr>
        <w:t>et al.</w:t>
      </w:r>
      <w:r w:rsidRPr="00436BB1">
        <w:t xml:space="preserve"> 2017; </w:t>
      </w:r>
      <w:r>
        <w:t xml:space="preserve">Setzer and Bangalore 2017; </w:t>
      </w:r>
      <w:r w:rsidRPr="00436BB1">
        <w:t xml:space="preserve">Wilensky 2015) and to analyze particular aspects of climate litigation, such as litigation in the financial sector (Solana 2020) and in the Global South (Peel and Lin 2019; Setzer and Benjamin 2019). </w:t>
      </w:r>
    </w:p>
    <w:p w14:paraId="154CA77E" w14:textId="77777777" w:rsidR="001E0933" w:rsidRPr="00436BB1" w:rsidRDefault="001E0933" w:rsidP="00907AE8">
      <w:pPr>
        <w:spacing w:line="480" w:lineRule="auto"/>
        <w:ind w:firstLine="360"/>
        <w:jc w:val="both"/>
      </w:pPr>
    </w:p>
    <w:p w14:paraId="60016B63" w14:textId="40E646CF" w:rsidR="001E0933" w:rsidRPr="00436BB1" w:rsidRDefault="001E0933" w:rsidP="00907AE8">
      <w:pPr>
        <w:pStyle w:val="Heading2"/>
        <w:keepNext/>
        <w:keepLines/>
        <w:spacing w:after="0" w:line="480" w:lineRule="auto"/>
        <w:jc w:val="both"/>
        <w:rPr>
          <w:rFonts w:eastAsiaTheme="majorEastAsia"/>
          <w:bCs/>
          <w:i/>
          <w:noProof/>
          <w:szCs w:val="26"/>
        </w:rPr>
      </w:pPr>
      <w:r w:rsidRPr="00436BB1">
        <w:rPr>
          <w:rFonts w:eastAsiaTheme="majorEastAsia"/>
          <w:bCs/>
          <w:i/>
          <w:noProof/>
          <w:szCs w:val="26"/>
        </w:rPr>
        <w:t xml:space="preserve">2.2 Climate change legislation </w:t>
      </w:r>
    </w:p>
    <w:p w14:paraId="3ECBF8AA" w14:textId="77777777" w:rsidR="001E0933" w:rsidRDefault="001E0933" w:rsidP="00DF58B6">
      <w:pPr>
        <w:spacing w:line="480" w:lineRule="auto"/>
        <w:ind w:firstLine="720"/>
      </w:pPr>
      <w:r w:rsidRPr="00436BB1">
        <w:t xml:space="preserve">The main part of the CCLW database concerns climate change legislation. The legislation database aspires to be a globally comprehensive record of legislation activities in 198 jurisdictions (197 countries and territories, plus the European Union as a block). It adopts a broad definition of climate legislation, including legislative acts, executive orders and policies of equivalent importance. Legislative acts, passed by parliaments, account for about 40 percent of entries and executive orders and policies, issued by governments, for about 60 percent (see Table 1). For simplicity, we refer to all these interventions as “laws”. </w:t>
      </w:r>
    </w:p>
    <w:p w14:paraId="1CC69916" w14:textId="320F6B86" w:rsidR="001E0933" w:rsidRPr="00436BB1" w:rsidRDefault="001E0933" w:rsidP="00DF58B6">
      <w:pPr>
        <w:spacing w:line="480" w:lineRule="auto"/>
        <w:ind w:firstLine="720"/>
      </w:pPr>
      <w:r w:rsidRPr="00436BB1">
        <w:t xml:space="preserve">The </w:t>
      </w:r>
      <w:r w:rsidRPr="00436BB1">
        <w:rPr>
          <w:color w:val="000000"/>
        </w:rPr>
        <w:t xml:space="preserve">laws included in CCLW either specifically refer to climate change or promote the sectoral measures required to reduce emissions and </w:t>
      </w:r>
      <w:r>
        <w:rPr>
          <w:color w:val="000000"/>
        </w:rPr>
        <w:t>increase</w:t>
      </w:r>
      <w:r w:rsidRPr="00436BB1">
        <w:rPr>
          <w:color w:val="000000"/>
        </w:rPr>
        <w:t xml:space="preserve"> climate resilience.  As such, t</w:t>
      </w:r>
      <w:r w:rsidRPr="00436BB1">
        <w:t>he database covers the full range of interventions that is relevant to climate change, including:</w:t>
      </w:r>
    </w:p>
    <w:p w14:paraId="74669D71" w14:textId="1D02188A" w:rsidR="001E0933" w:rsidRPr="00436BB1" w:rsidRDefault="001E0933" w:rsidP="00907AE8">
      <w:pPr>
        <w:pStyle w:val="ListParagraph"/>
        <w:numPr>
          <w:ilvl w:val="0"/>
          <w:numId w:val="19"/>
        </w:numPr>
        <w:spacing w:line="480" w:lineRule="auto"/>
      </w:pPr>
      <w:r w:rsidRPr="00436BB1">
        <w:t xml:space="preserve">overarching policies like carbon pricing schemes (e.g., New Zealand’s </w:t>
      </w:r>
      <w:r w:rsidRPr="00436BB1">
        <w:rPr>
          <w:i/>
        </w:rPr>
        <w:t>Climate Change Response (Emissions Trading) Amendment</w:t>
      </w:r>
      <w:r w:rsidRPr="00436BB1">
        <w:t>),</w:t>
      </w:r>
    </w:p>
    <w:p w14:paraId="76180C9A" w14:textId="77777777" w:rsidR="001E0933" w:rsidRPr="00436BB1" w:rsidRDefault="001E0933" w:rsidP="00907AE8">
      <w:pPr>
        <w:pStyle w:val="ListParagraph"/>
        <w:numPr>
          <w:ilvl w:val="0"/>
          <w:numId w:val="19"/>
        </w:numPr>
        <w:spacing w:line="480" w:lineRule="auto"/>
      </w:pPr>
      <w:r w:rsidRPr="00436BB1">
        <w:t xml:space="preserve">energy sector policies (e.g., Germany’s </w:t>
      </w:r>
      <w:r w:rsidRPr="00436BB1">
        <w:rPr>
          <w:i/>
        </w:rPr>
        <w:t>Renewable Energy Sources Act</w:t>
      </w:r>
      <w:r w:rsidRPr="00436BB1">
        <w:t xml:space="preserve">), </w:t>
      </w:r>
    </w:p>
    <w:p w14:paraId="6CA432BE" w14:textId="25392986" w:rsidR="001E0933" w:rsidRPr="00436BB1" w:rsidRDefault="001E0933" w:rsidP="00907AE8">
      <w:pPr>
        <w:pStyle w:val="ListParagraph"/>
        <w:numPr>
          <w:ilvl w:val="0"/>
          <w:numId w:val="19"/>
        </w:numPr>
        <w:spacing w:line="480" w:lineRule="auto"/>
      </w:pPr>
      <w:r w:rsidRPr="00436BB1">
        <w:t xml:space="preserve">transport interventions (e.g., Brazil’s </w:t>
      </w:r>
      <w:r w:rsidRPr="00436BB1">
        <w:rPr>
          <w:i/>
        </w:rPr>
        <w:t>Mandatory Biodiesel Requirements</w:t>
      </w:r>
      <w:r w:rsidRPr="00436BB1">
        <w:t>),</w:t>
      </w:r>
    </w:p>
    <w:p w14:paraId="222E05B7" w14:textId="3EA0AFB9" w:rsidR="001E0933" w:rsidRPr="00436BB1" w:rsidRDefault="001E0933" w:rsidP="00907AE8">
      <w:pPr>
        <w:pStyle w:val="ListParagraph"/>
        <w:numPr>
          <w:ilvl w:val="0"/>
          <w:numId w:val="19"/>
        </w:numPr>
        <w:spacing w:line="480" w:lineRule="auto"/>
      </w:pPr>
      <w:r w:rsidRPr="00436BB1">
        <w:t xml:space="preserve">forestry interventions as relate to climate (e.g., the Democratic Republic of Congo’s </w:t>
      </w:r>
      <w:r w:rsidRPr="00436BB1">
        <w:rPr>
          <w:i/>
        </w:rPr>
        <w:t>Law on Protection of the Nature</w:t>
      </w:r>
      <w:r w:rsidRPr="00436BB1">
        <w:t xml:space="preserve">), and  </w:t>
      </w:r>
    </w:p>
    <w:p w14:paraId="434C33C3" w14:textId="358229DE" w:rsidR="001E0933" w:rsidRPr="00436BB1" w:rsidRDefault="001E0933" w:rsidP="00907AE8">
      <w:pPr>
        <w:pStyle w:val="ListParagraph"/>
        <w:numPr>
          <w:ilvl w:val="0"/>
          <w:numId w:val="19"/>
        </w:numPr>
        <w:spacing w:line="480" w:lineRule="auto"/>
      </w:pPr>
      <w:r w:rsidRPr="00436BB1">
        <w:t xml:space="preserve">adaptation interventions (e.g., Japan’s </w:t>
      </w:r>
      <w:r w:rsidRPr="00436BB1">
        <w:rPr>
          <w:i/>
        </w:rPr>
        <w:t>Climate Change Adaptation Act</w:t>
      </w:r>
      <w:r w:rsidRPr="00436BB1">
        <w:t>).</w:t>
      </w:r>
    </w:p>
    <w:p w14:paraId="6E291A08" w14:textId="77777777" w:rsidR="001E0933" w:rsidRDefault="001E0933" w:rsidP="00584434">
      <w:pPr>
        <w:spacing w:line="480" w:lineRule="auto"/>
        <w:ind w:firstLine="720"/>
      </w:pPr>
      <w:r w:rsidRPr="00436BB1">
        <w:rPr>
          <w:color w:val="000000"/>
        </w:rPr>
        <w:lastRenderedPageBreak/>
        <w:t xml:space="preserve">A particularly important category is strategic </w:t>
      </w:r>
      <w:r w:rsidRPr="00436BB1">
        <w:t xml:space="preserve">framework laws, which aim to create a unifying institutional structure to reduce greenhouse gas emissions or address physical climate risks, or often both. An instructive example is the UK </w:t>
      </w:r>
      <w:r w:rsidRPr="00436BB1">
        <w:rPr>
          <w:i/>
          <w:iCs/>
        </w:rPr>
        <w:t xml:space="preserve">Climate Change Act </w:t>
      </w:r>
      <w:r w:rsidRPr="00436BB1">
        <w:t>of 2008, which (i) sets a legally binding long-term mitigation goal (since strengthened to net-zero by 2050), (ii) legislates intermediary short-term targets (or carbon budgets), (iii) creates an independent advisory body (the Committee on Climate Change), (iv) establishes a continual process of adaptation planning, and (v) mandates regular government reporting on progress (Averchenkova et al. 2020; Muinzer 2018).</w:t>
      </w:r>
      <w:r>
        <w:rPr>
          <w:rStyle w:val="EndnoteReference"/>
        </w:rPr>
        <w:endnoteReference w:id="5"/>
      </w:r>
      <w:r w:rsidRPr="00A56606">
        <w:t xml:space="preserve"> Many of these features </w:t>
      </w:r>
      <w:r>
        <w:t>have been</w:t>
      </w:r>
      <w:r w:rsidRPr="00A56606">
        <w:t xml:space="preserve"> replicated </w:t>
      </w:r>
      <w:r>
        <w:t xml:space="preserve">in other framework laws, </w:t>
      </w:r>
      <w:r w:rsidRPr="00A56606">
        <w:t xml:space="preserve">for example </w:t>
      </w:r>
      <w:r w:rsidRPr="00255A7E">
        <w:t xml:space="preserve">Mexico’s </w:t>
      </w:r>
      <w:r w:rsidRPr="00436BB1">
        <w:rPr>
          <w:i/>
          <w:iCs/>
        </w:rPr>
        <w:t>General Law on Climate Change</w:t>
      </w:r>
      <w:r w:rsidRPr="00436BB1">
        <w:t xml:space="preserve"> 2012,</w:t>
      </w:r>
      <w:r>
        <w:rPr>
          <w:rStyle w:val="EndnoteReference"/>
        </w:rPr>
        <w:endnoteReference w:id="6"/>
      </w:r>
      <w:r w:rsidRPr="00A56606">
        <w:t xml:space="preserve">   New Zealand’s </w:t>
      </w:r>
      <w:r w:rsidRPr="00A56606">
        <w:rPr>
          <w:i/>
          <w:iCs/>
        </w:rPr>
        <w:t xml:space="preserve">Climate Change Response (Zero Carbon) Amendment Bill </w:t>
      </w:r>
      <w:r w:rsidRPr="00A56606">
        <w:t>2019,</w:t>
      </w:r>
      <w:r>
        <w:rPr>
          <w:rStyle w:val="EndnoteReference"/>
        </w:rPr>
        <w:endnoteReference w:id="7"/>
      </w:r>
      <w:r w:rsidRPr="00A56606">
        <w:t xml:space="preserve"> and the climate change acts of </w:t>
      </w:r>
      <w:r>
        <w:t>several</w:t>
      </w:r>
      <w:r w:rsidRPr="00A56606">
        <w:t xml:space="preserve"> European countries (Nash and Steu</w:t>
      </w:r>
      <w:r w:rsidRPr="00255A7E">
        <w:t>r</w:t>
      </w:r>
      <w:r w:rsidRPr="00436BB1">
        <w:t xml:space="preserve">er 2019). South Korea’s </w:t>
      </w:r>
      <w:r w:rsidRPr="00436BB1">
        <w:rPr>
          <w:i/>
          <w:iCs/>
        </w:rPr>
        <w:t>Framework Act on Low-Carbon Growth</w:t>
      </w:r>
      <w:r w:rsidRPr="00436BB1">
        <w:t xml:space="preserve"> 2010 stands out because it couches climate action in a wider green growth narrative, combining environmental with industrial policy.</w:t>
      </w:r>
      <w:r w:rsidRPr="00A56606">
        <w:rPr>
          <w:rStyle w:val="EndnoteReference"/>
        </w:rPr>
        <w:endnoteReference w:id="8"/>
      </w:r>
      <w:r w:rsidRPr="00A56606">
        <w:t xml:space="preserve"> </w:t>
      </w:r>
    </w:p>
    <w:p w14:paraId="3275C869" w14:textId="39D88B09" w:rsidR="001E0933" w:rsidRPr="00436BB1" w:rsidRDefault="001E0933" w:rsidP="00584434">
      <w:pPr>
        <w:spacing w:line="480" w:lineRule="auto"/>
        <w:ind w:firstLine="720"/>
      </w:pPr>
      <w:r w:rsidRPr="00255A7E">
        <w:t>However, the majority of climate laws concern sector-specific intervent</w:t>
      </w:r>
      <w:r w:rsidRPr="00436BB1">
        <w:t xml:space="preserve">ions, in particular on energy. About 60 percent of laws contain provisions on energy supply, such as the promotion of renewable energy, and / or energy demand, such as industrial or residential energy efficiency. Interventions on transport and forestry are less frequent. About a third of all laws concern climate resilience and adaptation to climate risks.  </w:t>
      </w:r>
      <w:r>
        <w:rPr>
          <w:color w:val="000000"/>
        </w:rPr>
        <w:t>CCLW now also covers disaster risk management, that is, laws concerned with the impacts of current climate variability, rather than future climate change.</w:t>
      </w:r>
    </w:p>
    <w:p w14:paraId="7BB7107D" w14:textId="6F6F0BC4" w:rsidR="001E0933" w:rsidRDefault="001E0933" w:rsidP="00584434">
      <w:pPr>
        <w:spacing w:line="480" w:lineRule="auto"/>
        <w:rPr>
          <w:iCs/>
        </w:rPr>
      </w:pPr>
      <w:r w:rsidRPr="00584434">
        <w:rPr>
          <w:iCs/>
        </w:rPr>
        <w:t>Insert Table 1 here (Descriptive legislation statistics)</w:t>
      </w:r>
    </w:p>
    <w:p w14:paraId="1223460F" w14:textId="77777777" w:rsidR="001E0933" w:rsidRPr="00584434" w:rsidRDefault="001E0933" w:rsidP="00584434">
      <w:pPr>
        <w:spacing w:line="480" w:lineRule="auto"/>
        <w:rPr>
          <w:iCs/>
        </w:rPr>
      </w:pPr>
    </w:p>
    <w:p w14:paraId="4F6F9644" w14:textId="5C4464E7" w:rsidR="001E0933" w:rsidRPr="00436BB1" w:rsidRDefault="001E0933" w:rsidP="00584434">
      <w:pPr>
        <w:pStyle w:val="Heading2"/>
        <w:keepNext/>
        <w:keepLines/>
        <w:spacing w:after="0" w:line="480" w:lineRule="auto"/>
        <w:jc w:val="both"/>
        <w:rPr>
          <w:rFonts w:eastAsiaTheme="majorEastAsia"/>
          <w:bCs/>
          <w:i/>
          <w:noProof/>
          <w:szCs w:val="26"/>
        </w:rPr>
      </w:pPr>
      <w:r w:rsidRPr="00436BB1">
        <w:rPr>
          <w:rFonts w:eastAsiaTheme="majorEastAsia"/>
          <w:bCs/>
          <w:i/>
          <w:noProof/>
          <w:szCs w:val="26"/>
        </w:rPr>
        <w:lastRenderedPageBreak/>
        <w:t>2.3 Climate change litigation</w:t>
      </w:r>
    </w:p>
    <w:p w14:paraId="7010F46B" w14:textId="77777777" w:rsidR="001E0933" w:rsidRDefault="001E0933" w:rsidP="0001079D">
      <w:pPr>
        <w:spacing w:line="480" w:lineRule="auto"/>
        <w:ind w:firstLine="720"/>
      </w:pPr>
      <w:r w:rsidRPr="00436BB1">
        <w:t xml:space="preserve">The litigation database within CCLW is different from the legislation database in that it does not aspire to be comprehensive in its geographic coverage or in the number of cases it contains. </w:t>
      </w:r>
    </w:p>
    <w:p w14:paraId="2EC4C2BA" w14:textId="77777777" w:rsidR="001E0933" w:rsidRDefault="001E0933" w:rsidP="0001079D">
      <w:pPr>
        <w:spacing w:line="480" w:lineRule="auto"/>
        <w:ind w:firstLine="720"/>
        <w:rPr>
          <w:bCs/>
        </w:rPr>
      </w:pPr>
      <w:r w:rsidRPr="00436BB1">
        <w:t xml:space="preserve">CCLW adopts a broad definition of litigation in terms of actors (governmental and non-governmental), </w:t>
      </w:r>
      <w:r w:rsidRPr="00436BB1">
        <w:rPr>
          <w:bCs/>
        </w:rPr>
        <w:t>jurisdictional levels (local, regional, national and international) and the profile of the case (</w:t>
      </w:r>
      <w:r>
        <w:rPr>
          <w:bCs/>
        </w:rPr>
        <w:t>climate as central or peripheral</w:t>
      </w:r>
      <w:r w:rsidRPr="00436BB1">
        <w:rPr>
          <w:bCs/>
        </w:rPr>
        <w:t xml:space="preserve">). Included in the database are lawsuits brought before administrative, judicial and other investigatory bodies that raise issues of law or fact regarding the science of climate change and climate change mitigation and adaptation efforts (Markell and Ruhl 2012; Burger </w:t>
      </w:r>
      <w:r w:rsidRPr="0001079D">
        <w:rPr>
          <w:bCs/>
          <w:iCs/>
        </w:rPr>
        <w:t>et al.</w:t>
      </w:r>
      <w:r w:rsidRPr="00436BB1">
        <w:rPr>
          <w:bCs/>
        </w:rPr>
        <w:t xml:space="preserve"> 2017). The case files contain keywords such as climate change, global warming, global change, greenhouse gas, GHGs, and sea level rise. Cases that make only passing reference to the fact of climate change, its causes or its effects are excluded if they do not address in direct or meaningful fashion the laws, policies or actions that compel, support or facilitate climate mitigation or adaptation. Cases that seek incidentally to accomplish (or prevent) climate change policy goals without reference to climate change issues are not included (Burger </w:t>
      </w:r>
      <w:r w:rsidRPr="0001079D">
        <w:rPr>
          <w:bCs/>
          <w:iCs/>
        </w:rPr>
        <w:t>et al.</w:t>
      </w:r>
      <w:r w:rsidRPr="00436BB1">
        <w:rPr>
          <w:bCs/>
        </w:rPr>
        <w:t xml:space="preserve"> 2017). Thus, for example, the database does not include cases in which the parties seek to limit air pollution from coal-fired power plants but do not directly raise issues of fact or law pertaining to climate change.</w:t>
      </w:r>
    </w:p>
    <w:p w14:paraId="5F2AA995" w14:textId="77777777" w:rsidR="001E0933" w:rsidRDefault="001E0933" w:rsidP="0001079D">
      <w:pPr>
        <w:spacing w:line="480" w:lineRule="auto"/>
        <w:ind w:firstLine="720"/>
        <w:rPr>
          <w:bCs/>
        </w:rPr>
      </w:pPr>
      <w:r w:rsidRPr="00436BB1">
        <w:rPr>
          <w:bCs/>
        </w:rPr>
        <w:t xml:space="preserve">The identification of climate change litigation also involves characterizing the centrality of climate change issues to the case (Peel and Osofsky 2015; Bouwer 2018). Climate change can range from being a </w:t>
      </w:r>
      <w:r w:rsidRPr="00436BB1">
        <w:rPr>
          <w:bCs/>
          <w:i/>
          <w:iCs/>
        </w:rPr>
        <w:t xml:space="preserve">central </w:t>
      </w:r>
      <w:r w:rsidRPr="00436BB1">
        <w:rPr>
          <w:bCs/>
        </w:rPr>
        <w:t xml:space="preserve">issue in a case, to </w:t>
      </w:r>
      <w:r w:rsidRPr="00436BB1">
        <w:rPr>
          <w:bCs/>
          <w:i/>
          <w:iCs/>
        </w:rPr>
        <w:t>peripheral</w:t>
      </w:r>
      <w:r>
        <w:rPr>
          <w:bCs/>
        </w:rPr>
        <w:t xml:space="preserve">, that is, </w:t>
      </w:r>
      <w:r w:rsidRPr="00436BB1">
        <w:rPr>
          <w:bCs/>
        </w:rPr>
        <w:t xml:space="preserve">litigation </w:t>
      </w:r>
      <w:r>
        <w:rPr>
          <w:bCs/>
        </w:rPr>
        <w:t xml:space="preserve">that was </w:t>
      </w:r>
      <w:r w:rsidRPr="00436BB1">
        <w:rPr>
          <w:bCs/>
        </w:rPr>
        <w:t>brought in part over climate change issues but focus</w:t>
      </w:r>
      <w:r>
        <w:rPr>
          <w:bCs/>
        </w:rPr>
        <w:t>es</w:t>
      </w:r>
      <w:r w:rsidRPr="00436BB1">
        <w:rPr>
          <w:bCs/>
        </w:rPr>
        <w:t xml:space="preserve"> on other grounds</w:t>
      </w:r>
      <w:r>
        <w:rPr>
          <w:bCs/>
        </w:rPr>
        <w:t xml:space="preserve"> (</w:t>
      </w:r>
      <w:r w:rsidRPr="00436BB1">
        <w:rPr>
          <w:bCs/>
        </w:rPr>
        <w:t xml:space="preserve">for example, disputes over the siting of wind farms </w:t>
      </w:r>
      <w:r>
        <w:rPr>
          <w:bCs/>
        </w:rPr>
        <w:t>or</w:t>
      </w:r>
      <w:r w:rsidRPr="00436BB1">
        <w:rPr>
          <w:bCs/>
        </w:rPr>
        <w:t xml:space="preserve"> about subsidies for renewable energy). Litigation that is </w:t>
      </w:r>
      <w:r w:rsidRPr="00436BB1">
        <w:rPr>
          <w:bCs/>
          <w:i/>
          <w:iCs/>
        </w:rPr>
        <w:t>not explicitly</w:t>
      </w:r>
      <w:r w:rsidRPr="00436BB1">
        <w:rPr>
          <w:bCs/>
        </w:rPr>
        <w:t xml:space="preserve"> tied </w:t>
      </w:r>
      <w:r w:rsidRPr="00436BB1">
        <w:rPr>
          <w:bCs/>
        </w:rPr>
        <w:lastRenderedPageBreak/>
        <w:t xml:space="preserve">to climate change arguments but is within the context of climate change (for instance, disputes relating to insurance and risk, or intellectual property rights) has been underappreciated by the literature, but has important strategic, policy and governance implications because it could implicitly impact on accessibility of finance or new technologies to support climate change (Bouwer 2018). </w:t>
      </w:r>
    </w:p>
    <w:p w14:paraId="559E2FF5" w14:textId="77777777" w:rsidR="001E0933" w:rsidRDefault="001E0933" w:rsidP="0001079D">
      <w:pPr>
        <w:spacing w:line="480" w:lineRule="auto"/>
        <w:ind w:firstLine="720"/>
        <w:rPr>
          <w:bCs/>
        </w:rPr>
      </w:pPr>
      <w:r w:rsidRPr="00436BB1">
        <w:rPr>
          <w:bCs/>
        </w:rPr>
        <w:t>The vast majority of climate change litigation cases (1,1</w:t>
      </w:r>
      <w:r>
        <w:rPr>
          <w:bCs/>
        </w:rPr>
        <w:t>54</w:t>
      </w:r>
      <w:r w:rsidRPr="00436BB1">
        <w:rPr>
          <w:bCs/>
        </w:rPr>
        <w:t xml:space="preserve">) has been filed in the United States, and these are contained in a separate database. </w:t>
      </w:r>
      <w:r>
        <w:rPr>
          <w:bCs/>
        </w:rPr>
        <w:t>T</w:t>
      </w:r>
      <w:r w:rsidRPr="00436BB1">
        <w:t xml:space="preserve">he material difference between US and non-US cases makes cross-country analysis and the comparison of US and non-US trends impracticable. We </w:t>
      </w:r>
      <w:r>
        <w:t>focus our analysis</w:t>
      </w:r>
      <w:r w:rsidRPr="00436BB1">
        <w:t xml:space="preserve"> on the </w:t>
      </w:r>
      <w:r w:rsidRPr="00436BB1">
        <w:rPr>
          <w:bCs/>
        </w:rPr>
        <w:t>3</w:t>
      </w:r>
      <w:r>
        <w:rPr>
          <w:bCs/>
        </w:rPr>
        <w:t>55</w:t>
      </w:r>
      <w:r w:rsidRPr="00436BB1">
        <w:rPr>
          <w:bCs/>
        </w:rPr>
        <w:t xml:space="preserve"> cases that have been filed in 3</w:t>
      </w:r>
      <w:r>
        <w:rPr>
          <w:bCs/>
        </w:rPr>
        <w:t>6</w:t>
      </w:r>
      <w:r w:rsidRPr="00436BB1">
        <w:rPr>
          <w:bCs/>
        </w:rPr>
        <w:t xml:space="preserve"> </w:t>
      </w:r>
      <w:r>
        <w:rPr>
          <w:bCs/>
        </w:rPr>
        <w:t>non-US jurisdictions</w:t>
      </w:r>
      <w:r w:rsidRPr="00436BB1">
        <w:rPr>
          <w:bCs/>
        </w:rPr>
        <w:t xml:space="preserve"> (as of end-2019). The majority of them are in Australia (96 cases) and in the European Union (5</w:t>
      </w:r>
      <w:r>
        <w:rPr>
          <w:bCs/>
        </w:rPr>
        <w:t>7</w:t>
      </w:r>
      <w:r w:rsidRPr="00436BB1">
        <w:rPr>
          <w:bCs/>
        </w:rPr>
        <w:t xml:space="preserve"> cases). The database also includes </w:t>
      </w:r>
      <w:r>
        <w:rPr>
          <w:bCs/>
        </w:rPr>
        <w:t xml:space="preserve">18 </w:t>
      </w:r>
      <w:r w:rsidRPr="00436BB1">
        <w:rPr>
          <w:bCs/>
        </w:rPr>
        <w:t xml:space="preserve">cases that have been brought </w:t>
      </w:r>
      <w:r>
        <w:rPr>
          <w:bCs/>
        </w:rPr>
        <w:t>before</w:t>
      </w:r>
      <w:r w:rsidRPr="00436BB1">
        <w:rPr>
          <w:bCs/>
        </w:rPr>
        <w:t xml:space="preserve"> supranational tribunals such as the UN Human Rights Committee, the Inter-American Commission on Human Rights</w:t>
      </w:r>
      <w:r>
        <w:rPr>
          <w:bCs/>
        </w:rPr>
        <w:t>,</w:t>
      </w:r>
      <w:r w:rsidRPr="00436BB1">
        <w:rPr>
          <w:bCs/>
        </w:rPr>
        <w:t xml:space="preserve"> and the Inter-American Court on Human Rights.</w:t>
      </w:r>
      <w:r>
        <w:rPr>
          <w:bCs/>
        </w:rPr>
        <w:t xml:space="preserve"> (See Appendix Table A4 for details).</w:t>
      </w:r>
      <w:r w:rsidRPr="00436BB1">
        <w:rPr>
          <w:bCs/>
        </w:rPr>
        <w:t xml:space="preserve"> </w:t>
      </w:r>
    </w:p>
    <w:p w14:paraId="6890EA8B" w14:textId="77777777" w:rsidR="001E0933" w:rsidRDefault="001E0933" w:rsidP="0001079D">
      <w:pPr>
        <w:spacing w:line="480" w:lineRule="auto"/>
        <w:ind w:firstLine="720"/>
        <w:rPr>
          <w:bCs/>
        </w:rPr>
      </w:pPr>
      <w:r>
        <w:rPr>
          <w:bCs/>
        </w:rPr>
        <w:t>Over</w:t>
      </w:r>
      <w:r w:rsidRPr="00436BB1">
        <w:rPr>
          <w:bCs/>
        </w:rPr>
        <w:t xml:space="preserve"> 80 percent of the non-US cases have been brought against governments, and typically the plaintiff is either a private company or a non-governmental organization (NGO). Lawsuits against private defendants are still relatively rare (Table 2; see also Wilensky 2015).  Most cases are routine and concern the application, interpretation and enforcement of laws</w:t>
      </w:r>
      <w:r w:rsidRPr="00436BB1">
        <w:rPr>
          <w:bCs/>
          <w:i/>
          <w:iCs/>
        </w:rPr>
        <w:t xml:space="preserve"> </w:t>
      </w:r>
      <w:r w:rsidRPr="00436BB1">
        <w:rPr>
          <w:bCs/>
        </w:rPr>
        <w:t xml:space="preserve">such as planning law or the operation of emissions trading schemes (Markell and Ruhl 2012; Bouwer 2018). </w:t>
      </w:r>
    </w:p>
    <w:p w14:paraId="151D7453" w14:textId="1A82B715" w:rsidR="001E0933" w:rsidRPr="00436BB1" w:rsidRDefault="001E0933" w:rsidP="00337443">
      <w:pPr>
        <w:spacing w:line="480" w:lineRule="auto"/>
        <w:ind w:firstLine="720"/>
        <w:rPr>
          <w:bCs/>
        </w:rPr>
      </w:pPr>
      <w:r>
        <w:rPr>
          <w:bCs/>
        </w:rPr>
        <w:t xml:space="preserve">Climate change is at the core of the legal argument in less than 40 per cent of cases (138 out of 355). </w:t>
      </w:r>
      <w:r w:rsidRPr="00436BB1">
        <w:rPr>
          <w:bCs/>
        </w:rPr>
        <w:t xml:space="preserve">A smaller number of </w:t>
      </w:r>
      <w:r>
        <w:rPr>
          <w:bCs/>
        </w:rPr>
        <w:t xml:space="preserve">these </w:t>
      </w:r>
      <w:r w:rsidRPr="00436BB1">
        <w:rPr>
          <w:bCs/>
        </w:rPr>
        <w:t xml:space="preserve">lawsuits can be described as strategic cases. The delineation is not firm, but these are high-profile claims brought either against governments, </w:t>
      </w:r>
      <w:r w:rsidRPr="00436BB1">
        <w:rPr>
          <w:bCs/>
        </w:rPr>
        <w:lastRenderedPageBreak/>
        <w:t>where plaintiffs seek increased mitigation ambition, or against large emitters, where plaintiffs seek compensation for damages caused by, or costs incurred due to, climate change. Their aim is to advance policy outcomes and to drive behavioral shifts by key actors</w:t>
      </w:r>
      <w:r w:rsidRPr="00436BB1" w:rsidDel="001F74AD">
        <w:rPr>
          <w:bCs/>
        </w:rPr>
        <w:t xml:space="preserve"> </w:t>
      </w:r>
      <w:r w:rsidRPr="00436BB1">
        <w:rPr>
          <w:bCs/>
        </w:rPr>
        <w:t>(Peel and Osofsky 2015). Table 3 contains summaries of three landmark cases (</w:t>
      </w:r>
      <w:r w:rsidRPr="00436BB1">
        <w:rPr>
          <w:bCs/>
          <w:i/>
          <w:iCs/>
        </w:rPr>
        <w:t>Urgenda Foundation v. State of the Netherlands</w:t>
      </w:r>
      <w:r w:rsidRPr="00436BB1">
        <w:rPr>
          <w:bCs/>
        </w:rPr>
        <w:t>;</w:t>
      </w:r>
      <w:r w:rsidRPr="00436BB1">
        <w:rPr>
          <w:bCs/>
          <w:i/>
          <w:iCs/>
        </w:rPr>
        <w:t xml:space="preserve"> Leghari v Federation of Pakistan</w:t>
      </w:r>
      <w:r w:rsidRPr="00436BB1">
        <w:rPr>
          <w:bCs/>
        </w:rPr>
        <w:t>;</w:t>
      </w:r>
      <w:r w:rsidRPr="00436BB1">
        <w:rPr>
          <w:bCs/>
          <w:i/>
          <w:iCs/>
        </w:rPr>
        <w:t xml:space="preserve"> </w:t>
      </w:r>
      <w:r w:rsidRPr="00436BB1">
        <w:rPr>
          <w:bCs/>
        </w:rPr>
        <w:t xml:space="preserve">and the </w:t>
      </w:r>
      <w:r w:rsidRPr="00436BB1">
        <w:rPr>
          <w:bCs/>
          <w:i/>
          <w:iCs/>
        </w:rPr>
        <w:t>Carbon Majors Inquiry</w:t>
      </w:r>
      <w:r w:rsidRPr="00436BB1">
        <w:rPr>
          <w:bCs/>
        </w:rPr>
        <w:t xml:space="preserve">), which received considerable media attention and have inspired similar cases in other jurisdictions. </w:t>
      </w:r>
    </w:p>
    <w:p w14:paraId="1A1CD5E1" w14:textId="5673E439" w:rsidR="001E0933" w:rsidRPr="00337443" w:rsidRDefault="001E0933" w:rsidP="00337443">
      <w:pPr>
        <w:spacing w:line="480" w:lineRule="auto"/>
        <w:rPr>
          <w:bCs/>
          <w:iCs/>
        </w:rPr>
      </w:pPr>
      <w:r>
        <w:rPr>
          <w:bCs/>
          <w:iCs/>
        </w:rPr>
        <w:t xml:space="preserve">Insert </w:t>
      </w:r>
      <w:r w:rsidRPr="00337443">
        <w:rPr>
          <w:bCs/>
          <w:iCs/>
        </w:rPr>
        <w:t>Table 2</w:t>
      </w:r>
      <w:r>
        <w:rPr>
          <w:bCs/>
          <w:iCs/>
        </w:rPr>
        <w:t xml:space="preserve"> here</w:t>
      </w:r>
      <w:r w:rsidRPr="00337443">
        <w:rPr>
          <w:bCs/>
          <w:iCs/>
        </w:rPr>
        <w:t xml:space="preserve"> </w:t>
      </w:r>
      <w:r>
        <w:rPr>
          <w:bCs/>
          <w:iCs/>
        </w:rPr>
        <w:t>(</w:t>
      </w:r>
      <w:r w:rsidRPr="00337443">
        <w:rPr>
          <w:bCs/>
          <w:iCs/>
        </w:rPr>
        <w:t>De</w:t>
      </w:r>
      <w:r>
        <w:rPr>
          <w:bCs/>
          <w:iCs/>
        </w:rPr>
        <w:t>scriptive litigation statistics)</w:t>
      </w:r>
    </w:p>
    <w:p w14:paraId="21A9558D" w14:textId="6282B580" w:rsidR="001E0933" w:rsidRDefault="001E0933" w:rsidP="00337443">
      <w:pPr>
        <w:spacing w:line="480" w:lineRule="auto"/>
        <w:rPr>
          <w:bCs/>
          <w:iCs/>
        </w:rPr>
      </w:pPr>
      <w:r>
        <w:rPr>
          <w:bCs/>
          <w:iCs/>
        </w:rPr>
        <w:t xml:space="preserve">Insert </w:t>
      </w:r>
      <w:r w:rsidRPr="00337443">
        <w:rPr>
          <w:bCs/>
          <w:iCs/>
        </w:rPr>
        <w:t>Table 3</w:t>
      </w:r>
      <w:r>
        <w:rPr>
          <w:bCs/>
          <w:iCs/>
        </w:rPr>
        <w:t xml:space="preserve"> here</w:t>
      </w:r>
      <w:r w:rsidRPr="00337443">
        <w:rPr>
          <w:bCs/>
          <w:iCs/>
        </w:rPr>
        <w:t xml:space="preserve"> </w:t>
      </w:r>
      <w:r>
        <w:rPr>
          <w:bCs/>
          <w:iCs/>
        </w:rPr>
        <w:t>(Strategic litigation cases)</w:t>
      </w:r>
    </w:p>
    <w:p w14:paraId="4B79ED3B" w14:textId="77777777" w:rsidR="001E0933" w:rsidRPr="00337443" w:rsidRDefault="001E0933" w:rsidP="00337443">
      <w:pPr>
        <w:spacing w:line="480" w:lineRule="auto"/>
        <w:rPr>
          <w:bCs/>
          <w:iCs/>
        </w:rPr>
      </w:pPr>
    </w:p>
    <w:p w14:paraId="568F1F0D" w14:textId="30FBF89F" w:rsidR="001E0933" w:rsidRPr="00436BB1" w:rsidRDefault="001E0933" w:rsidP="00337443">
      <w:pPr>
        <w:pStyle w:val="Heading2"/>
        <w:keepNext/>
        <w:keepLines/>
        <w:spacing w:after="0" w:line="480" w:lineRule="auto"/>
        <w:jc w:val="both"/>
        <w:rPr>
          <w:rFonts w:eastAsiaTheme="majorEastAsia"/>
          <w:bCs/>
          <w:i/>
          <w:noProof/>
          <w:szCs w:val="26"/>
        </w:rPr>
      </w:pPr>
      <w:r w:rsidRPr="00255A7E">
        <w:rPr>
          <w:rFonts w:eastAsiaTheme="majorEastAsia"/>
          <w:bCs/>
          <w:i/>
          <w:noProof/>
          <w:szCs w:val="26"/>
        </w:rPr>
        <w:t xml:space="preserve">2.4 </w:t>
      </w:r>
      <w:r w:rsidRPr="00436BB1">
        <w:rPr>
          <w:rFonts w:eastAsiaTheme="majorEastAsia"/>
          <w:bCs/>
          <w:i/>
          <w:noProof/>
          <w:szCs w:val="26"/>
        </w:rPr>
        <w:t>Limitations</w:t>
      </w:r>
    </w:p>
    <w:p w14:paraId="4594C54D" w14:textId="77777777" w:rsidR="001E0933" w:rsidRDefault="001E0933" w:rsidP="00703854">
      <w:pPr>
        <w:spacing w:line="480" w:lineRule="auto"/>
        <w:ind w:firstLine="720"/>
      </w:pPr>
      <w:r w:rsidRPr="00436BB1">
        <w:t xml:space="preserve">While CCLW is arguably the most comprehensive database of its kind, it has some limitations. In terms of legislation data, </w:t>
      </w:r>
      <w:r>
        <w:t>an</w:t>
      </w:r>
      <w:r w:rsidRPr="00436BB1">
        <w:t xml:space="preserve"> important issue is that the database is silent about the quality of different laws. Stringent and comprehensive framework laws like the UK </w:t>
      </w:r>
      <w:r w:rsidRPr="00436BB1">
        <w:rPr>
          <w:i/>
          <w:iCs/>
        </w:rPr>
        <w:t>Climate Change Act</w:t>
      </w:r>
      <w:r w:rsidRPr="00436BB1">
        <w:t xml:space="preserve">, which has been praised for its innovative features (Averchenkova </w:t>
      </w:r>
      <w:r w:rsidRPr="00703854">
        <w:rPr>
          <w:iCs/>
        </w:rPr>
        <w:t>et al.</w:t>
      </w:r>
      <w:r w:rsidRPr="00436BB1">
        <w:t xml:space="preserve"> 2020; Muinzer 2018), are treated in the same way as unsuccessful laws such as Indonesia’s various attempts to combat deforestation. </w:t>
      </w:r>
    </w:p>
    <w:p w14:paraId="4081D8E6" w14:textId="77777777" w:rsidR="001E0933" w:rsidRDefault="001E0933" w:rsidP="00703854">
      <w:pPr>
        <w:spacing w:line="480" w:lineRule="auto"/>
        <w:ind w:firstLine="720"/>
      </w:pPr>
      <w:r w:rsidRPr="00436BB1">
        <w:t>The delineation of what does and does not constitute a climate change law can be difficult. Although CCLW errs on the side of inclusion, by restricting the collection to certain categories of climate‐related laws and policies, the dataset presents an incomplete picture of regulatory efforts relating to climate change (Scotford and Minas 2019). The issue is perhaps most pertinent in the areas of adaptation and land-use change</w:t>
      </w:r>
      <w:r>
        <w:t>, but s</w:t>
      </w:r>
      <w:r w:rsidRPr="00436BB1">
        <w:t>imilar definitional issues also affect the litigation database.</w:t>
      </w:r>
    </w:p>
    <w:p w14:paraId="1FA514ED" w14:textId="77777777" w:rsidR="001E0933" w:rsidRDefault="001E0933" w:rsidP="00703854">
      <w:pPr>
        <w:spacing w:line="480" w:lineRule="auto"/>
        <w:ind w:firstLine="720"/>
      </w:pPr>
      <w:r w:rsidRPr="00436BB1">
        <w:lastRenderedPageBreak/>
        <w:t>The legislation database focuses on national climate policy, which means initiatives at the sub-national level and by non-state actors are not covered. State, province and city-led initiatives are particularly significant in countries with federal structures or where national engagement with climate change has been intermittent, such as Australia, Brazil, Canada and the United States. In each of these countries, climate policy at sub-national level is fairly</w:t>
      </w:r>
      <w:r>
        <w:t xml:space="preserve"> </w:t>
      </w:r>
      <w:r w:rsidRPr="00436BB1">
        <w:t xml:space="preserve">advanced and often ahead of the national discourse. </w:t>
      </w:r>
    </w:p>
    <w:p w14:paraId="69A31462" w14:textId="77777777" w:rsidR="001E0933" w:rsidRDefault="001E0933" w:rsidP="00703854">
      <w:pPr>
        <w:spacing w:line="480" w:lineRule="auto"/>
        <w:ind w:firstLine="720"/>
      </w:pPr>
      <w:r w:rsidRPr="00436BB1">
        <w:t>Conversely, in EU member states a focus on national climate policy would ignore the important role of the European Union in national climate policy. The EU has passed 33 climate laws, including legislation to set up an EU-wide emissions trading scheme and establish ambitious targets on renewable energy, which are legally binding for its member states. Fortunately, there is a relatively easy fix to this bias, which is to add all EU laws to the tally of member states (Eskander and Fankhauser 2020).</w:t>
      </w:r>
    </w:p>
    <w:p w14:paraId="5FE5B4F2" w14:textId="77777777" w:rsidR="001E0933" w:rsidRDefault="001E0933" w:rsidP="00703854">
      <w:pPr>
        <w:spacing w:line="480" w:lineRule="auto"/>
        <w:ind w:firstLine="720"/>
      </w:pPr>
      <w:r w:rsidRPr="00436BB1">
        <w:t xml:space="preserve">A potential problem for time series or panel data analysis is that when laws are amended the database only records the latest version, thus omitting earlier activities. Legal provisions are often tightened over time (as for example Switzerland did when revising its </w:t>
      </w:r>
      <w:r w:rsidRPr="00436BB1">
        <w:rPr>
          <w:i/>
          <w:iCs/>
        </w:rPr>
        <w:t>CO2 Act</w:t>
      </w:r>
      <w:r w:rsidRPr="00436BB1">
        <w:t xml:space="preserve"> in 2013), but there are also cases of reversal (such as the repeal of Canada’s </w:t>
      </w:r>
      <w:r w:rsidRPr="00436BB1">
        <w:rPr>
          <w:i/>
          <w:iCs/>
        </w:rPr>
        <w:t>Kyoto Implementation Act</w:t>
      </w:r>
      <w:r w:rsidRPr="00436BB1">
        <w:t xml:space="preserve"> in 2012 and Australia’s </w:t>
      </w:r>
      <w:r w:rsidRPr="00436BB1">
        <w:rPr>
          <w:i/>
          <w:iCs/>
        </w:rPr>
        <w:t>Clean Energy Act</w:t>
      </w:r>
      <w:r w:rsidRPr="00436BB1">
        <w:t xml:space="preserve"> in 2014). In each case, these events supersede earlier database entries.</w:t>
      </w:r>
    </w:p>
    <w:p w14:paraId="15633845" w14:textId="32BD9967" w:rsidR="001E0933" w:rsidRPr="00436BB1" w:rsidRDefault="001E0933" w:rsidP="00415A74">
      <w:pPr>
        <w:spacing w:line="480" w:lineRule="auto"/>
        <w:ind w:firstLine="720"/>
      </w:pPr>
      <w:r w:rsidRPr="00436BB1">
        <w:t>The litigation dataset has its own limitations. Perhaps the most important one concerns data collection. While the CCLW dataset is the largest one compiled to date, it cannot be deemed representative or comprehensive. Rather, the dataset consists of cases from a limited number of countries, dictated by data accessibility and language considerations. The case list heavily relies on partners of the data providers and on media reports</w:t>
      </w:r>
      <w:r>
        <w:t>,</w:t>
      </w:r>
      <w:r w:rsidRPr="00436BB1">
        <w:t xml:space="preserve"> predominantly in English</w:t>
      </w:r>
      <w:r>
        <w:t>—</w:t>
      </w:r>
      <w:r w:rsidRPr="00436BB1">
        <w:t xml:space="preserve">ultimately </w:t>
      </w:r>
      <w:r w:rsidRPr="00436BB1">
        <w:lastRenderedPageBreak/>
        <w:t xml:space="preserve">meaning we cannot be sure of the full extent of unidentified litigation cases. Moreover, </w:t>
      </w:r>
      <w:r>
        <w:t>due</w:t>
      </w:r>
      <w:r w:rsidRPr="00992A4E">
        <w:t xml:space="preserve"> to different regulation and litigation cultures</w:t>
      </w:r>
      <w:r>
        <w:t xml:space="preserve">, </w:t>
      </w:r>
      <w:r w:rsidRPr="00436BB1">
        <w:t xml:space="preserve">the database </w:t>
      </w:r>
      <w:r w:rsidRPr="00992A4E">
        <w:t>is highly uneven, with the majority of the cases attributable to a few jurisdictions.</w:t>
      </w:r>
      <w:r>
        <w:t xml:space="preserve"> </w:t>
      </w:r>
      <w:r w:rsidRPr="00A56606">
        <w:t xml:space="preserve">Finally, </w:t>
      </w:r>
      <w:r>
        <w:t>t</w:t>
      </w:r>
      <w:r w:rsidRPr="00A56606">
        <w:t xml:space="preserve">he CCLW dataset does not include litigation in the US, where the majority of cases has been brought and where, due to relative advantages in procuring information about the cases, the data is </w:t>
      </w:r>
      <w:r w:rsidRPr="00255A7E">
        <w:t xml:space="preserve">closer to being comprehensive. </w:t>
      </w:r>
    </w:p>
    <w:p w14:paraId="146F8033" w14:textId="77777777" w:rsidR="001E0933" w:rsidRPr="00436BB1" w:rsidRDefault="001E0933" w:rsidP="00415A74">
      <w:pPr>
        <w:spacing w:line="480" w:lineRule="auto"/>
        <w:ind w:firstLine="360"/>
        <w:jc w:val="both"/>
      </w:pPr>
    </w:p>
    <w:p w14:paraId="368769B8" w14:textId="5A6AA9A4" w:rsidR="001E0933" w:rsidRPr="00A3057E" w:rsidRDefault="001E0933" w:rsidP="00415A74">
      <w:pPr>
        <w:pStyle w:val="Heading1"/>
        <w:keepNext/>
        <w:keepLines/>
        <w:pageBreakBefore w:val="0"/>
        <w:numPr>
          <w:ilvl w:val="0"/>
          <w:numId w:val="37"/>
        </w:numPr>
        <w:autoSpaceDE/>
        <w:autoSpaceDN/>
        <w:adjustRightInd/>
        <w:spacing w:after="0" w:line="480" w:lineRule="auto"/>
        <w:ind w:left="360" w:hanging="360"/>
        <w:rPr>
          <w:rFonts w:eastAsiaTheme="majorEastAsia" w:cs="Times New Roman"/>
          <w:b/>
          <w:bCs/>
          <w:sz w:val="24"/>
          <w:szCs w:val="28"/>
        </w:rPr>
      </w:pPr>
      <w:r w:rsidRPr="00A3057E">
        <w:rPr>
          <w:rFonts w:eastAsiaTheme="majorEastAsia" w:cs="Times New Roman"/>
          <w:b/>
          <w:bCs/>
          <w:sz w:val="24"/>
          <w:szCs w:val="28"/>
        </w:rPr>
        <w:t>Insights</w:t>
      </w:r>
    </w:p>
    <w:p w14:paraId="755DE47A" w14:textId="0230F391" w:rsidR="001E0933" w:rsidRPr="00436BB1" w:rsidRDefault="001E0933" w:rsidP="00415A74">
      <w:pPr>
        <w:pStyle w:val="Heading2"/>
        <w:keepNext/>
        <w:keepLines/>
        <w:spacing w:after="0" w:line="480" w:lineRule="auto"/>
        <w:rPr>
          <w:rFonts w:eastAsiaTheme="majorEastAsia"/>
          <w:bCs/>
          <w:i/>
          <w:noProof/>
          <w:szCs w:val="26"/>
        </w:rPr>
      </w:pPr>
      <w:r w:rsidRPr="00436BB1">
        <w:rPr>
          <w:rFonts w:eastAsiaTheme="majorEastAsia"/>
          <w:bCs/>
          <w:i/>
          <w:noProof/>
          <w:szCs w:val="26"/>
        </w:rPr>
        <w:t>3.1 The peak in climate change legislation predates the Paris Agreement</w:t>
      </w:r>
    </w:p>
    <w:p w14:paraId="12547713" w14:textId="1920B5B5" w:rsidR="001E0933" w:rsidRPr="00436BB1" w:rsidRDefault="001E0933" w:rsidP="00F8349B">
      <w:pPr>
        <w:spacing w:line="480" w:lineRule="auto"/>
        <w:ind w:firstLine="720"/>
        <w:rPr>
          <w:b/>
        </w:rPr>
      </w:pPr>
      <w:r w:rsidRPr="00436BB1">
        <w:t xml:space="preserve">Practically all climate change laws have been passed over the last 30 years (Figure 1). In 1990, there were only 35 laws with relevance to climate change worldwide (Table 1 above). As there was little awareness of the climate issue at that time, most of these laws had related objectives such as energy efficiency (e.g. Costa Rica’s </w:t>
      </w:r>
      <w:r w:rsidRPr="00436BB1">
        <w:rPr>
          <w:i/>
          <w:iCs/>
        </w:rPr>
        <w:t>Energy Law</w:t>
      </w:r>
      <w:r w:rsidRPr="00436BB1">
        <w:t xml:space="preserve"> 1990). Other early laws had wider environmental objectives that were later applied to climate change. For example, the US </w:t>
      </w:r>
      <w:r w:rsidRPr="00436BB1">
        <w:rPr>
          <w:i/>
          <w:iCs/>
        </w:rPr>
        <w:t>Clean Air Act</w:t>
      </w:r>
      <w:r w:rsidRPr="00436BB1">
        <w:t xml:space="preserve"> 1963 is concerned with air pollution, but after a 2007 ruling by the Supreme Court (</w:t>
      </w:r>
      <w:r w:rsidRPr="00436BB1">
        <w:rPr>
          <w:i/>
          <w:iCs/>
        </w:rPr>
        <w:t>Massachusetts vs Environmental Protection Agency</w:t>
      </w:r>
      <w:r w:rsidRPr="00436BB1">
        <w:t xml:space="preserve">), the Obama administration used it as the legal basis to regulate greenhouse gas emissions. </w:t>
      </w:r>
    </w:p>
    <w:p w14:paraId="47C6E522" w14:textId="5D63D414" w:rsidR="001E0933" w:rsidRPr="00A3057E" w:rsidRDefault="001E0933" w:rsidP="00F8349B">
      <w:pPr>
        <w:pStyle w:val="Subheading"/>
        <w:spacing w:before="0" w:after="0" w:line="480" w:lineRule="auto"/>
        <w:rPr>
          <w:rFonts w:ascii="Times New Roman" w:hAnsi="Times New Roman" w:cs="Times New Roman"/>
          <w:b w:val="0"/>
          <w:iCs/>
          <w:sz w:val="24"/>
          <w:szCs w:val="24"/>
        </w:rPr>
      </w:pPr>
      <w:r w:rsidRPr="00A3057E">
        <w:rPr>
          <w:rFonts w:ascii="Times New Roman" w:hAnsi="Times New Roman" w:cs="Times New Roman"/>
          <w:b w:val="0"/>
          <w:iCs/>
          <w:sz w:val="24"/>
          <w:szCs w:val="24"/>
        </w:rPr>
        <w:t>Insert Figure 1 here (Climate change legislation over time)</w:t>
      </w:r>
    </w:p>
    <w:p w14:paraId="2928B39E" w14:textId="77777777" w:rsidR="001E0933" w:rsidRDefault="001E0933" w:rsidP="00F8349B">
      <w:pPr>
        <w:spacing w:line="480" w:lineRule="auto"/>
        <w:ind w:firstLine="720"/>
      </w:pPr>
      <w:r w:rsidRPr="00436BB1">
        <w:t xml:space="preserve">By the mid-1990s the number of climate laws began to rise. Prominent early examples are Sweden’s </w:t>
      </w:r>
      <w:r w:rsidRPr="00436BB1">
        <w:rPr>
          <w:i/>
          <w:iCs/>
        </w:rPr>
        <w:t>Carbon Tax Act</w:t>
      </w:r>
      <w:r w:rsidRPr="00436BB1">
        <w:t xml:space="preserve"> 1991 and Japan’s </w:t>
      </w:r>
      <w:r w:rsidRPr="00436BB1">
        <w:rPr>
          <w:i/>
          <w:iCs/>
        </w:rPr>
        <w:t xml:space="preserve">Act on Promotion of Global Warming Counter Measures </w:t>
      </w:r>
      <w:r w:rsidRPr="00436BB1">
        <w:t>1998. Law making reached a peak in the period 200</w:t>
      </w:r>
      <w:r>
        <w:t>9</w:t>
      </w:r>
      <w:r w:rsidRPr="00436BB1">
        <w:t>-1</w:t>
      </w:r>
      <w:r>
        <w:t>4</w:t>
      </w:r>
      <w:r w:rsidRPr="00436BB1">
        <w:t xml:space="preserve">, when over 120 new laws were passed each year. During this heyday, significant framework laws were passed for example in the UK (2008), South Korea (2010) and Mexico (2012). The European Union’s </w:t>
      </w:r>
      <w:r w:rsidRPr="00436BB1">
        <w:rPr>
          <w:i/>
          <w:iCs/>
        </w:rPr>
        <w:t>2020 Climate and Energy Package</w:t>
      </w:r>
      <w:r w:rsidRPr="00436BB1">
        <w:t xml:space="preserve"> with its 20-20-20 targets (for emissions, renewable energy and energy </w:t>
      </w:r>
      <w:r w:rsidRPr="00436BB1">
        <w:lastRenderedPageBreak/>
        <w:t xml:space="preserve">efficiency) was also passed in this period. In the United States, a law of similar standing, the </w:t>
      </w:r>
      <w:r w:rsidRPr="00436BB1">
        <w:rPr>
          <w:i/>
          <w:iCs/>
        </w:rPr>
        <w:t>American Clean Energy and Securities Act 2009</w:t>
      </w:r>
      <w:r w:rsidRPr="00436BB1">
        <w:t>, known as the Waxman-Markey Bill after its sponsors, was approved by the House of Representatives, but not tabled in the Senate. After 201</w:t>
      </w:r>
      <w:r>
        <w:t>4</w:t>
      </w:r>
      <w:r w:rsidRPr="00436BB1">
        <w:t xml:space="preserve">, legislative activity began to tail off.  </w:t>
      </w:r>
    </w:p>
    <w:p w14:paraId="6D46DC37" w14:textId="77777777" w:rsidR="001E0933" w:rsidRDefault="001E0933" w:rsidP="00F8349B">
      <w:pPr>
        <w:spacing w:line="480" w:lineRule="auto"/>
        <w:ind w:firstLine="720"/>
      </w:pPr>
      <w:r w:rsidRPr="00436BB1">
        <w:t>The 200</w:t>
      </w:r>
      <w:r>
        <w:t>9</w:t>
      </w:r>
      <w:r w:rsidRPr="00436BB1">
        <w:t>-1</w:t>
      </w:r>
      <w:r>
        <w:t>4</w:t>
      </w:r>
      <w:r w:rsidRPr="00436BB1">
        <w:t xml:space="preserve"> peak was supported by increased activity in developing countries, sometimes with the support of development agencies. M</w:t>
      </w:r>
      <w:r>
        <w:t>any of these interventions concerned adaptation, which was a bigger legislative focus than in the industrialized world. M</w:t>
      </w:r>
      <w:r w:rsidRPr="00436BB1">
        <w:t>ost of the</w:t>
      </w:r>
      <w:r>
        <w:t>m</w:t>
      </w:r>
      <w:r w:rsidRPr="00436BB1">
        <w:t xml:space="preserve"> were policy documents, such as Ethiopia’s </w:t>
      </w:r>
      <w:r w:rsidRPr="00436BB1">
        <w:rPr>
          <w:i/>
          <w:iCs/>
        </w:rPr>
        <w:t>Climate-resilient Green Growth Strategy</w:t>
      </w:r>
      <w:r w:rsidRPr="00436BB1">
        <w:t xml:space="preserve"> 2011. Legislative acts passed by parliament are much rarer (Table 1 above), although there are notable exceptions such as Kenya’s </w:t>
      </w:r>
      <w:r w:rsidRPr="00436BB1">
        <w:rPr>
          <w:i/>
          <w:iCs/>
        </w:rPr>
        <w:t>Climate Change Act</w:t>
      </w:r>
      <w:r w:rsidRPr="00436BB1">
        <w:t xml:space="preserve"> of 2016.</w:t>
      </w:r>
    </w:p>
    <w:p w14:paraId="546AE9C8" w14:textId="527B2ED4" w:rsidR="001E0933" w:rsidRPr="00436BB1" w:rsidRDefault="001E0933" w:rsidP="00F8349B">
      <w:pPr>
        <w:spacing w:line="480" w:lineRule="auto"/>
        <w:ind w:firstLine="720"/>
        <w:rPr>
          <w:b/>
        </w:rPr>
      </w:pPr>
      <w:r>
        <w:t>Climate change litigation cases peaked at around the same time, although the rise was more sudden, with very few cases before the mid-2000s (Figure 2). Litigation was spearheaded in industrialized countries (EU and OECD member states, including the US), with a much slower ramp up of cases elsewhere.</w:t>
      </w:r>
    </w:p>
    <w:p w14:paraId="3BD581E9" w14:textId="45FE485F" w:rsidR="001E0933" w:rsidRPr="00F8349B" w:rsidRDefault="001E0933" w:rsidP="00F8349B">
      <w:pPr>
        <w:spacing w:line="480" w:lineRule="auto"/>
      </w:pPr>
      <w:r w:rsidRPr="00F8349B">
        <w:rPr>
          <w:iCs/>
        </w:rPr>
        <w:t>Insert Figure 2 here (Climate change litigation over time)</w:t>
      </w:r>
    </w:p>
    <w:p w14:paraId="5AEFA925" w14:textId="77777777" w:rsidR="001E0933" w:rsidRDefault="001E0933" w:rsidP="00500F0C">
      <w:pPr>
        <w:spacing w:line="480" w:lineRule="auto"/>
        <w:ind w:firstLine="720"/>
      </w:pPr>
      <w:r w:rsidRPr="00436BB1">
        <w:t xml:space="preserve">It is difficult to discern an impact of external factors, such as the international climate negotiations, on national </w:t>
      </w:r>
      <w:r>
        <w:t>climate legislation or litigation</w:t>
      </w:r>
      <w:r w:rsidRPr="00436BB1">
        <w:t xml:space="preserve">. Fankhauser </w:t>
      </w:r>
      <w:r w:rsidRPr="00436BB1">
        <w:rPr>
          <w:i/>
          <w:iCs/>
        </w:rPr>
        <w:t>et al.</w:t>
      </w:r>
      <w:r w:rsidRPr="00436BB1">
        <w:t xml:space="preserve"> (2015b) found a statistically significant difference in legislative activity between Annex 1 (industrialized) and non-Annex 1 (developing) countries in the aftermath of the Kyoto Protocol, which imposed binding obligations on the former. However, the effect was temporary and relatively small. </w:t>
      </w:r>
    </w:p>
    <w:p w14:paraId="7C797026" w14:textId="77777777" w:rsidR="001E0933" w:rsidRDefault="001E0933" w:rsidP="00500F0C">
      <w:pPr>
        <w:spacing w:line="480" w:lineRule="auto"/>
        <w:ind w:firstLine="720"/>
      </w:pPr>
      <w:r w:rsidRPr="00436BB1">
        <w:t xml:space="preserve">The impact of the Paris Agreement appears </w:t>
      </w:r>
      <w:r>
        <w:t>equally limited</w:t>
      </w:r>
      <w:r w:rsidRPr="00436BB1">
        <w:t xml:space="preserve">. The peak in legislative activity clearly pre-dates the Agreement, which was signed in December 2015. Only about 230 </w:t>
      </w:r>
      <w:r w:rsidRPr="00436BB1">
        <w:lastRenderedPageBreak/>
        <w:t xml:space="preserve">climate-relevant laws were passed in the subsequent four years, </w:t>
      </w:r>
      <w:r>
        <w:t xml:space="preserve">which is </w:t>
      </w:r>
      <w:r w:rsidRPr="00436BB1">
        <w:t xml:space="preserve">less than half the annual rate than during the peak years. </w:t>
      </w:r>
    </w:p>
    <w:p w14:paraId="4C895910" w14:textId="59D05EC9" w:rsidR="001E0933" w:rsidRPr="001A3D70" w:rsidRDefault="001E0933" w:rsidP="00500F0C">
      <w:pPr>
        <w:spacing w:line="480" w:lineRule="auto"/>
        <w:ind w:firstLine="720"/>
      </w:pPr>
      <w:r w:rsidRPr="00436BB1">
        <w:t>The more significant impact of the Paris Agreement was perhaps on the ambition of new laws (the intensive margin), rather than their number (the extensive margin). Several countries, including Sweden (2017), France (2019), New Zealand (2019) and the UK (2019) have passed acts to put into law an economy-wide net-zero emissions target (that is, a balance between emissions and their removal from the atmosphere) in line with the Paris objectives. However, analysis has shown that very few of the emissions pledges contained in countries’ NDCs are matched by legislated national emissions targets (Nachmany and Mangan 2018).</w:t>
      </w:r>
      <w:r>
        <w:t xml:space="preserve"> The legislative implementation of the Paris Agreement is still far from complete.</w:t>
      </w:r>
    </w:p>
    <w:p w14:paraId="5DD6123A" w14:textId="5A70054A" w:rsidR="001E0933" w:rsidRPr="00436BB1" w:rsidRDefault="001E0933" w:rsidP="00500F0C">
      <w:pPr>
        <w:pStyle w:val="Heading2"/>
        <w:keepNext/>
        <w:keepLines/>
        <w:spacing w:after="0" w:line="480" w:lineRule="auto"/>
        <w:rPr>
          <w:rFonts w:eastAsiaTheme="majorEastAsia"/>
          <w:bCs/>
          <w:i/>
          <w:noProof/>
          <w:szCs w:val="26"/>
        </w:rPr>
      </w:pPr>
      <w:r w:rsidRPr="00436BB1">
        <w:rPr>
          <w:rFonts w:eastAsiaTheme="majorEastAsia"/>
          <w:bCs/>
          <w:i/>
          <w:noProof/>
          <w:szCs w:val="26"/>
        </w:rPr>
        <w:t>3.2 Spain, the UK and South Korea are the most comprehensive legislators</w:t>
      </w:r>
    </w:p>
    <w:p w14:paraId="128736A7" w14:textId="0F3B986F" w:rsidR="001E0933" w:rsidRPr="00436BB1" w:rsidRDefault="001E0933" w:rsidP="00F31BD4">
      <w:pPr>
        <w:spacing w:line="480" w:lineRule="auto"/>
        <w:ind w:firstLine="720"/>
        <w:rPr>
          <w:b/>
        </w:rPr>
      </w:pPr>
      <w:r w:rsidRPr="00436BB1">
        <w:t xml:space="preserve">Every country in the world now has at least one climate law, as defined by CCLW, and in some jurisdictions the number is well over 20 (Figure </w:t>
      </w:r>
      <w:r>
        <w:t>3a</w:t>
      </w:r>
      <w:r w:rsidRPr="00436BB1">
        <w:t>). The median country has passed eight climate change laws and policies (Table 1).</w:t>
      </w:r>
    </w:p>
    <w:p w14:paraId="28AAE5C0" w14:textId="3DA4C9E1" w:rsidR="001E0933" w:rsidRPr="00500F0C" w:rsidRDefault="001E0933" w:rsidP="00F31BD4">
      <w:pPr>
        <w:pStyle w:val="Subheading"/>
        <w:spacing w:before="0" w:after="0" w:line="480" w:lineRule="auto"/>
        <w:rPr>
          <w:rFonts w:ascii="Times New Roman" w:hAnsi="Times New Roman" w:cs="Times New Roman"/>
          <w:b w:val="0"/>
          <w:iCs/>
          <w:sz w:val="24"/>
          <w:szCs w:val="24"/>
        </w:rPr>
      </w:pPr>
      <w:r w:rsidRPr="00500F0C">
        <w:rPr>
          <w:rFonts w:ascii="Times New Roman" w:hAnsi="Times New Roman" w:cs="Times New Roman"/>
          <w:b w:val="0"/>
          <w:iCs/>
          <w:sz w:val="24"/>
          <w:szCs w:val="24"/>
        </w:rPr>
        <w:t>Insert Figure 3 here (Map of climate legislation and litigation by countries)</w:t>
      </w:r>
    </w:p>
    <w:p w14:paraId="717D9B0F" w14:textId="77777777" w:rsidR="001E0933" w:rsidRDefault="001E0933" w:rsidP="00F31BD4">
      <w:pPr>
        <w:spacing w:line="480" w:lineRule="auto"/>
        <w:ind w:firstLine="720"/>
      </w:pPr>
      <w:r w:rsidRPr="00436BB1">
        <w:t xml:space="preserve">The number of climate laws a country has passed tells us something about the interest of its law makers in climate change. However, it is not a perfect indicator of climate action. Simply counting the number of laws ignores the considerable heterogeneity that exists in countries’ legislative approaches to climate change (Averchenkova </w:t>
      </w:r>
      <w:r w:rsidRPr="00EA470F">
        <w:rPr>
          <w:iCs/>
        </w:rPr>
        <w:t>et al.</w:t>
      </w:r>
      <w:r w:rsidRPr="00436BB1">
        <w:t xml:space="preserve"> 2017). What is covered in one overarching piece of legislation in one country may require several separate interventions in another. China, for example, only has 8 climate change laws, but this includes powerful provisions incorporated in the 12</w:t>
      </w:r>
      <w:r w:rsidRPr="00436BB1">
        <w:rPr>
          <w:vertAlign w:val="superscript"/>
        </w:rPr>
        <w:t>th</w:t>
      </w:r>
      <w:r w:rsidRPr="00436BB1">
        <w:t xml:space="preserve"> and 13</w:t>
      </w:r>
      <w:r w:rsidRPr="00436BB1">
        <w:rPr>
          <w:vertAlign w:val="superscript"/>
        </w:rPr>
        <w:t>th</w:t>
      </w:r>
      <w:r w:rsidRPr="00436BB1">
        <w:t xml:space="preserve"> </w:t>
      </w:r>
      <w:r w:rsidRPr="00436BB1">
        <w:rPr>
          <w:i/>
          <w:iCs/>
        </w:rPr>
        <w:t>Five Year Plan</w:t>
      </w:r>
      <w:r w:rsidRPr="00436BB1">
        <w:t xml:space="preserve">. In comparison, Brazil has 28 recorded climate change laws, including 8 interventions trying to halt deforestation. In Europe, </w:t>
      </w:r>
      <w:r w:rsidRPr="00436BB1">
        <w:lastRenderedPageBreak/>
        <w:t>Sweden has 11 climate change laws, compared with 20 laws in the UK. Yet both countries are seen as leaders in the fight against climate change.</w:t>
      </w:r>
    </w:p>
    <w:p w14:paraId="23165818" w14:textId="7AB271BA" w:rsidR="001E0933" w:rsidRPr="00A56606" w:rsidRDefault="001E0933" w:rsidP="00F31BD4">
      <w:pPr>
        <w:spacing w:line="480" w:lineRule="auto"/>
        <w:ind w:firstLine="720"/>
      </w:pPr>
      <w:r w:rsidRPr="00436BB1">
        <w:t xml:space="preserve">Bearing this caveat in mind, we calculate three statistics that we believe are informative about countries’ determination to act on climate change. The first indicator is the number of laws that were on the statute book (or more accurately, in the CCLW database) by the end of 2019. The second indicator accounts for government effectiveness. The presumption is that laws passed by effective governments </w:t>
      </w:r>
      <w:r>
        <w:t xml:space="preserve">are more likely to be implemented, and therefore </w:t>
      </w:r>
      <w:r w:rsidRPr="00436BB1">
        <w:t>have a higher real-world impact</w:t>
      </w:r>
      <w:r>
        <w:t>,</w:t>
      </w:r>
      <w:r w:rsidRPr="00436BB1">
        <w:t xml:space="preserve"> than those passed by ineffectual governments. Our effectiveness indicator is the Rule of Law variable from the Worldwide Governance Indicators by Kaufman </w:t>
      </w:r>
      <w:r w:rsidRPr="00F966ED">
        <w:rPr>
          <w:iCs/>
        </w:rPr>
        <w:t>et al.</w:t>
      </w:r>
      <w:r w:rsidRPr="00436BB1">
        <w:t xml:space="preserve"> (2010). The variable captures “perceptions of the extent to which agents have confidence in and abide by the rules of society, and in particular the quality of contract enforcement, property rights, the police, and the court” (Kaufman </w:t>
      </w:r>
      <w:r w:rsidRPr="00F966ED">
        <w:rPr>
          <w:iCs/>
        </w:rPr>
        <w:t>et al.</w:t>
      </w:r>
      <w:r w:rsidRPr="00436BB1">
        <w:t xml:space="preserve"> 2010).</w:t>
      </w:r>
      <w:r w:rsidRPr="00436BB1">
        <w:rPr>
          <w:rStyle w:val="EndnoteReference"/>
        </w:rPr>
        <w:t xml:space="preserve"> </w:t>
      </w:r>
      <w:r w:rsidRPr="00A56606">
        <w:rPr>
          <w:rStyle w:val="EndnoteReference"/>
        </w:rPr>
        <w:endnoteReference w:id="9"/>
      </w:r>
    </w:p>
    <w:p w14:paraId="35021BE0" w14:textId="77777777" w:rsidR="001E0933" w:rsidRDefault="001E0933" w:rsidP="00F31BD4">
      <w:pPr>
        <w:spacing w:line="480" w:lineRule="auto"/>
        <w:ind w:firstLine="720"/>
        <w:jc w:val="both"/>
      </w:pPr>
      <w:r w:rsidRPr="00A56606">
        <w:t xml:space="preserve">The third indicator factors in the date when a law was passed, by calculating the number of law-years in a country. For example, the UK </w:t>
      </w:r>
      <w:r w:rsidRPr="00A56606">
        <w:rPr>
          <w:i/>
          <w:iCs/>
        </w:rPr>
        <w:t>Climate Change Act,</w:t>
      </w:r>
      <w:r w:rsidRPr="00A56606">
        <w:t xml:space="preserve"> which was passed in 2008 has a weight of 12. </w:t>
      </w:r>
      <w:r w:rsidRPr="00255A7E">
        <w:t xml:space="preserve">The presumption is that laws that were passed early on have had a </w:t>
      </w:r>
      <w:r w:rsidRPr="00436BB1">
        <w:t xml:space="preserve">longer and therefore bigger impact on climate policy. Law-years are again weighted by the level of government effectiveness to account for differences in implementation. </w:t>
      </w:r>
    </w:p>
    <w:p w14:paraId="4D20AFAB" w14:textId="77777777" w:rsidR="001E0933" w:rsidRDefault="001E0933" w:rsidP="00F31BD4">
      <w:pPr>
        <w:spacing w:line="480" w:lineRule="auto"/>
        <w:ind w:firstLine="720"/>
        <w:jc w:val="both"/>
      </w:pPr>
      <w:r w:rsidRPr="00436BB1">
        <w:t xml:space="preserve">Table 4 reports the top and bottom five performers among three (overlapping) sets of countries, the G20 group of leading economies, the member states of the Organization for Economic Cooperation and Development (OECD), and the member states of the European Union during the period of interest. </w:t>
      </w:r>
      <w:r w:rsidRPr="00992A4E">
        <w:t>The full set of results can be found in Appendix Table A1.</w:t>
      </w:r>
    </w:p>
    <w:p w14:paraId="059B5531" w14:textId="7A000CF5" w:rsidR="001E0933" w:rsidRPr="00436BB1" w:rsidRDefault="001E0933" w:rsidP="00F551FA">
      <w:pPr>
        <w:spacing w:line="480" w:lineRule="auto"/>
        <w:ind w:firstLine="720"/>
        <w:rPr>
          <w:b/>
        </w:rPr>
      </w:pPr>
      <w:r>
        <w:t xml:space="preserve">The three indicators lead to very consistent results, with rank correlations of 0.88 or more between them. However, for individual countries there can be interesting deviations, related to </w:t>
      </w:r>
      <w:r>
        <w:lastRenderedPageBreak/>
        <w:t xml:space="preserve">the effectiveness with which laws are implemented. </w:t>
      </w:r>
      <w:r w:rsidRPr="00A56606">
        <w:t xml:space="preserve">European countries like Spain, Italy and the UK are among the most prolific legislators, with over 20 laws each (not counting EU-level laws, which also apply to member states). Spain and the UK, and to a lesser extent Italy </w:t>
      </w:r>
      <w:r w:rsidRPr="00255A7E">
        <w:t xml:space="preserve">also score well in the other two indicators, as European countries tend to have </w:t>
      </w:r>
      <w:r w:rsidRPr="00436BB1">
        <w:t xml:space="preserve">relatively effective governments and many of their climate laws are several years old. </w:t>
      </w:r>
      <w:r>
        <w:t xml:space="preserve">However, government effectiveness makes a difference in </w:t>
      </w:r>
      <w:r w:rsidRPr="00436BB1">
        <w:t>Brazil and Indonesia</w:t>
      </w:r>
      <w:r>
        <w:t xml:space="preserve">. Both countries </w:t>
      </w:r>
      <w:r w:rsidRPr="00436BB1">
        <w:t>are in the top-five G20 countries in terms of number of laws</w:t>
      </w:r>
      <w:r>
        <w:t xml:space="preserve">, but </w:t>
      </w:r>
      <w:r w:rsidRPr="00436BB1">
        <w:t xml:space="preserve">controlling for government effectiveness and law-years, the best G20 performers are the UK and South Korea. </w:t>
      </w:r>
    </w:p>
    <w:p w14:paraId="65654399" w14:textId="73616166" w:rsidR="001E0933" w:rsidRPr="00F31BD4" w:rsidRDefault="001E0933" w:rsidP="00F551FA">
      <w:pPr>
        <w:pStyle w:val="Subheading"/>
        <w:spacing w:before="0" w:after="0" w:line="480" w:lineRule="auto"/>
        <w:rPr>
          <w:rFonts w:ascii="Times New Roman" w:hAnsi="Times New Roman" w:cs="Times New Roman"/>
          <w:b w:val="0"/>
          <w:iCs/>
          <w:sz w:val="24"/>
          <w:szCs w:val="24"/>
        </w:rPr>
      </w:pPr>
      <w:r w:rsidRPr="00F31BD4">
        <w:rPr>
          <w:rFonts w:ascii="Times New Roman" w:hAnsi="Times New Roman" w:cs="Times New Roman"/>
          <w:b w:val="0"/>
          <w:iCs/>
          <w:sz w:val="24"/>
          <w:szCs w:val="24"/>
        </w:rPr>
        <w:t>Insert Table 4 here (Country-law statistics)</w:t>
      </w:r>
    </w:p>
    <w:p w14:paraId="6DDA1EB7" w14:textId="77777777" w:rsidR="001E0933" w:rsidRPr="00436BB1" w:rsidRDefault="001E0933" w:rsidP="00F551FA">
      <w:pPr>
        <w:spacing w:line="480" w:lineRule="auto"/>
        <w:ind w:firstLine="360"/>
        <w:jc w:val="both"/>
        <w:rPr>
          <w:b/>
        </w:rPr>
      </w:pPr>
    </w:p>
    <w:p w14:paraId="7106DA3D" w14:textId="0E94FCA1" w:rsidR="001E0933" w:rsidRPr="00436BB1" w:rsidRDefault="001E0933" w:rsidP="00F551FA">
      <w:pPr>
        <w:pStyle w:val="Heading2"/>
        <w:keepNext/>
        <w:keepLines/>
        <w:spacing w:after="0" w:line="480" w:lineRule="auto"/>
        <w:jc w:val="both"/>
        <w:rPr>
          <w:rFonts w:eastAsiaTheme="majorEastAsia"/>
          <w:bCs/>
          <w:i/>
          <w:noProof/>
          <w:szCs w:val="26"/>
        </w:rPr>
      </w:pPr>
      <w:r w:rsidRPr="00436BB1">
        <w:rPr>
          <w:rFonts w:eastAsiaTheme="majorEastAsia"/>
          <w:bCs/>
          <w:i/>
          <w:noProof/>
          <w:szCs w:val="26"/>
        </w:rPr>
        <w:t>3.3 Climate legislation is less of a partisan issue than commonly assumed</w:t>
      </w:r>
    </w:p>
    <w:p w14:paraId="15C1D9F5" w14:textId="77777777" w:rsidR="001E0933" w:rsidRDefault="001E0933" w:rsidP="00F551FA">
      <w:pPr>
        <w:spacing w:line="480" w:lineRule="auto"/>
        <w:ind w:firstLine="720"/>
      </w:pPr>
      <w:r w:rsidRPr="00436BB1">
        <w:t xml:space="preserve">A striking feature of the climate change debate, particularly in </w:t>
      </w:r>
      <w:r>
        <w:t>a</w:t>
      </w:r>
      <w:r w:rsidRPr="00436BB1">
        <w:t>nglo</w:t>
      </w:r>
      <w:r>
        <w:t>phone</w:t>
      </w:r>
      <w:r w:rsidRPr="00436BB1">
        <w:t xml:space="preserve"> countries like Australia, Canada and the United States, is the strong party-political divide. There is evidence that left-of-center governments are generally more inclined to legislate on the environment (Neumayer 2003), but  the issue appears particularly pronounced for climate change, w</w:t>
      </w:r>
      <w:r>
        <w:t>here we observe</w:t>
      </w:r>
      <w:r w:rsidRPr="00436BB1">
        <w:t xml:space="preserve"> a notable undercurrent of climate skepticism on the political right (McCright and Dunlap 2011a, b; and Painter and Ashe 2012). However, the effect of party politics on environmental policy is complex (Carter </w:t>
      </w:r>
      <w:r w:rsidRPr="00041E69">
        <w:rPr>
          <w:i/>
          <w:iCs/>
        </w:rPr>
        <w:t>et al.</w:t>
      </w:r>
      <w:r w:rsidRPr="00436BB1">
        <w:t xml:space="preserve"> 2018), and it has also been suggested that that right-wing climate skepticism may primarily be an Anglo-Saxon phenomenon (Fankhauser </w:t>
      </w:r>
      <w:r w:rsidRPr="00F551FA">
        <w:rPr>
          <w:iCs/>
        </w:rPr>
        <w:t>et al.</w:t>
      </w:r>
      <w:r w:rsidRPr="00436BB1">
        <w:t xml:space="preserve"> 2015a). There may also be a gender dimension (Mavisakalyan and Tarverdi 2019).</w:t>
      </w:r>
    </w:p>
    <w:p w14:paraId="3AE6CFC6" w14:textId="48D3544F" w:rsidR="001E0933" w:rsidRPr="00436BB1" w:rsidRDefault="001E0933" w:rsidP="00F551FA">
      <w:pPr>
        <w:spacing w:line="480" w:lineRule="auto"/>
        <w:ind w:firstLine="720"/>
      </w:pPr>
      <w:r w:rsidRPr="00436BB1">
        <w:t xml:space="preserve">To shed more light on this debate we look at climate change legislation in the democratic countries </w:t>
      </w:r>
      <w:r w:rsidRPr="00992A4E">
        <w:t xml:space="preserve">of the sample, defined as countries with a democracy score of 6 or more in the Polity IV dataset (a </w:t>
      </w:r>
      <w:r w:rsidRPr="00A56606">
        <w:t>standard measure of democratic quality).</w:t>
      </w:r>
      <w:r w:rsidRPr="00A56606">
        <w:rPr>
          <w:rStyle w:val="EndnoteReference"/>
        </w:rPr>
        <w:endnoteReference w:id="10"/>
      </w:r>
      <w:r w:rsidRPr="00A56606">
        <w:t xml:space="preserve"> For each of these countries we calculate </w:t>
      </w:r>
      <w:r w:rsidRPr="00A56606">
        <w:lastRenderedPageBreak/>
        <w:t xml:space="preserve">the fraction of climate change laws that was passed by administrations of a particular political orientation (right, left </w:t>
      </w:r>
      <w:r w:rsidRPr="00255A7E">
        <w:t xml:space="preserve">or </w:t>
      </w:r>
      <w:r w:rsidRPr="00436BB1">
        <w:t xml:space="preserve">center), divided by the share of years they have been in power. Algebraically, the indicator for partisanship </w:t>
      </w:r>
      <m:oMath>
        <m:r>
          <w:rPr>
            <w:rFonts w:ascii="Cambria Math" w:hAnsi="Cambria Math"/>
          </w:rPr>
          <m:t>P</m:t>
        </m:r>
      </m:oMath>
      <w:r w:rsidRPr="00436BB1">
        <w:t xml:space="preserve"> has the form:</w:t>
      </w:r>
    </w:p>
    <w:p w14:paraId="6B4F50F2" w14:textId="6E563F66" w:rsidR="001E0933" w:rsidRPr="00A56606" w:rsidRDefault="00EB156A" w:rsidP="00E25E4E">
      <w:pPr>
        <w:spacing w:line="480" w:lineRule="auto"/>
        <w:ind w:firstLine="360"/>
        <w:jc w:val="both"/>
      </w:pPr>
      <m:oMathPara>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m:t>
              </m:r>
            </m:sub>
          </m:sSub>
          <m:r>
            <m:rPr>
              <m:sty m:val="p"/>
            </m:rPr>
            <w:rPr>
              <w:rFonts w:ascii="Cambria Math" w:hAnsi="Cambria Math"/>
            </w:rPr>
            <m:t xml:space="preserve">= </m:t>
          </m:r>
          <m:f>
            <m:fPr>
              <m:ctrlPr>
                <w:rPr>
                  <w:rFonts w:ascii="Cambria Math" w:hAnsi="Cambria Math"/>
                </w:rPr>
              </m:ctrlPr>
            </m:fPr>
            <m:num>
              <m:f>
                <m:fPr>
                  <m:type m:val="skw"/>
                  <m:ctrlPr>
                    <w:rPr>
                      <w:rFonts w:ascii="Cambria Math" w:hAnsi="Cambria Math"/>
                    </w:rPr>
                  </m:ctrlPr>
                </m:fPr>
                <m:num>
                  <m:sSub>
                    <m:sSubPr>
                      <m:ctrlPr>
                        <w:rPr>
                          <w:rFonts w:ascii="Cambria Math" w:hAnsi="Cambria Math"/>
                        </w:rPr>
                      </m:ctrlPr>
                    </m:sSubPr>
                    <m:e>
                      <m:r>
                        <m:rPr>
                          <m:sty m:val="bi"/>
                        </m:rPr>
                        <w:rPr>
                          <w:rFonts w:ascii="Cambria Math" w:hAnsi="Cambria Math"/>
                        </w:rPr>
                        <m:t>L</m:t>
                      </m:r>
                    </m:e>
                    <m:sub>
                      <m:r>
                        <m:rPr>
                          <m:sty m:val="bi"/>
                        </m:rPr>
                        <w:rPr>
                          <w:rFonts w:ascii="Cambria Math" w:hAnsi="Cambria Math"/>
                        </w:rPr>
                        <m:t>i</m:t>
                      </m:r>
                    </m:sub>
                  </m:sSub>
                </m:num>
                <m:den>
                  <m:sSub>
                    <m:sSubPr>
                      <m:ctrlPr>
                        <w:rPr>
                          <w:rFonts w:ascii="Cambria Math" w:hAnsi="Cambria Math"/>
                        </w:rPr>
                      </m:ctrlPr>
                    </m:sSubPr>
                    <m:e>
                      <m:r>
                        <m:rPr>
                          <m:sty m:val="bi"/>
                        </m:rPr>
                        <w:rPr>
                          <w:rFonts w:ascii="Cambria Math" w:hAnsi="Cambria Math"/>
                        </w:rPr>
                        <m:t>L</m:t>
                      </m:r>
                    </m:e>
                    <m:sub>
                      <m:r>
                        <m:rPr>
                          <m:sty m:val="bi"/>
                        </m:rPr>
                        <w:rPr>
                          <w:rFonts w:ascii="Cambria Math" w:hAnsi="Cambria Math"/>
                        </w:rPr>
                        <m:t>tot</m:t>
                      </m:r>
                    </m:sub>
                  </m:sSub>
                </m:den>
              </m:f>
            </m:num>
            <m:den>
              <m:f>
                <m:fPr>
                  <m:type m:val="skw"/>
                  <m:ctrlPr>
                    <w:rPr>
                      <w:rFonts w:ascii="Cambria Math" w:hAnsi="Cambria Math"/>
                    </w:rPr>
                  </m:ctrlPr>
                </m:fPr>
                <m:num>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num>
                <m:den>
                  <m:sSub>
                    <m:sSubPr>
                      <m:ctrlPr>
                        <w:rPr>
                          <w:rFonts w:ascii="Cambria Math" w:hAnsi="Cambria Math"/>
                        </w:rPr>
                      </m:ctrlPr>
                    </m:sSubPr>
                    <m:e>
                      <m:r>
                        <m:rPr>
                          <m:sty m:val="bi"/>
                        </m:rPr>
                        <w:rPr>
                          <w:rFonts w:ascii="Cambria Math" w:hAnsi="Cambria Math"/>
                        </w:rPr>
                        <m:t>Y</m:t>
                      </m:r>
                    </m:e>
                    <m:sub>
                      <m:r>
                        <m:rPr>
                          <m:sty m:val="bi"/>
                        </m:rPr>
                        <w:rPr>
                          <w:rFonts w:ascii="Cambria Math" w:hAnsi="Cambria Math"/>
                        </w:rPr>
                        <m:t>tot</m:t>
                      </m:r>
                    </m:sub>
                  </m:sSub>
                </m:den>
              </m:f>
            </m:den>
          </m:f>
          <m:r>
            <m:rPr>
              <m:sty m:val="p"/>
            </m:rPr>
            <w:rPr>
              <w:rFonts w:ascii="Cambria Math" w:hAnsi="Cambria Math"/>
            </w:rPr>
            <m:t xml:space="preserve">                                                      </m:t>
          </m:r>
          <m:d>
            <m:dPr>
              <m:ctrlPr>
                <w:rPr>
                  <w:rFonts w:ascii="Cambria Math" w:hAnsi="Cambria Math"/>
                </w:rPr>
              </m:ctrlPr>
            </m:dPr>
            <m:e>
              <m:r>
                <m:rPr>
                  <m:sty m:val="b"/>
                </m:rPr>
                <w:rPr>
                  <w:rFonts w:ascii="Cambria Math" w:hAnsi="Cambria Math"/>
                </w:rPr>
                <m:t>1</m:t>
              </m:r>
            </m:e>
          </m:d>
        </m:oMath>
      </m:oMathPara>
    </w:p>
    <w:p w14:paraId="7BF25AB4" w14:textId="1450656A" w:rsidR="001E0933" w:rsidRPr="00A56606" w:rsidRDefault="001E0933" w:rsidP="00E1597B">
      <w:pPr>
        <w:spacing w:line="480" w:lineRule="auto"/>
        <w:rPr>
          <w:b/>
        </w:rPr>
      </w:pPr>
      <w:r w:rsidRPr="00A56606">
        <w:t xml:space="preserve">where, </w:t>
      </w:r>
      <m:oMath>
        <m:r>
          <w:rPr>
            <w:rFonts w:ascii="Cambria Math" w:hAnsi="Cambria Math"/>
          </w:rPr>
          <m:t>L</m:t>
        </m:r>
      </m:oMath>
      <w:r w:rsidRPr="00A56606">
        <w:t xml:space="preserve"> denotes number of laws passed, </w:t>
      </w:r>
      <m:oMath>
        <m:r>
          <w:rPr>
            <w:rFonts w:ascii="Cambria Math" w:hAnsi="Cambria Math"/>
          </w:rPr>
          <m:t>Y</m:t>
        </m:r>
      </m:oMath>
      <w:r w:rsidRPr="00A56606">
        <w:t xml:space="preserve"> denotes years in power and subscript </w:t>
      </w:r>
      <m:oMath>
        <m:r>
          <w:rPr>
            <w:rFonts w:ascii="Cambria Math" w:hAnsi="Cambria Math"/>
          </w:rPr>
          <m:t>i</m:t>
        </m:r>
      </m:oMath>
      <w:r w:rsidRPr="00A56606">
        <w:t xml:space="preserve"> denotes political orientation, </w:t>
      </w:r>
      <m:oMath>
        <m:r>
          <w:rPr>
            <w:rFonts w:ascii="Cambria Math" w:hAnsi="Cambria Math"/>
          </w:rPr>
          <m:t xml:space="preserve">i = </m:t>
        </m:r>
        <m:d>
          <m:dPr>
            <m:begChr m:val="{"/>
            <m:endChr m:val="}"/>
            <m:ctrlPr>
              <w:rPr>
                <w:rFonts w:ascii="Cambria Math" w:hAnsi="Cambria Math"/>
                <w:i/>
                <w:iCs/>
              </w:rPr>
            </m:ctrlPr>
          </m:dPr>
          <m:e>
            <m:r>
              <w:rPr>
                <w:rFonts w:ascii="Cambria Math" w:hAnsi="Cambria Math"/>
              </w:rPr>
              <m:t>left, right, center</m:t>
            </m:r>
          </m:e>
        </m:d>
      </m:oMath>
      <w:r w:rsidRPr="00A56606">
        <w:rPr>
          <w:i/>
          <w:iCs/>
        </w:rPr>
        <w:t xml:space="preserve">. </w:t>
      </w:r>
      <w:r w:rsidRPr="00A56606">
        <w:t>Data on party-political orientation was taken from the World Bank’s Database of Political Institutions (DPI).</w:t>
      </w:r>
      <w:r w:rsidRPr="00A56606">
        <w:rPr>
          <w:rStyle w:val="EndnoteReference"/>
        </w:rPr>
        <w:endnoteReference w:id="11"/>
      </w:r>
      <w:r w:rsidRPr="00A56606">
        <w:t xml:space="preserve"> </w:t>
      </w:r>
    </w:p>
    <w:p w14:paraId="1AA9D2BF" w14:textId="4D064783" w:rsidR="001E0933" w:rsidRPr="00436BB1" w:rsidRDefault="001E0933" w:rsidP="00E1597B">
      <w:pPr>
        <w:spacing w:line="480" w:lineRule="auto"/>
        <w:ind w:firstLine="720"/>
        <w:rPr>
          <w:b/>
        </w:rPr>
      </w:pPr>
      <w:r w:rsidRPr="00A56606">
        <w:t xml:space="preserve">The indicator has a straightforward interpretation: A score greater than one suggests that governments of political persuasion </w:t>
      </w:r>
      <m:oMath>
        <m:r>
          <w:rPr>
            <w:rFonts w:ascii="Cambria Math" w:hAnsi="Cambria Math"/>
          </w:rPr>
          <m:t>i</m:t>
        </m:r>
      </m:oMath>
      <w:r w:rsidRPr="00A56606">
        <w:rPr>
          <w:i/>
          <w:iCs/>
        </w:rPr>
        <w:t xml:space="preserve"> </w:t>
      </w:r>
      <w:r w:rsidRPr="00A56606">
        <w:t>are disproportionately inclined to pass climate change legislation</w:t>
      </w:r>
      <w:r w:rsidRPr="00255A7E">
        <w:t xml:space="preserve">. Their share of climate laws is greater than their relative time in power. A score less than one suggests a </w:t>
      </w:r>
      <w:r w:rsidRPr="00436BB1">
        <w:t>comparative reluctance to legislate on climate change.</w:t>
      </w:r>
    </w:p>
    <w:p w14:paraId="6F979173" w14:textId="77777777" w:rsidR="001E0933" w:rsidRDefault="001E0933" w:rsidP="008C3D7A">
      <w:pPr>
        <w:spacing w:line="480" w:lineRule="auto"/>
        <w:ind w:firstLine="720"/>
      </w:pPr>
      <w:r w:rsidRPr="00992A4E">
        <w:t xml:space="preserve">Figure </w:t>
      </w:r>
      <w:r>
        <w:t>4</w:t>
      </w:r>
      <w:r w:rsidRPr="00992A4E">
        <w:t xml:space="preserve"> shows the distribution of scores across the 99 democratic countries we considered</w:t>
      </w:r>
      <w:r>
        <w:t>, split by legislative acts (passed by parliament) and executive orders (issued by governments)</w:t>
      </w:r>
      <w:r w:rsidRPr="00992A4E">
        <w:t>.</w:t>
      </w:r>
      <w:r>
        <w:t xml:space="preserve"> </w:t>
      </w:r>
      <w:r w:rsidRPr="00992A4E">
        <w:t xml:space="preserve">For </w:t>
      </w:r>
      <w:r w:rsidRPr="00A56606">
        <w:t xml:space="preserve">the </w:t>
      </w:r>
      <w:r>
        <w:t xml:space="preserve">country-level results of combined (parliamentary and executive) activity </w:t>
      </w:r>
      <w:r w:rsidRPr="00A56606">
        <w:t>see Appendix Table A2. We would expect the distribution for the right-wing index to be to the left of one (</w:t>
      </w:r>
      <w:r w:rsidRPr="00255A7E">
        <w:t>i.e., most countries</w:t>
      </w:r>
      <w:r w:rsidRPr="00436BB1">
        <w:t xml:space="preserve"> score less than one) and th</w:t>
      </w:r>
      <w:r>
        <w:t>ose</w:t>
      </w:r>
      <w:r w:rsidRPr="00436BB1">
        <w:t xml:space="preserve"> for left and center parties to be to the right of one. However, this is not what we find. For most distributions we cannot reject the hypothesis that their mean is equal to one (Table </w:t>
      </w:r>
      <w:r>
        <w:t>5</w:t>
      </w:r>
      <w:r w:rsidRPr="00436BB1">
        <w:t xml:space="preserve">). In industrialized countries (OECD and European Union members), </w:t>
      </w:r>
      <w:r>
        <w:t>and for all countries in the case of legislative acts</w:t>
      </w:r>
      <w:r w:rsidRPr="00436BB1">
        <w:t xml:space="preserve">, there is no statistical evidence that the number of climate laws passed by governments of the left, center and right is not proportional to their time in office. Only in </w:t>
      </w:r>
      <w:r>
        <w:t xml:space="preserve">the case of executive orders issued by </w:t>
      </w:r>
      <w:r>
        <w:lastRenderedPageBreak/>
        <w:t xml:space="preserve">governments outside the OECD / EU </w:t>
      </w:r>
      <w:r w:rsidRPr="00436BB1">
        <w:t xml:space="preserve">does the political right appear to be less inclined to </w:t>
      </w:r>
      <w:r>
        <w:t>act</w:t>
      </w:r>
      <w:r w:rsidRPr="00436BB1">
        <w:t xml:space="preserve"> on climate change.</w:t>
      </w:r>
    </w:p>
    <w:p w14:paraId="05832438" w14:textId="77777777" w:rsidR="001E0933" w:rsidRDefault="001E0933" w:rsidP="008C3D7A">
      <w:pPr>
        <w:spacing w:line="480" w:lineRule="auto"/>
        <w:ind w:firstLine="720"/>
        <w:rPr>
          <w:bCs/>
        </w:rPr>
      </w:pPr>
      <w:r w:rsidRPr="00436BB1">
        <w:rPr>
          <w:bCs/>
        </w:rPr>
        <w:t xml:space="preserve">Although we do not control for confounding factors, this suggests that the task of passing climate change legislation is less of partisan issue than the public debate in countries like the Australia, Canada and United States would make us believe. </w:t>
      </w:r>
    </w:p>
    <w:p w14:paraId="44427EC2" w14:textId="0D42A303" w:rsidR="001E0933" w:rsidRPr="00A56606" w:rsidRDefault="001E0933" w:rsidP="008C3D7A">
      <w:pPr>
        <w:spacing w:line="480" w:lineRule="auto"/>
        <w:ind w:firstLine="720"/>
        <w:rPr>
          <w:bCs/>
        </w:rPr>
      </w:pPr>
      <w:r w:rsidRPr="00436BB1">
        <w:rPr>
          <w:bCs/>
        </w:rPr>
        <w:t xml:space="preserve">Of course, indicators like equation (1) mask important political dynamics, and </w:t>
      </w:r>
      <w:r w:rsidRPr="00436BB1">
        <w:t>the left-right divide does not always mirror a divide on environmental matters (Carter 2018;</w:t>
      </w:r>
      <w:r>
        <w:t xml:space="preserve"> </w:t>
      </w:r>
      <w:r w:rsidRPr="00436BB1">
        <w:t>Carter et al</w:t>
      </w:r>
      <w:r>
        <w:t>.</w:t>
      </w:r>
      <w:r w:rsidRPr="00436BB1">
        <w:t xml:space="preserve"> 2018). </w:t>
      </w:r>
      <w:r w:rsidRPr="00436BB1">
        <w:rPr>
          <w:bCs/>
        </w:rPr>
        <w:t xml:space="preserve">The UK, for example, has a low right-wing party score of 0.6 (Appendix Table A2), but climate policy </w:t>
      </w:r>
      <w:r w:rsidRPr="00436BB1">
        <w:t>has mostly transcended party lines. T</w:t>
      </w:r>
      <w:r w:rsidRPr="00436BB1">
        <w:rPr>
          <w:bCs/>
        </w:rPr>
        <w:t xml:space="preserve">he opposition Conservatives supported many of the laws put forward by Labour governments, most notably the </w:t>
      </w:r>
      <w:r w:rsidRPr="00436BB1">
        <w:rPr>
          <w:bCs/>
          <w:i/>
          <w:iCs/>
        </w:rPr>
        <w:t>Climate Change Act</w:t>
      </w:r>
      <w:r w:rsidRPr="00436BB1">
        <w:rPr>
          <w:bCs/>
        </w:rPr>
        <w:t xml:space="preserve"> 2008. The US score of 1.3 reflects the fact that the legislative and executive are often controlled by different parties. President Obama’s flagship </w:t>
      </w:r>
      <w:r w:rsidRPr="00436BB1">
        <w:rPr>
          <w:bCs/>
          <w:i/>
          <w:iCs/>
        </w:rPr>
        <w:t>Clean Power Plan</w:t>
      </w:r>
      <w:r w:rsidRPr="00436BB1">
        <w:rPr>
          <w:bCs/>
        </w:rPr>
        <w:t xml:space="preserve">, for example, was an executive order passed in 2015, when Congress was in Republican hands. </w:t>
      </w:r>
    </w:p>
    <w:p w14:paraId="3B8B225E" w14:textId="7C8BEA65" w:rsidR="001E0933" w:rsidRPr="00E1597B" w:rsidRDefault="001E0933" w:rsidP="008C3D7A">
      <w:pPr>
        <w:pStyle w:val="Subheading"/>
        <w:spacing w:before="0" w:after="0" w:line="480" w:lineRule="auto"/>
        <w:rPr>
          <w:rFonts w:ascii="Times New Roman" w:hAnsi="Times New Roman" w:cs="Times New Roman"/>
          <w:b w:val="0"/>
          <w:iCs/>
          <w:sz w:val="24"/>
          <w:szCs w:val="24"/>
        </w:rPr>
      </w:pPr>
      <w:r w:rsidRPr="00E1597B">
        <w:rPr>
          <w:rFonts w:ascii="Times New Roman" w:hAnsi="Times New Roman" w:cs="Times New Roman"/>
          <w:b w:val="0"/>
          <w:iCs/>
          <w:sz w:val="24"/>
          <w:szCs w:val="24"/>
        </w:rPr>
        <w:t>Insert Figure 4 here (Histogram of political orientation scores</w:t>
      </w:r>
      <w:r>
        <w:rPr>
          <w:rFonts w:ascii="Times New Roman" w:hAnsi="Times New Roman" w:cs="Times New Roman"/>
          <w:b w:val="0"/>
          <w:iCs/>
          <w:sz w:val="24"/>
          <w:szCs w:val="24"/>
        </w:rPr>
        <w:t>)</w:t>
      </w:r>
    </w:p>
    <w:p w14:paraId="003E8A08" w14:textId="6F2DD897" w:rsidR="001E0933" w:rsidRPr="00E1597B" w:rsidRDefault="001E0933" w:rsidP="008C3D7A">
      <w:pPr>
        <w:pStyle w:val="Subheading"/>
        <w:spacing w:before="0" w:after="0" w:line="480" w:lineRule="auto"/>
        <w:rPr>
          <w:rFonts w:ascii="Times New Roman" w:hAnsi="Times New Roman" w:cs="Times New Roman"/>
          <w:b w:val="0"/>
          <w:iCs/>
          <w:sz w:val="24"/>
          <w:szCs w:val="24"/>
        </w:rPr>
      </w:pPr>
      <w:r w:rsidRPr="00E1597B">
        <w:rPr>
          <w:rFonts w:ascii="Times New Roman" w:hAnsi="Times New Roman" w:cs="Times New Roman"/>
          <w:b w:val="0"/>
          <w:iCs/>
          <w:sz w:val="24"/>
          <w:szCs w:val="24"/>
        </w:rPr>
        <w:t>Insert Table 5 here (Statistical tests of political orientation)</w:t>
      </w:r>
    </w:p>
    <w:p w14:paraId="56900AB5" w14:textId="77777777" w:rsidR="001E0933" w:rsidRPr="00255A7E" w:rsidRDefault="001E0933" w:rsidP="008C3D7A">
      <w:pPr>
        <w:pStyle w:val="Subheading"/>
        <w:spacing w:before="0" w:after="0" w:line="480" w:lineRule="auto"/>
        <w:jc w:val="center"/>
        <w:rPr>
          <w:rFonts w:ascii="Times New Roman" w:hAnsi="Times New Roman" w:cs="Times New Roman"/>
          <w:b w:val="0"/>
          <w:i/>
          <w:iCs/>
          <w:sz w:val="24"/>
          <w:szCs w:val="24"/>
        </w:rPr>
      </w:pPr>
    </w:p>
    <w:p w14:paraId="7F924CA6" w14:textId="51CF73FC" w:rsidR="001E0933" w:rsidRPr="00436BB1" w:rsidRDefault="001E0933" w:rsidP="008C3D7A">
      <w:pPr>
        <w:pStyle w:val="Heading2"/>
        <w:keepNext/>
        <w:keepLines/>
        <w:spacing w:after="0" w:line="480" w:lineRule="auto"/>
        <w:jc w:val="both"/>
        <w:rPr>
          <w:rFonts w:eastAsiaTheme="majorEastAsia"/>
          <w:bCs/>
          <w:i/>
          <w:noProof/>
          <w:szCs w:val="26"/>
        </w:rPr>
      </w:pPr>
      <w:r w:rsidRPr="00436BB1">
        <w:rPr>
          <w:rFonts w:eastAsiaTheme="majorEastAsia"/>
          <w:bCs/>
          <w:i/>
          <w:noProof/>
          <w:szCs w:val="26"/>
        </w:rPr>
        <w:t>3.4 Climate legislation slows during difficult economic times</w:t>
      </w:r>
    </w:p>
    <w:p w14:paraId="2238E2C3" w14:textId="77777777" w:rsidR="001E0933" w:rsidRDefault="001E0933" w:rsidP="008C3D7A">
      <w:pPr>
        <w:spacing w:line="480" w:lineRule="auto"/>
        <w:ind w:firstLine="720"/>
        <w:rPr>
          <w:bCs/>
        </w:rPr>
      </w:pPr>
      <w:r w:rsidRPr="00436BB1">
        <w:rPr>
          <w:bCs/>
        </w:rPr>
        <w:t>Climate change requires persistent policy intervention over decades and as such it should cut across the business cycle. Nevertheless, there is a question about countries’ determination to pursue climate policy in difficult economic times.</w:t>
      </w:r>
    </w:p>
    <w:p w14:paraId="00C980AF" w14:textId="77777777" w:rsidR="001E0933" w:rsidRDefault="001E0933" w:rsidP="00187F61">
      <w:pPr>
        <w:spacing w:line="480" w:lineRule="auto"/>
        <w:ind w:firstLine="720"/>
        <w:rPr>
          <w:bCs/>
        </w:rPr>
      </w:pPr>
      <w:r w:rsidRPr="00436BB1">
        <w:rPr>
          <w:bCs/>
        </w:rPr>
        <w:t xml:space="preserve">There are two sides to the argument. On the one hand, concern for the environment may have less political traction during a recession, when issues like growth and employment take center stage. Kahn and Kotchen (2010) found that interest in the environment tends to wane in </w:t>
      </w:r>
      <w:r w:rsidRPr="00436BB1">
        <w:rPr>
          <w:bCs/>
        </w:rPr>
        <w:lastRenderedPageBreak/>
        <w:t>difficult economic times. On the other hand, green investment</w:t>
      </w:r>
      <w:r>
        <w:rPr>
          <w:bCs/>
        </w:rPr>
        <w:t>—</w:t>
      </w:r>
      <w:r w:rsidRPr="00436BB1">
        <w:rPr>
          <w:bCs/>
        </w:rPr>
        <w:t>or a “green deal”</w:t>
      </w:r>
      <w:r>
        <w:rPr>
          <w:bCs/>
        </w:rPr>
        <w:t>—</w:t>
      </w:r>
      <w:r w:rsidRPr="00436BB1">
        <w:rPr>
          <w:bCs/>
        </w:rPr>
        <w:t xml:space="preserve">can be an effective fiscal stimulus, as argued by Barbier (2010) and Zenghelis (2012). In the aftermath of the 2008 financial crisis, governments in Europe and elsewhere saw climate investment as a promising way to kick start an ailing economy (Bowen and Stern 2010). </w:t>
      </w:r>
      <w:r w:rsidRPr="00A56606">
        <w:rPr>
          <w:bCs/>
        </w:rPr>
        <w:t>The same call is now being made with respect to the Covid</w:t>
      </w:r>
      <w:r>
        <w:rPr>
          <w:bCs/>
        </w:rPr>
        <w:t>-</w:t>
      </w:r>
      <w:r w:rsidRPr="00A56606">
        <w:rPr>
          <w:bCs/>
        </w:rPr>
        <w:t>19 recovery</w:t>
      </w:r>
      <w:r>
        <w:rPr>
          <w:bCs/>
        </w:rPr>
        <w:t xml:space="preserve"> (Hepburn et al 2020)</w:t>
      </w:r>
      <w:r w:rsidRPr="00A56606">
        <w:rPr>
          <w:bCs/>
        </w:rPr>
        <w:t>.</w:t>
      </w:r>
    </w:p>
    <w:p w14:paraId="7E814FFE" w14:textId="77777777" w:rsidR="00187F61" w:rsidRDefault="001E0933" w:rsidP="00211DDC">
      <w:pPr>
        <w:spacing w:line="480" w:lineRule="auto"/>
        <w:ind w:firstLine="720"/>
        <w:rPr>
          <w:bCs/>
        </w:rPr>
      </w:pPr>
      <w:r w:rsidRPr="00A56606">
        <w:rPr>
          <w:bCs/>
        </w:rPr>
        <w:t xml:space="preserve">CCLW can help to shed some light on the link between climate legislation and the business cycle (see Doda 2014 for a related application). We use Hodrick-Prescott decomposition  to calculate the cyclical component of GDP and identify </w:t>
      </w:r>
      <w:r w:rsidRPr="00255A7E">
        <w:rPr>
          <w:bCs/>
        </w:rPr>
        <w:t xml:space="preserve">the </w:t>
      </w:r>
      <w:r w:rsidRPr="00436BB1">
        <w:rPr>
          <w:bCs/>
        </w:rPr>
        <w:t>periods during 1990 to 2017 when national economies were performing above trend (HP &gt; 0) and below trend (HP &lt; 0).</w:t>
      </w:r>
      <w:r w:rsidRPr="00A56606">
        <w:rPr>
          <w:rStyle w:val="EndnoteReference"/>
          <w:bCs/>
        </w:rPr>
        <w:endnoteReference w:id="12"/>
      </w:r>
      <w:r w:rsidRPr="00A56606">
        <w:rPr>
          <w:bCs/>
        </w:rPr>
        <w:t xml:space="preserve"> </w:t>
      </w:r>
      <w:r w:rsidR="009B2946" w:rsidRPr="00A56606">
        <w:rPr>
          <w:bCs/>
        </w:rPr>
        <w:t xml:space="preserve">Using the same structure as equation (1), we then calculate the share of climate laws passed while the economy </w:t>
      </w:r>
      <w:r w:rsidR="001464A0" w:rsidRPr="00A56606">
        <w:rPr>
          <w:bCs/>
        </w:rPr>
        <w:t xml:space="preserve">is </w:t>
      </w:r>
      <w:r w:rsidR="00B8052D" w:rsidRPr="00A56606">
        <w:rPr>
          <w:bCs/>
        </w:rPr>
        <w:t>under</w:t>
      </w:r>
      <w:r w:rsidR="001464A0" w:rsidRPr="00A56606">
        <w:rPr>
          <w:bCs/>
        </w:rPr>
        <w:t>performing</w:t>
      </w:r>
      <w:r w:rsidR="009B2946" w:rsidRPr="00A56606">
        <w:rPr>
          <w:bCs/>
        </w:rPr>
        <w:t xml:space="preserve">, divided by the fraction of years when this was the case.  </w:t>
      </w:r>
    </w:p>
    <w:p w14:paraId="28903168" w14:textId="77777777" w:rsidR="00187F61" w:rsidRDefault="00E55EB8" w:rsidP="00211DDC">
      <w:pPr>
        <w:spacing w:line="480" w:lineRule="auto"/>
        <w:ind w:firstLine="720"/>
        <w:rPr>
          <w:bCs/>
        </w:rPr>
      </w:pPr>
      <w:r w:rsidRPr="00A56606">
        <w:rPr>
          <w:bCs/>
        </w:rPr>
        <w:t>C</w:t>
      </w:r>
      <w:r w:rsidR="00D72B35" w:rsidRPr="00A56606">
        <w:rPr>
          <w:bCs/>
        </w:rPr>
        <w:t xml:space="preserve">ountries where </w:t>
      </w:r>
      <w:r w:rsidR="00A01A03" w:rsidRPr="00A56606">
        <w:rPr>
          <w:bCs/>
        </w:rPr>
        <w:t>legislative activity slow</w:t>
      </w:r>
      <w:r w:rsidRPr="00A56606">
        <w:rPr>
          <w:bCs/>
        </w:rPr>
        <w:t>ed</w:t>
      </w:r>
      <w:r w:rsidR="00A01A03" w:rsidRPr="00A56606">
        <w:rPr>
          <w:bCs/>
        </w:rPr>
        <w:t xml:space="preserve"> down in difficult </w:t>
      </w:r>
      <w:r w:rsidRPr="00A56606">
        <w:rPr>
          <w:bCs/>
        </w:rPr>
        <w:t xml:space="preserve">economic times will have a score </w:t>
      </w:r>
      <w:r w:rsidR="00476B5C" w:rsidRPr="00A56606">
        <w:rPr>
          <w:bCs/>
        </w:rPr>
        <w:t xml:space="preserve">of </w:t>
      </w:r>
      <w:r w:rsidR="00AE2A43" w:rsidRPr="00255A7E">
        <w:rPr>
          <w:bCs/>
        </w:rPr>
        <w:t xml:space="preserve">less </w:t>
      </w:r>
      <w:r w:rsidRPr="00436BB1">
        <w:rPr>
          <w:bCs/>
        </w:rPr>
        <w:t>than one</w:t>
      </w:r>
      <w:r w:rsidR="00D72B35" w:rsidRPr="00436BB1">
        <w:rPr>
          <w:bCs/>
        </w:rPr>
        <w:t xml:space="preserve">, </w:t>
      </w:r>
      <w:r w:rsidRPr="00436BB1">
        <w:rPr>
          <w:bCs/>
        </w:rPr>
        <w:t>while</w:t>
      </w:r>
      <w:r w:rsidR="00D72B35" w:rsidRPr="00436BB1">
        <w:rPr>
          <w:bCs/>
        </w:rPr>
        <w:t xml:space="preserve"> </w:t>
      </w:r>
      <w:r w:rsidRPr="00436BB1">
        <w:rPr>
          <w:bCs/>
        </w:rPr>
        <w:t xml:space="preserve">countries that sought to </w:t>
      </w:r>
      <w:r w:rsidR="00D72B35" w:rsidRPr="00436BB1">
        <w:rPr>
          <w:bCs/>
        </w:rPr>
        <w:t>implement gree</w:t>
      </w:r>
      <w:r w:rsidR="00B8052D" w:rsidRPr="00436BB1">
        <w:rPr>
          <w:bCs/>
        </w:rPr>
        <w:t>n</w:t>
      </w:r>
      <w:r w:rsidR="00D72B35" w:rsidRPr="00436BB1">
        <w:rPr>
          <w:bCs/>
        </w:rPr>
        <w:t xml:space="preserve"> deal-style policies</w:t>
      </w:r>
      <w:r w:rsidRPr="00436BB1">
        <w:rPr>
          <w:bCs/>
        </w:rPr>
        <w:t xml:space="preserve"> </w:t>
      </w:r>
      <w:r w:rsidR="00B8052D" w:rsidRPr="00436BB1">
        <w:rPr>
          <w:bCs/>
        </w:rPr>
        <w:t>may</w:t>
      </w:r>
      <w:r w:rsidR="003B7E7B" w:rsidRPr="00436BB1">
        <w:rPr>
          <w:bCs/>
        </w:rPr>
        <w:t xml:space="preserve"> </w:t>
      </w:r>
      <w:r w:rsidRPr="00436BB1">
        <w:rPr>
          <w:bCs/>
        </w:rPr>
        <w:t xml:space="preserve">have a score </w:t>
      </w:r>
      <w:r w:rsidR="00AE2A43" w:rsidRPr="00436BB1">
        <w:rPr>
          <w:bCs/>
        </w:rPr>
        <w:t>greater</w:t>
      </w:r>
      <w:r w:rsidRPr="00436BB1">
        <w:rPr>
          <w:bCs/>
        </w:rPr>
        <w:t xml:space="preserve"> than one</w:t>
      </w:r>
      <w:r w:rsidR="00D72B35" w:rsidRPr="00436BB1">
        <w:rPr>
          <w:bCs/>
        </w:rPr>
        <w:t>.</w:t>
      </w:r>
      <w:r w:rsidR="003B7E7B" w:rsidRPr="00436BB1">
        <w:rPr>
          <w:bCs/>
        </w:rPr>
        <w:t xml:space="preserve"> </w:t>
      </w:r>
      <w:r w:rsidR="00903AC8" w:rsidRPr="00436BB1">
        <w:rPr>
          <w:bCs/>
        </w:rPr>
        <w:t xml:space="preserve">Figure </w:t>
      </w:r>
      <w:r w:rsidR="0071147A">
        <w:rPr>
          <w:bCs/>
        </w:rPr>
        <w:t>5</w:t>
      </w:r>
      <w:r w:rsidR="00903AC8" w:rsidRPr="00436BB1">
        <w:rPr>
          <w:bCs/>
        </w:rPr>
        <w:t xml:space="preserve"> displays the distribution of scores across countries</w:t>
      </w:r>
      <w:r w:rsidR="008C1CDC" w:rsidRPr="00436BB1">
        <w:rPr>
          <w:bCs/>
        </w:rPr>
        <w:t xml:space="preserve"> (</w:t>
      </w:r>
      <w:r w:rsidR="00D35F4C" w:rsidRPr="00436BB1">
        <w:rPr>
          <w:bCs/>
        </w:rPr>
        <w:t>t</w:t>
      </w:r>
      <w:r w:rsidR="008C1CDC" w:rsidRPr="00436BB1">
        <w:rPr>
          <w:bCs/>
        </w:rPr>
        <w:t>he full results reproduced in Appendix table A3)</w:t>
      </w:r>
      <w:r w:rsidR="00903AC8" w:rsidRPr="00436BB1">
        <w:rPr>
          <w:bCs/>
        </w:rPr>
        <w:t xml:space="preserve">. The scores are </w:t>
      </w:r>
      <w:r w:rsidR="004F06E8" w:rsidRPr="00436BB1">
        <w:rPr>
          <w:bCs/>
        </w:rPr>
        <w:t xml:space="preserve">skewed slightly to the left, </w:t>
      </w:r>
      <w:r w:rsidR="008C4968" w:rsidRPr="00436BB1">
        <w:rPr>
          <w:bCs/>
        </w:rPr>
        <w:t xml:space="preserve">suggesting </w:t>
      </w:r>
      <w:r w:rsidR="00C83505" w:rsidRPr="00436BB1">
        <w:rPr>
          <w:bCs/>
        </w:rPr>
        <w:t>a majority of countries legislates less in difficult economic times. This is confirmed by statistical tests</w:t>
      </w:r>
      <w:r w:rsidR="00B8052D" w:rsidRPr="00436BB1">
        <w:rPr>
          <w:bCs/>
        </w:rPr>
        <w:t xml:space="preserve"> (Table </w:t>
      </w:r>
      <w:r w:rsidR="00197C83">
        <w:rPr>
          <w:bCs/>
        </w:rPr>
        <w:t>6</w:t>
      </w:r>
      <w:r w:rsidR="00B8052D" w:rsidRPr="00436BB1">
        <w:rPr>
          <w:bCs/>
        </w:rPr>
        <w:t>)</w:t>
      </w:r>
      <w:r w:rsidR="00903AC8" w:rsidRPr="00436BB1">
        <w:rPr>
          <w:bCs/>
        </w:rPr>
        <w:t xml:space="preserve">. </w:t>
      </w:r>
    </w:p>
    <w:p w14:paraId="6B164837" w14:textId="3EC43846" w:rsidR="0012315F" w:rsidRPr="00A56606" w:rsidRDefault="006029C3" w:rsidP="00211DDC">
      <w:pPr>
        <w:spacing w:line="480" w:lineRule="auto"/>
        <w:ind w:firstLine="720"/>
        <w:rPr>
          <w:bCs/>
        </w:rPr>
      </w:pPr>
      <w:r>
        <w:rPr>
          <w:bCs/>
        </w:rPr>
        <w:t>We conclude that t</w:t>
      </w:r>
      <w:r w:rsidR="00435C04" w:rsidRPr="00436BB1">
        <w:rPr>
          <w:bCs/>
        </w:rPr>
        <w:t xml:space="preserve">he business cycle </w:t>
      </w:r>
      <w:r>
        <w:rPr>
          <w:bCs/>
        </w:rPr>
        <w:t>has</w:t>
      </w:r>
      <w:r w:rsidR="00435C04" w:rsidRPr="00436BB1">
        <w:rPr>
          <w:bCs/>
        </w:rPr>
        <w:t xml:space="preserve"> had a </w:t>
      </w:r>
      <w:r w:rsidR="00C83505" w:rsidRPr="00436BB1">
        <w:rPr>
          <w:bCs/>
        </w:rPr>
        <w:t xml:space="preserve">material </w:t>
      </w:r>
      <w:r w:rsidR="00435C04" w:rsidRPr="00436BB1">
        <w:rPr>
          <w:bCs/>
        </w:rPr>
        <w:t>impact on the pace of climate change legislation</w:t>
      </w:r>
      <w:r w:rsidR="00C83505" w:rsidRPr="00436BB1">
        <w:rPr>
          <w:bCs/>
        </w:rPr>
        <w:t xml:space="preserve">, notwithstanding the fact </w:t>
      </w:r>
      <w:r w:rsidR="00C03F73" w:rsidRPr="00436BB1">
        <w:rPr>
          <w:bCs/>
        </w:rPr>
        <w:t>that the peak in climate l</w:t>
      </w:r>
      <w:r w:rsidR="00C83505" w:rsidRPr="00436BB1">
        <w:rPr>
          <w:bCs/>
        </w:rPr>
        <w:t>egislation</w:t>
      </w:r>
      <w:r w:rsidR="00C03F73" w:rsidRPr="00436BB1">
        <w:rPr>
          <w:bCs/>
        </w:rPr>
        <w:t xml:space="preserve"> coincided with the aftermath of the 2008 financial crisis</w:t>
      </w:r>
      <w:r w:rsidR="00C83505" w:rsidRPr="00436BB1">
        <w:rPr>
          <w:bCs/>
        </w:rPr>
        <w:t xml:space="preserve"> (Figure 1</w:t>
      </w:r>
      <w:r w:rsidR="00C83505" w:rsidRPr="00A56606">
        <w:rPr>
          <w:bCs/>
        </w:rPr>
        <w:t>)</w:t>
      </w:r>
      <w:r w:rsidR="00C03F73" w:rsidRPr="00A56606">
        <w:rPr>
          <w:bCs/>
        </w:rPr>
        <w:t>.</w:t>
      </w:r>
      <w:r w:rsidR="0012315F" w:rsidRPr="00A56606">
        <w:rPr>
          <w:bCs/>
        </w:rPr>
        <w:t xml:space="preserve"> This raises questions about the likelihood of ratcheting up NDCs in accordance with the Paris Agreement, as the next round of </w:t>
      </w:r>
      <w:r w:rsidR="00E828DF" w:rsidRPr="00A56606">
        <w:rPr>
          <w:bCs/>
        </w:rPr>
        <w:t xml:space="preserve">NDC </w:t>
      </w:r>
      <w:r w:rsidR="0012315F" w:rsidRPr="00A56606">
        <w:rPr>
          <w:bCs/>
        </w:rPr>
        <w:t>review</w:t>
      </w:r>
      <w:r w:rsidR="00E828DF" w:rsidRPr="00A56606">
        <w:rPr>
          <w:bCs/>
        </w:rPr>
        <w:t>s</w:t>
      </w:r>
      <w:r w:rsidR="0012315F" w:rsidRPr="00A56606">
        <w:rPr>
          <w:bCs/>
        </w:rPr>
        <w:t xml:space="preserve"> will </w:t>
      </w:r>
      <w:r w:rsidR="00253611">
        <w:rPr>
          <w:bCs/>
        </w:rPr>
        <w:t xml:space="preserve">likely </w:t>
      </w:r>
      <w:r w:rsidR="0012315F" w:rsidRPr="00A56606">
        <w:rPr>
          <w:bCs/>
        </w:rPr>
        <w:t xml:space="preserve">occur </w:t>
      </w:r>
      <w:r w:rsidR="00253611">
        <w:rPr>
          <w:bCs/>
        </w:rPr>
        <w:t xml:space="preserve">during a </w:t>
      </w:r>
      <w:r w:rsidR="0012315F" w:rsidRPr="00A56606">
        <w:rPr>
          <w:bCs/>
        </w:rPr>
        <w:t>global recession, caused by Covid</w:t>
      </w:r>
      <w:r w:rsidR="00A56606">
        <w:rPr>
          <w:bCs/>
        </w:rPr>
        <w:t>-</w:t>
      </w:r>
      <w:r w:rsidR="0012315F" w:rsidRPr="00A56606">
        <w:rPr>
          <w:bCs/>
        </w:rPr>
        <w:t xml:space="preserve">19. </w:t>
      </w:r>
    </w:p>
    <w:p w14:paraId="063AD199" w14:textId="1CA3C3E6" w:rsidR="00F419B4" w:rsidRPr="00211DDC" w:rsidRDefault="00211DDC" w:rsidP="00211DDC">
      <w:pPr>
        <w:pStyle w:val="Subheading"/>
        <w:spacing w:before="0" w:after="0" w:line="480" w:lineRule="auto"/>
        <w:rPr>
          <w:rFonts w:ascii="Times New Roman" w:hAnsi="Times New Roman" w:cs="Times New Roman"/>
          <w:b w:val="0"/>
          <w:iCs/>
          <w:sz w:val="24"/>
          <w:szCs w:val="24"/>
        </w:rPr>
      </w:pPr>
      <w:r w:rsidRPr="00211DDC">
        <w:rPr>
          <w:rFonts w:ascii="Times New Roman" w:hAnsi="Times New Roman" w:cs="Times New Roman"/>
          <w:b w:val="0"/>
          <w:iCs/>
          <w:sz w:val="24"/>
          <w:szCs w:val="24"/>
        </w:rPr>
        <w:t>Inse</w:t>
      </w:r>
      <w:r w:rsidR="00AF7156">
        <w:rPr>
          <w:rFonts w:ascii="Times New Roman" w:hAnsi="Times New Roman" w:cs="Times New Roman"/>
          <w:b w:val="0"/>
          <w:iCs/>
          <w:sz w:val="24"/>
          <w:szCs w:val="24"/>
        </w:rPr>
        <w:t>r</w:t>
      </w:r>
      <w:r w:rsidRPr="00211DDC">
        <w:rPr>
          <w:rFonts w:ascii="Times New Roman" w:hAnsi="Times New Roman" w:cs="Times New Roman"/>
          <w:b w:val="0"/>
          <w:iCs/>
          <w:sz w:val="24"/>
          <w:szCs w:val="24"/>
        </w:rPr>
        <w:t xml:space="preserve">t </w:t>
      </w:r>
      <w:r w:rsidR="00FE46FF" w:rsidRPr="00211DDC">
        <w:rPr>
          <w:rFonts w:ascii="Times New Roman" w:hAnsi="Times New Roman" w:cs="Times New Roman"/>
          <w:b w:val="0"/>
          <w:iCs/>
          <w:sz w:val="24"/>
          <w:szCs w:val="24"/>
        </w:rPr>
        <w:t>F</w:t>
      </w:r>
      <w:r w:rsidR="00F419B4" w:rsidRPr="00211DDC">
        <w:rPr>
          <w:rFonts w:ascii="Times New Roman" w:hAnsi="Times New Roman" w:cs="Times New Roman"/>
          <w:b w:val="0"/>
          <w:iCs/>
          <w:sz w:val="24"/>
          <w:szCs w:val="24"/>
        </w:rPr>
        <w:t xml:space="preserve">igure </w:t>
      </w:r>
      <w:r w:rsidR="0071147A" w:rsidRPr="00211DDC">
        <w:rPr>
          <w:rFonts w:ascii="Times New Roman" w:hAnsi="Times New Roman" w:cs="Times New Roman"/>
          <w:b w:val="0"/>
          <w:iCs/>
          <w:sz w:val="24"/>
          <w:szCs w:val="24"/>
        </w:rPr>
        <w:t>5</w:t>
      </w:r>
      <w:r w:rsidRPr="00211DDC">
        <w:rPr>
          <w:rFonts w:ascii="Times New Roman" w:hAnsi="Times New Roman" w:cs="Times New Roman"/>
          <w:b w:val="0"/>
          <w:iCs/>
          <w:sz w:val="24"/>
          <w:szCs w:val="24"/>
        </w:rPr>
        <w:t xml:space="preserve"> here</w:t>
      </w:r>
      <w:r w:rsidR="00FE46FF" w:rsidRPr="00211DDC">
        <w:rPr>
          <w:rFonts w:ascii="Times New Roman" w:hAnsi="Times New Roman" w:cs="Times New Roman"/>
          <w:b w:val="0"/>
          <w:iCs/>
          <w:sz w:val="24"/>
          <w:szCs w:val="24"/>
        </w:rPr>
        <w:t xml:space="preserve"> </w:t>
      </w:r>
      <w:r w:rsidRPr="00211DDC">
        <w:rPr>
          <w:rFonts w:ascii="Times New Roman" w:hAnsi="Times New Roman" w:cs="Times New Roman"/>
          <w:b w:val="0"/>
          <w:iCs/>
          <w:sz w:val="24"/>
          <w:szCs w:val="24"/>
        </w:rPr>
        <w:t>(</w:t>
      </w:r>
      <w:r w:rsidR="00FE46FF" w:rsidRPr="00211DDC">
        <w:rPr>
          <w:rFonts w:ascii="Times New Roman" w:hAnsi="Times New Roman" w:cs="Times New Roman"/>
          <w:b w:val="0"/>
          <w:iCs/>
          <w:sz w:val="24"/>
          <w:szCs w:val="24"/>
        </w:rPr>
        <w:t>H</w:t>
      </w:r>
      <w:r w:rsidR="0029109D" w:rsidRPr="00211DDC">
        <w:rPr>
          <w:rFonts w:ascii="Times New Roman" w:hAnsi="Times New Roman" w:cs="Times New Roman"/>
          <w:b w:val="0"/>
          <w:iCs/>
          <w:sz w:val="24"/>
          <w:szCs w:val="24"/>
        </w:rPr>
        <w:t>istogram of business cycle scores</w:t>
      </w:r>
      <w:r w:rsidRPr="00211DDC">
        <w:rPr>
          <w:rFonts w:ascii="Times New Roman" w:hAnsi="Times New Roman" w:cs="Times New Roman"/>
          <w:b w:val="0"/>
          <w:iCs/>
          <w:sz w:val="24"/>
          <w:szCs w:val="24"/>
        </w:rPr>
        <w:t>)</w:t>
      </w:r>
    </w:p>
    <w:p w14:paraId="1987819F" w14:textId="27B8DA92" w:rsidR="00F419B4" w:rsidRPr="00211DDC" w:rsidRDefault="00211DDC" w:rsidP="00211DDC">
      <w:pPr>
        <w:pStyle w:val="Subheading"/>
        <w:spacing w:before="0" w:after="0" w:line="480" w:lineRule="auto"/>
        <w:rPr>
          <w:rFonts w:ascii="Times New Roman" w:hAnsi="Times New Roman" w:cs="Times New Roman"/>
          <w:b w:val="0"/>
          <w:iCs/>
          <w:sz w:val="24"/>
          <w:szCs w:val="24"/>
        </w:rPr>
      </w:pPr>
      <w:r w:rsidRPr="00211DDC">
        <w:rPr>
          <w:rFonts w:ascii="Times New Roman" w:hAnsi="Times New Roman" w:cs="Times New Roman"/>
          <w:b w:val="0"/>
          <w:iCs/>
          <w:sz w:val="24"/>
          <w:szCs w:val="24"/>
        </w:rPr>
        <w:lastRenderedPageBreak/>
        <w:t xml:space="preserve">Insert </w:t>
      </w:r>
      <w:r w:rsidR="00F419B4" w:rsidRPr="00211DDC">
        <w:rPr>
          <w:rFonts w:ascii="Times New Roman" w:hAnsi="Times New Roman" w:cs="Times New Roman"/>
          <w:b w:val="0"/>
          <w:iCs/>
          <w:sz w:val="24"/>
          <w:szCs w:val="24"/>
        </w:rPr>
        <w:t xml:space="preserve">Table </w:t>
      </w:r>
      <w:r w:rsidR="00197C83" w:rsidRPr="00211DDC">
        <w:rPr>
          <w:rFonts w:ascii="Times New Roman" w:hAnsi="Times New Roman" w:cs="Times New Roman"/>
          <w:b w:val="0"/>
          <w:iCs/>
          <w:sz w:val="24"/>
          <w:szCs w:val="24"/>
        </w:rPr>
        <w:t>6</w:t>
      </w:r>
      <w:r w:rsidRPr="00211DDC">
        <w:rPr>
          <w:rFonts w:ascii="Times New Roman" w:hAnsi="Times New Roman" w:cs="Times New Roman"/>
          <w:b w:val="0"/>
          <w:iCs/>
          <w:sz w:val="24"/>
          <w:szCs w:val="24"/>
        </w:rPr>
        <w:t xml:space="preserve"> here</w:t>
      </w:r>
      <w:r w:rsidR="00FE46FF" w:rsidRPr="00211DDC">
        <w:rPr>
          <w:rFonts w:ascii="Times New Roman" w:hAnsi="Times New Roman" w:cs="Times New Roman"/>
          <w:b w:val="0"/>
          <w:iCs/>
          <w:sz w:val="24"/>
          <w:szCs w:val="24"/>
        </w:rPr>
        <w:t xml:space="preserve"> </w:t>
      </w:r>
      <w:r w:rsidRPr="00211DDC">
        <w:rPr>
          <w:rFonts w:ascii="Times New Roman" w:hAnsi="Times New Roman" w:cs="Times New Roman"/>
          <w:b w:val="0"/>
          <w:iCs/>
          <w:sz w:val="24"/>
          <w:szCs w:val="24"/>
        </w:rPr>
        <w:t>(</w:t>
      </w:r>
      <w:r w:rsidR="00FE46FF" w:rsidRPr="00211DDC">
        <w:rPr>
          <w:rFonts w:ascii="Times New Roman" w:hAnsi="Times New Roman" w:cs="Times New Roman"/>
          <w:b w:val="0"/>
          <w:iCs/>
          <w:sz w:val="24"/>
          <w:szCs w:val="24"/>
        </w:rPr>
        <w:t>S</w:t>
      </w:r>
      <w:r w:rsidR="0029109D" w:rsidRPr="00211DDC">
        <w:rPr>
          <w:rFonts w:ascii="Times New Roman" w:hAnsi="Times New Roman" w:cs="Times New Roman"/>
          <w:b w:val="0"/>
          <w:iCs/>
          <w:sz w:val="24"/>
          <w:szCs w:val="24"/>
        </w:rPr>
        <w:t>tatistical tests of business cycle scores</w:t>
      </w:r>
      <w:r w:rsidRPr="00211DDC">
        <w:rPr>
          <w:rFonts w:ascii="Times New Roman" w:hAnsi="Times New Roman" w:cs="Times New Roman"/>
          <w:b w:val="0"/>
          <w:iCs/>
          <w:sz w:val="24"/>
          <w:szCs w:val="24"/>
        </w:rPr>
        <w:t>)</w:t>
      </w:r>
    </w:p>
    <w:p w14:paraId="42A1EE33" w14:textId="77777777" w:rsidR="00D34B6F" w:rsidRPr="00436BB1" w:rsidRDefault="00D34B6F" w:rsidP="00211DDC">
      <w:pPr>
        <w:spacing w:line="480" w:lineRule="auto"/>
        <w:ind w:firstLine="360"/>
        <w:jc w:val="both"/>
        <w:rPr>
          <w:b/>
        </w:rPr>
      </w:pPr>
    </w:p>
    <w:p w14:paraId="2A81F5B0" w14:textId="6D699E22" w:rsidR="00D64E30" w:rsidRPr="00436BB1" w:rsidRDefault="00E22470" w:rsidP="00211DDC">
      <w:pPr>
        <w:pStyle w:val="Heading2"/>
        <w:keepNext/>
        <w:keepLines/>
        <w:spacing w:after="0" w:line="480" w:lineRule="auto"/>
        <w:ind w:left="720" w:hanging="720"/>
        <w:jc w:val="both"/>
        <w:rPr>
          <w:rFonts w:eastAsiaTheme="majorEastAsia"/>
          <w:bCs/>
          <w:i/>
          <w:noProof/>
          <w:szCs w:val="26"/>
        </w:rPr>
      </w:pPr>
      <w:r w:rsidRPr="00436BB1">
        <w:rPr>
          <w:rFonts w:eastAsiaTheme="majorEastAsia"/>
          <w:bCs/>
          <w:i/>
          <w:noProof/>
          <w:szCs w:val="26"/>
        </w:rPr>
        <w:t>3.</w:t>
      </w:r>
      <w:r w:rsidR="00000FF8" w:rsidRPr="00436BB1">
        <w:rPr>
          <w:rFonts w:eastAsiaTheme="majorEastAsia"/>
          <w:bCs/>
          <w:i/>
          <w:noProof/>
          <w:szCs w:val="26"/>
        </w:rPr>
        <w:t>5</w:t>
      </w:r>
      <w:r w:rsidRPr="00436BB1">
        <w:rPr>
          <w:rFonts w:eastAsiaTheme="majorEastAsia"/>
          <w:bCs/>
          <w:i/>
          <w:noProof/>
          <w:szCs w:val="26"/>
        </w:rPr>
        <w:t xml:space="preserve"> </w:t>
      </w:r>
      <w:r w:rsidR="00720EA9" w:rsidRPr="00436BB1">
        <w:rPr>
          <w:rFonts w:eastAsiaTheme="majorEastAsia"/>
          <w:bCs/>
          <w:i/>
          <w:noProof/>
          <w:szCs w:val="26"/>
        </w:rPr>
        <w:t>Non-US judges tend to rule in favor of climate action</w:t>
      </w:r>
    </w:p>
    <w:p w14:paraId="31D9997B" w14:textId="77777777" w:rsidR="00C67B45" w:rsidRDefault="00664716" w:rsidP="00C67B45">
      <w:pPr>
        <w:spacing w:line="480" w:lineRule="auto"/>
        <w:ind w:firstLine="720"/>
        <w:rPr>
          <w:bCs/>
        </w:rPr>
      </w:pPr>
      <w:r w:rsidRPr="00436BB1">
        <w:rPr>
          <w:bCs/>
        </w:rPr>
        <w:t xml:space="preserve">The role of the judiciary in climate change </w:t>
      </w:r>
      <w:r w:rsidR="00323102" w:rsidRPr="00436BB1">
        <w:rPr>
          <w:bCs/>
        </w:rPr>
        <w:t xml:space="preserve">governance </w:t>
      </w:r>
      <w:r w:rsidRPr="00436BB1">
        <w:rPr>
          <w:bCs/>
        </w:rPr>
        <w:t>does not just depend on the number of cases</w:t>
      </w:r>
      <w:r w:rsidR="004C60EE" w:rsidRPr="00436BB1">
        <w:rPr>
          <w:bCs/>
        </w:rPr>
        <w:t xml:space="preserve"> brought</w:t>
      </w:r>
      <w:r w:rsidRPr="00436BB1">
        <w:rPr>
          <w:bCs/>
        </w:rPr>
        <w:t>, but also on the</w:t>
      </w:r>
      <w:r w:rsidR="00D4248B" w:rsidRPr="00436BB1">
        <w:rPr>
          <w:bCs/>
        </w:rPr>
        <w:t>ir outcomes.</w:t>
      </w:r>
      <w:r w:rsidR="00A56606">
        <w:rPr>
          <w:bCs/>
        </w:rPr>
        <w:t xml:space="preserve"> </w:t>
      </w:r>
      <w:r w:rsidR="00CF2ADB" w:rsidRPr="00A56606">
        <w:rPr>
          <w:bCs/>
        </w:rPr>
        <w:t xml:space="preserve">We </w:t>
      </w:r>
      <w:r w:rsidR="00522F5F" w:rsidRPr="00255A7E">
        <w:rPr>
          <w:bCs/>
        </w:rPr>
        <w:t xml:space="preserve">are </w:t>
      </w:r>
      <w:r w:rsidR="00CF2ADB" w:rsidRPr="00436BB1">
        <w:rPr>
          <w:bCs/>
        </w:rPr>
        <w:t xml:space="preserve">therefore </w:t>
      </w:r>
      <w:r w:rsidR="00522F5F" w:rsidRPr="00436BB1">
        <w:rPr>
          <w:bCs/>
        </w:rPr>
        <w:t xml:space="preserve">interested </w:t>
      </w:r>
      <w:r w:rsidR="009C4C28" w:rsidRPr="00436BB1">
        <w:rPr>
          <w:bCs/>
        </w:rPr>
        <w:t xml:space="preserve">in the </w:t>
      </w:r>
      <w:r w:rsidR="00522F5F" w:rsidRPr="00436BB1">
        <w:rPr>
          <w:bCs/>
        </w:rPr>
        <w:t xml:space="preserve">extent </w:t>
      </w:r>
      <w:r w:rsidR="009C4C28" w:rsidRPr="00436BB1">
        <w:rPr>
          <w:bCs/>
        </w:rPr>
        <w:t xml:space="preserve">to which </w:t>
      </w:r>
      <w:r w:rsidR="00522F5F" w:rsidRPr="00436BB1">
        <w:rPr>
          <w:bCs/>
        </w:rPr>
        <w:t xml:space="preserve">judges rule </w:t>
      </w:r>
      <w:r w:rsidR="00417337" w:rsidRPr="00436BB1">
        <w:rPr>
          <w:bCs/>
        </w:rPr>
        <w:t xml:space="preserve">against or </w:t>
      </w:r>
      <w:r w:rsidR="00522F5F" w:rsidRPr="00436BB1">
        <w:rPr>
          <w:bCs/>
        </w:rPr>
        <w:t xml:space="preserve">in favor of tighter climate action. </w:t>
      </w:r>
      <w:r w:rsidR="009C4C28" w:rsidRPr="00436BB1">
        <w:rPr>
          <w:bCs/>
        </w:rPr>
        <w:t>CCLW</w:t>
      </w:r>
      <w:r w:rsidR="00522F5F" w:rsidRPr="00436BB1">
        <w:rPr>
          <w:bCs/>
        </w:rPr>
        <w:t xml:space="preserve"> </w:t>
      </w:r>
      <w:r w:rsidR="005770DB" w:rsidRPr="00436BB1">
        <w:rPr>
          <w:bCs/>
        </w:rPr>
        <w:t xml:space="preserve">contains </w:t>
      </w:r>
      <w:r w:rsidR="00086513" w:rsidRPr="00436BB1">
        <w:rPr>
          <w:bCs/>
        </w:rPr>
        <w:t xml:space="preserve">this information for </w:t>
      </w:r>
      <w:r w:rsidR="005770DB" w:rsidRPr="00436BB1">
        <w:rPr>
          <w:bCs/>
        </w:rPr>
        <w:t xml:space="preserve">most cases where a ruling has been </w:t>
      </w:r>
      <w:r w:rsidR="00086513" w:rsidRPr="00436BB1">
        <w:rPr>
          <w:bCs/>
        </w:rPr>
        <w:t>issued</w:t>
      </w:r>
      <w:r w:rsidR="00522F5F" w:rsidRPr="00436BB1">
        <w:rPr>
          <w:bCs/>
        </w:rPr>
        <w:t xml:space="preserve">. </w:t>
      </w:r>
    </w:p>
    <w:p w14:paraId="0C58FCF7" w14:textId="77777777" w:rsidR="00C67B45" w:rsidRDefault="00725078" w:rsidP="00C67B45">
      <w:pPr>
        <w:spacing w:line="480" w:lineRule="auto"/>
        <w:ind w:firstLine="720"/>
        <w:rPr>
          <w:bCs/>
        </w:rPr>
      </w:pPr>
      <w:r w:rsidRPr="00436BB1">
        <w:rPr>
          <w:bCs/>
        </w:rPr>
        <w:t xml:space="preserve">The way </w:t>
      </w:r>
      <w:r w:rsidR="00F97B2C" w:rsidRPr="00436BB1">
        <w:rPr>
          <w:bCs/>
        </w:rPr>
        <w:t>judges rule</w:t>
      </w:r>
      <w:r w:rsidRPr="00436BB1">
        <w:rPr>
          <w:bCs/>
        </w:rPr>
        <w:t xml:space="preserve"> is particularly material in the case </w:t>
      </w:r>
      <w:r w:rsidR="00112E44" w:rsidRPr="00436BB1">
        <w:rPr>
          <w:bCs/>
        </w:rPr>
        <w:t>of strategic court cases</w:t>
      </w:r>
      <w:r w:rsidR="00E36F82">
        <w:rPr>
          <w:bCs/>
        </w:rPr>
        <w:t xml:space="preserve"> (such as those in Table 3)</w:t>
      </w:r>
      <w:r w:rsidR="00112E44" w:rsidRPr="00436BB1">
        <w:rPr>
          <w:bCs/>
        </w:rPr>
        <w:t xml:space="preserve">, which play an important supporting role in ensuring the national </w:t>
      </w:r>
      <w:r w:rsidR="00BF0AE7" w:rsidRPr="00436BB1">
        <w:t>implementation of international emission-reduction commitments</w:t>
      </w:r>
      <w:r w:rsidR="00112E44" w:rsidRPr="00436BB1">
        <w:t xml:space="preserve"> and the alignment of </w:t>
      </w:r>
      <w:r w:rsidR="00BF0AE7" w:rsidRPr="00436BB1">
        <w:t xml:space="preserve">national laws with </w:t>
      </w:r>
      <w:r w:rsidR="00112E44" w:rsidRPr="00436BB1">
        <w:t xml:space="preserve">the </w:t>
      </w:r>
      <w:r w:rsidR="00BF0AE7" w:rsidRPr="00436BB1">
        <w:t xml:space="preserve">Paris Agreements (Peel and Osofsky </w:t>
      </w:r>
      <w:r w:rsidR="00112E44" w:rsidRPr="00436BB1">
        <w:t>2015</w:t>
      </w:r>
      <w:r w:rsidR="0042724D" w:rsidRPr="00436BB1">
        <w:t>;</w:t>
      </w:r>
      <w:r w:rsidR="00112E44" w:rsidRPr="00436BB1">
        <w:t xml:space="preserve"> </w:t>
      </w:r>
      <w:r w:rsidR="00BF0AE7" w:rsidRPr="00436BB1">
        <w:t xml:space="preserve">Setzer and Vanhala 2019). </w:t>
      </w:r>
      <w:r w:rsidR="00A92E21">
        <w:t xml:space="preserve">However, we are interested in the </w:t>
      </w:r>
      <w:r w:rsidR="00E3267A" w:rsidRPr="00436BB1">
        <w:rPr>
          <w:bCs/>
        </w:rPr>
        <w:t xml:space="preserve">broader role of courts beyond </w:t>
      </w:r>
      <w:r w:rsidR="00F8418C">
        <w:rPr>
          <w:bCs/>
        </w:rPr>
        <w:t xml:space="preserve">just </w:t>
      </w:r>
      <w:r w:rsidR="00CE164A" w:rsidRPr="00436BB1">
        <w:rPr>
          <w:bCs/>
        </w:rPr>
        <w:t>high</w:t>
      </w:r>
      <w:r w:rsidR="00E3267A" w:rsidRPr="00436BB1">
        <w:rPr>
          <w:bCs/>
        </w:rPr>
        <w:t>-</w:t>
      </w:r>
      <w:r w:rsidR="00CE164A" w:rsidRPr="00436BB1">
        <w:rPr>
          <w:bCs/>
        </w:rPr>
        <w:t>profile cases</w:t>
      </w:r>
      <w:r w:rsidR="00F8418C">
        <w:rPr>
          <w:bCs/>
        </w:rPr>
        <w:t xml:space="preserve">. </w:t>
      </w:r>
    </w:p>
    <w:p w14:paraId="4B710F2D" w14:textId="77777777" w:rsidR="00C67B45" w:rsidRDefault="00F8418C" w:rsidP="00C67B45">
      <w:pPr>
        <w:spacing w:line="480" w:lineRule="auto"/>
        <w:ind w:firstLine="720"/>
        <w:rPr>
          <w:bCs/>
        </w:rPr>
      </w:pPr>
      <w:r>
        <w:rPr>
          <w:bCs/>
        </w:rPr>
        <w:t xml:space="preserve">To </w:t>
      </w:r>
      <w:r w:rsidR="00E36F82">
        <w:rPr>
          <w:bCs/>
        </w:rPr>
        <w:t xml:space="preserve">inform this issue, </w:t>
      </w:r>
      <w:r w:rsidR="00C37D84" w:rsidRPr="00436BB1">
        <w:rPr>
          <w:bCs/>
        </w:rPr>
        <w:t xml:space="preserve">court rulings </w:t>
      </w:r>
      <w:r>
        <w:rPr>
          <w:bCs/>
        </w:rPr>
        <w:t xml:space="preserve">have been </w:t>
      </w:r>
      <w:r w:rsidR="008034C3" w:rsidRPr="00436BB1">
        <w:rPr>
          <w:bCs/>
        </w:rPr>
        <w:t xml:space="preserve">classified as either </w:t>
      </w:r>
      <w:r w:rsidR="00253611">
        <w:rPr>
          <w:bCs/>
        </w:rPr>
        <w:t>s</w:t>
      </w:r>
      <w:r w:rsidR="008034C3" w:rsidRPr="00436BB1">
        <w:rPr>
          <w:bCs/>
        </w:rPr>
        <w:t xml:space="preserve">trengthening </w:t>
      </w:r>
      <w:r w:rsidR="004C6A7E" w:rsidRPr="00436BB1">
        <w:rPr>
          <w:bCs/>
        </w:rPr>
        <w:t>climate action</w:t>
      </w:r>
      <w:r w:rsidR="008034C3" w:rsidRPr="00436BB1">
        <w:rPr>
          <w:bCs/>
        </w:rPr>
        <w:t xml:space="preserve"> or</w:t>
      </w:r>
      <w:r w:rsidR="00253611">
        <w:rPr>
          <w:bCs/>
        </w:rPr>
        <w:t xml:space="preserve"> </w:t>
      </w:r>
      <w:r w:rsidR="008034C3" w:rsidRPr="00436BB1">
        <w:rPr>
          <w:bCs/>
        </w:rPr>
        <w:t xml:space="preserve">weakening </w:t>
      </w:r>
      <w:r w:rsidR="004C6A7E" w:rsidRPr="00436BB1">
        <w:rPr>
          <w:bCs/>
        </w:rPr>
        <w:t>climate action</w:t>
      </w:r>
      <w:r w:rsidR="008034C3" w:rsidRPr="00436BB1">
        <w:rPr>
          <w:bCs/>
        </w:rPr>
        <w:t>.</w:t>
      </w:r>
      <w:r>
        <w:rPr>
          <w:bCs/>
        </w:rPr>
        <w:t xml:space="preserve"> Th</w:t>
      </w:r>
      <w:r w:rsidR="00A8063F">
        <w:rPr>
          <w:bCs/>
        </w:rPr>
        <w:t>e</w:t>
      </w:r>
      <w:r>
        <w:rPr>
          <w:bCs/>
        </w:rPr>
        <w:t xml:space="preserve"> distinction is similar to another classification </w:t>
      </w:r>
      <w:r w:rsidR="00125A2B">
        <w:rPr>
          <w:bCs/>
        </w:rPr>
        <w:t>found</w:t>
      </w:r>
      <w:r>
        <w:rPr>
          <w:bCs/>
        </w:rPr>
        <w:t xml:space="preserve"> in the literature, wh</w:t>
      </w:r>
      <w:r w:rsidR="00A8063F">
        <w:rPr>
          <w:bCs/>
        </w:rPr>
        <w:t xml:space="preserve">ich splits </w:t>
      </w:r>
      <w:r>
        <w:rPr>
          <w:bCs/>
        </w:rPr>
        <w:t xml:space="preserve">court cases into </w:t>
      </w:r>
      <w:r w:rsidRPr="00436BB1">
        <w:rPr>
          <w:bCs/>
        </w:rPr>
        <w:t xml:space="preserve">“pro” </w:t>
      </w:r>
      <w:r w:rsidR="00A8063F">
        <w:rPr>
          <w:bCs/>
        </w:rPr>
        <w:t>and</w:t>
      </w:r>
      <w:r w:rsidRPr="00436BB1">
        <w:rPr>
          <w:bCs/>
        </w:rPr>
        <w:t xml:space="preserve"> “anti” regulatory </w:t>
      </w:r>
      <w:r>
        <w:rPr>
          <w:bCs/>
        </w:rPr>
        <w:t>suits, depending</w:t>
      </w:r>
      <w:r w:rsidR="006764ED" w:rsidRPr="00436BB1">
        <w:rPr>
          <w:bCs/>
        </w:rPr>
        <w:t xml:space="preserve"> on the aims of the plaintiffs (Markell and Ruhl 2012; Hilson 2012). </w:t>
      </w:r>
      <w:r w:rsidR="008034C3" w:rsidRPr="00436BB1">
        <w:rPr>
          <w:bCs/>
        </w:rPr>
        <w:t>“</w:t>
      </w:r>
      <w:r w:rsidR="006764ED" w:rsidRPr="00436BB1">
        <w:rPr>
          <w:bCs/>
        </w:rPr>
        <w:t>Pro</w:t>
      </w:r>
      <w:r w:rsidR="008034C3" w:rsidRPr="00436BB1">
        <w:rPr>
          <w:bCs/>
        </w:rPr>
        <w:t>”</w:t>
      </w:r>
      <w:r w:rsidR="006764ED" w:rsidRPr="00436BB1">
        <w:rPr>
          <w:bCs/>
        </w:rPr>
        <w:t xml:space="preserve"> (also known as </w:t>
      </w:r>
      <w:r w:rsidR="008034C3" w:rsidRPr="00436BB1">
        <w:rPr>
          <w:bCs/>
        </w:rPr>
        <w:t>“</w:t>
      </w:r>
      <w:r w:rsidR="006764ED" w:rsidRPr="00436BB1">
        <w:rPr>
          <w:bCs/>
        </w:rPr>
        <w:t>favorable</w:t>
      </w:r>
      <w:r w:rsidR="008034C3" w:rsidRPr="00436BB1">
        <w:rPr>
          <w:bCs/>
        </w:rPr>
        <w:t>”</w:t>
      </w:r>
      <w:r w:rsidR="006764ED" w:rsidRPr="00436BB1">
        <w:rPr>
          <w:bCs/>
        </w:rPr>
        <w:t xml:space="preserve">) cases are brought with the objective of increasing regulation or liability associated with climate change; and </w:t>
      </w:r>
      <w:r w:rsidR="008034C3" w:rsidRPr="00436BB1">
        <w:rPr>
          <w:bCs/>
        </w:rPr>
        <w:t>“</w:t>
      </w:r>
      <w:r w:rsidR="006764ED" w:rsidRPr="00436BB1">
        <w:rPr>
          <w:bCs/>
        </w:rPr>
        <w:t>anti</w:t>
      </w:r>
      <w:r w:rsidR="008034C3" w:rsidRPr="00436BB1">
        <w:rPr>
          <w:bCs/>
        </w:rPr>
        <w:t>”</w:t>
      </w:r>
      <w:r w:rsidR="006764ED" w:rsidRPr="00436BB1">
        <w:rPr>
          <w:bCs/>
        </w:rPr>
        <w:t xml:space="preserve"> (also known as </w:t>
      </w:r>
      <w:r w:rsidR="008034C3" w:rsidRPr="00436BB1">
        <w:rPr>
          <w:bCs/>
        </w:rPr>
        <w:t>“</w:t>
      </w:r>
      <w:r w:rsidR="006764ED" w:rsidRPr="00436BB1">
        <w:rPr>
          <w:bCs/>
        </w:rPr>
        <w:t>con</w:t>
      </w:r>
      <w:r w:rsidR="008034C3" w:rsidRPr="00436BB1">
        <w:rPr>
          <w:bCs/>
        </w:rPr>
        <w:t>”</w:t>
      </w:r>
      <w:r w:rsidR="006764ED" w:rsidRPr="00436BB1">
        <w:rPr>
          <w:bCs/>
        </w:rPr>
        <w:t xml:space="preserve"> or </w:t>
      </w:r>
      <w:r w:rsidR="008034C3" w:rsidRPr="00436BB1">
        <w:rPr>
          <w:bCs/>
        </w:rPr>
        <w:t>“</w:t>
      </w:r>
      <w:r w:rsidR="006764ED" w:rsidRPr="00436BB1">
        <w:rPr>
          <w:bCs/>
        </w:rPr>
        <w:t>hindering</w:t>
      </w:r>
      <w:r w:rsidR="008034C3" w:rsidRPr="00436BB1">
        <w:rPr>
          <w:bCs/>
        </w:rPr>
        <w:t>”</w:t>
      </w:r>
      <w:r w:rsidR="006764ED" w:rsidRPr="00436BB1">
        <w:rPr>
          <w:bCs/>
        </w:rPr>
        <w:t xml:space="preserve">) cases aim to decrease regulation or liability (Wilensky 2015). </w:t>
      </w:r>
      <w:r w:rsidR="002003C8">
        <w:rPr>
          <w:bCs/>
        </w:rPr>
        <w:t>However, here we are interested in the ruling of the judge, rather than the objective of the plaintiff.</w:t>
      </w:r>
    </w:p>
    <w:p w14:paraId="0CCD8471" w14:textId="77777777" w:rsidR="004B3067" w:rsidRDefault="006764ED" w:rsidP="004B3067">
      <w:pPr>
        <w:spacing w:line="480" w:lineRule="auto"/>
        <w:ind w:firstLine="720"/>
      </w:pPr>
      <w:r w:rsidRPr="00436BB1">
        <w:rPr>
          <w:bCs/>
        </w:rPr>
        <w:t xml:space="preserve">In the United States, an </w:t>
      </w:r>
      <w:r w:rsidR="00F8418C">
        <w:rPr>
          <w:bCs/>
        </w:rPr>
        <w:t xml:space="preserve">earlier </w:t>
      </w:r>
      <w:r w:rsidRPr="00436BB1">
        <w:rPr>
          <w:bCs/>
        </w:rPr>
        <w:t xml:space="preserve">analysis of cases </w:t>
      </w:r>
      <w:r w:rsidR="00C70CEE" w:rsidRPr="00436BB1">
        <w:rPr>
          <w:bCs/>
        </w:rPr>
        <w:t xml:space="preserve">brought </w:t>
      </w:r>
      <w:r w:rsidRPr="00436BB1">
        <w:rPr>
          <w:bCs/>
        </w:rPr>
        <w:t xml:space="preserve">between 1990 and 2016 found that outcomes favored anti-regulatory litigants compared with pro-regulatory litigants </w:t>
      </w:r>
      <w:r w:rsidR="00C70CEE" w:rsidRPr="00436BB1">
        <w:rPr>
          <w:bCs/>
        </w:rPr>
        <w:t>by</w:t>
      </w:r>
      <w:r w:rsidRPr="00436BB1">
        <w:rPr>
          <w:bCs/>
        </w:rPr>
        <w:t xml:space="preserve"> a ratio of 1.4 to 1 (McCormick </w:t>
      </w:r>
      <w:r w:rsidRPr="004B3067">
        <w:rPr>
          <w:bCs/>
          <w:iCs/>
        </w:rPr>
        <w:t>et al.</w:t>
      </w:r>
      <w:r w:rsidRPr="00436BB1">
        <w:rPr>
          <w:bCs/>
        </w:rPr>
        <w:t xml:space="preserve"> 2018). </w:t>
      </w:r>
      <w:r w:rsidR="00DB7484">
        <w:rPr>
          <w:bCs/>
        </w:rPr>
        <w:t xml:space="preserve">We re-examined 534 of these cases and found that judges </w:t>
      </w:r>
      <w:r w:rsidR="00DB7484">
        <w:rPr>
          <w:bCs/>
        </w:rPr>
        <w:lastRenderedPageBreak/>
        <w:t>ruled in favor of more climate regulation in 225 (42%) of them</w:t>
      </w:r>
      <w:r w:rsidR="00E36F82">
        <w:rPr>
          <w:bCs/>
        </w:rPr>
        <w:t xml:space="preserve"> (Table </w:t>
      </w:r>
      <w:r w:rsidR="00197C83">
        <w:rPr>
          <w:bCs/>
        </w:rPr>
        <w:t>7</w:t>
      </w:r>
      <w:r w:rsidR="00E36F82">
        <w:rPr>
          <w:bCs/>
        </w:rPr>
        <w:t>)</w:t>
      </w:r>
      <w:r w:rsidR="00DB7484">
        <w:rPr>
          <w:bCs/>
        </w:rPr>
        <w:t xml:space="preserve">.  </w:t>
      </w:r>
      <w:r w:rsidRPr="00255A7E">
        <w:rPr>
          <w:bCs/>
        </w:rPr>
        <w:t xml:space="preserve">Examined by topic, pro-regulation litigants </w:t>
      </w:r>
      <w:r w:rsidR="002D393F" w:rsidRPr="00255A7E">
        <w:rPr>
          <w:bCs/>
        </w:rPr>
        <w:t xml:space="preserve">have </w:t>
      </w:r>
      <w:r w:rsidRPr="00436BB1">
        <w:rPr>
          <w:bCs/>
        </w:rPr>
        <w:t>tend</w:t>
      </w:r>
      <w:r w:rsidR="002D393F" w:rsidRPr="00436BB1">
        <w:rPr>
          <w:bCs/>
        </w:rPr>
        <w:t>ed</w:t>
      </w:r>
      <w:r w:rsidRPr="00436BB1">
        <w:rPr>
          <w:bCs/>
        </w:rPr>
        <w:t xml:space="preserve"> to win renewable energy and energy efficiency cases, </w:t>
      </w:r>
      <w:r w:rsidR="008034C3" w:rsidRPr="00436BB1">
        <w:rPr>
          <w:bCs/>
        </w:rPr>
        <w:t xml:space="preserve">but </w:t>
      </w:r>
      <w:r w:rsidRPr="00436BB1">
        <w:rPr>
          <w:bCs/>
        </w:rPr>
        <w:t>frequently los</w:t>
      </w:r>
      <w:r w:rsidR="002D393F" w:rsidRPr="00436BB1">
        <w:rPr>
          <w:bCs/>
        </w:rPr>
        <w:t>t</w:t>
      </w:r>
      <w:r w:rsidRPr="00436BB1">
        <w:rPr>
          <w:bCs/>
        </w:rPr>
        <w:t xml:space="preserve"> coal-fired power plant cases (McCormick </w:t>
      </w:r>
      <w:r w:rsidRPr="004B3067">
        <w:rPr>
          <w:bCs/>
          <w:iCs/>
        </w:rPr>
        <w:t>et al.</w:t>
      </w:r>
      <w:r w:rsidRPr="00436BB1">
        <w:rPr>
          <w:bCs/>
        </w:rPr>
        <w:t xml:space="preserve"> 2018). </w:t>
      </w:r>
      <w:r w:rsidR="00CA780A" w:rsidRPr="00436BB1">
        <w:rPr>
          <w:bCs/>
        </w:rPr>
        <w:t>This</w:t>
      </w:r>
      <w:r w:rsidR="001774D1" w:rsidRPr="00436BB1">
        <w:t xml:space="preserve"> win ratio </w:t>
      </w:r>
      <w:r w:rsidR="000C4924" w:rsidRPr="00436BB1">
        <w:t xml:space="preserve">seems to </w:t>
      </w:r>
      <w:r w:rsidR="00CA780A" w:rsidRPr="00436BB1">
        <w:t xml:space="preserve">have </w:t>
      </w:r>
      <w:r w:rsidR="001774D1" w:rsidRPr="00436BB1">
        <w:t xml:space="preserve">been enough to shape some policy outcomes. </w:t>
      </w:r>
      <w:r w:rsidR="000A22AD" w:rsidRPr="00436BB1">
        <w:t xml:space="preserve">According to </w:t>
      </w:r>
      <w:r w:rsidR="001774D1" w:rsidRPr="00436BB1">
        <w:t>Osofsky (2012)</w:t>
      </w:r>
      <w:r w:rsidR="000A22AD" w:rsidRPr="00436BB1">
        <w:t xml:space="preserve"> </w:t>
      </w:r>
      <w:r w:rsidR="001774D1" w:rsidRPr="00436BB1">
        <w:t xml:space="preserve">climate </w:t>
      </w:r>
      <w:r w:rsidR="002D393F" w:rsidRPr="00436BB1">
        <w:t>litigation has</w:t>
      </w:r>
      <w:r w:rsidR="00CA780A" w:rsidRPr="00436BB1">
        <w:t xml:space="preserve"> brought </w:t>
      </w:r>
      <w:r w:rsidR="00A64A19" w:rsidRPr="00436BB1">
        <w:t>about</w:t>
      </w:r>
      <w:r w:rsidR="002D393F" w:rsidRPr="00436BB1">
        <w:t xml:space="preserve"> credible steps </w:t>
      </w:r>
      <w:r w:rsidR="00A64A19" w:rsidRPr="00436BB1">
        <w:t>to</w:t>
      </w:r>
      <w:r w:rsidR="002D393F" w:rsidRPr="00436BB1">
        <w:t xml:space="preserve"> increas</w:t>
      </w:r>
      <w:r w:rsidR="00A64A19" w:rsidRPr="00436BB1">
        <w:t>e</w:t>
      </w:r>
      <w:r w:rsidR="002D393F" w:rsidRPr="00436BB1">
        <w:t xml:space="preserve"> the share of renewable</w:t>
      </w:r>
      <w:r w:rsidR="000C4924" w:rsidRPr="00436BB1">
        <w:t xml:space="preserve"> energy</w:t>
      </w:r>
      <w:r w:rsidR="002D393F" w:rsidRPr="00436BB1">
        <w:t xml:space="preserve"> </w:t>
      </w:r>
      <w:r w:rsidR="001774D1" w:rsidRPr="00436BB1">
        <w:t xml:space="preserve">in </w:t>
      </w:r>
      <w:r w:rsidR="000C4924" w:rsidRPr="00436BB1">
        <w:t xml:space="preserve">the </w:t>
      </w:r>
      <w:r w:rsidR="001774D1" w:rsidRPr="00436BB1">
        <w:t xml:space="preserve">US electricity </w:t>
      </w:r>
      <w:r w:rsidR="000C4924" w:rsidRPr="00436BB1">
        <w:t>mix</w:t>
      </w:r>
      <w:r w:rsidR="001774D1" w:rsidRPr="00436BB1">
        <w:t>.</w:t>
      </w:r>
    </w:p>
    <w:p w14:paraId="2CD84EB3" w14:textId="435EAC08" w:rsidR="00CA780A" w:rsidRPr="00436BB1" w:rsidRDefault="006764ED" w:rsidP="004B3067">
      <w:pPr>
        <w:spacing w:line="480" w:lineRule="auto"/>
        <w:ind w:firstLine="720"/>
      </w:pPr>
      <w:r w:rsidRPr="00436BB1">
        <w:rPr>
          <w:bCs/>
        </w:rPr>
        <w:t xml:space="preserve">Outside the United States, </w:t>
      </w:r>
      <w:r w:rsidR="00CC5264" w:rsidRPr="00436BB1">
        <w:rPr>
          <w:bCs/>
        </w:rPr>
        <w:t xml:space="preserve">judges appear more inclined to support climate action. </w:t>
      </w:r>
      <w:r w:rsidR="00E35D1F" w:rsidRPr="00436BB1">
        <w:rPr>
          <w:bCs/>
        </w:rPr>
        <w:t>There are</w:t>
      </w:r>
      <w:r w:rsidR="00EC07FC">
        <w:rPr>
          <w:bCs/>
        </w:rPr>
        <w:t xml:space="preserve"> 355</w:t>
      </w:r>
      <w:r w:rsidR="00CC5264" w:rsidRPr="00436BB1">
        <w:rPr>
          <w:bCs/>
        </w:rPr>
        <w:t xml:space="preserve"> non-US court cases </w:t>
      </w:r>
      <w:r w:rsidR="00E35D1F" w:rsidRPr="00436BB1">
        <w:rPr>
          <w:bCs/>
        </w:rPr>
        <w:t xml:space="preserve">where </w:t>
      </w:r>
      <w:r w:rsidR="00CC5264" w:rsidRPr="00436BB1">
        <w:rPr>
          <w:bCs/>
        </w:rPr>
        <w:t>a judgement has been reached</w:t>
      </w:r>
      <w:r w:rsidR="00177A8B" w:rsidRPr="00436BB1">
        <w:rPr>
          <w:bCs/>
        </w:rPr>
        <w:t xml:space="preserve"> and </w:t>
      </w:r>
      <w:r w:rsidR="00E35D1F" w:rsidRPr="00436BB1">
        <w:rPr>
          <w:bCs/>
        </w:rPr>
        <w:t>the climate change</w:t>
      </w:r>
      <w:r w:rsidR="00177A8B" w:rsidRPr="00436BB1">
        <w:rPr>
          <w:bCs/>
        </w:rPr>
        <w:t xml:space="preserve"> outcome has been assessed</w:t>
      </w:r>
      <w:r w:rsidR="00E35D1F" w:rsidRPr="00436BB1">
        <w:rPr>
          <w:bCs/>
        </w:rPr>
        <w:t xml:space="preserve">. </w:t>
      </w:r>
      <w:r w:rsidR="00FD4B67" w:rsidRPr="00436BB1">
        <w:rPr>
          <w:bCs/>
        </w:rPr>
        <w:t>Among</w:t>
      </w:r>
      <w:r w:rsidR="00E35D1F" w:rsidRPr="00436BB1">
        <w:rPr>
          <w:bCs/>
        </w:rPr>
        <w:t xml:space="preserve"> these</w:t>
      </w:r>
      <w:r w:rsidR="00CC5264" w:rsidRPr="00436BB1">
        <w:rPr>
          <w:bCs/>
        </w:rPr>
        <w:t xml:space="preserve">, </w:t>
      </w:r>
      <w:r w:rsidR="00E35D1F" w:rsidRPr="00436BB1">
        <w:rPr>
          <w:bCs/>
        </w:rPr>
        <w:t xml:space="preserve">the ruling has </w:t>
      </w:r>
      <w:r w:rsidR="00FD4B67" w:rsidRPr="00436BB1">
        <w:rPr>
          <w:bCs/>
        </w:rPr>
        <w:t xml:space="preserve">been </w:t>
      </w:r>
      <w:r w:rsidR="00E35D1F" w:rsidRPr="00436BB1">
        <w:rPr>
          <w:bCs/>
        </w:rPr>
        <w:t>support</w:t>
      </w:r>
      <w:r w:rsidR="00FD4B67" w:rsidRPr="00436BB1">
        <w:rPr>
          <w:bCs/>
        </w:rPr>
        <w:t xml:space="preserve">ive of </w:t>
      </w:r>
      <w:r w:rsidR="00E35D1F" w:rsidRPr="00436BB1">
        <w:rPr>
          <w:bCs/>
        </w:rPr>
        <w:t xml:space="preserve">climate change action in </w:t>
      </w:r>
      <w:r w:rsidR="00CC5264" w:rsidRPr="00436BB1">
        <w:rPr>
          <w:bCs/>
        </w:rPr>
        <w:t>1</w:t>
      </w:r>
      <w:r w:rsidR="00D33056">
        <w:rPr>
          <w:bCs/>
        </w:rPr>
        <w:t>87</w:t>
      </w:r>
      <w:r w:rsidR="00CC5264" w:rsidRPr="00436BB1">
        <w:rPr>
          <w:bCs/>
        </w:rPr>
        <w:t xml:space="preserve"> </w:t>
      </w:r>
      <w:r w:rsidR="00E35D1F" w:rsidRPr="00436BB1">
        <w:rPr>
          <w:bCs/>
        </w:rPr>
        <w:t>cases</w:t>
      </w:r>
      <w:r w:rsidR="00CC5264" w:rsidRPr="00436BB1">
        <w:rPr>
          <w:bCs/>
        </w:rPr>
        <w:t xml:space="preserve">, or </w:t>
      </w:r>
      <w:r w:rsidR="00487EA4">
        <w:rPr>
          <w:bCs/>
        </w:rPr>
        <w:t>about half of the time</w:t>
      </w:r>
      <w:r w:rsidR="002D318F" w:rsidRPr="00436BB1">
        <w:rPr>
          <w:bCs/>
        </w:rPr>
        <w:t xml:space="preserve"> (</w:t>
      </w:r>
      <w:r w:rsidR="00C067DF" w:rsidRPr="00436BB1">
        <w:rPr>
          <w:bCs/>
        </w:rPr>
        <w:t>T</w:t>
      </w:r>
      <w:r w:rsidR="002D318F" w:rsidRPr="00436BB1">
        <w:rPr>
          <w:bCs/>
        </w:rPr>
        <w:t xml:space="preserve">able </w:t>
      </w:r>
      <w:r w:rsidR="00197C83">
        <w:rPr>
          <w:bCs/>
        </w:rPr>
        <w:t>7</w:t>
      </w:r>
      <w:r w:rsidR="002D318F" w:rsidRPr="00436BB1">
        <w:rPr>
          <w:bCs/>
        </w:rPr>
        <w:t>)</w:t>
      </w:r>
      <w:r w:rsidR="00CC5264" w:rsidRPr="00436BB1">
        <w:rPr>
          <w:bCs/>
        </w:rPr>
        <w:t xml:space="preserve">. </w:t>
      </w:r>
      <w:r w:rsidR="00487EA4">
        <w:rPr>
          <w:bCs/>
        </w:rPr>
        <w:t xml:space="preserve"> </w:t>
      </w:r>
      <w:r w:rsidR="00CC5264" w:rsidRPr="00436BB1">
        <w:rPr>
          <w:bCs/>
        </w:rPr>
        <w:t xml:space="preserve">The number </w:t>
      </w:r>
      <w:r w:rsidR="00487EA4">
        <w:rPr>
          <w:bCs/>
        </w:rPr>
        <w:t xml:space="preserve">is slightly lower than in </w:t>
      </w:r>
      <w:r w:rsidR="00CC5264" w:rsidRPr="00436BB1">
        <w:rPr>
          <w:bCs/>
        </w:rPr>
        <w:t>Setzer and Byrnes (2019), wh</w:t>
      </w:r>
      <w:r w:rsidR="00F8418C">
        <w:rPr>
          <w:bCs/>
        </w:rPr>
        <w:t>o</w:t>
      </w:r>
      <w:r w:rsidR="00CC5264" w:rsidRPr="00436BB1">
        <w:rPr>
          <w:bCs/>
        </w:rPr>
        <w:t xml:space="preserve"> found that judges </w:t>
      </w:r>
      <w:r w:rsidRPr="00436BB1">
        <w:rPr>
          <w:bCs/>
        </w:rPr>
        <w:t xml:space="preserve">favored pro-regulatory litigants </w:t>
      </w:r>
      <w:r w:rsidR="00D95357" w:rsidRPr="00436BB1">
        <w:rPr>
          <w:bCs/>
        </w:rPr>
        <w:t>over</w:t>
      </w:r>
      <w:r w:rsidRPr="00436BB1">
        <w:rPr>
          <w:bCs/>
        </w:rPr>
        <w:t xml:space="preserve"> anti-regulatory litigants</w:t>
      </w:r>
      <w:r w:rsidR="003359B7" w:rsidRPr="00436BB1">
        <w:rPr>
          <w:bCs/>
        </w:rPr>
        <w:t xml:space="preserve"> by</w:t>
      </w:r>
      <w:r w:rsidRPr="00436BB1">
        <w:rPr>
          <w:bCs/>
        </w:rPr>
        <w:t xml:space="preserve"> a ratio of 1.6 to 1.</w:t>
      </w:r>
      <w:r w:rsidR="00EB7AF1" w:rsidRPr="00436BB1">
        <w:rPr>
          <w:bCs/>
        </w:rPr>
        <w:t xml:space="preserve"> </w:t>
      </w:r>
      <w:r w:rsidR="00CF3AEF" w:rsidRPr="00436BB1">
        <w:rPr>
          <w:bCs/>
        </w:rPr>
        <w:t xml:space="preserve"> </w:t>
      </w:r>
      <w:r w:rsidR="00A16BED" w:rsidRPr="00436BB1">
        <w:rPr>
          <w:bCs/>
        </w:rPr>
        <w:t xml:space="preserve">In Australia, </w:t>
      </w:r>
      <w:r w:rsidR="0069665F">
        <w:rPr>
          <w:bCs/>
        </w:rPr>
        <w:t xml:space="preserve">the country with the highest number of cases outside the US, </w:t>
      </w:r>
      <w:r w:rsidR="00A16BED" w:rsidRPr="00436BB1">
        <w:rPr>
          <w:bCs/>
        </w:rPr>
        <w:t xml:space="preserve">these court rulings have </w:t>
      </w:r>
      <w:r w:rsidR="0069665F">
        <w:rPr>
          <w:bCs/>
        </w:rPr>
        <w:t xml:space="preserve">apparently </w:t>
      </w:r>
      <w:r w:rsidR="00A16BED" w:rsidRPr="00436BB1">
        <w:rPr>
          <w:bCs/>
        </w:rPr>
        <w:t xml:space="preserve">been instrumental in forcing </w:t>
      </w:r>
      <w:r w:rsidR="00CA780A" w:rsidRPr="00436BB1">
        <w:t xml:space="preserve">administrative decision-makers </w:t>
      </w:r>
      <w:r w:rsidR="00A16BED" w:rsidRPr="00436BB1">
        <w:t xml:space="preserve">to </w:t>
      </w:r>
      <w:r w:rsidR="00CA780A" w:rsidRPr="00436BB1">
        <w:t xml:space="preserve">consider climate change impacts in the approval of certain large-scale projects (Preston 2011; Peel 2011; Hughes 2019). </w:t>
      </w:r>
    </w:p>
    <w:p w14:paraId="62C93337" w14:textId="1A390C6A" w:rsidR="00B35ABB" w:rsidRPr="004B3067" w:rsidRDefault="004B3067" w:rsidP="004B3067">
      <w:pPr>
        <w:pStyle w:val="Subheading"/>
        <w:spacing w:before="0" w:after="0" w:line="480" w:lineRule="auto"/>
        <w:rPr>
          <w:rFonts w:ascii="Times New Roman" w:hAnsi="Times New Roman" w:cs="Times New Roman"/>
          <w:b w:val="0"/>
          <w:iCs/>
          <w:sz w:val="24"/>
          <w:szCs w:val="24"/>
        </w:rPr>
      </w:pPr>
      <w:r w:rsidRPr="004B3067">
        <w:rPr>
          <w:rFonts w:ascii="Times New Roman" w:hAnsi="Times New Roman" w:cs="Times New Roman"/>
          <w:b w:val="0"/>
          <w:iCs/>
          <w:sz w:val="24"/>
          <w:szCs w:val="24"/>
        </w:rPr>
        <w:t xml:space="preserve">Insert </w:t>
      </w:r>
      <w:r w:rsidR="00764100" w:rsidRPr="004B3067">
        <w:rPr>
          <w:rFonts w:ascii="Times New Roman" w:hAnsi="Times New Roman" w:cs="Times New Roman"/>
          <w:b w:val="0"/>
          <w:iCs/>
          <w:sz w:val="24"/>
          <w:szCs w:val="24"/>
        </w:rPr>
        <w:t xml:space="preserve">Table </w:t>
      </w:r>
      <w:r w:rsidR="00197C83" w:rsidRPr="004B3067">
        <w:rPr>
          <w:rFonts w:ascii="Times New Roman" w:hAnsi="Times New Roman" w:cs="Times New Roman"/>
          <w:b w:val="0"/>
          <w:iCs/>
          <w:sz w:val="24"/>
          <w:szCs w:val="24"/>
        </w:rPr>
        <w:t>7</w:t>
      </w:r>
      <w:r w:rsidRPr="004B3067">
        <w:rPr>
          <w:rFonts w:ascii="Times New Roman" w:hAnsi="Times New Roman" w:cs="Times New Roman"/>
          <w:b w:val="0"/>
          <w:iCs/>
          <w:sz w:val="24"/>
          <w:szCs w:val="24"/>
        </w:rPr>
        <w:t xml:space="preserve"> here</w:t>
      </w:r>
      <w:r w:rsidR="00F654F5" w:rsidRPr="004B3067">
        <w:rPr>
          <w:rFonts w:ascii="Times New Roman" w:hAnsi="Times New Roman" w:cs="Times New Roman"/>
          <w:b w:val="0"/>
          <w:iCs/>
          <w:sz w:val="24"/>
          <w:szCs w:val="24"/>
        </w:rPr>
        <w:t xml:space="preserve"> </w:t>
      </w:r>
      <w:r w:rsidRPr="004B3067">
        <w:rPr>
          <w:rFonts w:ascii="Times New Roman" w:hAnsi="Times New Roman" w:cs="Times New Roman"/>
          <w:b w:val="0"/>
          <w:iCs/>
          <w:sz w:val="24"/>
          <w:szCs w:val="24"/>
        </w:rPr>
        <w:t>(</w:t>
      </w:r>
      <w:r w:rsidR="00FA1A9B" w:rsidRPr="004B3067">
        <w:rPr>
          <w:rFonts w:ascii="Times New Roman" w:hAnsi="Times New Roman" w:cs="Times New Roman"/>
          <w:b w:val="0"/>
          <w:iCs/>
          <w:sz w:val="24"/>
          <w:szCs w:val="24"/>
        </w:rPr>
        <w:t>Judicial rulings</w:t>
      </w:r>
      <w:r w:rsidRPr="004B3067">
        <w:rPr>
          <w:rFonts w:ascii="Times New Roman" w:hAnsi="Times New Roman" w:cs="Times New Roman"/>
          <w:b w:val="0"/>
          <w:iCs/>
          <w:sz w:val="24"/>
          <w:szCs w:val="24"/>
        </w:rPr>
        <w:t>)</w:t>
      </w:r>
    </w:p>
    <w:p w14:paraId="6A2F01EF" w14:textId="77777777" w:rsidR="00D34B6F" w:rsidRPr="00436BB1" w:rsidRDefault="00D34B6F" w:rsidP="004B3067">
      <w:pPr>
        <w:pStyle w:val="Subheading"/>
        <w:spacing w:before="0" w:after="0" w:line="480" w:lineRule="auto"/>
        <w:rPr>
          <w:rFonts w:ascii="Times New Roman" w:hAnsi="Times New Roman" w:cs="Times New Roman"/>
          <w:b w:val="0"/>
          <w:sz w:val="24"/>
          <w:szCs w:val="24"/>
        </w:rPr>
      </w:pPr>
    </w:p>
    <w:p w14:paraId="3773210B" w14:textId="62BE820D" w:rsidR="0030379D" w:rsidRPr="00436BB1" w:rsidRDefault="0030379D" w:rsidP="004B3067">
      <w:pPr>
        <w:pStyle w:val="Heading1"/>
        <w:keepNext/>
        <w:keepLines/>
        <w:pageBreakBefore w:val="0"/>
        <w:numPr>
          <w:ilvl w:val="0"/>
          <w:numId w:val="37"/>
        </w:numPr>
        <w:autoSpaceDE/>
        <w:autoSpaceDN/>
        <w:adjustRightInd/>
        <w:spacing w:after="0" w:line="480" w:lineRule="auto"/>
        <w:ind w:left="360" w:hanging="360"/>
        <w:jc w:val="center"/>
        <w:rPr>
          <w:rFonts w:eastAsiaTheme="majorEastAsia" w:cs="Times New Roman"/>
          <w:b/>
          <w:bCs/>
          <w:sz w:val="28"/>
          <w:szCs w:val="28"/>
        </w:rPr>
      </w:pPr>
      <w:r w:rsidRPr="00436BB1">
        <w:rPr>
          <w:rFonts w:eastAsiaTheme="majorEastAsia" w:cs="Times New Roman"/>
          <w:b/>
          <w:bCs/>
          <w:sz w:val="28"/>
          <w:szCs w:val="28"/>
        </w:rPr>
        <w:t>Conclusions</w:t>
      </w:r>
    </w:p>
    <w:p w14:paraId="3C2CF8A7" w14:textId="070EED84" w:rsidR="009C2CBB" w:rsidRPr="00A56606" w:rsidRDefault="009C2CBB" w:rsidP="00214B16">
      <w:pPr>
        <w:spacing w:line="480" w:lineRule="auto"/>
        <w:ind w:firstLine="720"/>
        <w:rPr>
          <w:bCs/>
        </w:rPr>
      </w:pPr>
      <w:r w:rsidRPr="00436BB1">
        <w:rPr>
          <w:bCs/>
        </w:rPr>
        <w:t xml:space="preserve">This paper uses </w:t>
      </w:r>
      <w:r w:rsidRPr="00436BB1">
        <w:rPr>
          <w:bCs/>
          <w:i/>
          <w:iCs/>
        </w:rPr>
        <w:t>Climate Change Laws of the World</w:t>
      </w:r>
      <w:r w:rsidRPr="00436BB1">
        <w:rPr>
          <w:bCs/>
        </w:rPr>
        <w:t xml:space="preserve"> (CCLW), a publicly accessible, searchable database hosted by the Grantham Research Institute on Climate Change at the London School of Economics, to </w:t>
      </w:r>
      <w:r w:rsidR="00FF20B9" w:rsidRPr="00A56606">
        <w:rPr>
          <w:bCs/>
        </w:rPr>
        <w:t xml:space="preserve">identify trends in </w:t>
      </w:r>
      <w:r w:rsidRPr="00A56606">
        <w:rPr>
          <w:bCs/>
        </w:rPr>
        <w:t xml:space="preserve">climate change legislation and litigation over the past </w:t>
      </w:r>
      <w:r w:rsidR="00077A34" w:rsidRPr="00A56606">
        <w:rPr>
          <w:bCs/>
        </w:rPr>
        <w:t>30</w:t>
      </w:r>
      <w:r w:rsidRPr="00A56606">
        <w:rPr>
          <w:bCs/>
        </w:rPr>
        <w:t xml:space="preserve"> years.</w:t>
      </w:r>
    </w:p>
    <w:p w14:paraId="1C607506" w14:textId="77777777" w:rsidR="00214B16" w:rsidRDefault="00841E20" w:rsidP="00214B16">
      <w:pPr>
        <w:spacing w:line="480" w:lineRule="auto"/>
        <w:ind w:firstLine="720"/>
        <w:rPr>
          <w:bCs/>
        </w:rPr>
      </w:pPr>
      <w:r w:rsidRPr="00A56606">
        <w:rPr>
          <w:bCs/>
        </w:rPr>
        <w:lastRenderedPageBreak/>
        <w:t xml:space="preserve">CCLW documents the </w:t>
      </w:r>
      <w:r w:rsidR="006A75AA" w:rsidRPr="00A56606">
        <w:rPr>
          <w:bCs/>
        </w:rPr>
        <w:t>explosion</w:t>
      </w:r>
      <w:r w:rsidRPr="00A56606">
        <w:rPr>
          <w:bCs/>
        </w:rPr>
        <w:t xml:space="preserve"> of n</w:t>
      </w:r>
      <w:r w:rsidR="00A82560" w:rsidRPr="00A56606">
        <w:rPr>
          <w:bCs/>
        </w:rPr>
        <w:t>ational climate change</w:t>
      </w:r>
      <w:r w:rsidR="006A75AA" w:rsidRPr="00A56606">
        <w:rPr>
          <w:bCs/>
        </w:rPr>
        <w:t xml:space="preserve"> legislation</w:t>
      </w:r>
      <w:r w:rsidR="006B4E5F" w:rsidRPr="00A56606">
        <w:rPr>
          <w:bCs/>
        </w:rPr>
        <w:t xml:space="preserve"> over this period</w:t>
      </w:r>
      <w:r w:rsidR="00A82560" w:rsidRPr="00A56606">
        <w:rPr>
          <w:bCs/>
        </w:rPr>
        <w:t>, although</w:t>
      </w:r>
      <w:r w:rsidR="006A75AA" w:rsidRPr="00A56606">
        <w:rPr>
          <w:bCs/>
        </w:rPr>
        <w:t xml:space="preserve"> </w:t>
      </w:r>
      <w:r w:rsidR="006B4E5F" w:rsidRPr="00A56606">
        <w:rPr>
          <w:bCs/>
        </w:rPr>
        <w:t xml:space="preserve">global action </w:t>
      </w:r>
      <w:r w:rsidR="00CF194A" w:rsidRPr="00A56606">
        <w:rPr>
          <w:bCs/>
        </w:rPr>
        <w:t xml:space="preserve">on climate change </w:t>
      </w:r>
      <w:r w:rsidR="00A82560" w:rsidRPr="00A56606">
        <w:rPr>
          <w:bCs/>
        </w:rPr>
        <w:t>still falls short of what the Paris Agreement require</w:t>
      </w:r>
      <w:r w:rsidR="00CF194A" w:rsidRPr="00A56606">
        <w:rPr>
          <w:bCs/>
        </w:rPr>
        <w:t>s</w:t>
      </w:r>
      <w:r w:rsidR="00A82560" w:rsidRPr="00A56606">
        <w:rPr>
          <w:bCs/>
        </w:rPr>
        <w:t xml:space="preserve">. </w:t>
      </w:r>
      <w:r w:rsidR="00B66059" w:rsidRPr="00A56606">
        <w:rPr>
          <w:bCs/>
        </w:rPr>
        <w:t xml:space="preserve">By the end of 2019, </w:t>
      </w:r>
      <w:r w:rsidRPr="00255A7E">
        <w:rPr>
          <w:bCs/>
        </w:rPr>
        <w:t>the database contained</w:t>
      </w:r>
      <w:r w:rsidR="00B66059" w:rsidRPr="00255A7E">
        <w:rPr>
          <w:bCs/>
        </w:rPr>
        <w:t xml:space="preserve"> 1,800 climate change laws </w:t>
      </w:r>
      <w:r w:rsidR="00B66059" w:rsidRPr="00436BB1">
        <w:rPr>
          <w:bCs/>
        </w:rPr>
        <w:t>and policies of similar status worldwide</w:t>
      </w:r>
      <w:r w:rsidR="006B4E5F" w:rsidRPr="00436BB1">
        <w:rPr>
          <w:bCs/>
        </w:rPr>
        <w:t xml:space="preserve">, </w:t>
      </w:r>
      <w:r w:rsidR="00077A34" w:rsidRPr="00436BB1">
        <w:rPr>
          <w:bCs/>
        </w:rPr>
        <w:t>compared with 35 laws in 1990 and 145 laws in 1999</w:t>
      </w:r>
      <w:r w:rsidR="00B66059" w:rsidRPr="00436BB1">
        <w:rPr>
          <w:bCs/>
        </w:rPr>
        <w:t xml:space="preserve">. </w:t>
      </w:r>
      <w:r w:rsidR="00077A34" w:rsidRPr="00436BB1">
        <w:rPr>
          <w:bCs/>
        </w:rPr>
        <w:t>Only about 40 percent of these laws are legislative acts passed by parliaments. The remainder are exe</w:t>
      </w:r>
      <w:r w:rsidR="00B66059" w:rsidRPr="00436BB1">
        <w:rPr>
          <w:bCs/>
        </w:rPr>
        <w:t>cutive orders</w:t>
      </w:r>
      <w:r w:rsidR="002D7947" w:rsidRPr="00436BB1">
        <w:rPr>
          <w:bCs/>
        </w:rPr>
        <w:t xml:space="preserve">, </w:t>
      </w:r>
      <w:r w:rsidR="002D7947" w:rsidRPr="00A56606">
        <w:rPr>
          <w:bCs/>
        </w:rPr>
        <w:t>decrees</w:t>
      </w:r>
      <w:r w:rsidR="00B66059" w:rsidRPr="00A56606">
        <w:rPr>
          <w:bCs/>
        </w:rPr>
        <w:t xml:space="preserve"> </w:t>
      </w:r>
      <w:r w:rsidR="00C41927" w:rsidRPr="00A56606">
        <w:rPr>
          <w:bCs/>
        </w:rPr>
        <w:t xml:space="preserve">or significant </w:t>
      </w:r>
      <w:r w:rsidR="00077A34" w:rsidRPr="00255A7E">
        <w:rPr>
          <w:bCs/>
        </w:rPr>
        <w:t xml:space="preserve">policies issued </w:t>
      </w:r>
      <w:r w:rsidR="00B66059" w:rsidRPr="00255A7E">
        <w:rPr>
          <w:bCs/>
        </w:rPr>
        <w:t>by gove</w:t>
      </w:r>
      <w:r w:rsidR="00B66059" w:rsidRPr="00436BB1">
        <w:rPr>
          <w:bCs/>
        </w:rPr>
        <w:t xml:space="preserve">rnments. </w:t>
      </w:r>
    </w:p>
    <w:p w14:paraId="1AF47BB4" w14:textId="77777777" w:rsidR="00214B16" w:rsidRDefault="00C41927" w:rsidP="00214B16">
      <w:pPr>
        <w:spacing w:line="480" w:lineRule="auto"/>
        <w:ind w:firstLine="720"/>
        <w:rPr>
          <w:bCs/>
        </w:rPr>
      </w:pPr>
      <w:r w:rsidRPr="00436BB1">
        <w:rPr>
          <w:bCs/>
        </w:rPr>
        <w:t xml:space="preserve">The judiciary got involved in </w:t>
      </w:r>
      <w:r w:rsidR="006B7AB8" w:rsidRPr="00436BB1">
        <w:rPr>
          <w:bCs/>
        </w:rPr>
        <w:t>1,500</w:t>
      </w:r>
      <w:r w:rsidRPr="00436BB1">
        <w:rPr>
          <w:bCs/>
        </w:rPr>
        <w:t xml:space="preserve"> court cases in which climate change was a concern, </w:t>
      </w:r>
      <w:r w:rsidR="000B28D2">
        <w:rPr>
          <w:bCs/>
        </w:rPr>
        <w:t>three quarters of</w:t>
      </w:r>
      <w:r w:rsidRPr="00436BB1">
        <w:rPr>
          <w:bCs/>
        </w:rPr>
        <w:t xml:space="preserve"> which in the US. </w:t>
      </w:r>
      <w:r w:rsidR="00C06409">
        <w:rPr>
          <w:bCs/>
        </w:rPr>
        <w:t xml:space="preserve">In about half of the </w:t>
      </w:r>
      <w:r w:rsidR="00736420" w:rsidRPr="00436BB1">
        <w:rPr>
          <w:bCs/>
        </w:rPr>
        <w:t>non-US cases</w:t>
      </w:r>
      <w:r w:rsidR="006D4CC9">
        <w:rPr>
          <w:bCs/>
        </w:rPr>
        <w:t xml:space="preserve"> for which there is a ruling</w:t>
      </w:r>
      <w:r w:rsidR="00A23455" w:rsidRPr="00436BB1">
        <w:rPr>
          <w:bCs/>
        </w:rPr>
        <w:t>,</w:t>
      </w:r>
      <w:r w:rsidR="00736420" w:rsidRPr="00436BB1">
        <w:rPr>
          <w:bCs/>
        </w:rPr>
        <w:t xml:space="preserve"> the judges strengthened or upheld climate change concerns. </w:t>
      </w:r>
      <w:r w:rsidR="00156868" w:rsidRPr="00436BB1">
        <w:rPr>
          <w:bCs/>
        </w:rPr>
        <w:t xml:space="preserve"> Earlier (pre-2017) </w:t>
      </w:r>
      <w:r w:rsidR="008B6B2A" w:rsidRPr="00436BB1">
        <w:rPr>
          <w:bCs/>
        </w:rPr>
        <w:t xml:space="preserve">evidence </w:t>
      </w:r>
      <w:r w:rsidR="009A25E9">
        <w:rPr>
          <w:bCs/>
        </w:rPr>
        <w:t xml:space="preserve">for the US </w:t>
      </w:r>
      <w:r w:rsidR="00156868" w:rsidRPr="00436BB1">
        <w:rPr>
          <w:bCs/>
        </w:rPr>
        <w:t>suggests that the</w:t>
      </w:r>
      <w:r w:rsidR="009A25E9">
        <w:rPr>
          <w:bCs/>
        </w:rPr>
        <w:t xml:space="preserve"> odds of a pro-climate outcome are lower </w:t>
      </w:r>
      <w:r w:rsidR="00156868" w:rsidRPr="00436BB1">
        <w:rPr>
          <w:bCs/>
        </w:rPr>
        <w:t xml:space="preserve">in the United States. </w:t>
      </w:r>
    </w:p>
    <w:p w14:paraId="58D8FBAC" w14:textId="77777777" w:rsidR="00214B16" w:rsidRDefault="009C2CBB" w:rsidP="00214B16">
      <w:pPr>
        <w:spacing w:line="480" w:lineRule="auto"/>
        <w:ind w:firstLine="720"/>
        <w:rPr>
          <w:bCs/>
        </w:rPr>
      </w:pPr>
      <w:r w:rsidRPr="00436BB1">
        <w:rPr>
          <w:bCs/>
        </w:rPr>
        <w:t>There is no country in the world that does not have at least one law or policy dealing with climate change</w:t>
      </w:r>
      <w:r w:rsidR="00571698" w:rsidRPr="00436BB1">
        <w:rPr>
          <w:bCs/>
        </w:rPr>
        <w:t>, and the most</w:t>
      </w:r>
      <w:r w:rsidRPr="00436BB1">
        <w:rPr>
          <w:bCs/>
        </w:rPr>
        <w:t xml:space="preserve"> prolific countries have </w:t>
      </w:r>
      <w:r w:rsidR="00962CC5" w:rsidRPr="00436BB1">
        <w:rPr>
          <w:bCs/>
        </w:rPr>
        <w:t xml:space="preserve">well </w:t>
      </w:r>
      <w:r w:rsidRPr="00436BB1">
        <w:rPr>
          <w:bCs/>
        </w:rPr>
        <w:t xml:space="preserve">over </w:t>
      </w:r>
      <w:r w:rsidR="000E6345" w:rsidRPr="00436BB1">
        <w:rPr>
          <w:bCs/>
        </w:rPr>
        <w:t>2</w:t>
      </w:r>
      <w:r w:rsidR="007E7770" w:rsidRPr="00436BB1">
        <w:rPr>
          <w:bCs/>
        </w:rPr>
        <w:t>0</w:t>
      </w:r>
      <w:r w:rsidRPr="00436BB1">
        <w:rPr>
          <w:bCs/>
        </w:rPr>
        <w:t xml:space="preserve"> such laws</w:t>
      </w:r>
      <w:r w:rsidR="00AC6F13" w:rsidRPr="00436BB1">
        <w:rPr>
          <w:bCs/>
        </w:rPr>
        <w:t>. A</w:t>
      </w:r>
      <w:r w:rsidR="007E7770" w:rsidRPr="00436BB1">
        <w:rPr>
          <w:bCs/>
        </w:rPr>
        <w:t xml:space="preserve">ccounting </w:t>
      </w:r>
      <w:r w:rsidR="00AC6F13" w:rsidRPr="00436BB1">
        <w:rPr>
          <w:bCs/>
        </w:rPr>
        <w:t xml:space="preserve">for government effectiveness and the length of time a law has been in effect, </w:t>
      </w:r>
      <w:r w:rsidR="007E7770" w:rsidRPr="00436BB1">
        <w:rPr>
          <w:bCs/>
        </w:rPr>
        <w:t>Spain</w:t>
      </w:r>
      <w:r w:rsidR="000D7C81" w:rsidRPr="00436BB1">
        <w:rPr>
          <w:bCs/>
        </w:rPr>
        <w:t>, the UK and South Korea</w:t>
      </w:r>
      <w:r w:rsidR="007E7770" w:rsidRPr="00436BB1">
        <w:rPr>
          <w:bCs/>
        </w:rPr>
        <w:t xml:space="preserve"> </w:t>
      </w:r>
      <w:r w:rsidR="00AC6F13" w:rsidRPr="00436BB1">
        <w:rPr>
          <w:bCs/>
        </w:rPr>
        <w:t xml:space="preserve">are the most </w:t>
      </w:r>
      <w:r w:rsidR="007E7770" w:rsidRPr="00436BB1">
        <w:rPr>
          <w:bCs/>
        </w:rPr>
        <w:t>comprehensive</w:t>
      </w:r>
      <w:r w:rsidR="00AC6F13" w:rsidRPr="00436BB1">
        <w:rPr>
          <w:bCs/>
        </w:rPr>
        <w:t xml:space="preserve"> legislators on climate change. </w:t>
      </w:r>
      <w:r w:rsidRPr="00436BB1">
        <w:rPr>
          <w:bCs/>
        </w:rPr>
        <w:t xml:space="preserve"> </w:t>
      </w:r>
    </w:p>
    <w:p w14:paraId="121DCC19" w14:textId="77777777" w:rsidR="00214B16" w:rsidRDefault="007B14BC" w:rsidP="00214B16">
      <w:pPr>
        <w:spacing w:line="480" w:lineRule="auto"/>
        <w:ind w:firstLine="720"/>
        <w:rPr>
          <w:bCs/>
        </w:rPr>
      </w:pPr>
      <w:r>
        <w:t>G</w:t>
      </w:r>
      <w:r w:rsidRPr="00255A7E">
        <w:rPr>
          <w:bCs/>
        </w:rPr>
        <w:t xml:space="preserve">lobal legislative activity peaked </w:t>
      </w:r>
      <w:r>
        <w:rPr>
          <w:bCs/>
        </w:rPr>
        <w:t>in the period</w:t>
      </w:r>
      <w:r w:rsidRPr="00255A7E">
        <w:rPr>
          <w:bCs/>
        </w:rPr>
        <w:t xml:space="preserve"> 200</w:t>
      </w:r>
      <w:r>
        <w:rPr>
          <w:bCs/>
        </w:rPr>
        <w:t>9</w:t>
      </w:r>
      <w:r w:rsidRPr="00255A7E">
        <w:rPr>
          <w:bCs/>
        </w:rPr>
        <w:t>-1</w:t>
      </w:r>
      <w:r>
        <w:rPr>
          <w:bCs/>
        </w:rPr>
        <w:t>4</w:t>
      </w:r>
      <w:r w:rsidRPr="00255A7E">
        <w:rPr>
          <w:bCs/>
        </w:rPr>
        <w:t xml:space="preserve">, when jurisdictions like the EU, Mexico, South Korea and the UK passed their flagship framework laws on climate change. </w:t>
      </w:r>
      <w:r w:rsidR="005D1DAD">
        <w:rPr>
          <w:bCs/>
        </w:rPr>
        <w:t>W</w:t>
      </w:r>
      <w:r w:rsidR="00877123">
        <w:rPr>
          <w:bCs/>
        </w:rPr>
        <w:t xml:space="preserve">hile unable to </w:t>
      </w:r>
      <w:r w:rsidR="005D1DAD">
        <w:rPr>
          <w:bCs/>
        </w:rPr>
        <w:t xml:space="preserve">ascertain causality, the fact that climate legislation peaked before the 2015 Paris Agreement suggests that </w:t>
      </w:r>
      <w:r w:rsidR="00877123">
        <w:rPr>
          <w:bCs/>
        </w:rPr>
        <w:t xml:space="preserve">a push in </w:t>
      </w:r>
      <w:r w:rsidR="00C600C6">
        <w:rPr>
          <w:bCs/>
        </w:rPr>
        <w:t xml:space="preserve">national climate legislation </w:t>
      </w:r>
      <w:r w:rsidR="00877123">
        <w:rPr>
          <w:bCs/>
        </w:rPr>
        <w:t xml:space="preserve">could </w:t>
      </w:r>
      <w:r w:rsidR="00C600C6">
        <w:rPr>
          <w:bCs/>
        </w:rPr>
        <w:t>have facilitated the Paris Agreement</w:t>
      </w:r>
      <w:r w:rsidR="00877123">
        <w:rPr>
          <w:bCs/>
        </w:rPr>
        <w:t xml:space="preserve">, rather than the other way round. </w:t>
      </w:r>
    </w:p>
    <w:p w14:paraId="7180BC98" w14:textId="77777777" w:rsidR="00214B16" w:rsidRDefault="000A6FD5" w:rsidP="00214B16">
      <w:pPr>
        <w:spacing w:line="480" w:lineRule="auto"/>
        <w:ind w:firstLine="720"/>
      </w:pPr>
      <w:r w:rsidRPr="00255A7E">
        <w:rPr>
          <w:bCs/>
        </w:rPr>
        <w:t xml:space="preserve">The Paris Agreement </w:t>
      </w:r>
      <w:r w:rsidR="002D7947" w:rsidRPr="00255A7E">
        <w:rPr>
          <w:bCs/>
        </w:rPr>
        <w:t xml:space="preserve">has probably influenced </w:t>
      </w:r>
      <w:r w:rsidRPr="00255A7E">
        <w:rPr>
          <w:bCs/>
        </w:rPr>
        <w:t xml:space="preserve">national climate legislation </w:t>
      </w:r>
      <w:r w:rsidR="002D7947" w:rsidRPr="00255A7E">
        <w:rPr>
          <w:bCs/>
        </w:rPr>
        <w:t xml:space="preserve">more with respect to </w:t>
      </w:r>
      <w:r w:rsidR="00C15BF5" w:rsidRPr="00255A7E">
        <w:rPr>
          <w:bCs/>
        </w:rPr>
        <w:t xml:space="preserve">the ambition of climate laws, rather than their number. </w:t>
      </w:r>
      <w:r w:rsidR="008C0688" w:rsidRPr="00255A7E">
        <w:rPr>
          <w:bCs/>
        </w:rPr>
        <w:t>Following Paris, s</w:t>
      </w:r>
      <w:r w:rsidR="00C15BF5" w:rsidRPr="00255A7E">
        <w:rPr>
          <w:bCs/>
        </w:rPr>
        <w:t>everal countries</w:t>
      </w:r>
      <w:r w:rsidR="00214B16">
        <w:rPr>
          <w:bCs/>
        </w:rPr>
        <w:t>—</w:t>
      </w:r>
      <w:r w:rsidR="00C15BF5" w:rsidRPr="00255A7E">
        <w:rPr>
          <w:bCs/>
        </w:rPr>
        <w:t>most notably, France, New Zealand, Sweden and the UK</w:t>
      </w:r>
      <w:r w:rsidR="00214B16">
        <w:rPr>
          <w:bCs/>
        </w:rPr>
        <w:t>—</w:t>
      </w:r>
      <w:r w:rsidR="00C15BF5" w:rsidRPr="00255A7E">
        <w:rPr>
          <w:bCs/>
        </w:rPr>
        <w:t xml:space="preserve">have adopted </w:t>
      </w:r>
      <w:r w:rsidR="009C2CBB" w:rsidRPr="00255A7E">
        <w:rPr>
          <w:bCs/>
        </w:rPr>
        <w:t>binding net-</w:t>
      </w:r>
      <w:r w:rsidR="009C2CBB" w:rsidRPr="00255A7E">
        <w:rPr>
          <w:bCs/>
        </w:rPr>
        <w:lastRenderedPageBreak/>
        <w:t>zero emissions targets</w:t>
      </w:r>
      <w:r w:rsidR="00AC6F13" w:rsidRPr="00255A7E">
        <w:rPr>
          <w:bCs/>
        </w:rPr>
        <w:t xml:space="preserve"> that are consistent with the Paris objectives. </w:t>
      </w:r>
      <w:r w:rsidR="0070520D" w:rsidRPr="00255A7E">
        <w:rPr>
          <w:bCs/>
        </w:rPr>
        <w:t xml:space="preserve">However, </w:t>
      </w:r>
      <w:r w:rsidRPr="00255A7E">
        <w:rPr>
          <w:bCs/>
        </w:rPr>
        <w:t xml:space="preserve">most of the </w:t>
      </w:r>
      <w:r w:rsidR="0070520D" w:rsidRPr="00255A7E">
        <w:t xml:space="preserve">emissions pledges contained in NDCs </w:t>
      </w:r>
      <w:r w:rsidRPr="00255A7E">
        <w:t xml:space="preserve">have yet to be translated into </w:t>
      </w:r>
      <w:r w:rsidR="0070520D" w:rsidRPr="00255A7E">
        <w:t>legislated targets.</w:t>
      </w:r>
    </w:p>
    <w:p w14:paraId="6C9587A0" w14:textId="77777777" w:rsidR="00214B16" w:rsidRDefault="00C41927" w:rsidP="00214B16">
      <w:pPr>
        <w:spacing w:line="480" w:lineRule="auto"/>
        <w:ind w:firstLine="720"/>
        <w:rPr>
          <w:bCs/>
        </w:rPr>
      </w:pPr>
      <w:r w:rsidRPr="00436BB1">
        <w:rPr>
          <w:bCs/>
        </w:rPr>
        <w:t xml:space="preserve">Without going into careful statistical identification, the data reveal some interesting and perhaps surprising patterns. </w:t>
      </w:r>
      <w:r w:rsidR="00411DCF" w:rsidRPr="00436BB1">
        <w:rPr>
          <w:bCs/>
        </w:rPr>
        <w:t>We find that c</w:t>
      </w:r>
      <w:r w:rsidRPr="00436BB1">
        <w:rPr>
          <w:bCs/>
        </w:rPr>
        <w:t xml:space="preserve">limate change legislation is much less of partisan issue </w:t>
      </w:r>
      <w:r w:rsidR="00C57937" w:rsidRPr="00436BB1">
        <w:rPr>
          <w:bCs/>
        </w:rPr>
        <w:t>worldwi</w:t>
      </w:r>
      <w:r w:rsidR="00C57937" w:rsidRPr="00255A7E">
        <w:rPr>
          <w:bCs/>
        </w:rPr>
        <w:t xml:space="preserve">de </w:t>
      </w:r>
      <w:r w:rsidRPr="00255A7E">
        <w:rPr>
          <w:bCs/>
        </w:rPr>
        <w:t xml:space="preserve">than </w:t>
      </w:r>
      <w:r w:rsidR="00411DCF" w:rsidRPr="00255A7E">
        <w:rPr>
          <w:bCs/>
        </w:rPr>
        <w:t>the debate in countries l</w:t>
      </w:r>
      <w:r w:rsidR="00411DCF" w:rsidRPr="00436BB1">
        <w:rPr>
          <w:bCs/>
        </w:rPr>
        <w:t>ike the Australia, Canada and United States would suggest. In industriali</w:t>
      </w:r>
      <w:r w:rsidR="00B76A8C" w:rsidRPr="00436BB1">
        <w:rPr>
          <w:bCs/>
        </w:rPr>
        <w:t>z</w:t>
      </w:r>
      <w:r w:rsidR="00411DCF" w:rsidRPr="00436BB1">
        <w:rPr>
          <w:bCs/>
        </w:rPr>
        <w:t>ed</w:t>
      </w:r>
      <w:r w:rsidR="00B76A8C" w:rsidRPr="00436BB1">
        <w:rPr>
          <w:bCs/>
        </w:rPr>
        <w:t xml:space="preserve"> </w:t>
      </w:r>
      <w:r w:rsidR="00411DCF" w:rsidRPr="00436BB1">
        <w:rPr>
          <w:bCs/>
        </w:rPr>
        <w:t>countries (OECD plus European Union members), t</w:t>
      </w:r>
      <w:r w:rsidRPr="00436BB1">
        <w:rPr>
          <w:bCs/>
        </w:rPr>
        <w:t xml:space="preserve">he number of climate laws passed by governments of the left, </w:t>
      </w:r>
      <w:r w:rsidR="00B76A8C" w:rsidRPr="00436BB1">
        <w:rPr>
          <w:bCs/>
        </w:rPr>
        <w:t>center</w:t>
      </w:r>
      <w:r w:rsidRPr="00436BB1">
        <w:rPr>
          <w:bCs/>
        </w:rPr>
        <w:t xml:space="preserve"> and right is proportional to their time in office. </w:t>
      </w:r>
      <w:r w:rsidR="00411DCF" w:rsidRPr="00436BB1">
        <w:rPr>
          <w:bCs/>
        </w:rPr>
        <w:t xml:space="preserve">Only in democracies outside this group is the political right less inclined to legislate on climate change. </w:t>
      </w:r>
    </w:p>
    <w:p w14:paraId="14AF64CE" w14:textId="4968D2F6" w:rsidR="00214B16" w:rsidRDefault="006B740E" w:rsidP="00214B16">
      <w:pPr>
        <w:spacing w:line="480" w:lineRule="auto"/>
        <w:ind w:firstLine="720"/>
        <w:rPr>
          <w:bCs/>
        </w:rPr>
      </w:pPr>
      <w:r w:rsidRPr="00436BB1">
        <w:rPr>
          <w:bCs/>
        </w:rPr>
        <w:t xml:space="preserve">We further find that </w:t>
      </w:r>
      <w:r w:rsidR="00C41927" w:rsidRPr="00436BB1">
        <w:rPr>
          <w:bCs/>
        </w:rPr>
        <w:t>legislative activity fluctuates with the business cycle</w:t>
      </w:r>
      <w:r w:rsidRPr="00436BB1">
        <w:rPr>
          <w:bCs/>
        </w:rPr>
        <w:t xml:space="preserve"> and slows down in times of economic difficulty</w:t>
      </w:r>
      <w:r w:rsidR="00C41927" w:rsidRPr="00436BB1">
        <w:rPr>
          <w:bCs/>
        </w:rPr>
        <w:t xml:space="preserve">. </w:t>
      </w:r>
      <w:r w:rsidR="00151FDB" w:rsidRPr="00436BB1">
        <w:rPr>
          <w:bCs/>
        </w:rPr>
        <w:t>This is despite the fact that the peak in climate change legislation coincided with the aftermath of the 2008 global financial crisis.</w:t>
      </w:r>
      <w:r w:rsidR="002448B4" w:rsidRPr="00436BB1">
        <w:rPr>
          <w:bCs/>
        </w:rPr>
        <w:t xml:space="preserve"> It suggests that </w:t>
      </w:r>
      <w:r w:rsidR="00E63CE4">
        <w:rPr>
          <w:bCs/>
        </w:rPr>
        <w:t xml:space="preserve">the pace of climate action may decline in the aftermath of </w:t>
      </w:r>
      <w:r w:rsidR="006668F5" w:rsidRPr="00436BB1">
        <w:rPr>
          <w:bCs/>
        </w:rPr>
        <w:t>the coronavirus</w:t>
      </w:r>
      <w:r w:rsidR="00E63CE4">
        <w:rPr>
          <w:bCs/>
        </w:rPr>
        <w:t xml:space="preserve"> pandemic</w:t>
      </w:r>
      <w:r w:rsidR="006668F5" w:rsidRPr="00436BB1">
        <w:rPr>
          <w:bCs/>
        </w:rPr>
        <w:t>.</w:t>
      </w:r>
    </w:p>
    <w:p w14:paraId="56C7666E" w14:textId="27BAFB71" w:rsidR="0030379D" w:rsidRDefault="00FB338D" w:rsidP="00214B16">
      <w:pPr>
        <w:spacing w:line="480" w:lineRule="auto"/>
        <w:ind w:firstLine="720"/>
      </w:pPr>
      <w:r w:rsidRPr="00436BB1">
        <w:t xml:space="preserve">CCLW </w:t>
      </w:r>
      <w:r w:rsidR="00F2214F" w:rsidRPr="00436BB1">
        <w:t xml:space="preserve">has so far mainly been aimed at policy audiences, </w:t>
      </w:r>
      <w:r w:rsidR="00CD6938" w:rsidRPr="00436BB1">
        <w:t xml:space="preserve">where it has helped to </w:t>
      </w:r>
      <w:r w:rsidR="00F2214F" w:rsidRPr="00436BB1">
        <w:t xml:space="preserve">build trust among international policy makers and </w:t>
      </w:r>
      <w:r w:rsidR="00CD6938" w:rsidRPr="00436BB1">
        <w:t xml:space="preserve">support </w:t>
      </w:r>
      <w:r w:rsidR="0007553D" w:rsidRPr="00436BB1">
        <w:t xml:space="preserve">legislators in drafting their own climate laws. It is </w:t>
      </w:r>
      <w:r w:rsidRPr="00436BB1">
        <w:t>only now starting to be u</w:t>
      </w:r>
      <w:r w:rsidR="00151FDB" w:rsidRPr="00436BB1">
        <w:t xml:space="preserve">tilized </w:t>
      </w:r>
      <w:r w:rsidRPr="00436BB1">
        <w:t>in academic research</w:t>
      </w:r>
      <w:r w:rsidR="0007553D" w:rsidRPr="00436BB1">
        <w:t xml:space="preserve">. Initial applications have used the data to </w:t>
      </w:r>
      <w:r w:rsidRPr="00436BB1">
        <w:t>assess global progress in adopting climate policies</w:t>
      </w:r>
      <w:r w:rsidR="0007553D" w:rsidRPr="00436BB1">
        <w:t xml:space="preserve">, </w:t>
      </w:r>
      <w:r w:rsidRPr="00436BB1">
        <w:t>understand the political economy of passing climate laws, identify good practice in climate change governance</w:t>
      </w:r>
      <w:r w:rsidR="0007553D" w:rsidRPr="00436BB1">
        <w:t>,</w:t>
      </w:r>
      <w:r w:rsidRPr="00436BB1">
        <w:t xml:space="preserve"> assess the environmental impact of climate legislation</w:t>
      </w:r>
      <w:r w:rsidR="002172FD">
        <w:t>, and identify general trends in climate litigation</w:t>
      </w:r>
      <w:r w:rsidR="00255A7E" w:rsidRPr="00436BB1">
        <w:t xml:space="preserve">. </w:t>
      </w:r>
      <w:r w:rsidR="002D68DE" w:rsidRPr="00436BB1">
        <w:t xml:space="preserve">It is hoped that this paper will stimulate other scholars </w:t>
      </w:r>
      <w:r w:rsidR="00CB3682" w:rsidRPr="00436BB1">
        <w:t>to use the data in their own research.</w:t>
      </w:r>
    </w:p>
    <w:p w14:paraId="09425725" w14:textId="77777777" w:rsidR="00341490" w:rsidRDefault="00341490" w:rsidP="00341490">
      <w:pPr>
        <w:spacing w:line="480" w:lineRule="auto"/>
      </w:pPr>
    </w:p>
    <w:p w14:paraId="5115CFBA" w14:textId="77777777" w:rsidR="00341490" w:rsidRDefault="00341490" w:rsidP="00341490">
      <w:pPr>
        <w:spacing w:line="480" w:lineRule="auto"/>
      </w:pPr>
    </w:p>
    <w:p w14:paraId="0A9299E9" w14:textId="3B65637F" w:rsidR="00341490" w:rsidRPr="00341490" w:rsidRDefault="00341490" w:rsidP="00341490">
      <w:pPr>
        <w:spacing w:line="480" w:lineRule="auto"/>
        <w:rPr>
          <w:b/>
        </w:rPr>
      </w:pPr>
      <w:r w:rsidRPr="00341490">
        <w:rPr>
          <w:b/>
        </w:rPr>
        <w:t xml:space="preserve">Appendix </w:t>
      </w:r>
    </w:p>
    <w:p w14:paraId="35272FE6" w14:textId="089CFA7E" w:rsidR="00341490" w:rsidRDefault="00341490" w:rsidP="00341490">
      <w:pPr>
        <w:spacing w:line="480" w:lineRule="auto"/>
      </w:pPr>
      <w:r>
        <w:lastRenderedPageBreak/>
        <w:t>Insert Tables A1, A2, A3, and A4 here</w:t>
      </w:r>
    </w:p>
    <w:p w14:paraId="4CCEEFA1" w14:textId="77777777" w:rsidR="00341490" w:rsidRDefault="00341490" w:rsidP="00341490">
      <w:pPr>
        <w:spacing w:line="480" w:lineRule="auto"/>
      </w:pPr>
    </w:p>
    <w:p w14:paraId="62966B8F" w14:textId="5E00799D" w:rsidR="00C37D84" w:rsidRPr="00436BB1" w:rsidRDefault="00C37D84" w:rsidP="00CD2F2D">
      <w:pPr>
        <w:spacing w:after="200" w:line="2" w:lineRule="auto"/>
        <w:rPr>
          <w:b/>
          <w:bCs/>
        </w:rPr>
      </w:pPr>
    </w:p>
    <w:p w14:paraId="67DFE6E2" w14:textId="5D92C4D8" w:rsidR="005C4C15" w:rsidRPr="00C101C1" w:rsidRDefault="005C4C15" w:rsidP="00C101C1">
      <w:pPr>
        <w:pStyle w:val="Heading1"/>
        <w:keepNext/>
        <w:keepLines/>
        <w:pageBreakBefore w:val="0"/>
        <w:autoSpaceDE/>
        <w:autoSpaceDN/>
        <w:adjustRightInd/>
        <w:spacing w:after="0" w:line="480" w:lineRule="auto"/>
        <w:rPr>
          <w:rFonts w:eastAsiaTheme="majorEastAsia" w:cs="Times New Roman"/>
          <w:b/>
          <w:bCs/>
          <w:sz w:val="24"/>
          <w:szCs w:val="28"/>
        </w:rPr>
      </w:pPr>
      <w:r w:rsidRPr="00C101C1">
        <w:rPr>
          <w:rFonts w:eastAsiaTheme="majorEastAsia" w:cs="Times New Roman"/>
          <w:b/>
          <w:bCs/>
          <w:sz w:val="24"/>
          <w:szCs w:val="28"/>
        </w:rPr>
        <w:t>References</w:t>
      </w:r>
    </w:p>
    <w:p w14:paraId="030C7105" w14:textId="63A39630" w:rsidR="00E46313" w:rsidRPr="00436BB1" w:rsidRDefault="006B7A10" w:rsidP="00C101C1">
      <w:pPr>
        <w:pStyle w:val="ListParagraph"/>
        <w:spacing w:line="480" w:lineRule="auto"/>
        <w:ind w:left="0"/>
      </w:pPr>
      <w:r w:rsidRPr="00436BB1">
        <w:t>A</w:t>
      </w:r>
      <w:r w:rsidR="00E46313" w:rsidRPr="00436BB1">
        <w:t>verchenkova, A.</w:t>
      </w:r>
      <w:r w:rsidR="004276ED" w:rsidRPr="00436BB1">
        <w:t>,</w:t>
      </w:r>
      <w:r w:rsidR="00E46313" w:rsidRPr="00436BB1">
        <w:t xml:space="preserve"> </w:t>
      </w:r>
      <w:r w:rsidR="002759AD" w:rsidRPr="00436BB1">
        <w:t>S.</w:t>
      </w:r>
      <w:r w:rsidR="002759AD">
        <w:t xml:space="preserve"> </w:t>
      </w:r>
      <w:r w:rsidR="00E46313" w:rsidRPr="00436BB1">
        <w:t>Fankhauser</w:t>
      </w:r>
      <w:r w:rsidR="004276ED" w:rsidRPr="00436BB1">
        <w:t>,</w:t>
      </w:r>
      <w:r w:rsidR="00E46313" w:rsidRPr="00436BB1">
        <w:t xml:space="preserve"> and </w:t>
      </w:r>
      <w:r w:rsidR="002759AD" w:rsidRPr="00436BB1">
        <w:t>J.</w:t>
      </w:r>
      <w:r w:rsidR="002759AD">
        <w:t xml:space="preserve"> </w:t>
      </w:r>
      <w:r w:rsidR="00E46313" w:rsidRPr="00436BB1">
        <w:t>Finnegan</w:t>
      </w:r>
      <w:r w:rsidR="002759AD">
        <w:t>.</w:t>
      </w:r>
      <w:r w:rsidR="00E46313" w:rsidRPr="00436BB1">
        <w:t xml:space="preserve">  2020. </w:t>
      </w:r>
      <w:r w:rsidR="002759AD">
        <w:t>“</w:t>
      </w:r>
      <w:r w:rsidR="00495BA6" w:rsidRPr="00436BB1">
        <w:t xml:space="preserve">The </w:t>
      </w:r>
      <w:r w:rsidR="002759AD">
        <w:t>I</w:t>
      </w:r>
      <w:r w:rsidR="00495BA6" w:rsidRPr="00436BB1">
        <w:t xml:space="preserve">mpact of </w:t>
      </w:r>
      <w:r w:rsidR="002759AD">
        <w:t>S</w:t>
      </w:r>
      <w:r w:rsidR="00495BA6" w:rsidRPr="00436BB1">
        <w:t xml:space="preserve">trategic </w:t>
      </w:r>
      <w:r w:rsidR="002759AD">
        <w:t>C</w:t>
      </w:r>
      <w:r w:rsidR="00495BA6" w:rsidRPr="00436BB1">
        <w:t xml:space="preserve">limate </w:t>
      </w:r>
      <w:r w:rsidR="002759AD">
        <w:t>L</w:t>
      </w:r>
      <w:r w:rsidR="00495BA6" w:rsidRPr="00436BB1">
        <w:t xml:space="preserve">egislation: Evidence from </w:t>
      </w:r>
      <w:r w:rsidR="002759AD">
        <w:t>E</w:t>
      </w:r>
      <w:r w:rsidR="00495BA6" w:rsidRPr="00436BB1">
        <w:t xml:space="preserve">xpert </w:t>
      </w:r>
      <w:r w:rsidR="002759AD">
        <w:t>I</w:t>
      </w:r>
      <w:r w:rsidR="00495BA6" w:rsidRPr="00436BB1">
        <w:t>nterviews on the UK Climate Change Act.</w:t>
      </w:r>
      <w:r w:rsidR="002759AD">
        <w:t>”</w:t>
      </w:r>
      <w:r w:rsidR="00E46313" w:rsidRPr="00436BB1">
        <w:t xml:space="preserve"> </w:t>
      </w:r>
      <w:r w:rsidR="00E46313" w:rsidRPr="00436BB1">
        <w:rPr>
          <w:i/>
          <w:iCs/>
        </w:rPr>
        <w:t>Climate Policy</w:t>
      </w:r>
      <w:r w:rsidR="00E46313" w:rsidRPr="00436BB1">
        <w:t>, under revision.</w:t>
      </w:r>
    </w:p>
    <w:p w14:paraId="143CADC2" w14:textId="24D69248" w:rsidR="006008C4" w:rsidRPr="00436BB1" w:rsidRDefault="00E46313" w:rsidP="00C101C1">
      <w:pPr>
        <w:pStyle w:val="ListParagraph"/>
        <w:spacing w:line="480" w:lineRule="auto"/>
        <w:ind w:left="0"/>
      </w:pPr>
      <w:r w:rsidRPr="00436BB1">
        <w:t>A</w:t>
      </w:r>
      <w:r w:rsidR="006B7A10" w:rsidRPr="00436BB1">
        <w:t>verchenkova, A,</w:t>
      </w:r>
      <w:r w:rsidR="002759AD">
        <w:t xml:space="preserve"> S.</w:t>
      </w:r>
      <w:r w:rsidR="006B7A10" w:rsidRPr="00436BB1">
        <w:t xml:space="preserve"> Fankhauser</w:t>
      </w:r>
      <w:r w:rsidR="004276ED" w:rsidRPr="00436BB1">
        <w:t>,</w:t>
      </w:r>
      <w:r w:rsidR="006B7A10" w:rsidRPr="00436BB1">
        <w:t xml:space="preserve"> and </w:t>
      </w:r>
      <w:r w:rsidR="002759AD">
        <w:t xml:space="preserve">M. </w:t>
      </w:r>
      <w:r w:rsidR="006B7A10" w:rsidRPr="00436BB1">
        <w:t xml:space="preserve">Nachmany. eds. 2017. </w:t>
      </w:r>
      <w:r w:rsidR="006B7A10" w:rsidRPr="00436BB1">
        <w:rPr>
          <w:i/>
        </w:rPr>
        <w:t>Trends in Climate Change Legislation</w:t>
      </w:r>
      <w:r w:rsidR="002759AD">
        <w:t>.</w:t>
      </w:r>
      <w:r w:rsidR="006B7A10" w:rsidRPr="00436BB1">
        <w:t xml:space="preserve"> Cheltenham: Edward Elgar.</w:t>
      </w:r>
    </w:p>
    <w:p w14:paraId="6310DE66" w14:textId="103A1A5D" w:rsidR="006008C4" w:rsidRPr="00A56606" w:rsidRDefault="006008C4" w:rsidP="00C101C1">
      <w:pPr>
        <w:pStyle w:val="ListParagraph"/>
        <w:spacing w:line="480" w:lineRule="auto"/>
        <w:ind w:left="0"/>
      </w:pPr>
      <w:r w:rsidRPr="00436BB1">
        <w:t>Averchenkova A.</w:t>
      </w:r>
      <w:r w:rsidR="002759AD">
        <w:t>,</w:t>
      </w:r>
      <w:r w:rsidRPr="00436BB1">
        <w:t xml:space="preserve"> and </w:t>
      </w:r>
      <w:r w:rsidR="002759AD" w:rsidRPr="00436BB1">
        <w:t>S.</w:t>
      </w:r>
      <w:r w:rsidR="002759AD">
        <w:t xml:space="preserve"> </w:t>
      </w:r>
      <w:r w:rsidRPr="00436BB1">
        <w:t>Guzman Luna</w:t>
      </w:r>
      <w:r w:rsidR="002759AD">
        <w:t>.</w:t>
      </w:r>
      <w:r w:rsidRPr="00436BB1">
        <w:t xml:space="preserve"> 2018</w:t>
      </w:r>
      <w:r w:rsidR="002759AD">
        <w:t>.</w:t>
      </w:r>
      <w:r w:rsidRPr="00436BB1">
        <w:t xml:space="preserve"> Mexico’s General Law on Climate Change: Key </w:t>
      </w:r>
      <w:r w:rsidR="002759AD">
        <w:t>A</w:t>
      </w:r>
      <w:r w:rsidRPr="00436BB1">
        <w:t xml:space="preserve">chievements and </w:t>
      </w:r>
      <w:r w:rsidR="002759AD">
        <w:t>C</w:t>
      </w:r>
      <w:r w:rsidRPr="00436BB1">
        <w:t xml:space="preserve">hallenges </w:t>
      </w:r>
      <w:r w:rsidR="002759AD">
        <w:t>A</w:t>
      </w:r>
      <w:r w:rsidRPr="00436BB1">
        <w:t>head. London: Grantham Research Institute on Climate Change and the Environment and Centre for Climate Change Economics and Policy, London School of Economics and Political Science.</w:t>
      </w:r>
      <w:r w:rsidR="00D7430E" w:rsidRPr="00436BB1">
        <w:t xml:space="preserve"> </w:t>
      </w:r>
      <w:r w:rsidR="00D7430E" w:rsidRPr="002759AD">
        <w:t>http://www.lse.ac.uk/GranthamInstitute/wp-</w:t>
      </w:r>
      <w:r w:rsidR="00D7430E" w:rsidRPr="002759AD">
        <w:rPr>
          <w:color w:val="000000" w:themeColor="text1"/>
        </w:rPr>
        <w:t>content/uploads/2018/11/Policy_brief_Mexico%E2%80%99s-General-Law-on-Climate-Change-</w:t>
      </w:r>
      <w:r w:rsidR="00D7430E" w:rsidRPr="002759AD">
        <w:t>Successes-and-challenges_8pp_AverchenkovaGuzman-2.pdf</w:t>
      </w:r>
      <w:r w:rsidR="00D7430E" w:rsidRPr="00A56606">
        <w:t xml:space="preserve"> </w:t>
      </w:r>
    </w:p>
    <w:p w14:paraId="2CF882FF" w14:textId="5851B5C9" w:rsidR="00F81FCE" w:rsidRPr="00A56606" w:rsidRDefault="00F81FCE" w:rsidP="00C101C1">
      <w:pPr>
        <w:pStyle w:val="ListParagraph"/>
        <w:spacing w:line="480" w:lineRule="auto"/>
        <w:ind w:left="0"/>
      </w:pPr>
      <w:r w:rsidRPr="00A56606">
        <w:t>Barbier, E.</w:t>
      </w:r>
      <w:r w:rsidR="004276ED" w:rsidRPr="00A56606">
        <w:t xml:space="preserve"> </w:t>
      </w:r>
      <w:r w:rsidRPr="00A56606">
        <w:t xml:space="preserve">B. 2010. </w:t>
      </w:r>
      <w:r w:rsidR="002759AD">
        <w:t xml:space="preserve"> </w:t>
      </w:r>
      <w:r w:rsidRPr="00A56606">
        <w:rPr>
          <w:i/>
          <w:iCs/>
        </w:rPr>
        <w:t xml:space="preserve">A </w:t>
      </w:r>
      <w:r w:rsidR="002759AD">
        <w:rPr>
          <w:i/>
          <w:iCs/>
        </w:rPr>
        <w:t>G</w:t>
      </w:r>
      <w:r w:rsidRPr="00A56606">
        <w:rPr>
          <w:i/>
          <w:iCs/>
        </w:rPr>
        <w:t xml:space="preserve">lobal </w:t>
      </w:r>
      <w:r w:rsidR="002759AD">
        <w:rPr>
          <w:i/>
          <w:iCs/>
        </w:rPr>
        <w:t>G</w:t>
      </w:r>
      <w:r w:rsidRPr="00A56606">
        <w:rPr>
          <w:i/>
          <w:iCs/>
        </w:rPr>
        <w:t xml:space="preserve">reen </w:t>
      </w:r>
      <w:r w:rsidR="002759AD">
        <w:rPr>
          <w:i/>
          <w:iCs/>
        </w:rPr>
        <w:t>N</w:t>
      </w:r>
      <w:r w:rsidRPr="00A56606">
        <w:rPr>
          <w:i/>
          <w:iCs/>
        </w:rPr>
        <w:t xml:space="preserve">ew </w:t>
      </w:r>
      <w:r w:rsidR="002759AD">
        <w:rPr>
          <w:i/>
          <w:iCs/>
        </w:rPr>
        <w:t>D</w:t>
      </w:r>
      <w:r w:rsidRPr="00A56606">
        <w:rPr>
          <w:i/>
          <w:iCs/>
        </w:rPr>
        <w:t xml:space="preserve">eal: Rethinking the </w:t>
      </w:r>
      <w:r w:rsidR="002759AD">
        <w:rPr>
          <w:i/>
          <w:iCs/>
        </w:rPr>
        <w:t>E</w:t>
      </w:r>
      <w:r w:rsidRPr="00A56606">
        <w:rPr>
          <w:i/>
          <w:iCs/>
        </w:rPr>
        <w:t xml:space="preserve">conomic </w:t>
      </w:r>
      <w:r w:rsidR="002759AD">
        <w:rPr>
          <w:i/>
          <w:iCs/>
        </w:rPr>
        <w:t>R</w:t>
      </w:r>
      <w:r w:rsidRPr="00A56606">
        <w:rPr>
          <w:i/>
          <w:iCs/>
        </w:rPr>
        <w:t>ecovery</w:t>
      </w:r>
      <w:r w:rsidRPr="00A56606">
        <w:t>. Cambridge University Press.</w:t>
      </w:r>
    </w:p>
    <w:p w14:paraId="4C8056D5" w14:textId="288FEB5B" w:rsidR="006B7A10" w:rsidRPr="00A56606" w:rsidRDefault="006B7A10" w:rsidP="00C101C1">
      <w:pPr>
        <w:pStyle w:val="ListParagraph"/>
        <w:spacing w:line="480" w:lineRule="auto"/>
        <w:ind w:left="0"/>
      </w:pPr>
      <w:r w:rsidRPr="00255A7E">
        <w:t xml:space="preserve">Bouwer, K. 2018. </w:t>
      </w:r>
      <w:r w:rsidR="002759AD">
        <w:t>“</w:t>
      </w:r>
      <w:r w:rsidRPr="00255A7E">
        <w:t xml:space="preserve">The </w:t>
      </w:r>
      <w:r w:rsidR="002759AD">
        <w:t>U</w:t>
      </w:r>
      <w:r w:rsidRPr="00255A7E">
        <w:t xml:space="preserve">nsexy </w:t>
      </w:r>
      <w:r w:rsidR="002759AD">
        <w:t>F</w:t>
      </w:r>
      <w:r w:rsidRPr="00255A7E">
        <w:t xml:space="preserve">uture of </w:t>
      </w:r>
      <w:r w:rsidR="002759AD">
        <w:t>C</w:t>
      </w:r>
      <w:r w:rsidRPr="00255A7E">
        <w:t xml:space="preserve">limate </w:t>
      </w:r>
      <w:r w:rsidR="002759AD">
        <w:t>C</w:t>
      </w:r>
      <w:r w:rsidRPr="00255A7E">
        <w:t xml:space="preserve">hange </w:t>
      </w:r>
      <w:r w:rsidR="002759AD">
        <w:t>L</w:t>
      </w:r>
      <w:r w:rsidRPr="00255A7E">
        <w:t>itigation.</w:t>
      </w:r>
      <w:r w:rsidR="002759AD">
        <w:t>”</w:t>
      </w:r>
      <w:r w:rsidRPr="00255A7E">
        <w:t xml:space="preserve"> </w:t>
      </w:r>
      <w:r w:rsidRPr="00255A7E">
        <w:rPr>
          <w:i/>
          <w:iCs/>
        </w:rPr>
        <w:t>Journal of Environmental Law</w:t>
      </w:r>
      <w:r w:rsidRPr="00255A7E">
        <w:t xml:space="preserve"> 30</w:t>
      </w:r>
      <w:r w:rsidR="002759AD">
        <w:t xml:space="preserve"> </w:t>
      </w:r>
      <w:r w:rsidRPr="00255A7E">
        <w:t>(3)</w:t>
      </w:r>
      <w:r w:rsidR="002759AD">
        <w:t>:</w:t>
      </w:r>
      <w:r w:rsidRPr="00255A7E">
        <w:t xml:space="preserve"> 483–506. </w:t>
      </w:r>
      <w:r w:rsidRPr="002759AD">
        <w:t>https://doi.org/10.1093/jel/eqy017</w:t>
      </w:r>
    </w:p>
    <w:p w14:paraId="4F51AB5F" w14:textId="3884BEE2" w:rsidR="000A39DD" w:rsidRPr="00A56606" w:rsidRDefault="000A39DD" w:rsidP="00C101C1">
      <w:pPr>
        <w:pStyle w:val="ListParagraph"/>
        <w:spacing w:line="480" w:lineRule="auto"/>
        <w:ind w:left="0"/>
      </w:pPr>
      <w:r w:rsidRPr="00A56606">
        <w:t>Bowen, A.</w:t>
      </w:r>
      <w:r w:rsidR="004276ED" w:rsidRPr="00A56606">
        <w:t>,</w:t>
      </w:r>
      <w:r w:rsidRPr="00A56606">
        <w:t xml:space="preserve"> and </w:t>
      </w:r>
      <w:r w:rsidR="002759AD">
        <w:t xml:space="preserve">N. </w:t>
      </w:r>
      <w:r w:rsidRPr="00A56606">
        <w:t xml:space="preserve">Stern. 2010. </w:t>
      </w:r>
      <w:r w:rsidR="002759AD">
        <w:t>“</w:t>
      </w:r>
      <w:r w:rsidRPr="00A56606">
        <w:t xml:space="preserve">Environmental </w:t>
      </w:r>
      <w:r w:rsidR="002759AD">
        <w:t>P</w:t>
      </w:r>
      <w:r w:rsidRPr="00A56606">
        <w:t xml:space="preserve">olicy and the </w:t>
      </w:r>
      <w:r w:rsidR="002759AD">
        <w:t>E</w:t>
      </w:r>
      <w:r w:rsidRPr="00A56606">
        <w:t xml:space="preserve">conomic </w:t>
      </w:r>
      <w:r w:rsidR="002759AD">
        <w:t>D</w:t>
      </w:r>
      <w:r w:rsidRPr="00A56606">
        <w:t>ownturn.</w:t>
      </w:r>
      <w:r w:rsidR="002759AD">
        <w:t>”</w:t>
      </w:r>
      <w:r w:rsidRPr="00A56606">
        <w:t xml:space="preserve"> </w:t>
      </w:r>
      <w:r w:rsidRPr="00A56606">
        <w:rPr>
          <w:i/>
          <w:iCs/>
        </w:rPr>
        <w:t>Oxford Review of Economic Policy</w:t>
      </w:r>
      <w:r w:rsidRPr="00A56606">
        <w:t xml:space="preserve"> 26</w:t>
      </w:r>
      <w:r w:rsidR="002759AD">
        <w:t xml:space="preserve"> </w:t>
      </w:r>
      <w:r w:rsidRPr="00A56606">
        <w:t>(2)</w:t>
      </w:r>
      <w:r w:rsidR="002759AD">
        <w:t>:</w:t>
      </w:r>
      <w:r w:rsidRPr="00A56606">
        <w:t xml:space="preserve"> 137</w:t>
      </w:r>
      <w:r w:rsidR="002759AD">
        <w:t>–</w:t>
      </w:r>
      <w:r w:rsidRPr="00A56606">
        <w:t>63.</w:t>
      </w:r>
    </w:p>
    <w:p w14:paraId="729019B2" w14:textId="5BEA4BF8" w:rsidR="006B7A10" w:rsidRPr="00A56606" w:rsidRDefault="006B7A10" w:rsidP="002730BB">
      <w:pPr>
        <w:pStyle w:val="ListParagraph"/>
        <w:spacing w:line="480" w:lineRule="auto"/>
        <w:ind w:left="0"/>
      </w:pPr>
      <w:r w:rsidRPr="00A56606">
        <w:t xml:space="preserve">Burger, M., </w:t>
      </w:r>
      <w:r w:rsidR="002759AD">
        <w:t xml:space="preserve">J. </w:t>
      </w:r>
      <w:r w:rsidRPr="00A56606">
        <w:t xml:space="preserve">Gundlach, </w:t>
      </w:r>
      <w:r w:rsidR="002759AD">
        <w:t>A.</w:t>
      </w:r>
      <w:r w:rsidRPr="00A56606">
        <w:t xml:space="preserve"> Kreilhuber, </w:t>
      </w:r>
      <w:r w:rsidR="002759AD">
        <w:t>L.</w:t>
      </w:r>
      <w:r w:rsidRPr="00A56606">
        <w:t xml:space="preserve"> Ognibene, </w:t>
      </w:r>
      <w:r w:rsidR="002759AD">
        <w:t>A.</w:t>
      </w:r>
      <w:r w:rsidRPr="00A56606">
        <w:t xml:space="preserve"> Kariuki, and </w:t>
      </w:r>
      <w:r w:rsidR="002759AD">
        <w:t xml:space="preserve">A. </w:t>
      </w:r>
      <w:r w:rsidRPr="00A56606">
        <w:t xml:space="preserve">Gachie. 2017. </w:t>
      </w:r>
      <w:r w:rsidRPr="002759AD">
        <w:rPr>
          <w:i/>
        </w:rPr>
        <w:t xml:space="preserve">The </w:t>
      </w:r>
      <w:r w:rsidR="002759AD" w:rsidRPr="002759AD">
        <w:rPr>
          <w:i/>
        </w:rPr>
        <w:t>S</w:t>
      </w:r>
      <w:r w:rsidRPr="002759AD">
        <w:rPr>
          <w:i/>
        </w:rPr>
        <w:t xml:space="preserve">tatus of </w:t>
      </w:r>
      <w:r w:rsidR="002759AD" w:rsidRPr="002759AD">
        <w:rPr>
          <w:i/>
        </w:rPr>
        <w:t>C</w:t>
      </w:r>
      <w:r w:rsidRPr="002759AD">
        <w:rPr>
          <w:i/>
        </w:rPr>
        <w:t xml:space="preserve">limate </w:t>
      </w:r>
      <w:r w:rsidR="002759AD" w:rsidRPr="002759AD">
        <w:rPr>
          <w:i/>
        </w:rPr>
        <w:t>C</w:t>
      </w:r>
      <w:r w:rsidRPr="002759AD">
        <w:rPr>
          <w:i/>
        </w:rPr>
        <w:t xml:space="preserve">hange </w:t>
      </w:r>
      <w:r w:rsidR="002759AD" w:rsidRPr="002759AD">
        <w:rPr>
          <w:i/>
        </w:rPr>
        <w:t>L</w:t>
      </w:r>
      <w:r w:rsidRPr="002759AD">
        <w:rPr>
          <w:i/>
        </w:rPr>
        <w:t xml:space="preserve">itigation. A </w:t>
      </w:r>
      <w:r w:rsidR="002759AD" w:rsidRPr="002759AD">
        <w:rPr>
          <w:i/>
        </w:rPr>
        <w:t>G</w:t>
      </w:r>
      <w:r w:rsidRPr="002759AD">
        <w:rPr>
          <w:i/>
        </w:rPr>
        <w:t xml:space="preserve">lobal </w:t>
      </w:r>
      <w:r w:rsidR="002759AD" w:rsidRPr="002759AD">
        <w:rPr>
          <w:i/>
        </w:rPr>
        <w:t>R</w:t>
      </w:r>
      <w:r w:rsidRPr="002759AD">
        <w:rPr>
          <w:i/>
        </w:rPr>
        <w:t>eview</w:t>
      </w:r>
      <w:r w:rsidRPr="00A56606">
        <w:t xml:space="preserve">. New York, NY: United Nations </w:t>
      </w:r>
      <w:r w:rsidRPr="00A56606">
        <w:lastRenderedPageBreak/>
        <w:t xml:space="preserve">Environment Programme. </w:t>
      </w:r>
      <w:r w:rsidRPr="00F44426">
        <w:t>http://columbiaclimatelaw.com/files/2017/05/Burger-Gundlach-2017-05-UN-Envt-CC-Litigation.pdf</w:t>
      </w:r>
      <w:r w:rsidRPr="00A56606">
        <w:t xml:space="preserve"> </w:t>
      </w:r>
    </w:p>
    <w:p w14:paraId="496927E3" w14:textId="77777777" w:rsidR="00F84A8E" w:rsidRDefault="00E70295" w:rsidP="002730BB">
      <w:pPr>
        <w:pStyle w:val="ListParagraph"/>
        <w:spacing w:line="480" w:lineRule="auto"/>
        <w:ind w:left="0"/>
      </w:pPr>
      <w:r w:rsidRPr="00A56606">
        <w:t>Carter, N.</w:t>
      </w:r>
      <w:r w:rsidR="004276ED" w:rsidRPr="00A56606">
        <w:t>,</w:t>
      </w:r>
      <w:r w:rsidRPr="00A56606">
        <w:t xml:space="preserve"> 2018. </w:t>
      </w:r>
      <w:r w:rsidRPr="00A56606">
        <w:rPr>
          <w:i/>
          <w:iCs/>
        </w:rPr>
        <w:t>The Politics of the Environment: Ideas, Activism, Policy</w:t>
      </w:r>
      <w:r w:rsidRPr="00A56606">
        <w:t>. Cambridge University Press.</w:t>
      </w:r>
    </w:p>
    <w:p w14:paraId="2F89E901" w14:textId="77777777" w:rsidR="00F84A8E" w:rsidRDefault="003335FD" w:rsidP="002730BB">
      <w:pPr>
        <w:pStyle w:val="ListParagraph"/>
        <w:spacing w:line="480" w:lineRule="auto"/>
        <w:ind w:left="0"/>
      </w:pPr>
      <w:r w:rsidRPr="00A56606">
        <w:t xml:space="preserve">Carter, N., </w:t>
      </w:r>
      <w:r w:rsidR="00F44426">
        <w:t xml:space="preserve">R. </w:t>
      </w:r>
      <w:r w:rsidRPr="00A56606">
        <w:t xml:space="preserve">Ladrech, </w:t>
      </w:r>
      <w:r w:rsidR="00F44426">
        <w:t>C.</w:t>
      </w:r>
      <w:r w:rsidRPr="00A56606">
        <w:t xml:space="preserve"> Little, and</w:t>
      </w:r>
      <w:r w:rsidR="00F44426">
        <w:t xml:space="preserve"> V.</w:t>
      </w:r>
      <w:r w:rsidRPr="00A56606">
        <w:t xml:space="preserve"> Tsagkroni. 2018. </w:t>
      </w:r>
      <w:r w:rsidR="00F44426">
        <w:t>“</w:t>
      </w:r>
      <w:r w:rsidRPr="00A56606">
        <w:t xml:space="preserve">Political </w:t>
      </w:r>
      <w:r w:rsidR="00F44426">
        <w:t>P</w:t>
      </w:r>
      <w:r w:rsidRPr="00A56606">
        <w:t xml:space="preserve">arties and </w:t>
      </w:r>
      <w:r w:rsidR="00F44426">
        <w:t>C</w:t>
      </w:r>
      <w:r w:rsidRPr="00A56606">
        <w:t xml:space="preserve">limate </w:t>
      </w:r>
      <w:r w:rsidR="00F44426">
        <w:t>P</w:t>
      </w:r>
      <w:r w:rsidRPr="00A56606">
        <w:t xml:space="preserve">olicy: A </w:t>
      </w:r>
      <w:r w:rsidR="00F44426">
        <w:t>N</w:t>
      </w:r>
      <w:r w:rsidRPr="00A56606">
        <w:t xml:space="preserve">ew </w:t>
      </w:r>
      <w:r w:rsidR="00F44426">
        <w:t>A</w:t>
      </w:r>
      <w:r w:rsidRPr="00A56606">
        <w:t xml:space="preserve">pproach to </w:t>
      </w:r>
      <w:r w:rsidR="00F44426">
        <w:t>M</w:t>
      </w:r>
      <w:r w:rsidRPr="00A56606">
        <w:t xml:space="preserve">easuring </w:t>
      </w:r>
      <w:r w:rsidR="00F44426">
        <w:t>P</w:t>
      </w:r>
      <w:r w:rsidRPr="00A56606">
        <w:t xml:space="preserve">arties’ </w:t>
      </w:r>
      <w:r w:rsidR="00F44426">
        <w:t>C</w:t>
      </w:r>
      <w:r w:rsidRPr="00A56606">
        <w:t xml:space="preserve">limate </w:t>
      </w:r>
      <w:r w:rsidR="00F44426">
        <w:t>P</w:t>
      </w:r>
      <w:r w:rsidRPr="00A56606">
        <w:t xml:space="preserve">olicy </w:t>
      </w:r>
      <w:r w:rsidR="00F44426">
        <w:t>P</w:t>
      </w:r>
      <w:r w:rsidRPr="00A56606">
        <w:t>references.</w:t>
      </w:r>
      <w:r w:rsidR="00F84A8E">
        <w:t>”</w:t>
      </w:r>
      <w:r w:rsidRPr="00A56606">
        <w:t xml:space="preserve"> </w:t>
      </w:r>
      <w:r w:rsidRPr="00255A7E">
        <w:rPr>
          <w:i/>
          <w:iCs/>
        </w:rPr>
        <w:t>Party Politics</w:t>
      </w:r>
      <w:r w:rsidRPr="00255A7E">
        <w:t xml:space="preserve"> 24</w:t>
      </w:r>
      <w:r w:rsidR="00F44426">
        <w:t xml:space="preserve"> </w:t>
      </w:r>
      <w:r w:rsidRPr="00255A7E">
        <w:t>(6)</w:t>
      </w:r>
      <w:r w:rsidR="00F44426">
        <w:t>:</w:t>
      </w:r>
      <w:r w:rsidRPr="00255A7E">
        <w:t xml:space="preserve"> 731</w:t>
      </w:r>
      <w:r w:rsidR="00F44426">
        <w:t>–</w:t>
      </w:r>
      <w:r w:rsidRPr="00255A7E">
        <w:t>42.</w:t>
      </w:r>
    </w:p>
    <w:p w14:paraId="4D3EA919" w14:textId="77777777" w:rsidR="00F84A8E" w:rsidRDefault="00B6420E" w:rsidP="002730BB">
      <w:pPr>
        <w:pStyle w:val="ListParagraph"/>
        <w:spacing w:line="480" w:lineRule="auto"/>
        <w:ind w:left="0"/>
        <w:rPr>
          <w:color w:val="222222"/>
          <w:shd w:val="clear" w:color="auto" w:fill="FFFFFF"/>
        </w:rPr>
      </w:pPr>
      <w:r w:rsidRPr="00436BB1">
        <w:rPr>
          <w:color w:val="222222"/>
          <w:shd w:val="clear" w:color="auto" w:fill="FFFFFF"/>
        </w:rPr>
        <w:t xml:space="preserve">Doda, B. 2014. </w:t>
      </w:r>
      <w:r w:rsidR="00F84A8E">
        <w:rPr>
          <w:color w:val="222222"/>
          <w:shd w:val="clear" w:color="auto" w:fill="FFFFFF"/>
        </w:rPr>
        <w:t>“</w:t>
      </w:r>
      <w:r w:rsidRPr="00436BB1">
        <w:rPr>
          <w:color w:val="222222"/>
          <w:shd w:val="clear" w:color="auto" w:fill="FFFFFF"/>
        </w:rPr>
        <w:t xml:space="preserve">Evidence on </w:t>
      </w:r>
      <w:r w:rsidR="00F84A8E">
        <w:rPr>
          <w:color w:val="222222"/>
          <w:shd w:val="clear" w:color="auto" w:fill="FFFFFF"/>
        </w:rPr>
        <w:t>B</w:t>
      </w:r>
      <w:r w:rsidRPr="00436BB1">
        <w:rPr>
          <w:color w:val="222222"/>
          <w:shd w:val="clear" w:color="auto" w:fill="FFFFFF"/>
        </w:rPr>
        <w:t xml:space="preserve">usiness </w:t>
      </w:r>
      <w:r w:rsidR="00F84A8E">
        <w:rPr>
          <w:color w:val="222222"/>
          <w:shd w:val="clear" w:color="auto" w:fill="FFFFFF"/>
        </w:rPr>
        <w:t>C</w:t>
      </w:r>
      <w:r w:rsidRPr="00436BB1">
        <w:rPr>
          <w:color w:val="222222"/>
          <w:shd w:val="clear" w:color="auto" w:fill="FFFFFF"/>
        </w:rPr>
        <w:t>ycles and CO</w:t>
      </w:r>
      <w:r w:rsidRPr="00F84A8E">
        <w:rPr>
          <w:color w:val="222222"/>
          <w:shd w:val="clear" w:color="auto" w:fill="FFFFFF"/>
          <w:vertAlign w:val="subscript"/>
        </w:rPr>
        <w:t>2</w:t>
      </w:r>
      <w:r w:rsidRPr="00436BB1">
        <w:rPr>
          <w:color w:val="222222"/>
          <w:shd w:val="clear" w:color="auto" w:fill="FFFFFF"/>
        </w:rPr>
        <w:t xml:space="preserve"> </w:t>
      </w:r>
      <w:r w:rsidR="00F84A8E">
        <w:rPr>
          <w:color w:val="222222"/>
          <w:shd w:val="clear" w:color="auto" w:fill="FFFFFF"/>
        </w:rPr>
        <w:t>E</w:t>
      </w:r>
      <w:r w:rsidRPr="00436BB1">
        <w:rPr>
          <w:color w:val="222222"/>
          <w:shd w:val="clear" w:color="auto" w:fill="FFFFFF"/>
        </w:rPr>
        <w:t>missions.</w:t>
      </w:r>
      <w:r w:rsidR="00F84A8E">
        <w:rPr>
          <w:color w:val="222222"/>
          <w:shd w:val="clear" w:color="auto" w:fill="FFFFFF"/>
        </w:rPr>
        <w:t>”</w:t>
      </w:r>
      <w:r w:rsidRPr="00436BB1">
        <w:rPr>
          <w:color w:val="222222"/>
          <w:shd w:val="clear" w:color="auto" w:fill="FFFFFF"/>
        </w:rPr>
        <w:t xml:space="preserve"> </w:t>
      </w:r>
      <w:r w:rsidRPr="00436BB1">
        <w:rPr>
          <w:i/>
          <w:iCs/>
          <w:color w:val="222222"/>
          <w:shd w:val="clear" w:color="auto" w:fill="FFFFFF"/>
        </w:rPr>
        <w:t>Journal of Macroeconomics</w:t>
      </w:r>
      <w:r w:rsidRPr="00436BB1">
        <w:rPr>
          <w:color w:val="222222"/>
          <w:shd w:val="clear" w:color="auto" w:fill="FFFFFF"/>
        </w:rPr>
        <w:t xml:space="preserve"> 40</w:t>
      </w:r>
      <w:r w:rsidR="00F84A8E">
        <w:rPr>
          <w:color w:val="222222"/>
          <w:shd w:val="clear" w:color="auto" w:fill="FFFFFF"/>
        </w:rPr>
        <w:t>:</w:t>
      </w:r>
      <w:r w:rsidRPr="00436BB1">
        <w:rPr>
          <w:color w:val="222222"/>
          <w:shd w:val="clear" w:color="auto" w:fill="FFFFFF"/>
        </w:rPr>
        <w:t xml:space="preserve"> 214</w:t>
      </w:r>
      <w:r w:rsidR="00F84A8E">
        <w:rPr>
          <w:color w:val="222222"/>
          <w:shd w:val="clear" w:color="auto" w:fill="FFFFFF"/>
        </w:rPr>
        <w:t>–</w:t>
      </w:r>
      <w:r w:rsidRPr="00436BB1">
        <w:rPr>
          <w:color w:val="222222"/>
          <w:shd w:val="clear" w:color="auto" w:fill="FFFFFF"/>
        </w:rPr>
        <w:t>27.</w:t>
      </w:r>
    </w:p>
    <w:p w14:paraId="6B9E6E3A" w14:textId="77777777" w:rsidR="00F84A8E" w:rsidRDefault="006B7A10" w:rsidP="002730BB">
      <w:pPr>
        <w:pStyle w:val="ListParagraph"/>
        <w:spacing w:line="480" w:lineRule="auto"/>
        <w:ind w:left="0"/>
      </w:pPr>
      <w:r w:rsidRPr="00436BB1">
        <w:rPr>
          <w:color w:val="222222"/>
          <w:shd w:val="clear" w:color="auto" w:fill="FFFFFF"/>
        </w:rPr>
        <w:t>Dubash</w:t>
      </w:r>
      <w:r w:rsidRPr="00436BB1">
        <w:t>, N.</w:t>
      </w:r>
      <w:r w:rsidR="004276ED" w:rsidRPr="00436BB1">
        <w:t xml:space="preserve"> </w:t>
      </w:r>
      <w:r w:rsidRPr="00436BB1">
        <w:t xml:space="preserve">K., </w:t>
      </w:r>
      <w:r w:rsidR="00F84A8E">
        <w:t xml:space="preserve">M. </w:t>
      </w:r>
      <w:r w:rsidRPr="00436BB1">
        <w:t>Hagemann,</w:t>
      </w:r>
      <w:r w:rsidR="004276ED" w:rsidRPr="00436BB1">
        <w:t xml:space="preserve"> </w:t>
      </w:r>
      <w:r w:rsidR="00F84A8E">
        <w:t>N.</w:t>
      </w:r>
      <w:r w:rsidRPr="00436BB1">
        <w:t xml:space="preserve"> Höhne</w:t>
      </w:r>
      <w:r w:rsidR="004276ED" w:rsidRPr="00436BB1">
        <w:t xml:space="preserve">, </w:t>
      </w:r>
      <w:r w:rsidRPr="00436BB1">
        <w:t>and</w:t>
      </w:r>
      <w:r w:rsidR="00F84A8E">
        <w:t xml:space="preserve"> P.</w:t>
      </w:r>
      <w:r w:rsidRPr="00436BB1">
        <w:t xml:space="preserve"> Upadhyaya</w:t>
      </w:r>
      <w:r w:rsidR="004276ED" w:rsidRPr="00436BB1">
        <w:t>.</w:t>
      </w:r>
      <w:r w:rsidRPr="00436BB1">
        <w:t xml:space="preserve"> 2013. </w:t>
      </w:r>
      <w:r w:rsidR="00F84A8E">
        <w:t>“</w:t>
      </w:r>
      <w:r w:rsidRPr="00436BB1">
        <w:t xml:space="preserve">Developments in </w:t>
      </w:r>
      <w:r w:rsidR="00F84A8E">
        <w:t>N</w:t>
      </w:r>
      <w:r w:rsidRPr="00436BB1">
        <w:t xml:space="preserve">ational </w:t>
      </w:r>
      <w:r w:rsidR="00F84A8E">
        <w:t>C</w:t>
      </w:r>
      <w:r w:rsidRPr="00436BB1">
        <w:t xml:space="preserve">limate </w:t>
      </w:r>
      <w:r w:rsidR="00F84A8E">
        <w:t>C</w:t>
      </w:r>
      <w:r w:rsidRPr="00436BB1">
        <w:t xml:space="preserve">hange </w:t>
      </w:r>
      <w:r w:rsidR="00F84A8E">
        <w:t>M</w:t>
      </w:r>
      <w:r w:rsidRPr="00436BB1">
        <w:t xml:space="preserve">itigation </w:t>
      </w:r>
      <w:r w:rsidR="00F84A8E">
        <w:t>L</w:t>
      </w:r>
      <w:r w:rsidRPr="00436BB1">
        <w:t xml:space="preserve">egislation and </w:t>
      </w:r>
      <w:r w:rsidR="00F84A8E">
        <w:t>S</w:t>
      </w:r>
      <w:r w:rsidRPr="00436BB1">
        <w:t>trategy</w:t>
      </w:r>
      <w:r w:rsidR="00F84A8E">
        <w:t>.”</w:t>
      </w:r>
      <w:r w:rsidRPr="00436BB1">
        <w:t xml:space="preserve"> </w:t>
      </w:r>
      <w:r w:rsidRPr="00436BB1">
        <w:rPr>
          <w:i/>
        </w:rPr>
        <w:t>Climate Policy</w:t>
      </w:r>
      <w:r w:rsidRPr="00436BB1">
        <w:t xml:space="preserve"> 13</w:t>
      </w:r>
      <w:r w:rsidR="00F84A8E">
        <w:t xml:space="preserve"> (</w:t>
      </w:r>
      <w:r w:rsidRPr="00436BB1">
        <w:t>6</w:t>
      </w:r>
      <w:r w:rsidR="00F84A8E">
        <w:t>):</w:t>
      </w:r>
      <w:r w:rsidRPr="00436BB1">
        <w:t xml:space="preserve"> 649</w:t>
      </w:r>
      <w:r w:rsidR="00F84A8E">
        <w:t>–</w:t>
      </w:r>
      <w:r w:rsidRPr="00436BB1">
        <w:t>64.</w:t>
      </w:r>
    </w:p>
    <w:p w14:paraId="4F0F9170" w14:textId="436337D2" w:rsidR="00D7430E" w:rsidRPr="00436BB1" w:rsidRDefault="006B7A10" w:rsidP="002730BB">
      <w:pPr>
        <w:pStyle w:val="ListParagraph"/>
        <w:spacing w:line="480" w:lineRule="auto"/>
        <w:ind w:left="0"/>
      </w:pPr>
      <w:r w:rsidRPr="00436BB1">
        <w:t>Eskander, S.</w:t>
      </w:r>
      <w:r w:rsidR="003D530D" w:rsidRPr="00436BB1">
        <w:t>,</w:t>
      </w:r>
      <w:r w:rsidRPr="00436BB1">
        <w:t xml:space="preserve"> and </w:t>
      </w:r>
      <w:r w:rsidR="007E4C56">
        <w:t xml:space="preserve">S. </w:t>
      </w:r>
      <w:r w:rsidRPr="00436BB1">
        <w:t>Fankhauser</w:t>
      </w:r>
      <w:r w:rsidR="003D530D" w:rsidRPr="00436BB1">
        <w:t>.</w:t>
      </w:r>
      <w:r w:rsidRPr="00436BB1">
        <w:t xml:space="preserve"> 2020. </w:t>
      </w:r>
      <w:r w:rsidR="007E4C56">
        <w:t>“</w:t>
      </w:r>
      <w:r w:rsidR="00B7777B" w:rsidRPr="002D0E48">
        <w:t xml:space="preserve">Reduction in </w:t>
      </w:r>
      <w:r w:rsidR="007E4C56">
        <w:t>G</w:t>
      </w:r>
      <w:r w:rsidR="00B7777B" w:rsidRPr="002D0E48">
        <w:t xml:space="preserve">reenhouse </w:t>
      </w:r>
      <w:r w:rsidR="007E4C56">
        <w:t>G</w:t>
      </w:r>
      <w:r w:rsidR="00B7777B" w:rsidRPr="002D0E48">
        <w:t xml:space="preserve">as </w:t>
      </w:r>
      <w:r w:rsidR="007E4C56">
        <w:t>E</w:t>
      </w:r>
      <w:r w:rsidR="00B7777B" w:rsidRPr="002D0E48">
        <w:t xml:space="preserve">missions by </w:t>
      </w:r>
      <w:r w:rsidR="007E4C56">
        <w:t>N</w:t>
      </w:r>
      <w:r w:rsidR="00B7777B" w:rsidRPr="002D0E48">
        <w:t xml:space="preserve">ational </w:t>
      </w:r>
      <w:r w:rsidR="007E4C56">
        <w:t>C</w:t>
      </w:r>
      <w:r w:rsidR="00B7777B" w:rsidRPr="002D0E48">
        <w:t xml:space="preserve">limate </w:t>
      </w:r>
      <w:r w:rsidR="007E4C56">
        <w:t>L</w:t>
      </w:r>
      <w:r w:rsidR="00B7777B" w:rsidRPr="002D0E48">
        <w:t xml:space="preserve">aws and </w:t>
      </w:r>
      <w:r w:rsidR="007E4C56">
        <w:t>P</w:t>
      </w:r>
      <w:r w:rsidR="00B7777B" w:rsidRPr="002D0E48">
        <w:t>olicies</w:t>
      </w:r>
      <w:r w:rsidR="002730BB">
        <w:t>.”</w:t>
      </w:r>
      <w:r w:rsidRPr="00436BB1">
        <w:t xml:space="preserve"> </w:t>
      </w:r>
      <w:r w:rsidR="002D0E48" w:rsidRPr="002D0E48">
        <w:rPr>
          <w:i/>
          <w:iCs/>
        </w:rPr>
        <w:t>Nature Climate Change</w:t>
      </w:r>
      <w:r w:rsidR="002D0E48">
        <w:t>, forthcoming</w:t>
      </w:r>
      <w:r w:rsidRPr="00436BB1">
        <w:t>.</w:t>
      </w:r>
    </w:p>
    <w:p w14:paraId="7D3BADE5" w14:textId="6E75C970" w:rsidR="006B7A10" w:rsidRPr="00436BB1" w:rsidRDefault="006B7A10" w:rsidP="002730BB">
      <w:pPr>
        <w:pStyle w:val="ListParagraph"/>
        <w:spacing w:line="480" w:lineRule="auto"/>
        <w:ind w:left="0"/>
      </w:pPr>
      <w:r w:rsidRPr="00436BB1">
        <w:t xml:space="preserve">Fankhauser, S., </w:t>
      </w:r>
      <w:r w:rsidR="002730BB">
        <w:t xml:space="preserve">C. </w:t>
      </w:r>
      <w:r w:rsidRPr="00436BB1">
        <w:t xml:space="preserve">Gennaioli, and </w:t>
      </w:r>
      <w:r w:rsidR="002730BB">
        <w:t xml:space="preserve">M. </w:t>
      </w:r>
      <w:r w:rsidRPr="00436BB1">
        <w:t xml:space="preserve">Collins. 2015a. </w:t>
      </w:r>
      <w:r w:rsidR="002730BB">
        <w:t>“</w:t>
      </w:r>
      <w:r w:rsidRPr="00436BB1">
        <w:t xml:space="preserve">The </w:t>
      </w:r>
      <w:r w:rsidR="002730BB">
        <w:t>P</w:t>
      </w:r>
      <w:r w:rsidRPr="00436BB1">
        <w:t xml:space="preserve">olitical </w:t>
      </w:r>
      <w:r w:rsidR="002730BB">
        <w:t>E</w:t>
      </w:r>
      <w:r w:rsidRPr="00436BB1">
        <w:t xml:space="preserve">conomy of </w:t>
      </w:r>
      <w:r w:rsidR="002730BB">
        <w:t>P</w:t>
      </w:r>
      <w:r w:rsidRPr="00436BB1">
        <w:t xml:space="preserve">assing </w:t>
      </w:r>
      <w:r w:rsidR="002730BB">
        <w:t>C</w:t>
      </w:r>
      <w:r w:rsidRPr="00436BB1">
        <w:t xml:space="preserve">limate </w:t>
      </w:r>
      <w:r w:rsidR="002730BB">
        <w:t>C</w:t>
      </w:r>
      <w:r w:rsidRPr="00436BB1">
        <w:t xml:space="preserve">hange </w:t>
      </w:r>
      <w:r w:rsidR="002730BB">
        <w:t>L</w:t>
      </w:r>
      <w:r w:rsidRPr="00436BB1">
        <w:t xml:space="preserve">egislation: Evidence from a </w:t>
      </w:r>
      <w:r w:rsidR="002730BB">
        <w:t>S</w:t>
      </w:r>
      <w:r w:rsidRPr="00436BB1">
        <w:t>urvey.</w:t>
      </w:r>
      <w:r w:rsidR="002730BB">
        <w:t>”</w:t>
      </w:r>
      <w:r w:rsidRPr="00436BB1">
        <w:t xml:space="preserve"> </w:t>
      </w:r>
      <w:r w:rsidRPr="00436BB1">
        <w:rPr>
          <w:i/>
        </w:rPr>
        <w:t>Global Environmental Change</w:t>
      </w:r>
      <w:r w:rsidRPr="00436BB1">
        <w:t xml:space="preserve"> 35</w:t>
      </w:r>
      <w:r w:rsidR="002730BB">
        <w:t>:</w:t>
      </w:r>
      <w:r w:rsidRPr="00436BB1">
        <w:t xml:space="preserve"> 52</w:t>
      </w:r>
      <w:r w:rsidR="002730BB">
        <w:t>–</w:t>
      </w:r>
      <w:r w:rsidRPr="00436BB1">
        <w:t>61.</w:t>
      </w:r>
    </w:p>
    <w:p w14:paraId="758B182F" w14:textId="1DCDA6B7" w:rsidR="006B7A10" w:rsidRPr="00436BB1" w:rsidRDefault="00E46313" w:rsidP="002730BB">
      <w:pPr>
        <w:pStyle w:val="ListParagraph"/>
        <w:spacing w:line="480" w:lineRule="auto"/>
        <w:ind w:left="0"/>
      </w:pPr>
      <w:r w:rsidRPr="00436BB1">
        <w:t>Fankhauser, S</w:t>
      </w:r>
      <w:r w:rsidR="004276ED" w:rsidRPr="00436BB1">
        <w:t>.</w:t>
      </w:r>
      <w:r w:rsidRPr="00436BB1">
        <w:t xml:space="preserve">, </w:t>
      </w:r>
      <w:r w:rsidR="002730BB">
        <w:t xml:space="preserve">C. </w:t>
      </w:r>
      <w:r w:rsidRPr="00436BB1">
        <w:t xml:space="preserve">Gennaioli, and </w:t>
      </w:r>
      <w:r w:rsidR="002730BB">
        <w:t xml:space="preserve">M. </w:t>
      </w:r>
      <w:r w:rsidRPr="00436BB1">
        <w:t>Collins. 2015b.</w:t>
      </w:r>
      <w:r w:rsidR="00000FF8" w:rsidRPr="00436BB1">
        <w:t xml:space="preserve"> </w:t>
      </w:r>
      <w:r w:rsidR="002730BB">
        <w:t>“</w:t>
      </w:r>
      <w:r w:rsidRPr="00436BB1">
        <w:t xml:space="preserve">Do </w:t>
      </w:r>
      <w:r w:rsidR="002730BB">
        <w:t>I</w:t>
      </w:r>
      <w:r w:rsidRPr="00436BB1">
        <w:t xml:space="preserve">nternational </w:t>
      </w:r>
      <w:r w:rsidR="002730BB">
        <w:t>F</w:t>
      </w:r>
      <w:r w:rsidRPr="00436BB1">
        <w:t xml:space="preserve">actors </w:t>
      </w:r>
      <w:r w:rsidR="002730BB">
        <w:t>I</w:t>
      </w:r>
      <w:r w:rsidRPr="00436BB1">
        <w:t xml:space="preserve">nfluence the </w:t>
      </w:r>
      <w:r w:rsidR="002730BB">
        <w:t>P</w:t>
      </w:r>
      <w:r w:rsidRPr="00436BB1">
        <w:t xml:space="preserve">assage of </w:t>
      </w:r>
      <w:r w:rsidR="002730BB">
        <w:t>C</w:t>
      </w:r>
      <w:r w:rsidRPr="00436BB1">
        <w:t xml:space="preserve">limate </w:t>
      </w:r>
      <w:r w:rsidR="002730BB">
        <w:t>C</w:t>
      </w:r>
      <w:r w:rsidRPr="00436BB1">
        <w:t xml:space="preserve">hange </w:t>
      </w:r>
      <w:r w:rsidR="002730BB">
        <w:t>L</w:t>
      </w:r>
      <w:r w:rsidRPr="00436BB1">
        <w:t>egislation?</w:t>
      </w:r>
      <w:r w:rsidR="002730BB">
        <w:t>”</w:t>
      </w:r>
      <w:r w:rsidRPr="00436BB1">
        <w:t xml:space="preserve"> </w:t>
      </w:r>
      <w:r w:rsidRPr="00436BB1">
        <w:rPr>
          <w:i/>
        </w:rPr>
        <w:t>Climate Policy</w:t>
      </w:r>
      <w:r w:rsidRPr="00436BB1">
        <w:t xml:space="preserve"> 16</w:t>
      </w:r>
      <w:r w:rsidR="002730BB">
        <w:t xml:space="preserve"> </w:t>
      </w:r>
      <w:r w:rsidRPr="00436BB1">
        <w:t>(3): 318</w:t>
      </w:r>
      <w:r w:rsidR="002730BB">
        <w:t>–</w:t>
      </w:r>
      <w:r w:rsidRPr="00436BB1">
        <w:t>31.</w:t>
      </w:r>
    </w:p>
    <w:p w14:paraId="66042EFA" w14:textId="4762B0D9" w:rsidR="002D0E48" w:rsidRDefault="002D0E48" w:rsidP="0066440B">
      <w:pPr>
        <w:pStyle w:val="ListParagraph"/>
        <w:spacing w:line="480" w:lineRule="auto"/>
        <w:ind w:left="0"/>
      </w:pPr>
      <w:r w:rsidRPr="002D0E48">
        <w:t xml:space="preserve">Hepburn, C., </w:t>
      </w:r>
      <w:r w:rsidR="0066440B">
        <w:t xml:space="preserve">B. </w:t>
      </w:r>
      <w:r w:rsidRPr="002D0E48">
        <w:t xml:space="preserve">O’Callaghan, </w:t>
      </w:r>
      <w:r w:rsidR="0066440B">
        <w:t>N.</w:t>
      </w:r>
      <w:r w:rsidRPr="002D0E48">
        <w:t xml:space="preserve"> Stern, </w:t>
      </w:r>
      <w:r w:rsidR="0066440B">
        <w:t>J.</w:t>
      </w:r>
      <w:r w:rsidRPr="002D0E48">
        <w:t xml:space="preserve"> Stiglitz, and </w:t>
      </w:r>
      <w:r w:rsidR="0066440B">
        <w:t xml:space="preserve">D. </w:t>
      </w:r>
      <w:r w:rsidRPr="002D0E48">
        <w:t xml:space="preserve">Zenghelis. 2020. </w:t>
      </w:r>
      <w:r w:rsidR="0066440B">
        <w:t>“</w:t>
      </w:r>
      <w:r w:rsidRPr="002D0E48">
        <w:t xml:space="preserve">Will COVID-19 </w:t>
      </w:r>
      <w:r w:rsidR="0066440B">
        <w:t>F</w:t>
      </w:r>
      <w:r w:rsidRPr="002D0E48">
        <w:t xml:space="preserve">iscal </w:t>
      </w:r>
      <w:r w:rsidR="0066440B">
        <w:t>R</w:t>
      </w:r>
      <w:r w:rsidRPr="002D0E48">
        <w:t xml:space="preserve">ecovery </w:t>
      </w:r>
      <w:r w:rsidR="0066440B">
        <w:t>P</w:t>
      </w:r>
      <w:r w:rsidRPr="002D0E48">
        <w:t xml:space="preserve">ackages </w:t>
      </w:r>
      <w:r w:rsidR="0066440B">
        <w:t>A</w:t>
      </w:r>
      <w:r w:rsidRPr="002D0E48">
        <w:t xml:space="preserve">ccelerate or </w:t>
      </w:r>
      <w:r w:rsidR="0066440B">
        <w:t>R</w:t>
      </w:r>
      <w:r w:rsidRPr="002D0E48">
        <w:t xml:space="preserve">etard </w:t>
      </w:r>
      <w:r w:rsidR="0066440B">
        <w:t>P</w:t>
      </w:r>
      <w:r w:rsidRPr="002D0E48">
        <w:t xml:space="preserve">rogress on </w:t>
      </w:r>
      <w:r w:rsidR="0066440B">
        <w:t>C</w:t>
      </w:r>
      <w:r w:rsidRPr="002D0E48">
        <w:t xml:space="preserve">limate </w:t>
      </w:r>
      <w:r w:rsidR="0066440B">
        <w:t>C</w:t>
      </w:r>
      <w:r w:rsidRPr="002D0E48">
        <w:t>hange?</w:t>
      </w:r>
      <w:r w:rsidR="0066440B">
        <w:t>”</w:t>
      </w:r>
      <w:r w:rsidRPr="002D0E48">
        <w:t xml:space="preserve"> </w:t>
      </w:r>
      <w:r w:rsidRPr="002D0E48">
        <w:rPr>
          <w:i/>
          <w:iCs/>
        </w:rPr>
        <w:t>Oxford Review of Economic Policy</w:t>
      </w:r>
      <w:r w:rsidRPr="002D0E48">
        <w:t xml:space="preserve"> 36.</w:t>
      </w:r>
    </w:p>
    <w:p w14:paraId="0C8D548D" w14:textId="6BB3E77F" w:rsidR="00E70295" w:rsidRDefault="00E70295" w:rsidP="004D0B26">
      <w:pPr>
        <w:pStyle w:val="ListParagraph"/>
        <w:spacing w:line="480" w:lineRule="auto"/>
        <w:ind w:left="0"/>
      </w:pPr>
      <w:r w:rsidRPr="00436BB1">
        <w:t xml:space="preserve">Hilson, C. J. 2012. </w:t>
      </w:r>
      <w:r w:rsidR="00347935">
        <w:t>“</w:t>
      </w:r>
      <w:r w:rsidRPr="00436BB1">
        <w:t xml:space="preserve">UK </w:t>
      </w:r>
      <w:r w:rsidR="00347935">
        <w:t>C</w:t>
      </w:r>
      <w:r w:rsidRPr="00436BB1">
        <w:t xml:space="preserve">limate </w:t>
      </w:r>
      <w:r w:rsidR="00347935">
        <w:t>C</w:t>
      </w:r>
      <w:r w:rsidRPr="00436BB1">
        <w:t xml:space="preserve">hange </w:t>
      </w:r>
      <w:r w:rsidR="00347935">
        <w:t>L</w:t>
      </w:r>
      <w:r w:rsidRPr="00436BB1">
        <w:t xml:space="preserve">itigation: </w:t>
      </w:r>
      <w:r w:rsidR="00347935">
        <w:t>B</w:t>
      </w:r>
      <w:r w:rsidRPr="00436BB1">
        <w:t xml:space="preserve">etween </w:t>
      </w:r>
      <w:r w:rsidR="00347935">
        <w:t>H</w:t>
      </w:r>
      <w:r w:rsidRPr="00436BB1">
        <w:t xml:space="preserve">ard and </w:t>
      </w:r>
      <w:r w:rsidR="00347935">
        <w:t>S</w:t>
      </w:r>
      <w:r w:rsidRPr="00436BB1">
        <w:t xml:space="preserve">oft </w:t>
      </w:r>
      <w:r w:rsidR="00347935">
        <w:t>F</w:t>
      </w:r>
      <w:r w:rsidRPr="00436BB1">
        <w:t>raming.</w:t>
      </w:r>
      <w:r w:rsidR="00347935">
        <w:t>”</w:t>
      </w:r>
      <w:r w:rsidRPr="00436BB1">
        <w:t xml:space="preserve"> In </w:t>
      </w:r>
      <w:r w:rsidRPr="00436BB1">
        <w:rPr>
          <w:i/>
          <w:iCs/>
        </w:rPr>
        <w:t xml:space="preserve">Criminological and </w:t>
      </w:r>
      <w:r w:rsidR="00347935">
        <w:rPr>
          <w:i/>
          <w:iCs/>
        </w:rPr>
        <w:t>L</w:t>
      </w:r>
      <w:r w:rsidRPr="00436BB1">
        <w:rPr>
          <w:i/>
          <w:iCs/>
        </w:rPr>
        <w:t xml:space="preserve">egal </w:t>
      </w:r>
      <w:r w:rsidR="00347935">
        <w:rPr>
          <w:i/>
          <w:iCs/>
        </w:rPr>
        <w:t>C</w:t>
      </w:r>
      <w:r w:rsidRPr="00436BB1">
        <w:rPr>
          <w:i/>
          <w:iCs/>
        </w:rPr>
        <w:t xml:space="preserve">onsequences of </w:t>
      </w:r>
      <w:r w:rsidR="00347935">
        <w:rPr>
          <w:i/>
          <w:iCs/>
        </w:rPr>
        <w:t>C</w:t>
      </w:r>
      <w:r w:rsidRPr="00436BB1">
        <w:rPr>
          <w:i/>
          <w:iCs/>
        </w:rPr>
        <w:t xml:space="preserve">limate </w:t>
      </w:r>
      <w:r w:rsidR="00347935">
        <w:rPr>
          <w:i/>
          <w:iCs/>
        </w:rPr>
        <w:t>C</w:t>
      </w:r>
      <w:r w:rsidRPr="00436BB1">
        <w:rPr>
          <w:i/>
          <w:iCs/>
        </w:rPr>
        <w:t>hange</w:t>
      </w:r>
      <w:r w:rsidR="00347935">
        <w:rPr>
          <w:iCs/>
        </w:rPr>
        <w:t xml:space="preserve">, edited by </w:t>
      </w:r>
      <w:r w:rsidR="00347935" w:rsidRPr="00436BB1">
        <w:t>S. Farrall, T. Ahmed, and D. French.</w:t>
      </w:r>
      <w:r w:rsidRPr="00436BB1">
        <w:t xml:space="preserve"> Oxford: Hart 2010.</w:t>
      </w:r>
    </w:p>
    <w:p w14:paraId="6B7AF2D7" w14:textId="4D115224" w:rsidR="0018137D" w:rsidRPr="00A56606" w:rsidRDefault="0018137D" w:rsidP="00F900C6">
      <w:pPr>
        <w:pStyle w:val="ListParagraph"/>
        <w:spacing w:line="480" w:lineRule="auto"/>
        <w:ind w:left="0"/>
      </w:pPr>
      <w:r w:rsidRPr="00A56606">
        <w:lastRenderedPageBreak/>
        <w:t>Hodrick, R.</w:t>
      </w:r>
      <w:r w:rsidR="00F900C6">
        <w:t xml:space="preserve"> </w:t>
      </w:r>
      <w:r w:rsidRPr="00A56606">
        <w:t>J.</w:t>
      </w:r>
      <w:r w:rsidR="00F900C6">
        <w:t>,</w:t>
      </w:r>
      <w:r w:rsidRPr="00A56606">
        <w:t xml:space="preserve"> and </w:t>
      </w:r>
      <w:r w:rsidR="00F900C6">
        <w:t xml:space="preserve">E. C. </w:t>
      </w:r>
      <w:r w:rsidRPr="00A56606">
        <w:t xml:space="preserve">Prescott. 1997. </w:t>
      </w:r>
      <w:r w:rsidR="00F900C6">
        <w:t>“</w:t>
      </w:r>
      <w:r w:rsidRPr="00A56606">
        <w:t xml:space="preserve">Postwar US </w:t>
      </w:r>
      <w:r w:rsidR="00F900C6">
        <w:t>B</w:t>
      </w:r>
      <w:r w:rsidRPr="00A56606">
        <w:t xml:space="preserve">usiness </w:t>
      </w:r>
      <w:r w:rsidR="00F900C6">
        <w:t>C</w:t>
      </w:r>
      <w:r w:rsidRPr="00A56606">
        <w:t xml:space="preserve">ycles: </w:t>
      </w:r>
      <w:r w:rsidR="00F900C6">
        <w:t>A</w:t>
      </w:r>
      <w:r w:rsidRPr="00A56606">
        <w:t xml:space="preserve">n </w:t>
      </w:r>
      <w:r w:rsidR="00F900C6">
        <w:t>E</w:t>
      </w:r>
      <w:r w:rsidRPr="00A56606">
        <w:t xml:space="preserve">mpirical </w:t>
      </w:r>
      <w:r w:rsidR="00F900C6">
        <w:t>I</w:t>
      </w:r>
      <w:r w:rsidRPr="00A56606">
        <w:t>nvestigation.</w:t>
      </w:r>
      <w:r w:rsidR="00F900C6">
        <w:t>”</w:t>
      </w:r>
      <w:r w:rsidRPr="00A56606">
        <w:t xml:space="preserve"> </w:t>
      </w:r>
      <w:r w:rsidRPr="00A56606">
        <w:rPr>
          <w:i/>
          <w:iCs/>
        </w:rPr>
        <w:t>Journal of Money, Credit, and Banking</w:t>
      </w:r>
      <w:r w:rsidR="003778A2" w:rsidRPr="00A56606">
        <w:t xml:space="preserve"> 29</w:t>
      </w:r>
      <w:r w:rsidR="00F900C6">
        <w:t xml:space="preserve"> </w:t>
      </w:r>
      <w:r w:rsidR="003778A2" w:rsidRPr="00A56606">
        <w:t>(1)</w:t>
      </w:r>
      <w:r w:rsidR="00F900C6">
        <w:t>:</w:t>
      </w:r>
      <w:r w:rsidRPr="00A56606">
        <w:t xml:space="preserve"> 1</w:t>
      </w:r>
      <w:r w:rsidR="00F900C6">
        <w:t>–</w:t>
      </w:r>
      <w:r w:rsidRPr="00A56606">
        <w:t>16.</w:t>
      </w:r>
    </w:p>
    <w:p w14:paraId="01B58159" w14:textId="1D982F5F" w:rsidR="005C5C2F" w:rsidRPr="00436BB1" w:rsidRDefault="005C5C2F" w:rsidP="00F900C6">
      <w:pPr>
        <w:pStyle w:val="ListParagraph"/>
        <w:spacing w:line="480" w:lineRule="auto"/>
        <w:ind w:left="0"/>
      </w:pPr>
      <w:r w:rsidRPr="00436BB1">
        <w:t>Hughes, L.</w:t>
      </w:r>
      <w:r w:rsidR="004276ED" w:rsidRPr="00436BB1">
        <w:t xml:space="preserve"> </w:t>
      </w:r>
      <w:r w:rsidRPr="00436BB1">
        <w:t>2019</w:t>
      </w:r>
      <w:r w:rsidR="004276ED" w:rsidRPr="00436BB1">
        <w:t xml:space="preserve">. </w:t>
      </w:r>
      <w:r w:rsidR="002F47D5">
        <w:t>“</w:t>
      </w:r>
      <w:r w:rsidRPr="00436BB1">
        <w:t xml:space="preserve">The Rocky Hill </w:t>
      </w:r>
      <w:r w:rsidR="002F47D5">
        <w:t>D</w:t>
      </w:r>
      <w:r w:rsidRPr="00436BB1">
        <w:t xml:space="preserve">ecision: </w:t>
      </w:r>
      <w:r w:rsidR="002F47D5">
        <w:t>A</w:t>
      </w:r>
      <w:r w:rsidRPr="00436BB1">
        <w:t xml:space="preserve"> </w:t>
      </w:r>
      <w:r w:rsidR="002F47D5">
        <w:t>W</w:t>
      </w:r>
      <w:r w:rsidRPr="00436BB1">
        <w:t xml:space="preserve">atershed for </w:t>
      </w:r>
      <w:r w:rsidR="002F47D5">
        <w:t>C</w:t>
      </w:r>
      <w:r w:rsidRPr="00436BB1">
        <w:t xml:space="preserve">limate </w:t>
      </w:r>
      <w:r w:rsidR="002F47D5">
        <w:t>C</w:t>
      </w:r>
      <w:r w:rsidRPr="00436BB1">
        <w:t xml:space="preserve">hange </w:t>
      </w:r>
      <w:r w:rsidR="002F47D5">
        <w:t>A</w:t>
      </w:r>
      <w:r w:rsidRPr="00436BB1">
        <w:t>ction?</w:t>
      </w:r>
      <w:r w:rsidR="002F47D5">
        <w:t>”</w:t>
      </w:r>
      <w:r w:rsidRPr="00436BB1">
        <w:t xml:space="preserve"> </w:t>
      </w:r>
      <w:r w:rsidRPr="00436BB1">
        <w:rPr>
          <w:i/>
          <w:iCs/>
        </w:rPr>
        <w:t>Journal of Energy &amp; Natural Resources Law</w:t>
      </w:r>
      <w:r w:rsidRPr="00436BB1">
        <w:t xml:space="preserve">, </w:t>
      </w:r>
      <w:r w:rsidRPr="002F47D5">
        <w:t>https://doi.org/10.1080/02646811.2019.1600272</w:t>
      </w:r>
      <w:r w:rsidRPr="00436BB1">
        <w:t xml:space="preserve"> </w:t>
      </w:r>
    </w:p>
    <w:p w14:paraId="742BB5C9" w14:textId="4227457C" w:rsidR="006B7A10" w:rsidRPr="00436BB1" w:rsidRDefault="006B7A10" w:rsidP="002F47D5">
      <w:pPr>
        <w:pStyle w:val="ListParagraph"/>
        <w:spacing w:line="480" w:lineRule="auto"/>
        <w:ind w:left="0"/>
      </w:pPr>
      <w:r w:rsidRPr="00A56606">
        <w:t xml:space="preserve">Iacobuta, G., </w:t>
      </w:r>
      <w:r w:rsidR="002F47D5">
        <w:t xml:space="preserve">N. K. </w:t>
      </w:r>
      <w:r w:rsidRPr="00A56606">
        <w:t xml:space="preserve">Dubash, </w:t>
      </w:r>
      <w:r w:rsidR="002F47D5">
        <w:t>P.</w:t>
      </w:r>
      <w:r w:rsidRPr="00A56606">
        <w:t xml:space="preserve"> Upadhyaya, </w:t>
      </w:r>
      <w:r w:rsidR="002F47D5">
        <w:t>M.</w:t>
      </w:r>
      <w:r w:rsidRPr="00A56606">
        <w:t xml:space="preserve"> Deribe, </w:t>
      </w:r>
      <w:r w:rsidR="00D721C0" w:rsidRPr="00A56606">
        <w:t>and</w:t>
      </w:r>
      <w:r w:rsidR="002F47D5">
        <w:t xml:space="preserve"> N.</w:t>
      </w:r>
      <w:r w:rsidRPr="00A56606">
        <w:t xml:space="preserve"> Höhne. 2018</w:t>
      </w:r>
      <w:r w:rsidR="00C46146" w:rsidRPr="00A56606">
        <w:t xml:space="preserve">. </w:t>
      </w:r>
      <w:r w:rsidR="002F47D5">
        <w:t>“</w:t>
      </w:r>
      <w:r w:rsidRPr="00A56606">
        <w:t xml:space="preserve">National </w:t>
      </w:r>
      <w:r w:rsidR="002F47D5">
        <w:t>C</w:t>
      </w:r>
      <w:r w:rsidRPr="00A56606">
        <w:t xml:space="preserve">limate </w:t>
      </w:r>
      <w:r w:rsidR="002F47D5">
        <w:t>C</w:t>
      </w:r>
      <w:r w:rsidRPr="00A56606">
        <w:t xml:space="preserve">hange </w:t>
      </w:r>
      <w:r w:rsidR="002F47D5">
        <w:t>M</w:t>
      </w:r>
      <w:r w:rsidRPr="00A56606">
        <w:t xml:space="preserve">itigation </w:t>
      </w:r>
      <w:r w:rsidR="002F47D5">
        <w:t>L</w:t>
      </w:r>
      <w:r w:rsidRPr="00A56606">
        <w:t xml:space="preserve">egislation, </w:t>
      </w:r>
      <w:r w:rsidR="002F47D5">
        <w:t>S</w:t>
      </w:r>
      <w:r w:rsidRPr="00A56606">
        <w:t xml:space="preserve">trategy and </w:t>
      </w:r>
      <w:r w:rsidR="002F47D5">
        <w:t>T</w:t>
      </w:r>
      <w:r w:rsidRPr="00A56606">
        <w:t xml:space="preserve">argets: </w:t>
      </w:r>
      <w:r w:rsidR="002F47D5">
        <w:t>A</w:t>
      </w:r>
      <w:r w:rsidRPr="00A56606">
        <w:t xml:space="preserve"> </w:t>
      </w:r>
      <w:r w:rsidR="002F47D5">
        <w:t>G</w:t>
      </w:r>
      <w:r w:rsidRPr="00A56606">
        <w:t xml:space="preserve">lobal </w:t>
      </w:r>
      <w:r w:rsidR="002F47D5">
        <w:t>U</w:t>
      </w:r>
      <w:r w:rsidRPr="00A56606">
        <w:t>pdate</w:t>
      </w:r>
      <w:r w:rsidR="002F47D5">
        <w:t>.”</w:t>
      </w:r>
      <w:r w:rsidRPr="00A56606">
        <w:t xml:space="preserve"> </w:t>
      </w:r>
      <w:r w:rsidRPr="00255A7E">
        <w:rPr>
          <w:i/>
          <w:iCs/>
        </w:rPr>
        <w:t>Climate Policy</w:t>
      </w:r>
      <w:r w:rsidRPr="00255A7E">
        <w:t xml:space="preserve"> 18</w:t>
      </w:r>
      <w:r w:rsidR="002F47D5">
        <w:t xml:space="preserve"> (</w:t>
      </w:r>
      <w:r w:rsidRPr="00255A7E">
        <w:t>9</w:t>
      </w:r>
      <w:r w:rsidR="002F47D5">
        <w:t>):</w:t>
      </w:r>
      <w:r w:rsidRPr="00255A7E">
        <w:t xml:space="preserve"> 1114</w:t>
      </w:r>
      <w:r w:rsidR="002F47D5">
        <w:t>–</w:t>
      </w:r>
      <w:r w:rsidRPr="00255A7E">
        <w:t>32.</w:t>
      </w:r>
    </w:p>
    <w:p w14:paraId="42D25579" w14:textId="270E4B04" w:rsidR="00261432" w:rsidRPr="00436BB1" w:rsidRDefault="00261432" w:rsidP="002F47D5">
      <w:pPr>
        <w:pStyle w:val="ListParagraph"/>
        <w:spacing w:line="480" w:lineRule="auto"/>
        <w:ind w:left="0"/>
      </w:pPr>
      <w:r w:rsidRPr="00436BB1">
        <w:t xml:space="preserve">Jodoin, S., </w:t>
      </w:r>
      <w:r w:rsidR="00344220">
        <w:t xml:space="preserve">R. </w:t>
      </w:r>
      <w:r w:rsidRPr="00436BB1">
        <w:t xml:space="preserve">Faucher, </w:t>
      </w:r>
      <w:r w:rsidR="004276ED" w:rsidRPr="00436BB1">
        <w:t>and</w:t>
      </w:r>
      <w:r w:rsidR="00344220">
        <w:t xml:space="preserve"> K.</w:t>
      </w:r>
      <w:r w:rsidRPr="00436BB1">
        <w:t xml:space="preserve"> Lofts.</w:t>
      </w:r>
      <w:r w:rsidR="004276ED" w:rsidRPr="00436BB1">
        <w:t xml:space="preserve"> </w:t>
      </w:r>
      <w:r w:rsidRPr="00436BB1">
        <w:t xml:space="preserve">2018. </w:t>
      </w:r>
      <w:r w:rsidR="00344220">
        <w:t>“</w:t>
      </w:r>
      <w:r w:rsidRPr="00436BB1">
        <w:t xml:space="preserve">Look </w:t>
      </w:r>
      <w:r w:rsidR="00344220">
        <w:t>B</w:t>
      </w:r>
      <w:r w:rsidRPr="00436BB1">
        <w:t xml:space="preserve">efore </w:t>
      </w:r>
      <w:r w:rsidR="00344220">
        <w:t>Y</w:t>
      </w:r>
      <w:r w:rsidRPr="00436BB1">
        <w:t xml:space="preserve">ou </w:t>
      </w:r>
      <w:r w:rsidR="00344220">
        <w:t>J</w:t>
      </w:r>
      <w:r w:rsidRPr="00436BB1">
        <w:t xml:space="preserve">ump: Assessing the </w:t>
      </w:r>
      <w:r w:rsidR="00344220">
        <w:t>P</w:t>
      </w:r>
      <w:r w:rsidRPr="00436BB1">
        <w:t xml:space="preserve">otential </w:t>
      </w:r>
      <w:r w:rsidR="00344220">
        <w:t>I</w:t>
      </w:r>
      <w:r w:rsidRPr="00436BB1">
        <w:t xml:space="preserve">nfluence of the </w:t>
      </w:r>
      <w:r w:rsidR="00344220">
        <w:t>H</w:t>
      </w:r>
      <w:r w:rsidRPr="00436BB1">
        <w:t xml:space="preserve">uman </w:t>
      </w:r>
      <w:r w:rsidR="00344220">
        <w:t>R</w:t>
      </w:r>
      <w:r w:rsidRPr="00436BB1">
        <w:t xml:space="preserve">ights </w:t>
      </w:r>
      <w:r w:rsidR="00344220">
        <w:t>B</w:t>
      </w:r>
      <w:r w:rsidRPr="00436BB1">
        <w:t xml:space="preserve">andwagon on </w:t>
      </w:r>
      <w:r w:rsidR="00344220">
        <w:t>D</w:t>
      </w:r>
      <w:r w:rsidRPr="00436BB1">
        <w:t xml:space="preserve">omestic </w:t>
      </w:r>
      <w:r w:rsidR="00344220">
        <w:t>c</w:t>
      </w:r>
      <w:r w:rsidRPr="00436BB1">
        <w:t xml:space="preserve">limate </w:t>
      </w:r>
      <w:r w:rsidR="00344220">
        <w:t>P</w:t>
      </w:r>
      <w:r w:rsidRPr="00436BB1">
        <w:t>olicy.</w:t>
      </w:r>
      <w:r w:rsidR="00344220">
        <w:t>”</w:t>
      </w:r>
      <w:r w:rsidRPr="00436BB1">
        <w:t xml:space="preserve"> In </w:t>
      </w:r>
      <w:r w:rsidRPr="00436BB1">
        <w:rPr>
          <w:i/>
          <w:iCs/>
        </w:rPr>
        <w:t>Routledge Handbook of Human Rights and Climate Governance</w:t>
      </w:r>
      <w:r w:rsidR="00344220">
        <w:t xml:space="preserve">, </w:t>
      </w:r>
      <w:r w:rsidRPr="00436BB1">
        <w:t>167</w:t>
      </w:r>
      <w:r w:rsidR="00344220">
        <w:t>–</w:t>
      </w:r>
      <w:r w:rsidRPr="00436BB1">
        <w:t>82. Routledge.</w:t>
      </w:r>
    </w:p>
    <w:p w14:paraId="05E867F3" w14:textId="1E1674EF" w:rsidR="000A39DD" w:rsidRPr="00436BB1" w:rsidRDefault="000A39DD" w:rsidP="00344220">
      <w:pPr>
        <w:pStyle w:val="ListParagraph"/>
        <w:spacing w:line="480" w:lineRule="auto"/>
        <w:ind w:left="0"/>
      </w:pPr>
      <w:r w:rsidRPr="00436BB1">
        <w:t>Kahn, M.</w:t>
      </w:r>
      <w:r w:rsidR="004276ED" w:rsidRPr="00436BB1">
        <w:t>,</w:t>
      </w:r>
      <w:r w:rsidRPr="00436BB1">
        <w:t xml:space="preserve"> and </w:t>
      </w:r>
      <w:r w:rsidR="00311C4F">
        <w:t xml:space="preserve">M. </w:t>
      </w:r>
      <w:r w:rsidRPr="00436BB1">
        <w:t xml:space="preserve">Kotchen. 2010. </w:t>
      </w:r>
      <w:r w:rsidR="00311C4F">
        <w:t>“</w:t>
      </w:r>
      <w:r w:rsidRPr="00311C4F">
        <w:rPr>
          <w:iCs/>
        </w:rPr>
        <w:t xml:space="preserve">Environmental </w:t>
      </w:r>
      <w:r w:rsidR="00311C4F">
        <w:rPr>
          <w:iCs/>
        </w:rPr>
        <w:t>C</w:t>
      </w:r>
      <w:r w:rsidRPr="00311C4F">
        <w:rPr>
          <w:iCs/>
        </w:rPr>
        <w:t xml:space="preserve">oncern and the </w:t>
      </w:r>
      <w:r w:rsidR="00311C4F">
        <w:rPr>
          <w:iCs/>
        </w:rPr>
        <w:t>B</w:t>
      </w:r>
      <w:r w:rsidRPr="00311C4F">
        <w:rPr>
          <w:iCs/>
        </w:rPr>
        <w:t xml:space="preserve">usiness </w:t>
      </w:r>
      <w:r w:rsidR="00311C4F">
        <w:rPr>
          <w:iCs/>
        </w:rPr>
        <w:t>C</w:t>
      </w:r>
      <w:r w:rsidRPr="00311C4F">
        <w:rPr>
          <w:iCs/>
        </w:rPr>
        <w:t xml:space="preserve">ycle: The </w:t>
      </w:r>
      <w:r w:rsidR="00311C4F">
        <w:rPr>
          <w:iCs/>
        </w:rPr>
        <w:t>C</w:t>
      </w:r>
      <w:r w:rsidRPr="00311C4F">
        <w:rPr>
          <w:iCs/>
        </w:rPr>
        <w:t xml:space="preserve">hilling </w:t>
      </w:r>
      <w:r w:rsidR="00311C4F">
        <w:rPr>
          <w:iCs/>
        </w:rPr>
        <w:t>E</w:t>
      </w:r>
      <w:r w:rsidRPr="00311C4F">
        <w:rPr>
          <w:iCs/>
        </w:rPr>
        <w:t xml:space="preserve">ffect of </w:t>
      </w:r>
      <w:r w:rsidR="00311C4F">
        <w:rPr>
          <w:iCs/>
        </w:rPr>
        <w:t>R</w:t>
      </w:r>
      <w:r w:rsidRPr="00311C4F">
        <w:rPr>
          <w:iCs/>
        </w:rPr>
        <w:t>ecession</w:t>
      </w:r>
      <w:r w:rsidRPr="00436BB1">
        <w:t>.</w:t>
      </w:r>
      <w:r w:rsidR="00311C4F">
        <w:t xml:space="preserve"> NBER</w:t>
      </w:r>
      <w:r w:rsidRPr="00436BB1">
        <w:t xml:space="preserve"> Working </w:t>
      </w:r>
      <w:r w:rsidR="000F61B4" w:rsidRPr="00436BB1">
        <w:t>P</w:t>
      </w:r>
      <w:r w:rsidRPr="00436BB1">
        <w:t>aper 16241</w:t>
      </w:r>
      <w:r w:rsidR="00311C4F">
        <w:t>. Cambridge, MA:</w:t>
      </w:r>
      <w:r w:rsidRPr="00436BB1">
        <w:t xml:space="preserve"> National Bureau of Economic Research.</w:t>
      </w:r>
    </w:p>
    <w:p w14:paraId="4BE9E3D1" w14:textId="4990E200" w:rsidR="006B7A10" w:rsidRPr="00A56606" w:rsidRDefault="006B7A10" w:rsidP="00311C4F">
      <w:pPr>
        <w:pStyle w:val="ListParagraph"/>
        <w:spacing w:line="480" w:lineRule="auto"/>
        <w:ind w:left="0"/>
      </w:pPr>
      <w:r w:rsidRPr="00436BB1">
        <w:t>Kaufman, D</w:t>
      </w:r>
      <w:r w:rsidR="004276ED" w:rsidRPr="00436BB1">
        <w:t>.</w:t>
      </w:r>
      <w:r w:rsidRPr="00436BB1">
        <w:t xml:space="preserve">, </w:t>
      </w:r>
      <w:r w:rsidR="00311C4F">
        <w:t xml:space="preserve">A. </w:t>
      </w:r>
      <w:r w:rsidRPr="00436BB1">
        <w:t>Kraay</w:t>
      </w:r>
      <w:r w:rsidR="004276ED" w:rsidRPr="00436BB1">
        <w:t xml:space="preserve">, </w:t>
      </w:r>
      <w:r w:rsidRPr="00436BB1">
        <w:t>and</w:t>
      </w:r>
      <w:r w:rsidR="00311C4F">
        <w:t xml:space="preserve"> M.</w:t>
      </w:r>
      <w:r w:rsidRPr="00436BB1">
        <w:t xml:space="preserve"> Mastruzzi</w:t>
      </w:r>
      <w:r w:rsidR="00311C4F">
        <w:t>.</w:t>
      </w:r>
      <w:r w:rsidR="00C46146" w:rsidRPr="00436BB1">
        <w:t xml:space="preserve"> </w:t>
      </w:r>
      <w:r w:rsidRPr="00436BB1">
        <w:t xml:space="preserve">2010. </w:t>
      </w:r>
      <w:r w:rsidR="00311C4F">
        <w:t>“</w:t>
      </w:r>
      <w:r w:rsidRPr="00311C4F">
        <w:rPr>
          <w:iCs/>
        </w:rPr>
        <w:t>The Worldwide Governance Indicators: Methodology and Analytical Issues.</w:t>
      </w:r>
      <w:r w:rsidR="00311C4F">
        <w:rPr>
          <w:iCs/>
        </w:rPr>
        <w:t>”</w:t>
      </w:r>
      <w:r w:rsidRPr="00436BB1">
        <w:rPr>
          <w:i/>
          <w:iCs/>
        </w:rPr>
        <w:t xml:space="preserve"> </w:t>
      </w:r>
      <w:r w:rsidRPr="00436BB1">
        <w:t>World Bank Policy Research Working Paper No. 5430</w:t>
      </w:r>
      <w:r w:rsidR="00311C4F">
        <w:t>.</w:t>
      </w:r>
      <w:r w:rsidRPr="00436BB1">
        <w:t xml:space="preserve"> </w:t>
      </w:r>
      <w:r w:rsidR="00E46313" w:rsidRPr="00311C4F">
        <w:t>http://papers.ssrn.com/sol3/papers.cfm?abstract_id=1682130</w:t>
      </w:r>
    </w:p>
    <w:p w14:paraId="66D5B63E" w14:textId="510DA3F8" w:rsidR="006B7A10" w:rsidRPr="00A56606" w:rsidRDefault="006B7A10" w:rsidP="00311C4F">
      <w:pPr>
        <w:pStyle w:val="ListParagraph"/>
        <w:spacing w:line="480" w:lineRule="auto"/>
        <w:ind w:left="0"/>
      </w:pPr>
      <w:r w:rsidRPr="00A56606">
        <w:t xml:space="preserve">Markell, D. L., and </w:t>
      </w:r>
      <w:r w:rsidR="00311C4F">
        <w:t xml:space="preserve">J. B. </w:t>
      </w:r>
      <w:r w:rsidRPr="00A56606">
        <w:t xml:space="preserve">Ruhl. 2012. </w:t>
      </w:r>
      <w:r w:rsidR="00311C4F">
        <w:t>“</w:t>
      </w:r>
      <w:r w:rsidRPr="00A56606">
        <w:t xml:space="preserve">An </w:t>
      </w:r>
      <w:r w:rsidR="00311C4F">
        <w:t>E</w:t>
      </w:r>
      <w:r w:rsidRPr="00A56606">
        <w:t xml:space="preserve">mpirical </w:t>
      </w:r>
      <w:r w:rsidR="00311C4F">
        <w:t>A</w:t>
      </w:r>
      <w:r w:rsidRPr="00A56606">
        <w:t xml:space="preserve">ssessment of </w:t>
      </w:r>
      <w:r w:rsidR="00311C4F">
        <w:t>C</w:t>
      </w:r>
      <w:r w:rsidRPr="00A56606">
        <w:t xml:space="preserve">limate </w:t>
      </w:r>
      <w:r w:rsidR="00311C4F">
        <w:t>C</w:t>
      </w:r>
      <w:r w:rsidRPr="00A56606">
        <w:t xml:space="preserve">hange in the </w:t>
      </w:r>
      <w:r w:rsidR="00311C4F">
        <w:t>C</w:t>
      </w:r>
      <w:r w:rsidRPr="00A56606">
        <w:t xml:space="preserve">ourts: A new </w:t>
      </w:r>
      <w:r w:rsidR="00311C4F">
        <w:t>J</w:t>
      </w:r>
      <w:r w:rsidRPr="00A56606">
        <w:t xml:space="preserve">urisprudence or </w:t>
      </w:r>
      <w:r w:rsidR="00311C4F">
        <w:t>B</w:t>
      </w:r>
      <w:r w:rsidRPr="00A56606">
        <w:t xml:space="preserve">usiness as </w:t>
      </w:r>
      <w:r w:rsidR="00311C4F">
        <w:t>U</w:t>
      </w:r>
      <w:r w:rsidRPr="00A56606">
        <w:t>sual?</w:t>
      </w:r>
      <w:r w:rsidR="00311C4F">
        <w:t>”</w:t>
      </w:r>
      <w:r w:rsidRPr="00A56606">
        <w:t xml:space="preserve"> </w:t>
      </w:r>
      <w:r w:rsidRPr="00A56606">
        <w:rPr>
          <w:i/>
          <w:iCs/>
        </w:rPr>
        <w:t>Florida Law Review</w:t>
      </w:r>
      <w:r w:rsidRPr="00A56606">
        <w:t xml:space="preserve"> 64</w:t>
      </w:r>
      <w:r w:rsidR="00311C4F">
        <w:t xml:space="preserve"> </w:t>
      </w:r>
      <w:r w:rsidRPr="00A56606">
        <w:t>(1)</w:t>
      </w:r>
      <w:r w:rsidR="00311C4F">
        <w:t>:</w:t>
      </w:r>
      <w:r w:rsidRPr="00A56606">
        <w:t xml:space="preserve"> 15–86.</w:t>
      </w:r>
    </w:p>
    <w:p w14:paraId="2FBD6940" w14:textId="3B4766F8" w:rsidR="006B7A10" w:rsidRPr="00436BB1" w:rsidRDefault="006B7A10" w:rsidP="00311C4F">
      <w:pPr>
        <w:pStyle w:val="ListParagraph"/>
        <w:spacing w:line="480" w:lineRule="auto"/>
        <w:ind w:left="0"/>
      </w:pPr>
      <w:r w:rsidRPr="00255A7E">
        <w:t>Mavisakalyan, A.</w:t>
      </w:r>
      <w:r w:rsidR="004276ED" w:rsidRPr="00255A7E">
        <w:t>,</w:t>
      </w:r>
      <w:r w:rsidRPr="00255A7E">
        <w:t xml:space="preserve"> and</w:t>
      </w:r>
      <w:r w:rsidR="00311C4F">
        <w:t xml:space="preserve"> Y.</w:t>
      </w:r>
      <w:r w:rsidRPr="00255A7E">
        <w:t xml:space="preserve"> Tarverdi. 2019. </w:t>
      </w:r>
      <w:r w:rsidR="00311C4F">
        <w:t>“</w:t>
      </w:r>
      <w:r w:rsidRPr="00255A7E">
        <w:t xml:space="preserve">Gender and </w:t>
      </w:r>
      <w:r w:rsidR="00311C4F">
        <w:t>C</w:t>
      </w:r>
      <w:r w:rsidRPr="00255A7E">
        <w:t xml:space="preserve">limate </w:t>
      </w:r>
      <w:r w:rsidR="00311C4F">
        <w:t>C</w:t>
      </w:r>
      <w:r w:rsidRPr="00255A7E">
        <w:t xml:space="preserve">hange: Do </w:t>
      </w:r>
      <w:r w:rsidR="00311C4F">
        <w:t>F</w:t>
      </w:r>
      <w:r w:rsidRPr="00255A7E">
        <w:t xml:space="preserve">emale </w:t>
      </w:r>
      <w:r w:rsidR="00311C4F">
        <w:t>P</w:t>
      </w:r>
      <w:r w:rsidRPr="00255A7E">
        <w:t>a</w:t>
      </w:r>
      <w:r w:rsidRPr="00436BB1">
        <w:t xml:space="preserve">rliamentarians </w:t>
      </w:r>
      <w:r w:rsidR="00311C4F">
        <w:t>M</w:t>
      </w:r>
      <w:r w:rsidRPr="00436BB1">
        <w:t xml:space="preserve">ake </w:t>
      </w:r>
      <w:r w:rsidR="00311C4F">
        <w:t>D</w:t>
      </w:r>
      <w:r w:rsidRPr="00436BB1">
        <w:t>ifference?</w:t>
      </w:r>
      <w:r w:rsidR="00311C4F">
        <w:t>”</w:t>
      </w:r>
      <w:r w:rsidRPr="00436BB1">
        <w:t xml:space="preserve"> </w:t>
      </w:r>
      <w:r w:rsidRPr="00436BB1">
        <w:rPr>
          <w:i/>
          <w:iCs/>
        </w:rPr>
        <w:t>European Journal of Political Economy</w:t>
      </w:r>
      <w:r w:rsidRPr="00436BB1">
        <w:t xml:space="preserve"> 56</w:t>
      </w:r>
      <w:r w:rsidR="00311C4F">
        <w:t>:</w:t>
      </w:r>
      <w:r w:rsidRPr="00436BB1">
        <w:t xml:space="preserve"> 151</w:t>
      </w:r>
      <w:r w:rsidR="00311C4F">
        <w:t>–</w:t>
      </w:r>
      <w:r w:rsidRPr="00436BB1">
        <w:t>64.</w:t>
      </w:r>
    </w:p>
    <w:p w14:paraId="107B9857" w14:textId="2F16E7EE" w:rsidR="006B7A10" w:rsidRPr="00436BB1" w:rsidRDefault="006B7A10" w:rsidP="0076173E">
      <w:pPr>
        <w:pStyle w:val="ListParagraph"/>
        <w:spacing w:line="480" w:lineRule="auto"/>
        <w:ind w:left="0"/>
      </w:pPr>
      <w:r w:rsidRPr="00436BB1">
        <w:t>McCormick</w:t>
      </w:r>
      <w:r w:rsidR="004276ED" w:rsidRPr="00436BB1">
        <w:t>,</w:t>
      </w:r>
      <w:r w:rsidRPr="00436BB1">
        <w:t xml:space="preserve"> S</w:t>
      </w:r>
      <w:r w:rsidR="004276ED" w:rsidRPr="00436BB1">
        <w:t>.</w:t>
      </w:r>
      <w:r w:rsidRPr="00436BB1">
        <w:t xml:space="preserve">, </w:t>
      </w:r>
      <w:r w:rsidR="0076173E">
        <w:t xml:space="preserve">R. L. </w:t>
      </w:r>
      <w:r w:rsidRPr="00436BB1">
        <w:t>Glicksman</w:t>
      </w:r>
      <w:r w:rsidR="004276ED" w:rsidRPr="00436BB1">
        <w:t>,</w:t>
      </w:r>
      <w:r w:rsidRPr="00436BB1">
        <w:t xml:space="preserve"> </w:t>
      </w:r>
      <w:r w:rsidR="0076173E">
        <w:t>S. J.</w:t>
      </w:r>
      <w:r w:rsidRPr="00436BB1">
        <w:t xml:space="preserve"> Simmens</w:t>
      </w:r>
      <w:r w:rsidR="004276ED" w:rsidRPr="00436BB1">
        <w:t>,</w:t>
      </w:r>
      <w:r w:rsidRPr="00436BB1">
        <w:t xml:space="preserve"> </w:t>
      </w:r>
      <w:r w:rsidR="0076173E">
        <w:t>L.</w:t>
      </w:r>
      <w:r w:rsidRPr="00436BB1">
        <w:t xml:space="preserve"> Paddock</w:t>
      </w:r>
      <w:r w:rsidR="004276ED" w:rsidRPr="00436BB1">
        <w:t>,</w:t>
      </w:r>
      <w:r w:rsidRPr="00436BB1">
        <w:t xml:space="preserve"> </w:t>
      </w:r>
      <w:r w:rsidR="0076173E">
        <w:t>D.</w:t>
      </w:r>
      <w:r w:rsidRPr="00436BB1">
        <w:t xml:space="preserve"> Kim</w:t>
      </w:r>
      <w:r w:rsidR="004276ED" w:rsidRPr="00436BB1">
        <w:t>,</w:t>
      </w:r>
      <w:r w:rsidRPr="00436BB1">
        <w:t xml:space="preserve"> </w:t>
      </w:r>
      <w:r w:rsidR="004276ED" w:rsidRPr="00436BB1">
        <w:t>and</w:t>
      </w:r>
      <w:r w:rsidR="0076173E">
        <w:t xml:space="preserve"> B.</w:t>
      </w:r>
      <w:r w:rsidRPr="00436BB1">
        <w:t xml:space="preserve"> Whited</w:t>
      </w:r>
      <w:r w:rsidR="00736420" w:rsidRPr="00436BB1">
        <w:t xml:space="preserve">. </w:t>
      </w:r>
      <w:r w:rsidRPr="00436BB1">
        <w:t>2018</w:t>
      </w:r>
      <w:r w:rsidR="00736420" w:rsidRPr="00436BB1">
        <w:t xml:space="preserve">. </w:t>
      </w:r>
      <w:r w:rsidR="0076173E">
        <w:t>“</w:t>
      </w:r>
      <w:r w:rsidRPr="00436BB1">
        <w:t xml:space="preserve">Strategies in and </w:t>
      </w:r>
      <w:r w:rsidR="0076173E">
        <w:t>O</w:t>
      </w:r>
      <w:r w:rsidRPr="00436BB1">
        <w:t xml:space="preserve">utcomes of </w:t>
      </w:r>
      <w:r w:rsidR="0076173E">
        <w:t>C</w:t>
      </w:r>
      <w:r w:rsidRPr="00436BB1">
        <w:t xml:space="preserve">limate </w:t>
      </w:r>
      <w:r w:rsidR="0076173E">
        <w:t>C</w:t>
      </w:r>
      <w:r w:rsidRPr="00436BB1">
        <w:t xml:space="preserve">hange </w:t>
      </w:r>
      <w:r w:rsidR="0076173E">
        <w:t>L</w:t>
      </w:r>
      <w:r w:rsidRPr="00436BB1">
        <w:t>itigation in the United States.</w:t>
      </w:r>
      <w:r w:rsidR="0076173E">
        <w:t>”</w:t>
      </w:r>
      <w:r w:rsidRPr="00436BB1">
        <w:t xml:space="preserve"> </w:t>
      </w:r>
      <w:r w:rsidRPr="00436BB1">
        <w:rPr>
          <w:i/>
          <w:iCs/>
        </w:rPr>
        <w:t>Nature Climate Change</w:t>
      </w:r>
      <w:r w:rsidRPr="00436BB1">
        <w:t xml:space="preserve"> 8: 829–33</w:t>
      </w:r>
      <w:r w:rsidR="00D25101" w:rsidRPr="00436BB1">
        <w:t>.</w:t>
      </w:r>
    </w:p>
    <w:p w14:paraId="708FFE25" w14:textId="225D35F5" w:rsidR="006B7A10" w:rsidRPr="00436BB1" w:rsidRDefault="006B7A10" w:rsidP="0076173E">
      <w:pPr>
        <w:pStyle w:val="ListParagraph"/>
        <w:spacing w:line="480" w:lineRule="auto"/>
        <w:ind w:left="0"/>
      </w:pPr>
      <w:r w:rsidRPr="00436BB1">
        <w:lastRenderedPageBreak/>
        <w:t>McCright, A.</w:t>
      </w:r>
      <w:r w:rsidR="004276ED" w:rsidRPr="00436BB1">
        <w:t>,</w:t>
      </w:r>
      <w:r w:rsidRPr="00436BB1">
        <w:t xml:space="preserve"> and </w:t>
      </w:r>
      <w:r w:rsidR="0076173E">
        <w:t xml:space="preserve">R. </w:t>
      </w:r>
      <w:r w:rsidRPr="00436BB1">
        <w:t>Dunlap</w:t>
      </w:r>
      <w:r w:rsidR="004276ED" w:rsidRPr="00436BB1">
        <w:t>.</w:t>
      </w:r>
      <w:r w:rsidRPr="00436BB1">
        <w:t xml:space="preserve"> 2011a. </w:t>
      </w:r>
      <w:r w:rsidR="0076173E">
        <w:t>“</w:t>
      </w:r>
      <w:r w:rsidRPr="00436BB1">
        <w:t xml:space="preserve">The </w:t>
      </w:r>
      <w:r w:rsidR="0076173E">
        <w:t>P</w:t>
      </w:r>
      <w:r w:rsidRPr="00436BB1">
        <w:t xml:space="preserve">oliticization of </w:t>
      </w:r>
      <w:r w:rsidR="0076173E">
        <w:t>C</w:t>
      </w:r>
      <w:r w:rsidRPr="00436BB1">
        <w:t xml:space="preserve">limate </w:t>
      </w:r>
      <w:r w:rsidR="0076173E">
        <w:t>C</w:t>
      </w:r>
      <w:r w:rsidRPr="00436BB1">
        <w:t xml:space="preserve">hange and </w:t>
      </w:r>
      <w:r w:rsidR="0076173E">
        <w:t>P</w:t>
      </w:r>
      <w:r w:rsidRPr="00436BB1">
        <w:t xml:space="preserve">olarization in the American </w:t>
      </w:r>
      <w:r w:rsidR="0076173E">
        <w:t>P</w:t>
      </w:r>
      <w:r w:rsidRPr="00436BB1">
        <w:t>ublic</w:t>
      </w:r>
      <w:r w:rsidR="0076173E">
        <w:t>’</w:t>
      </w:r>
      <w:r w:rsidRPr="00436BB1">
        <w:t xml:space="preserve">s </w:t>
      </w:r>
      <w:r w:rsidR="0076173E">
        <w:t>V</w:t>
      </w:r>
      <w:r w:rsidRPr="00436BB1">
        <w:t xml:space="preserve">iews of </w:t>
      </w:r>
      <w:r w:rsidR="0076173E">
        <w:t>G</w:t>
      </w:r>
      <w:r w:rsidRPr="00436BB1">
        <w:t xml:space="preserve">lobal </w:t>
      </w:r>
      <w:r w:rsidR="0076173E">
        <w:t>W</w:t>
      </w:r>
      <w:r w:rsidRPr="00436BB1">
        <w:t>arming, 2001–2010.</w:t>
      </w:r>
      <w:r w:rsidR="0076173E">
        <w:t>”</w:t>
      </w:r>
      <w:r w:rsidRPr="00436BB1">
        <w:t xml:space="preserve"> </w:t>
      </w:r>
      <w:r w:rsidRPr="00436BB1">
        <w:rPr>
          <w:i/>
          <w:iCs/>
        </w:rPr>
        <w:t>The Sociological Quarterly</w:t>
      </w:r>
      <w:r w:rsidRPr="00436BB1">
        <w:t xml:space="preserve"> 52</w:t>
      </w:r>
      <w:r w:rsidR="0076173E">
        <w:t xml:space="preserve"> </w:t>
      </w:r>
      <w:r w:rsidRPr="00436BB1">
        <w:t>(2)</w:t>
      </w:r>
      <w:r w:rsidR="0076173E">
        <w:t>:</w:t>
      </w:r>
      <w:r w:rsidRPr="00436BB1">
        <w:t xml:space="preserve"> 155</w:t>
      </w:r>
      <w:r w:rsidR="0076173E">
        <w:t>–</w:t>
      </w:r>
      <w:r w:rsidRPr="00436BB1">
        <w:t>94.</w:t>
      </w:r>
    </w:p>
    <w:p w14:paraId="5F15C8A7" w14:textId="44F2A7A1" w:rsidR="006B7A10" w:rsidRPr="00436BB1" w:rsidRDefault="006B7A10" w:rsidP="00C101C1">
      <w:pPr>
        <w:pStyle w:val="ListParagraph"/>
        <w:spacing w:line="480" w:lineRule="auto"/>
        <w:ind w:left="0"/>
      </w:pPr>
      <w:r w:rsidRPr="00436BB1">
        <w:t>McCright, A.</w:t>
      </w:r>
      <w:r w:rsidR="004276ED" w:rsidRPr="00436BB1">
        <w:t>,</w:t>
      </w:r>
      <w:r w:rsidRPr="00436BB1">
        <w:t xml:space="preserve"> and</w:t>
      </w:r>
      <w:r w:rsidR="004276ED" w:rsidRPr="00436BB1">
        <w:t xml:space="preserve"> </w:t>
      </w:r>
      <w:r w:rsidR="0076173E">
        <w:t xml:space="preserve">R. </w:t>
      </w:r>
      <w:r w:rsidRPr="00436BB1">
        <w:t>Dunlap</w:t>
      </w:r>
      <w:r w:rsidR="004276ED" w:rsidRPr="00436BB1">
        <w:t>.</w:t>
      </w:r>
      <w:r w:rsidRPr="00436BB1">
        <w:t xml:space="preserve"> 2011b. </w:t>
      </w:r>
      <w:r w:rsidR="0076173E">
        <w:t>“</w:t>
      </w:r>
      <w:r w:rsidRPr="00436BB1">
        <w:t xml:space="preserve">Cool </w:t>
      </w:r>
      <w:r w:rsidR="0076173E">
        <w:t>D</w:t>
      </w:r>
      <w:r w:rsidRPr="00436BB1">
        <w:t xml:space="preserve">udes: The </w:t>
      </w:r>
      <w:r w:rsidR="0076173E">
        <w:t>D</w:t>
      </w:r>
      <w:r w:rsidRPr="00436BB1">
        <w:t xml:space="preserve">enial of </w:t>
      </w:r>
      <w:r w:rsidR="0076173E">
        <w:t>C</w:t>
      </w:r>
      <w:r w:rsidRPr="00436BB1">
        <w:t xml:space="preserve">limate </w:t>
      </w:r>
      <w:r w:rsidR="0076173E">
        <w:t>C</w:t>
      </w:r>
      <w:r w:rsidRPr="00436BB1">
        <w:t xml:space="preserve">hange among </w:t>
      </w:r>
      <w:r w:rsidR="0076173E">
        <w:t>C</w:t>
      </w:r>
      <w:r w:rsidRPr="00436BB1">
        <w:t xml:space="preserve">onservative </w:t>
      </w:r>
      <w:r w:rsidR="0076173E">
        <w:t>W</w:t>
      </w:r>
      <w:r w:rsidRPr="00436BB1">
        <w:t xml:space="preserve">hite </w:t>
      </w:r>
      <w:r w:rsidR="0076173E">
        <w:t>M</w:t>
      </w:r>
      <w:r w:rsidRPr="00436BB1">
        <w:t>ales in the United States.</w:t>
      </w:r>
      <w:r w:rsidR="0076173E">
        <w:t>”</w:t>
      </w:r>
      <w:r w:rsidRPr="00436BB1">
        <w:t xml:space="preserve"> </w:t>
      </w:r>
      <w:r w:rsidRPr="00436BB1">
        <w:rPr>
          <w:i/>
          <w:iCs/>
        </w:rPr>
        <w:t>Global Environmental Change</w:t>
      </w:r>
      <w:r w:rsidRPr="00436BB1">
        <w:t xml:space="preserve"> 21</w:t>
      </w:r>
      <w:r w:rsidR="0076173E">
        <w:t xml:space="preserve"> </w:t>
      </w:r>
      <w:r w:rsidRPr="00436BB1">
        <w:t>(4)</w:t>
      </w:r>
      <w:r w:rsidR="0076173E">
        <w:t>:</w:t>
      </w:r>
      <w:r w:rsidRPr="00436BB1">
        <w:t xml:space="preserve"> 1163</w:t>
      </w:r>
      <w:r w:rsidR="0076173E">
        <w:t>–</w:t>
      </w:r>
      <w:r w:rsidRPr="00436BB1">
        <w:t>72.</w:t>
      </w:r>
    </w:p>
    <w:p w14:paraId="1FFDAB45" w14:textId="16E5FB9B" w:rsidR="0030346C" w:rsidRPr="00436BB1" w:rsidRDefault="0030346C" w:rsidP="00C101C1">
      <w:pPr>
        <w:pStyle w:val="ListParagraph"/>
        <w:spacing w:line="480" w:lineRule="auto"/>
        <w:ind w:left="0"/>
        <w:rPr>
          <w:color w:val="222222"/>
          <w:shd w:val="clear" w:color="auto" w:fill="FFFFFF"/>
        </w:rPr>
      </w:pPr>
      <w:r w:rsidRPr="00436BB1">
        <w:rPr>
          <w:color w:val="222222"/>
          <w:shd w:val="clear" w:color="auto" w:fill="FFFFFF"/>
        </w:rPr>
        <w:t>Muinzer, T.</w:t>
      </w:r>
      <w:r w:rsidR="004276ED" w:rsidRPr="00436BB1">
        <w:rPr>
          <w:color w:val="222222"/>
          <w:shd w:val="clear" w:color="auto" w:fill="FFFFFF"/>
        </w:rPr>
        <w:t xml:space="preserve"> </w:t>
      </w:r>
      <w:r w:rsidRPr="00436BB1">
        <w:rPr>
          <w:color w:val="222222"/>
          <w:shd w:val="clear" w:color="auto" w:fill="FFFFFF"/>
        </w:rPr>
        <w:t>L. 2018</w:t>
      </w:r>
      <w:r w:rsidR="004276ED" w:rsidRPr="00436BB1">
        <w:rPr>
          <w:color w:val="222222"/>
          <w:shd w:val="clear" w:color="auto" w:fill="FFFFFF"/>
        </w:rPr>
        <w:t>.</w:t>
      </w:r>
      <w:r w:rsidRPr="00436BB1">
        <w:rPr>
          <w:color w:val="222222"/>
          <w:shd w:val="clear" w:color="auto" w:fill="FFFFFF"/>
        </w:rPr>
        <w:t xml:space="preserve"> </w:t>
      </w:r>
      <w:r w:rsidRPr="00436BB1">
        <w:rPr>
          <w:i/>
          <w:iCs/>
          <w:color w:val="222222"/>
          <w:shd w:val="clear" w:color="auto" w:fill="FFFFFF"/>
        </w:rPr>
        <w:t>Climate and Energy Governance for the UK Low Carbon Transition: The Climate Change Act 2008.</w:t>
      </w:r>
      <w:r w:rsidRPr="00436BB1">
        <w:rPr>
          <w:color w:val="222222"/>
          <w:shd w:val="clear" w:color="auto" w:fill="FFFFFF"/>
        </w:rPr>
        <w:t xml:space="preserve"> Cham: Palgrave Pivot.</w:t>
      </w:r>
    </w:p>
    <w:p w14:paraId="3747C2E8" w14:textId="40799E53" w:rsidR="00ED58A2" w:rsidRDefault="00C81F42" w:rsidP="00C101C1">
      <w:pPr>
        <w:pStyle w:val="ListParagraph"/>
        <w:spacing w:line="480" w:lineRule="auto"/>
        <w:ind w:left="0"/>
      </w:pPr>
      <w:r w:rsidRPr="00436BB1">
        <w:rPr>
          <w:color w:val="222222"/>
          <w:shd w:val="clear" w:color="auto" w:fill="FFFFFF"/>
        </w:rPr>
        <w:t>Nachmany, M.</w:t>
      </w:r>
      <w:r w:rsidR="00ED58A2">
        <w:rPr>
          <w:color w:val="222222"/>
          <w:shd w:val="clear" w:color="auto" w:fill="FFFFFF"/>
        </w:rPr>
        <w:t>,</w:t>
      </w:r>
      <w:r w:rsidRPr="00436BB1">
        <w:rPr>
          <w:color w:val="222222"/>
          <w:shd w:val="clear" w:color="auto" w:fill="FFFFFF"/>
        </w:rPr>
        <w:t xml:space="preserve"> and </w:t>
      </w:r>
      <w:r w:rsidR="00ED58A2">
        <w:rPr>
          <w:color w:val="222222"/>
          <w:shd w:val="clear" w:color="auto" w:fill="FFFFFF"/>
        </w:rPr>
        <w:t xml:space="preserve">E. </w:t>
      </w:r>
      <w:r w:rsidRPr="00436BB1">
        <w:rPr>
          <w:color w:val="222222"/>
          <w:shd w:val="clear" w:color="auto" w:fill="FFFFFF"/>
        </w:rPr>
        <w:t xml:space="preserve">Mangan. 2018. </w:t>
      </w:r>
      <w:r w:rsidR="00ED58A2">
        <w:rPr>
          <w:color w:val="222222"/>
          <w:shd w:val="clear" w:color="auto" w:fill="FFFFFF"/>
        </w:rPr>
        <w:t>“</w:t>
      </w:r>
      <w:r w:rsidRPr="00436BB1">
        <w:rPr>
          <w:color w:val="222222"/>
          <w:shd w:val="clear" w:color="auto" w:fill="FFFFFF"/>
        </w:rPr>
        <w:t xml:space="preserve">Aligning </w:t>
      </w:r>
      <w:r w:rsidR="00ED58A2">
        <w:rPr>
          <w:color w:val="222222"/>
          <w:shd w:val="clear" w:color="auto" w:fill="FFFFFF"/>
        </w:rPr>
        <w:t>N</w:t>
      </w:r>
      <w:r w:rsidRPr="00436BB1">
        <w:rPr>
          <w:color w:val="222222"/>
          <w:shd w:val="clear" w:color="auto" w:fill="FFFFFF"/>
        </w:rPr>
        <w:t xml:space="preserve">ational and </w:t>
      </w:r>
      <w:r w:rsidR="00ED58A2">
        <w:rPr>
          <w:color w:val="222222"/>
          <w:shd w:val="clear" w:color="auto" w:fill="FFFFFF"/>
        </w:rPr>
        <w:t>I</w:t>
      </w:r>
      <w:r w:rsidRPr="00436BB1">
        <w:rPr>
          <w:color w:val="222222"/>
          <w:shd w:val="clear" w:color="auto" w:fill="FFFFFF"/>
        </w:rPr>
        <w:t xml:space="preserve">nternational </w:t>
      </w:r>
      <w:r w:rsidR="00ED58A2">
        <w:rPr>
          <w:color w:val="222222"/>
          <w:shd w:val="clear" w:color="auto" w:fill="FFFFFF"/>
        </w:rPr>
        <w:t>C</w:t>
      </w:r>
      <w:r w:rsidRPr="00436BB1">
        <w:rPr>
          <w:color w:val="222222"/>
          <w:shd w:val="clear" w:color="auto" w:fill="FFFFFF"/>
        </w:rPr>
        <w:t xml:space="preserve">limate </w:t>
      </w:r>
      <w:r w:rsidR="00ED58A2">
        <w:rPr>
          <w:color w:val="222222"/>
          <w:shd w:val="clear" w:color="auto" w:fill="FFFFFF"/>
        </w:rPr>
        <w:t>T</w:t>
      </w:r>
      <w:r w:rsidRPr="00436BB1">
        <w:rPr>
          <w:color w:val="222222"/>
          <w:shd w:val="clear" w:color="auto" w:fill="FFFFFF"/>
        </w:rPr>
        <w:t>argets</w:t>
      </w:r>
      <w:r w:rsidR="00ED58A2">
        <w:rPr>
          <w:color w:val="222222"/>
          <w:shd w:val="clear" w:color="auto" w:fill="FFFFFF"/>
        </w:rPr>
        <w:t>.”</w:t>
      </w:r>
      <w:r w:rsidRPr="00436BB1">
        <w:rPr>
          <w:color w:val="222222"/>
          <w:shd w:val="clear" w:color="auto" w:fill="FFFFFF"/>
        </w:rPr>
        <w:t xml:space="preserve"> </w:t>
      </w:r>
      <w:r w:rsidRPr="00436BB1">
        <w:t>Policy Brief</w:t>
      </w:r>
      <w:r w:rsidR="00ED58A2">
        <w:t>,</w:t>
      </w:r>
      <w:r w:rsidRPr="00436BB1">
        <w:t xml:space="preserve"> Grantham Research Institute on Climate Change and the Environment, London School of Economics. http://www.lse.ac.uk/GranthamInstitute/publication/targets/</w:t>
      </w:r>
    </w:p>
    <w:p w14:paraId="79CD89BA" w14:textId="4A208558" w:rsidR="00741A8F" w:rsidRPr="00436BB1" w:rsidRDefault="00741A8F" w:rsidP="00C101C1">
      <w:pPr>
        <w:pStyle w:val="ListParagraph"/>
        <w:spacing w:line="480" w:lineRule="auto"/>
        <w:ind w:left="0"/>
      </w:pPr>
      <w:r w:rsidRPr="00436BB1">
        <w:t>Nash, S.</w:t>
      </w:r>
      <w:r w:rsidR="00ED58A2">
        <w:t>,</w:t>
      </w:r>
      <w:r w:rsidRPr="00436BB1">
        <w:t xml:space="preserve"> and </w:t>
      </w:r>
      <w:r w:rsidR="00ED58A2">
        <w:t xml:space="preserve">R. </w:t>
      </w:r>
      <w:r w:rsidRPr="00436BB1">
        <w:t xml:space="preserve">Steurer. 2019. </w:t>
      </w:r>
      <w:r w:rsidR="00ED58A2">
        <w:t>“</w:t>
      </w:r>
      <w:r w:rsidRPr="00436BB1">
        <w:t xml:space="preserve">Taking </w:t>
      </w:r>
      <w:r w:rsidR="00ED58A2">
        <w:t>S</w:t>
      </w:r>
      <w:r w:rsidRPr="00436BB1">
        <w:t xml:space="preserve">tock of Climate Change Acts in Europe: </w:t>
      </w:r>
      <w:r w:rsidR="00ED58A2">
        <w:t>L</w:t>
      </w:r>
      <w:r w:rsidRPr="00436BB1">
        <w:t xml:space="preserve">iving </w:t>
      </w:r>
      <w:r w:rsidR="00ED58A2">
        <w:t>P</w:t>
      </w:r>
      <w:r w:rsidRPr="00436BB1">
        <w:t xml:space="preserve">olicy </w:t>
      </w:r>
      <w:r w:rsidR="00ED58A2">
        <w:t>P</w:t>
      </w:r>
      <w:r w:rsidRPr="00436BB1">
        <w:t xml:space="preserve">rocesses or </w:t>
      </w:r>
      <w:r w:rsidR="00ED58A2">
        <w:t>S</w:t>
      </w:r>
      <w:r w:rsidRPr="00436BB1">
        <w:t xml:space="preserve">ymbolic </w:t>
      </w:r>
      <w:r w:rsidR="00ED58A2">
        <w:t>G</w:t>
      </w:r>
      <w:r w:rsidRPr="00436BB1">
        <w:t>estures?</w:t>
      </w:r>
      <w:r w:rsidR="00ED58A2">
        <w:t>”</w:t>
      </w:r>
      <w:r w:rsidRPr="00436BB1">
        <w:t xml:space="preserve"> </w:t>
      </w:r>
      <w:r w:rsidRPr="00436BB1">
        <w:rPr>
          <w:i/>
          <w:iCs/>
        </w:rPr>
        <w:t>Climate Policy</w:t>
      </w:r>
      <w:r w:rsidRPr="00436BB1">
        <w:t xml:space="preserve"> 19</w:t>
      </w:r>
      <w:r w:rsidR="00ED58A2">
        <w:t xml:space="preserve"> </w:t>
      </w:r>
      <w:r w:rsidRPr="00436BB1">
        <w:t>(8)</w:t>
      </w:r>
      <w:r w:rsidR="00ED58A2">
        <w:t>:</w:t>
      </w:r>
      <w:r w:rsidRPr="00436BB1">
        <w:t xml:space="preserve"> 1052</w:t>
      </w:r>
      <w:r w:rsidR="00ED58A2">
        <w:t>–</w:t>
      </w:r>
      <w:r w:rsidRPr="00436BB1">
        <w:t>106.5</w:t>
      </w:r>
    </w:p>
    <w:p w14:paraId="0BD9356B" w14:textId="2E4D7F44" w:rsidR="006B7A10" w:rsidRPr="00436BB1" w:rsidRDefault="006B7A10" w:rsidP="00C101C1">
      <w:pPr>
        <w:pStyle w:val="ListParagraph"/>
        <w:spacing w:line="480" w:lineRule="auto"/>
        <w:ind w:left="0"/>
      </w:pPr>
      <w:r w:rsidRPr="00436BB1">
        <w:t xml:space="preserve">Neumayer, E. 2003. </w:t>
      </w:r>
      <w:r w:rsidR="00ED58A2">
        <w:t>“</w:t>
      </w:r>
      <w:r w:rsidRPr="00436BB1">
        <w:t xml:space="preserve">Are </w:t>
      </w:r>
      <w:r w:rsidR="00ED58A2">
        <w:t>L</w:t>
      </w:r>
      <w:r w:rsidRPr="00436BB1">
        <w:t xml:space="preserve">eft-wing </w:t>
      </w:r>
      <w:r w:rsidR="00ED58A2">
        <w:t>P</w:t>
      </w:r>
      <w:r w:rsidRPr="00436BB1">
        <w:t xml:space="preserve">arty </w:t>
      </w:r>
      <w:r w:rsidR="00ED58A2">
        <w:t>S</w:t>
      </w:r>
      <w:r w:rsidRPr="00436BB1">
        <w:t xml:space="preserve">trength and </w:t>
      </w:r>
      <w:r w:rsidR="00ED58A2">
        <w:t>C</w:t>
      </w:r>
      <w:r w:rsidRPr="00436BB1">
        <w:t xml:space="preserve">orporatism </w:t>
      </w:r>
      <w:r w:rsidR="00ED58A2">
        <w:t>G</w:t>
      </w:r>
      <w:r w:rsidRPr="00436BB1">
        <w:t xml:space="preserve">ood for the </w:t>
      </w:r>
      <w:r w:rsidR="00ED58A2">
        <w:t>E</w:t>
      </w:r>
      <w:r w:rsidRPr="00436BB1">
        <w:t xml:space="preserve">nvironment? Evidence from </w:t>
      </w:r>
      <w:r w:rsidR="00ED58A2">
        <w:t>P</w:t>
      </w:r>
      <w:r w:rsidRPr="00436BB1">
        <w:t xml:space="preserve">anel </w:t>
      </w:r>
      <w:r w:rsidR="00ED58A2">
        <w:t>A</w:t>
      </w:r>
      <w:r w:rsidRPr="00436BB1">
        <w:t xml:space="preserve">nalysis of </w:t>
      </w:r>
      <w:r w:rsidR="00ED58A2">
        <w:t>A</w:t>
      </w:r>
      <w:r w:rsidRPr="00436BB1">
        <w:t xml:space="preserve">ir </w:t>
      </w:r>
      <w:r w:rsidR="00ED58A2">
        <w:t>P</w:t>
      </w:r>
      <w:r w:rsidRPr="00436BB1">
        <w:t xml:space="preserve">ollution in OECD </w:t>
      </w:r>
      <w:r w:rsidR="00ED58A2">
        <w:t>C</w:t>
      </w:r>
      <w:r w:rsidRPr="00436BB1">
        <w:t>ountries</w:t>
      </w:r>
      <w:r w:rsidR="00ED58A2">
        <w:t>.”</w:t>
      </w:r>
      <w:r w:rsidRPr="00436BB1">
        <w:t xml:space="preserve"> </w:t>
      </w:r>
      <w:r w:rsidRPr="00436BB1">
        <w:rPr>
          <w:i/>
          <w:iCs/>
        </w:rPr>
        <w:t>Ecological Economics</w:t>
      </w:r>
      <w:r w:rsidRPr="00436BB1">
        <w:t xml:space="preserve"> 45</w:t>
      </w:r>
      <w:r w:rsidR="00ED58A2">
        <w:t xml:space="preserve"> </w:t>
      </w:r>
      <w:r w:rsidRPr="00436BB1">
        <w:t>(2): 203</w:t>
      </w:r>
      <w:r w:rsidR="00ED58A2">
        <w:t>–</w:t>
      </w:r>
      <w:r w:rsidRPr="00436BB1">
        <w:t>20.</w:t>
      </w:r>
    </w:p>
    <w:p w14:paraId="4BA28D38" w14:textId="7B7FDF45" w:rsidR="00B532B7" w:rsidRPr="00A56606" w:rsidRDefault="00B532B7" w:rsidP="00C101C1">
      <w:pPr>
        <w:pStyle w:val="ListParagraph"/>
        <w:spacing w:line="480" w:lineRule="auto"/>
        <w:ind w:left="0"/>
      </w:pPr>
      <w:r w:rsidRPr="00436BB1">
        <w:t>Osofsky, H.</w:t>
      </w:r>
      <w:r w:rsidR="004276ED" w:rsidRPr="00436BB1">
        <w:t xml:space="preserve"> </w:t>
      </w:r>
      <w:r w:rsidRPr="00436BB1">
        <w:t xml:space="preserve">M. 2012. </w:t>
      </w:r>
      <w:r w:rsidR="00ED58A2">
        <w:t>“</w:t>
      </w:r>
      <w:r w:rsidRPr="00436BB1">
        <w:t>Litigation</w:t>
      </w:r>
      <w:r w:rsidR="00ED58A2">
        <w:t>’</w:t>
      </w:r>
      <w:r w:rsidRPr="00436BB1">
        <w:t>s Role in the Path of U.S. Federal Climate Change Regulation: Implications of AEP v. Connecticut.</w:t>
      </w:r>
      <w:r w:rsidR="00ED58A2">
        <w:t>”</w:t>
      </w:r>
      <w:r w:rsidRPr="00436BB1">
        <w:t xml:space="preserve"> </w:t>
      </w:r>
      <w:r w:rsidRPr="00436BB1">
        <w:rPr>
          <w:i/>
          <w:iCs/>
        </w:rPr>
        <w:t>Valparaiso University Law Review</w:t>
      </w:r>
      <w:r w:rsidRPr="00436BB1">
        <w:t xml:space="preserve"> 447</w:t>
      </w:r>
      <w:r w:rsidR="00ED58A2">
        <w:t>–</w:t>
      </w:r>
      <w:r w:rsidRPr="00436BB1">
        <w:t>457</w:t>
      </w:r>
      <w:r w:rsidR="00ED58A2">
        <w:t>.</w:t>
      </w:r>
      <w:r w:rsidRPr="00436BB1">
        <w:t xml:space="preserve">  </w:t>
      </w:r>
      <w:r w:rsidRPr="00ED58A2">
        <w:t>https://scholarship.law.umn.edu/faculty_articles/187</w:t>
      </w:r>
      <w:r w:rsidRPr="00A56606">
        <w:t xml:space="preserve"> </w:t>
      </w:r>
    </w:p>
    <w:p w14:paraId="6F853553" w14:textId="582BD85A" w:rsidR="006B7A10" w:rsidRPr="00255A7E" w:rsidRDefault="006B7A10" w:rsidP="00C101C1">
      <w:pPr>
        <w:pStyle w:val="ListParagraph"/>
        <w:spacing w:line="480" w:lineRule="auto"/>
        <w:ind w:left="0"/>
        <w:rPr>
          <w:color w:val="222222"/>
          <w:shd w:val="clear" w:color="auto" w:fill="FFFFFF"/>
        </w:rPr>
      </w:pPr>
      <w:r w:rsidRPr="00A56606">
        <w:rPr>
          <w:color w:val="222222"/>
          <w:shd w:val="clear" w:color="auto" w:fill="FFFFFF"/>
        </w:rPr>
        <w:t>Painter, J.</w:t>
      </w:r>
      <w:r w:rsidR="004276ED" w:rsidRPr="00A56606">
        <w:rPr>
          <w:color w:val="222222"/>
          <w:shd w:val="clear" w:color="auto" w:fill="FFFFFF"/>
        </w:rPr>
        <w:t>,</w:t>
      </w:r>
      <w:r w:rsidRPr="00A56606">
        <w:rPr>
          <w:color w:val="222222"/>
          <w:shd w:val="clear" w:color="auto" w:fill="FFFFFF"/>
        </w:rPr>
        <w:t xml:space="preserve"> and </w:t>
      </w:r>
      <w:r w:rsidR="003603F1">
        <w:rPr>
          <w:color w:val="222222"/>
          <w:shd w:val="clear" w:color="auto" w:fill="FFFFFF"/>
        </w:rPr>
        <w:t xml:space="preserve">T. </w:t>
      </w:r>
      <w:r w:rsidRPr="00A56606">
        <w:rPr>
          <w:color w:val="222222"/>
          <w:shd w:val="clear" w:color="auto" w:fill="FFFFFF"/>
        </w:rPr>
        <w:t>Ashe</w:t>
      </w:r>
      <w:r w:rsidR="004276ED" w:rsidRPr="00A56606">
        <w:rPr>
          <w:color w:val="222222"/>
          <w:shd w:val="clear" w:color="auto" w:fill="FFFFFF"/>
        </w:rPr>
        <w:t>.</w:t>
      </w:r>
      <w:r w:rsidRPr="00A56606">
        <w:rPr>
          <w:color w:val="222222"/>
          <w:shd w:val="clear" w:color="auto" w:fill="FFFFFF"/>
        </w:rPr>
        <w:t xml:space="preserve"> 2012. </w:t>
      </w:r>
      <w:r w:rsidR="003603F1">
        <w:rPr>
          <w:color w:val="222222"/>
          <w:shd w:val="clear" w:color="auto" w:fill="FFFFFF"/>
        </w:rPr>
        <w:t>“</w:t>
      </w:r>
      <w:r w:rsidRPr="00A56606">
        <w:rPr>
          <w:color w:val="222222"/>
          <w:shd w:val="clear" w:color="auto" w:fill="FFFFFF"/>
        </w:rPr>
        <w:t xml:space="preserve">Cross-national </w:t>
      </w:r>
      <w:r w:rsidR="003603F1">
        <w:rPr>
          <w:color w:val="222222"/>
          <w:shd w:val="clear" w:color="auto" w:fill="FFFFFF"/>
        </w:rPr>
        <w:t>C</w:t>
      </w:r>
      <w:r w:rsidRPr="00A56606">
        <w:rPr>
          <w:color w:val="222222"/>
          <w:shd w:val="clear" w:color="auto" w:fill="FFFFFF"/>
        </w:rPr>
        <w:t xml:space="preserve">omparison of the </w:t>
      </w:r>
      <w:r w:rsidR="003603F1">
        <w:rPr>
          <w:color w:val="222222"/>
          <w:shd w:val="clear" w:color="auto" w:fill="FFFFFF"/>
        </w:rPr>
        <w:t>P</w:t>
      </w:r>
      <w:r w:rsidRPr="00A56606">
        <w:rPr>
          <w:color w:val="222222"/>
          <w:shd w:val="clear" w:color="auto" w:fill="FFFFFF"/>
        </w:rPr>
        <w:t xml:space="preserve">resence of </w:t>
      </w:r>
      <w:r w:rsidR="003603F1">
        <w:rPr>
          <w:color w:val="222222"/>
          <w:shd w:val="clear" w:color="auto" w:fill="FFFFFF"/>
        </w:rPr>
        <w:t>C</w:t>
      </w:r>
      <w:r w:rsidRPr="00A56606">
        <w:rPr>
          <w:color w:val="222222"/>
          <w:shd w:val="clear" w:color="auto" w:fill="FFFFFF"/>
        </w:rPr>
        <w:t xml:space="preserve">limate </w:t>
      </w:r>
      <w:r w:rsidR="003603F1">
        <w:rPr>
          <w:color w:val="222222"/>
          <w:shd w:val="clear" w:color="auto" w:fill="FFFFFF"/>
        </w:rPr>
        <w:t>S</w:t>
      </w:r>
      <w:r w:rsidRPr="00A56606">
        <w:rPr>
          <w:color w:val="222222"/>
          <w:shd w:val="clear" w:color="auto" w:fill="FFFFFF"/>
        </w:rPr>
        <w:t xml:space="preserve">cepticism in the </w:t>
      </w:r>
      <w:r w:rsidR="003603F1">
        <w:rPr>
          <w:color w:val="222222"/>
          <w:shd w:val="clear" w:color="auto" w:fill="FFFFFF"/>
        </w:rPr>
        <w:t>P</w:t>
      </w:r>
      <w:r w:rsidRPr="00A56606">
        <w:rPr>
          <w:color w:val="222222"/>
          <w:shd w:val="clear" w:color="auto" w:fill="FFFFFF"/>
        </w:rPr>
        <w:t xml:space="preserve">rint </w:t>
      </w:r>
      <w:r w:rsidR="003603F1">
        <w:rPr>
          <w:color w:val="222222"/>
          <w:shd w:val="clear" w:color="auto" w:fill="FFFFFF"/>
        </w:rPr>
        <w:t>M</w:t>
      </w:r>
      <w:r w:rsidRPr="00A56606">
        <w:rPr>
          <w:color w:val="222222"/>
          <w:shd w:val="clear" w:color="auto" w:fill="FFFFFF"/>
        </w:rPr>
        <w:t xml:space="preserve">edia in </w:t>
      </w:r>
      <w:r w:rsidR="003603F1">
        <w:rPr>
          <w:color w:val="222222"/>
          <w:shd w:val="clear" w:color="auto" w:fill="FFFFFF"/>
        </w:rPr>
        <w:t>S</w:t>
      </w:r>
      <w:r w:rsidRPr="00A56606">
        <w:rPr>
          <w:color w:val="222222"/>
          <w:shd w:val="clear" w:color="auto" w:fill="FFFFFF"/>
        </w:rPr>
        <w:t xml:space="preserve">ix </w:t>
      </w:r>
      <w:r w:rsidR="003603F1">
        <w:rPr>
          <w:color w:val="222222"/>
          <w:shd w:val="clear" w:color="auto" w:fill="FFFFFF"/>
        </w:rPr>
        <w:t>C</w:t>
      </w:r>
      <w:r w:rsidRPr="00A56606">
        <w:rPr>
          <w:color w:val="222222"/>
          <w:shd w:val="clear" w:color="auto" w:fill="FFFFFF"/>
        </w:rPr>
        <w:t>ountries, 2007–10.</w:t>
      </w:r>
      <w:r w:rsidR="003603F1">
        <w:rPr>
          <w:color w:val="222222"/>
          <w:shd w:val="clear" w:color="auto" w:fill="FFFFFF"/>
        </w:rPr>
        <w:t>”</w:t>
      </w:r>
      <w:r w:rsidRPr="00A56606">
        <w:rPr>
          <w:color w:val="222222"/>
          <w:shd w:val="clear" w:color="auto" w:fill="FFFFFF"/>
        </w:rPr>
        <w:t xml:space="preserve"> </w:t>
      </w:r>
      <w:r w:rsidRPr="00A56606">
        <w:rPr>
          <w:i/>
          <w:iCs/>
          <w:color w:val="222222"/>
          <w:shd w:val="clear" w:color="auto" w:fill="FFFFFF"/>
        </w:rPr>
        <w:t>Environmental Research Letters</w:t>
      </w:r>
      <w:r w:rsidRPr="00A56606">
        <w:rPr>
          <w:color w:val="222222"/>
          <w:shd w:val="clear" w:color="auto" w:fill="FFFFFF"/>
        </w:rPr>
        <w:t xml:space="preserve"> 7</w:t>
      </w:r>
      <w:r w:rsidR="003603F1">
        <w:rPr>
          <w:color w:val="222222"/>
          <w:shd w:val="clear" w:color="auto" w:fill="FFFFFF"/>
        </w:rPr>
        <w:t xml:space="preserve"> </w:t>
      </w:r>
      <w:r w:rsidRPr="00A56606">
        <w:rPr>
          <w:color w:val="222222"/>
          <w:shd w:val="clear" w:color="auto" w:fill="FFFFFF"/>
        </w:rPr>
        <w:t>(4): 044005.</w:t>
      </w:r>
    </w:p>
    <w:p w14:paraId="43D772CE" w14:textId="6E123DFE" w:rsidR="005C5C2F" w:rsidRPr="00436BB1" w:rsidRDefault="005C5C2F" w:rsidP="00C101C1">
      <w:pPr>
        <w:pStyle w:val="ListParagraph"/>
        <w:spacing w:line="480" w:lineRule="auto"/>
        <w:ind w:left="0"/>
      </w:pPr>
      <w:r w:rsidRPr="00436BB1">
        <w:t xml:space="preserve">Peel, J. 2011. </w:t>
      </w:r>
      <w:r w:rsidR="003603F1">
        <w:t>“</w:t>
      </w:r>
      <w:r w:rsidRPr="00436BB1">
        <w:t xml:space="preserve">Issues in </w:t>
      </w:r>
      <w:r w:rsidR="003603F1">
        <w:t>C</w:t>
      </w:r>
      <w:r w:rsidRPr="00436BB1">
        <w:t xml:space="preserve">limate </w:t>
      </w:r>
      <w:r w:rsidR="003603F1">
        <w:t>C</w:t>
      </w:r>
      <w:r w:rsidRPr="00436BB1">
        <w:t xml:space="preserve">hange </w:t>
      </w:r>
      <w:r w:rsidR="003603F1">
        <w:t>L</w:t>
      </w:r>
      <w:r w:rsidRPr="00436BB1">
        <w:t>itigation.</w:t>
      </w:r>
      <w:r w:rsidR="003603F1">
        <w:t>”</w:t>
      </w:r>
      <w:r w:rsidRPr="00436BB1">
        <w:t xml:space="preserve"> </w:t>
      </w:r>
      <w:r w:rsidRPr="00436BB1">
        <w:rPr>
          <w:i/>
          <w:iCs/>
        </w:rPr>
        <w:t>Carbon and Climate Law Review</w:t>
      </w:r>
      <w:r w:rsidRPr="00436BB1">
        <w:t xml:space="preserve"> 5</w:t>
      </w:r>
      <w:r w:rsidR="003603F1">
        <w:t xml:space="preserve"> </w:t>
      </w:r>
      <w:r w:rsidRPr="00436BB1">
        <w:t>(1)</w:t>
      </w:r>
      <w:r w:rsidR="003603F1">
        <w:t>:</w:t>
      </w:r>
      <w:r w:rsidRPr="00436BB1">
        <w:t xml:space="preserve"> 15–24. </w:t>
      </w:r>
      <w:r w:rsidRPr="003603F1">
        <w:t>https://doi.org/10.21552/CCLR/2011/1/162</w:t>
      </w:r>
      <w:r w:rsidRPr="00436BB1">
        <w:t xml:space="preserve"> </w:t>
      </w:r>
    </w:p>
    <w:p w14:paraId="645BB15A" w14:textId="6D2B1967" w:rsidR="006B7A10" w:rsidRPr="00A56606" w:rsidRDefault="006B7A10" w:rsidP="00C101C1">
      <w:pPr>
        <w:pStyle w:val="ListParagraph"/>
        <w:spacing w:line="480" w:lineRule="auto"/>
        <w:ind w:left="0"/>
      </w:pPr>
      <w:r w:rsidRPr="00A56606">
        <w:lastRenderedPageBreak/>
        <w:t>Peel J.</w:t>
      </w:r>
      <w:r w:rsidR="004276ED" w:rsidRPr="00A56606">
        <w:t>,</w:t>
      </w:r>
      <w:r w:rsidRPr="00A56606">
        <w:t xml:space="preserve"> and </w:t>
      </w:r>
      <w:r w:rsidR="00A679A8">
        <w:t xml:space="preserve">J. </w:t>
      </w:r>
      <w:r w:rsidRPr="00A56606">
        <w:t xml:space="preserve">Lin. 2019. </w:t>
      </w:r>
      <w:r w:rsidR="00A679A8">
        <w:t>“</w:t>
      </w:r>
      <w:r w:rsidRPr="00A56606">
        <w:t>Transnational Climate Litigation: The Contribution of the Global South</w:t>
      </w:r>
      <w:r w:rsidR="00A679A8">
        <w:t>.”</w:t>
      </w:r>
      <w:r w:rsidRPr="00A56606">
        <w:t xml:space="preserve"> </w:t>
      </w:r>
      <w:r w:rsidRPr="00A56606">
        <w:rPr>
          <w:i/>
        </w:rPr>
        <w:t>American Journal of International Law</w:t>
      </w:r>
      <w:r w:rsidRPr="00A56606">
        <w:t xml:space="preserve"> 113</w:t>
      </w:r>
      <w:r w:rsidR="00A679A8">
        <w:t xml:space="preserve"> </w:t>
      </w:r>
      <w:r w:rsidRPr="00A56606">
        <w:t>(4): 679</w:t>
      </w:r>
      <w:r w:rsidR="00A679A8">
        <w:t>–</w:t>
      </w:r>
      <w:r w:rsidRPr="00A56606">
        <w:t>726.</w:t>
      </w:r>
    </w:p>
    <w:p w14:paraId="2434FA2B" w14:textId="28BA3B4C" w:rsidR="00077A34" w:rsidRPr="00436BB1" w:rsidRDefault="006B7A10" w:rsidP="00C101C1">
      <w:pPr>
        <w:pStyle w:val="ListParagraph"/>
        <w:spacing w:line="480" w:lineRule="auto"/>
        <w:ind w:left="0"/>
      </w:pPr>
      <w:r w:rsidRPr="00255A7E">
        <w:t xml:space="preserve">Peel, J., and </w:t>
      </w:r>
      <w:r w:rsidR="00244F07">
        <w:t xml:space="preserve">H. M. </w:t>
      </w:r>
      <w:r w:rsidRPr="00255A7E">
        <w:t xml:space="preserve">Osofsky. 2015. </w:t>
      </w:r>
      <w:r w:rsidRPr="00255A7E">
        <w:rPr>
          <w:i/>
          <w:iCs/>
        </w:rPr>
        <w:t xml:space="preserve">Climate </w:t>
      </w:r>
      <w:r w:rsidR="00244F07">
        <w:rPr>
          <w:i/>
          <w:iCs/>
        </w:rPr>
        <w:t>C</w:t>
      </w:r>
      <w:r w:rsidRPr="00255A7E">
        <w:rPr>
          <w:i/>
          <w:iCs/>
        </w:rPr>
        <w:t xml:space="preserve">hange </w:t>
      </w:r>
      <w:r w:rsidR="00244F07">
        <w:rPr>
          <w:i/>
          <w:iCs/>
        </w:rPr>
        <w:t>L</w:t>
      </w:r>
      <w:r w:rsidRPr="00255A7E">
        <w:rPr>
          <w:i/>
          <w:iCs/>
        </w:rPr>
        <w:t xml:space="preserve">itigation </w:t>
      </w:r>
      <w:r w:rsidR="00244F07">
        <w:rPr>
          <w:i/>
          <w:iCs/>
        </w:rPr>
        <w:t>R</w:t>
      </w:r>
      <w:r w:rsidRPr="00255A7E">
        <w:rPr>
          <w:i/>
          <w:iCs/>
        </w:rPr>
        <w:t xml:space="preserve">egulatory </w:t>
      </w:r>
      <w:r w:rsidR="00244F07">
        <w:rPr>
          <w:i/>
          <w:iCs/>
        </w:rPr>
        <w:t>P</w:t>
      </w:r>
      <w:r w:rsidRPr="00255A7E">
        <w:rPr>
          <w:i/>
          <w:iCs/>
        </w:rPr>
        <w:t xml:space="preserve">athways to </w:t>
      </w:r>
      <w:r w:rsidR="00244F07">
        <w:rPr>
          <w:i/>
          <w:iCs/>
        </w:rPr>
        <w:t>C</w:t>
      </w:r>
      <w:r w:rsidRPr="00255A7E">
        <w:rPr>
          <w:i/>
          <w:iCs/>
        </w:rPr>
        <w:t xml:space="preserve">leaner </w:t>
      </w:r>
      <w:r w:rsidR="00244F07">
        <w:rPr>
          <w:i/>
          <w:iCs/>
        </w:rPr>
        <w:t>E</w:t>
      </w:r>
      <w:r w:rsidRPr="00255A7E">
        <w:rPr>
          <w:i/>
          <w:iCs/>
        </w:rPr>
        <w:t>nergy</w:t>
      </w:r>
      <w:r w:rsidRPr="00255A7E">
        <w:t>. Cambridge, MA: Cambridge University Press.</w:t>
      </w:r>
    </w:p>
    <w:p w14:paraId="6B19DED7" w14:textId="152022D2" w:rsidR="005C5C2F" w:rsidRPr="00436BB1" w:rsidRDefault="005C5C2F" w:rsidP="00C101C1">
      <w:pPr>
        <w:pStyle w:val="ListParagraph"/>
        <w:spacing w:line="480" w:lineRule="auto"/>
        <w:ind w:left="0"/>
      </w:pPr>
      <w:r w:rsidRPr="00436BB1">
        <w:t xml:space="preserve">Preston, B. J. 2011. </w:t>
      </w:r>
      <w:r w:rsidR="00244F07">
        <w:t>“</w:t>
      </w:r>
      <w:r w:rsidRPr="00436BB1">
        <w:t xml:space="preserve">Climate </w:t>
      </w:r>
      <w:r w:rsidR="00244F07">
        <w:t>C</w:t>
      </w:r>
      <w:r w:rsidRPr="00436BB1">
        <w:t xml:space="preserve">hange </w:t>
      </w:r>
      <w:r w:rsidR="00244F07">
        <w:t>L</w:t>
      </w:r>
      <w:r w:rsidRPr="00436BB1">
        <w:t>itigation (part 1).</w:t>
      </w:r>
      <w:r w:rsidR="00244F07">
        <w:t>”</w:t>
      </w:r>
      <w:r w:rsidRPr="00436BB1">
        <w:t xml:space="preserve"> </w:t>
      </w:r>
      <w:r w:rsidRPr="00436BB1">
        <w:rPr>
          <w:i/>
          <w:iCs/>
        </w:rPr>
        <w:t>Carbon &amp; Climate Law Review</w:t>
      </w:r>
      <w:r w:rsidRPr="00436BB1">
        <w:t xml:space="preserve"> 5</w:t>
      </w:r>
      <w:r w:rsidR="00244F07">
        <w:t xml:space="preserve"> </w:t>
      </w:r>
      <w:r w:rsidRPr="00436BB1">
        <w:t>(1)</w:t>
      </w:r>
      <w:r w:rsidR="00244F07">
        <w:t>:</w:t>
      </w:r>
      <w:r w:rsidRPr="00436BB1">
        <w:t xml:space="preserve"> 3–14.</w:t>
      </w:r>
    </w:p>
    <w:p w14:paraId="3D11CF2E" w14:textId="25D6E96D" w:rsidR="000A1CCF" w:rsidRPr="00A56606" w:rsidRDefault="000A1CCF" w:rsidP="00C101C1">
      <w:pPr>
        <w:pStyle w:val="ListParagraph"/>
        <w:spacing w:line="480" w:lineRule="auto"/>
        <w:ind w:left="0"/>
      </w:pPr>
      <w:r w:rsidRPr="00A56606">
        <w:t xml:space="preserve">Rogelj, J., </w:t>
      </w:r>
      <w:r w:rsidR="008D46F6">
        <w:t xml:space="preserve">M. </w:t>
      </w:r>
      <w:r w:rsidRPr="00A56606">
        <w:t xml:space="preserve">Den Elzen, </w:t>
      </w:r>
      <w:r w:rsidR="008D46F6">
        <w:t>N.</w:t>
      </w:r>
      <w:r w:rsidRPr="00A56606">
        <w:t xml:space="preserve"> Höhne, </w:t>
      </w:r>
      <w:r w:rsidR="008D46F6">
        <w:t>T.</w:t>
      </w:r>
      <w:r w:rsidRPr="00A56606">
        <w:t xml:space="preserve"> Fransen, </w:t>
      </w:r>
      <w:r w:rsidR="008D46F6">
        <w:t>H.</w:t>
      </w:r>
      <w:r w:rsidRPr="00A56606">
        <w:t xml:space="preserve"> Fekete, </w:t>
      </w:r>
      <w:r w:rsidR="008D46F6">
        <w:t>H.</w:t>
      </w:r>
      <w:r w:rsidRPr="00A56606">
        <w:t xml:space="preserve"> Winkler, </w:t>
      </w:r>
      <w:r w:rsidR="008D46F6">
        <w:t>R.</w:t>
      </w:r>
      <w:r w:rsidRPr="00A56606">
        <w:t xml:space="preserve"> Schaeffer, </w:t>
      </w:r>
      <w:r w:rsidR="008D46F6">
        <w:t>F.</w:t>
      </w:r>
      <w:r w:rsidRPr="00A56606">
        <w:t xml:space="preserve"> Sha, </w:t>
      </w:r>
      <w:r w:rsidR="008D46F6">
        <w:t xml:space="preserve">K. </w:t>
      </w:r>
      <w:r w:rsidRPr="00A56606">
        <w:t>Riahi, and</w:t>
      </w:r>
      <w:r w:rsidR="008D46F6">
        <w:t xml:space="preserve"> M.</w:t>
      </w:r>
      <w:r w:rsidRPr="00A56606">
        <w:t xml:space="preserve"> Meinshausen. 2016. </w:t>
      </w:r>
      <w:r w:rsidR="008D46F6">
        <w:t>“</w:t>
      </w:r>
      <w:r w:rsidRPr="00A56606">
        <w:t xml:space="preserve">Paris Agreement </w:t>
      </w:r>
      <w:r w:rsidR="008D46F6">
        <w:t>C</w:t>
      </w:r>
      <w:r w:rsidRPr="00A56606">
        <w:t xml:space="preserve">limate </w:t>
      </w:r>
      <w:r w:rsidR="008D46F6">
        <w:t>P</w:t>
      </w:r>
      <w:r w:rsidRPr="00A56606">
        <w:t xml:space="preserve">roposals </w:t>
      </w:r>
      <w:r w:rsidR="008D46F6">
        <w:t>N</w:t>
      </w:r>
      <w:r w:rsidRPr="00A56606">
        <w:t xml:space="preserve">eed a </w:t>
      </w:r>
      <w:r w:rsidR="008D46F6">
        <w:t>B</w:t>
      </w:r>
      <w:r w:rsidRPr="00A56606">
        <w:t xml:space="preserve">oost to </w:t>
      </w:r>
      <w:r w:rsidR="008D46F6">
        <w:t>K</w:t>
      </w:r>
      <w:r w:rsidRPr="00A56606">
        <w:t xml:space="preserve">eep </w:t>
      </w:r>
      <w:r w:rsidR="008D46F6">
        <w:t>W</w:t>
      </w:r>
      <w:r w:rsidRPr="00A56606">
        <w:t xml:space="preserve">arming </w:t>
      </w:r>
      <w:r w:rsidR="008D46F6">
        <w:t>W</w:t>
      </w:r>
      <w:r w:rsidRPr="00A56606">
        <w:t xml:space="preserve">ell </w:t>
      </w:r>
      <w:r w:rsidR="008D46F6">
        <w:t>B</w:t>
      </w:r>
      <w:r w:rsidRPr="00A56606">
        <w:t>elow 2 C.</w:t>
      </w:r>
      <w:r w:rsidR="008D46F6">
        <w:t>”</w:t>
      </w:r>
      <w:r w:rsidRPr="00A56606">
        <w:t xml:space="preserve"> </w:t>
      </w:r>
      <w:r w:rsidRPr="00A56606">
        <w:rPr>
          <w:i/>
          <w:iCs/>
        </w:rPr>
        <w:t>Nature</w:t>
      </w:r>
      <w:r w:rsidRPr="00A56606">
        <w:t xml:space="preserve"> 534</w:t>
      </w:r>
      <w:r w:rsidR="008D46F6">
        <w:t xml:space="preserve"> </w:t>
      </w:r>
      <w:r w:rsidRPr="00A56606">
        <w:t>(7609)</w:t>
      </w:r>
      <w:r w:rsidR="008D46F6">
        <w:t>:</w:t>
      </w:r>
      <w:r w:rsidRPr="00A56606">
        <w:t xml:space="preserve"> 631</w:t>
      </w:r>
      <w:r w:rsidR="008D46F6">
        <w:t>–</w:t>
      </w:r>
      <w:r w:rsidRPr="00A56606">
        <w:t>9.</w:t>
      </w:r>
    </w:p>
    <w:p w14:paraId="0E5AF67B" w14:textId="423DD4D1" w:rsidR="00EA0A77" w:rsidRPr="00436BB1" w:rsidRDefault="00EA0A77" w:rsidP="00C101C1">
      <w:pPr>
        <w:pStyle w:val="ListParagraph"/>
        <w:spacing w:line="480" w:lineRule="auto"/>
        <w:ind w:left="0"/>
        <w:rPr>
          <w:color w:val="222222"/>
          <w:shd w:val="clear" w:color="auto" w:fill="FFFFFF"/>
        </w:rPr>
      </w:pPr>
      <w:r w:rsidRPr="00A56606">
        <w:rPr>
          <w:color w:val="222222"/>
          <w:shd w:val="clear" w:color="auto" w:fill="FFFFFF"/>
        </w:rPr>
        <w:t>Scotford, E.</w:t>
      </w:r>
      <w:r w:rsidR="004276ED" w:rsidRPr="00A56606">
        <w:rPr>
          <w:color w:val="222222"/>
          <w:shd w:val="clear" w:color="auto" w:fill="FFFFFF"/>
        </w:rPr>
        <w:t>,</w:t>
      </w:r>
      <w:r w:rsidRPr="00255A7E">
        <w:rPr>
          <w:color w:val="222222"/>
          <w:shd w:val="clear" w:color="auto" w:fill="FFFFFF"/>
        </w:rPr>
        <w:t xml:space="preserve"> and </w:t>
      </w:r>
      <w:r w:rsidR="008D46F6">
        <w:rPr>
          <w:color w:val="222222"/>
          <w:shd w:val="clear" w:color="auto" w:fill="FFFFFF"/>
        </w:rPr>
        <w:t xml:space="preserve">S. </w:t>
      </w:r>
      <w:r w:rsidRPr="00255A7E">
        <w:rPr>
          <w:color w:val="222222"/>
          <w:shd w:val="clear" w:color="auto" w:fill="FFFFFF"/>
        </w:rPr>
        <w:t xml:space="preserve">Minas. 2019. </w:t>
      </w:r>
      <w:r w:rsidR="008D46F6">
        <w:rPr>
          <w:color w:val="222222"/>
          <w:shd w:val="clear" w:color="auto" w:fill="FFFFFF"/>
        </w:rPr>
        <w:t>“</w:t>
      </w:r>
      <w:r w:rsidRPr="00255A7E">
        <w:rPr>
          <w:color w:val="222222"/>
          <w:shd w:val="clear" w:color="auto" w:fill="FFFFFF"/>
        </w:rPr>
        <w:t xml:space="preserve">Probing the </w:t>
      </w:r>
      <w:r w:rsidR="008D46F6">
        <w:rPr>
          <w:color w:val="222222"/>
          <w:shd w:val="clear" w:color="auto" w:fill="FFFFFF"/>
        </w:rPr>
        <w:t>H</w:t>
      </w:r>
      <w:r w:rsidRPr="00255A7E">
        <w:rPr>
          <w:color w:val="222222"/>
          <w:shd w:val="clear" w:color="auto" w:fill="FFFFFF"/>
        </w:rPr>
        <w:t xml:space="preserve">idden </w:t>
      </w:r>
      <w:r w:rsidR="008D46F6">
        <w:rPr>
          <w:color w:val="222222"/>
          <w:shd w:val="clear" w:color="auto" w:fill="FFFFFF"/>
        </w:rPr>
        <w:t>D</w:t>
      </w:r>
      <w:r w:rsidRPr="00255A7E">
        <w:rPr>
          <w:color w:val="222222"/>
          <w:shd w:val="clear" w:color="auto" w:fill="FFFFFF"/>
        </w:rPr>
        <w:t xml:space="preserve">epths of </w:t>
      </w:r>
      <w:r w:rsidR="008D46F6">
        <w:rPr>
          <w:color w:val="222222"/>
          <w:shd w:val="clear" w:color="auto" w:fill="FFFFFF"/>
        </w:rPr>
        <w:t>C</w:t>
      </w:r>
      <w:r w:rsidRPr="00255A7E">
        <w:rPr>
          <w:color w:val="222222"/>
          <w:shd w:val="clear" w:color="auto" w:fill="FFFFFF"/>
        </w:rPr>
        <w:t xml:space="preserve">limate </w:t>
      </w:r>
      <w:r w:rsidR="008D46F6">
        <w:rPr>
          <w:color w:val="222222"/>
          <w:shd w:val="clear" w:color="auto" w:fill="FFFFFF"/>
        </w:rPr>
        <w:t>L</w:t>
      </w:r>
      <w:r w:rsidRPr="00255A7E">
        <w:rPr>
          <w:color w:val="222222"/>
          <w:shd w:val="clear" w:color="auto" w:fill="FFFFFF"/>
        </w:rPr>
        <w:t xml:space="preserve">aw: Analysing </w:t>
      </w:r>
      <w:r w:rsidR="008D46F6">
        <w:rPr>
          <w:color w:val="222222"/>
          <w:shd w:val="clear" w:color="auto" w:fill="FFFFFF"/>
        </w:rPr>
        <w:t>N</w:t>
      </w:r>
      <w:r w:rsidRPr="00255A7E">
        <w:rPr>
          <w:color w:val="222222"/>
          <w:shd w:val="clear" w:color="auto" w:fill="FFFFFF"/>
        </w:rPr>
        <w:t xml:space="preserve">ational </w:t>
      </w:r>
      <w:r w:rsidR="008D46F6">
        <w:rPr>
          <w:color w:val="222222"/>
          <w:shd w:val="clear" w:color="auto" w:fill="FFFFFF"/>
        </w:rPr>
        <w:t>C</w:t>
      </w:r>
      <w:r w:rsidRPr="00255A7E">
        <w:rPr>
          <w:color w:val="222222"/>
          <w:shd w:val="clear" w:color="auto" w:fill="FFFFFF"/>
        </w:rPr>
        <w:t xml:space="preserve">limate </w:t>
      </w:r>
      <w:r w:rsidR="008D46F6">
        <w:rPr>
          <w:color w:val="222222"/>
          <w:shd w:val="clear" w:color="auto" w:fill="FFFFFF"/>
        </w:rPr>
        <w:t>C</w:t>
      </w:r>
      <w:r w:rsidRPr="00255A7E">
        <w:rPr>
          <w:color w:val="222222"/>
          <w:shd w:val="clear" w:color="auto" w:fill="FFFFFF"/>
        </w:rPr>
        <w:t xml:space="preserve">hange </w:t>
      </w:r>
      <w:r w:rsidR="008D46F6">
        <w:rPr>
          <w:color w:val="222222"/>
          <w:shd w:val="clear" w:color="auto" w:fill="FFFFFF"/>
        </w:rPr>
        <w:t>L</w:t>
      </w:r>
      <w:r w:rsidRPr="00255A7E">
        <w:rPr>
          <w:color w:val="222222"/>
          <w:shd w:val="clear" w:color="auto" w:fill="FFFFFF"/>
        </w:rPr>
        <w:t>egislation.</w:t>
      </w:r>
      <w:r w:rsidR="008D46F6">
        <w:rPr>
          <w:color w:val="222222"/>
          <w:shd w:val="clear" w:color="auto" w:fill="FFFFFF"/>
        </w:rPr>
        <w:t>”</w:t>
      </w:r>
      <w:r w:rsidRPr="00255A7E">
        <w:rPr>
          <w:color w:val="222222"/>
          <w:shd w:val="clear" w:color="auto" w:fill="FFFFFF"/>
        </w:rPr>
        <w:t xml:space="preserve"> </w:t>
      </w:r>
      <w:r w:rsidRPr="008D46F6">
        <w:rPr>
          <w:i/>
          <w:color w:val="222222"/>
          <w:shd w:val="clear" w:color="auto" w:fill="FFFFFF"/>
        </w:rPr>
        <w:t>Review of European,</w:t>
      </w:r>
      <w:r w:rsidRPr="00255A7E">
        <w:rPr>
          <w:color w:val="222222"/>
          <w:shd w:val="clear" w:color="auto" w:fill="FFFFFF"/>
        </w:rPr>
        <w:t xml:space="preserve"> </w:t>
      </w:r>
      <w:r w:rsidRPr="00436BB1">
        <w:rPr>
          <w:i/>
          <w:iCs/>
          <w:color w:val="222222"/>
          <w:shd w:val="clear" w:color="auto" w:fill="FFFFFF"/>
        </w:rPr>
        <w:t>Comparative and International Environmental Law</w:t>
      </w:r>
      <w:r w:rsidRPr="00436BB1">
        <w:rPr>
          <w:color w:val="222222"/>
          <w:shd w:val="clear" w:color="auto" w:fill="FFFFFF"/>
        </w:rPr>
        <w:t xml:space="preserve"> 28</w:t>
      </w:r>
      <w:r w:rsidR="008D46F6">
        <w:rPr>
          <w:color w:val="222222"/>
          <w:shd w:val="clear" w:color="auto" w:fill="FFFFFF"/>
        </w:rPr>
        <w:t xml:space="preserve"> </w:t>
      </w:r>
      <w:r w:rsidRPr="00436BB1">
        <w:rPr>
          <w:color w:val="222222"/>
          <w:shd w:val="clear" w:color="auto" w:fill="FFFFFF"/>
        </w:rPr>
        <w:t>(1)</w:t>
      </w:r>
      <w:r w:rsidR="008D46F6">
        <w:rPr>
          <w:color w:val="222222"/>
          <w:shd w:val="clear" w:color="auto" w:fill="FFFFFF"/>
        </w:rPr>
        <w:t>:</w:t>
      </w:r>
      <w:r w:rsidRPr="00436BB1">
        <w:rPr>
          <w:color w:val="222222"/>
          <w:shd w:val="clear" w:color="auto" w:fill="FFFFFF"/>
        </w:rPr>
        <w:t xml:space="preserve"> 67</w:t>
      </w:r>
      <w:r w:rsidR="008D46F6">
        <w:rPr>
          <w:color w:val="222222"/>
          <w:shd w:val="clear" w:color="auto" w:fill="FFFFFF"/>
        </w:rPr>
        <w:t>–</w:t>
      </w:r>
      <w:r w:rsidRPr="00436BB1">
        <w:rPr>
          <w:color w:val="222222"/>
          <w:shd w:val="clear" w:color="auto" w:fill="FFFFFF"/>
        </w:rPr>
        <w:t>81.</w:t>
      </w:r>
    </w:p>
    <w:p w14:paraId="08372478" w14:textId="124FD052" w:rsidR="003E321E" w:rsidRDefault="003E321E" w:rsidP="00C101C1">
      <w:pPr>
        <w:pStyle w:val="ListParagraph"/>
        <w:spacing w:line="480" w:lineRule="auto"/>
        <w:ind w:left="0"/>
        <w:rPr>
          <w:color w:val="222222"/>
          <w:shd w:val="clear" w:color="auto" w:fill="FFFFFF"/>
        </w:rPr>
      </w:pPr>
      <w:r w:rsidRPr="003E321E">
        <w:rPr>
          <w:color w:val="222222"/>
          <w:shd w:val="clear" w:color="auto" w:fill="FFFFFF"/>
        </w:rPr>
        <w:t>Setzer, J.</w:t>
      </w:r>
      <w:r w:rsidR="003A7410">
        <w:rPr>
          <w:color w:val="222222"/>
          <w:shd w:val="clear" w:color="auto" w:fill="FFFFFF"/>
        </w:rPr>
        <w:t>,</w:t>
      </w:r>
      <w:r w:rsidRPr="003E321E">
        <w:rPr>
          <w:color w:val="222222"/>
          <w:shd w:val="clear" w:color="auto" w:fill="FFFFFF"/>
        </w:rPr>
        <w:t xml:space="preserve"> and</w:t>
      </w:r>
      <w:r w:rsidR="003A7410">
        <w:rPr>
          <w:color w:val="222222"/>
          <w:shd w:val="clear" w:color="auto" w:fill="FFFFFF"/>
        </w:rPr>
        <w:t xml:space="preserve"> M.</w:t>
      </w:r>
      <w:r w:rsidRPr="003E321E">
        <w:rPr>
          <w:color w:val="222222"/>
          <w:shd w:val="clear" w:color="auto" w:fill="FFFFFF"/>
        </w:rPr>
        <w:t xml:space="preserve"> Bangalore. 2017. </w:t>
      </w:r>
      <w:r w:rsidR="003A7410">
        <w:rPr>
          <w:color w:val="222222"/>
          <w:shd w:val="clear" w:color="auto" w:fill="FFFFFF"/>
        </w:rPr>
        <w:t>“</w:t>
      </w:r>
      <w:r w:rsidRPr="003E321E">
        <w:rPr>
          <w:color w:val="222222"/>
          <w:shd w:val="clear" w:color="auto" w:fill="FFFFFF"/>
        </w:rPr>
        <w:t xml:space="preserve">Regulating </w:t>
      </w:r>
      <w:r w:rsidR="003A7410">
        <w:rPr>
          <w:color w:val="222222"/>
          <w:shd w:val="clear" w:color="auto" w:fill="FFFFFF"/>
        </w:rPr>
        <w:t>C</w:t>
      </w:r>
      <w:r w:rsidRPr="003E321E">
        <w:rPr>
          <w:color w:val="222222"/>
          <w:shd w:val="clear" w:color="auto" w:fill="FFFFFF"/>
        </w:rPr>
        <w:t xml:space="preserve">limate </w:t>
      </w:r>
      <w:r w:rsidR="003A7410">
        <w:rPr>
          <w:color w:val="222222"/>
          <w:shd w:val="clear" w:color="auto" w:fill="FFFFFF"/>
        </w:rPr>
        <w:t>C</w:t>
      </w:r>
      <w:r w:rsidRPr="003E321E">
        <w:rPr>
          <w:color w:val="222222"/>
          <w:shd w:val="clear" w:color="auto" w:fill="FFFFFF"/>
        </w:rPr>
        <w:t xml:space="preserve">hange in the </w:t>
      </w:r>
      <w:r w:rsidR="003A7410">
        <w:rPr>
          <w:color w:val="222222"/>
          <w:shd w:val="clear" w:color="auto" w:fill="FFFFFF"/>
        </w:rPr>
        <w:t>C</w:t>
      </w:r>
      <w:r w:rsidRPr="003E321E">
        <w:rPr>
          <w:color w:val="222222"/>
          <w:shd w:val="clear" w:color="auto" w:fill="FFFFFF"/>
        </w:rPr>
        <w:t>ourts</w:t>
      </w:r>
      <w:r w:rsidR="003A7410">
        <w:rPr>
          <w:color w:val="222222"/>
          <w:shd w:val="clear" w:color="auto" w:fill="FFFFFF"/>
        </w:rPr>
        <w:t>.”</w:t>
      </w:r>
      <w:r w:rsidRPr="003E321E">
        <w:rPr>
          <w:color w:val="222222"/>
          <w:shd w:val="clear" w:color="auto" w:fill="FFFFFF"/>
        </w:rPr>
        <w:t xml:space="preserve"> </w:t>
      </w:r>
      <w:r w:rsidR="003A7410">
        <w:rPr>
          <w:color w:val="222222"/>
          <w:shd w:val="clear" w:color="auto" w:fill="FFFFFF"/>
        </w:rPr>
        <w:t>I</w:t>
      </w:r>
      <w:r w:rsidRPr="003E321E">
        <w:rPr>
          <w:color w:val="222222"/>
          <w:shd w:val="clear" w:color="auto" w:fill="FFFFFF"/>
        </w:rPr>
        <w:t xml:space="preserve">n </w:t>
      </w:r>
      <w:r w:rsidRPr="00A245CF">
        <w:rPr>
          <w:i/>
          <w:iCs/>
          <w:color w:val="222222"/>
          <w:shd w:val="clear" w:color="auto" w:fill="FFFFFF"/>
        </w:rPr>
        <w:t>Trends in Climate Change Legislation</w:t>
      </w:r>
      <w:r w:rsidR="003A7410">
        <w:rPr>
          <w:iCs/>
          <w:color w:val="222222"/>
          <w:shd w:val="clear" w:color="auto" w:fill="FFFFFF"/>
        </w:rPr>
        <w:t xml:space="preserve">, edited by A. </w:t>
      </w:r>
      <w:r w:rsidR="003A7410" w:rsidRPr="003E321E">
        <w:rPr>
          <w:color w:val="222222"/>
          <w:shd w:val="clear" w:color="auto" w:fill="FFFFFF"/>
        </w:rPr>
        <w:t xml:space="preserve">Averchenkova, </w:t>
      </w:r>
      <w:r w:rsidR="003A7410">
        <w:rPr>
          <w:color w:val="222222"/>
          <w:shd w:val="clear" w:color="auto" w:fill="FFFFFF"/>
        </w:rPr>
        <w:t>S.</w:t>
      </w:r>
      <w:r w:rsidR="003A7410" w:rsidRPr="003E321E">
        <w:rPr>
          <w:color w:val="222222"/>
          <w:shd w:val="clear" w:color="auto" w:fill="FFFFFF"/>
        </w:rPr>
        <w:t xml:space="preserve"> Fankhauser, </w:t>
      </w:r>
      <w:r w:rsidR="003A7410">
        <w:rPr>
          <w:color w:val="222222"/>
          <w:shd w:val="clear" w:color="auto" w:fill="FFFFFF"/>
        </w:rPr>
        <w:t>and M.</w:t>
      </w:r>
      <w:r w:rsidR="003A7410" w:rsidRPr="003E321E">
        <w:rPr>
          <w:color w:val="222222"/>
          <w:shd w:val="clear" w:color="auto" w:fill="FFFFFF"/>
        </w:rPr>
        <w:t xml:space="preserve"> Nachmany</w:t>
      </w:r>
      <w:r w:rsidR="003A7410">
        <w:rPr>
          <w:iCs/>
          <w:color w:val="222222"/>
          <w:shd w:val="clear" w:color="auto" w:fill="FFFFFF"/>
        </w:rPr>
        <w:t xml:space="preserve">, </w:t>
      </w:r>
      <w:r w:rsidR="003A7410" w:rsidRPr="003E321E">
        <w:rPr>
          <w:color w:val="222222"/>
          <w:shd w:val="clear" w:color="auto" w:fill="FFFFFF"/>
        </w:rPr>
        <w:t>175</w:t>
      </w:r>
      <w:r w:rsidR="003A7410">
        <w:rPr>
          <w:color w:val="222222"/>
          <w:shd w:val="clear" w:color="auto" w:fill="FFFFFF"/>
        </w:rPr>
        <w:t>–</w:t>
      </w:r>
      <w:r w:rsidR="003A7410" w:rsidRPr="003E321E">
        <w:rPr>
          <w:color w:val="222222"/>
          <w:shd w:val="clear" w:color="auto" w:fill="FFFFFF"/>
        </w:rPr>
        <w:t>92.</w:t>
      </w:r>
      <w:r w:rsidRPr="003E321E">
        <w:rPr>
          <w:color w:val="222222"/>
          <w:shd w:val="clear" w:color="auto" w:fill="FFFFFF"/>
        </w:rPr>
        <w:t xml:space="preserve"> London, Edward Elgar</w:t>
      </w:r>
      <w:r w:rsidR="003A7410">
        <w:rPr>
          <w:color w:val="222222"/>
          <w:shd w:val="clear" w:color="auto" w:fill="FFFFFF"/>
        </w:rPr>
        <w:t>.</w:t>
      </w:r>
      <w:r w:rsidRPr="003E321E">
        <w:rPr>
          <w:color w:val="222222"/>
          <w:shd w:val="clear" w:color="auto" w:fill="FFFFFF"/>
        </w:rPr>
        <w:t xml:space="preserve"> </w:t>
      </w:r>
    </w:p>
    <w:p w14:paraId="57B80744" w14:textId="22FDAA83" w:rsidR="006B7A10" w:rsidRPr="00436BB1" w:rsidRDefault="006B7A10" w:rsidP="00C101C1">
      <w:pPr>
        <w:pStyle w:val="ListParagraph"/>
        <w:spacing w:line="480" w:lineRule="auto"/>
        <w:ind w:left="0"/>
        <w:rPr>
          <w:color w:val="222222"/>
          <w:shd w:val="clear" w:color="auto" w:fill="FFFFFF"/>
        </w:rPr>
      </w:pPr>
      <w:r w:rsidRPr="00436BB1">
        <w:rPr>
          <w:color w:val="222222"/>
          <w:shd w:val="clear" w:color="auto" w:fill="FFFFFF"/>
        </w:rPr>
        <w:t xml:space="preserve">Setzer, J., </w:t>
      </w:r>
      <w:r w:rsidR="00077A34" w:rsidRPr="00436BB1">
        <w:rPr>
          <w:color w:val="222222"/>
          <w:shd w:val="clear" w:color="auto" w:fill="FFFFFF"/>
        </w:rPr>
        <w:t>and</w:t>
      </w:r>
      <w:r w:rsidR="003A7410">
        <w:rPr>
          <w:color w:val="222222"/>
          <w:shd w:val="clear" w:color="auto" w:fill="FFFFFF"/>
        </w:rPr>
        <w:t xml:space="preserve"> L.</w:t>
      </w:r>
      <w:r w:rsidRPr="00436BB1">
        <w:rPr>
          <w:color w:val="222222"/>
          <w:shd w:val="clear" w:color="auto" w:fill="FFFFFF"/>
        </w:rPr>
        <w:t xml:space="preserve"> Benjamin. 2019. </w:t>
      </w:r>
      <w:r w:rsidR="003A7410">
        <w:rPr>
          <w:color w:val="222222"/>
          <w:shd w:val="clear" w:color="auto" w:fill="FFFFFF"/>
        </w:rPr>
        <w:t>“</w:t>
      </w:r>
      <w:r w:rsidRPr="00436BB1">
        <w:rPr>
          <w:color w:val="222222"/>
          <w:shd w:val="clear" w:color="auto" w:fill="FFFFFF"/>
        </w:rPr>
        <w:t>Climate Litigation in the Global South: Constraints and Innovations</w:t>
      </w:r>
      <w:r w:rsidR="003A7410">
        <w:rPr>
          <w:color w:val="222222"/>
          <w:shd w:val="clear" w:color="auto" w:fill="FFFFFF"/>
        </w:rPr>
        <w:t>.”</w:t>
      </w:r>
      <w:r w:rsidRPr="00436BB1">
        <w:rPr>
          <w:color w:val="222222"/>
          <w:shd w:val="clear" w:color="auto" w:fill="FFFFFF"/>
        </w:rPr>
        <w:t xml:space="preserve"> </w:t>
      </w:r>
      <w:r w:rsidRPr="00436BB1">
        <w:rPr>
          <w:i/>
          <w:iCs/>
          <w:color w:val="222222"/>
          <w:shd w:val="clear" w:color="auto" w:fill="FFFFFF"/>
        </w:rPr>
        <w:t xml:space="preserve">Transnational Environmental Law </w:t>
      </w:r>
      <w:r w:rsidRPr="00436BB1">
        <w:rPr>
          <w:color w:val="222222"/>
          <w:shd w:val="clear" w:color="auto" w:fill="FFFFFF"/>
        </w:rPr>
        <w:t>1</w:t>
      </w:r>
      <w:r w:rsidR="003A7410">
        <w:rPr>
          <w:color w:val="222222"/>
          <w:shd w:val="clear" w:color="auto" w:fill="FFFFFF"/>
        </w:rPr>
        <w:t>–</w:t>
      </w:r>
      <w:r w:rsidRPr="00436BB1">
        <w:rPr>
          <w:color w:val="222222"/>
          <w:shd w:val="clear" w:color="auto" w:fill="FFFFFF"/>
        </w:rPr>
        <w:t>25.</w:t>
      </w:r>
    </w:p>
    <w:p w14:paraId="519A6ABA" w14:textId="44D82EA3" w:rsidR="009C0FAD" w:rsidRPr="00A56606" w:rsidRDefault="009C0FAD" w:rsidP="00C101C1">
      <w:pPr>
        <w:pStyle w:val="ListParagraph"/>
        <w:spacing w:line="480" w:lineRule="auto"/>
        <w:ind w:left="0"/>
        <w:rPr>
          <w:color w:val="222222"/>
          <w:shd w:val="clear" w:color="auto" w:fill="FFFFFF"/>
        </w:rPr>
      </w:pPr>
      <w:r w:rsidRPr="00436BB1">
        <w:rPr>
          <w:color w:val="222222"/>
          <w:shd w:val="clear" w:color="auto" w:fill="FFFFFF"/>
        </w:rPr>
        <w:t>Setzer, J.</w:t>
      </w:r>
      <w:r w:rsidR="004276ED" w:rsidRPr="00436BB1">
        <w:rPr>
          <w:color w:val="222222"/>
          <w:shd w:val="clear" w:color="auto" w:fill="FFFFFF"/>
        </w:rPr>
        <w:t>,</w:t>
      </w:r>
      <w:r w:rsidRPr="00436BB1">
        <w:rPr>
          <w:color w:val="222222"/>
          <w:shd w:val="clear" w:color="auto" w:fill="FFFFFF"/>
        </w:rPr>
        <w:t xml:space="preserve"> and </w:t>
      </w:r>
      <w:r w:rsidR="003A7410">
        <w:rPr>
          <w:color w:val="222222"/>
          <w:shd w:val="clear" w:color="auto" w:fill="FFFFFF"/>
        </w:rPr>
        <w:t xml:space="preserve">R. </w:t>
      </w:r>
      <w:r w:rsidRPr="00436BB1">
        <w:rPr>
          <w:color w:val="222222"/>
          <w:shd w:val="clear" w:color="auto" w:fill="FFFFFF"/>
        </w:rPr>
        <w:t>Byrnes. 2019</w:t>
      </w:r>
      <w:r w:rsidR="003A7A00" w:rsidRPr="00436BB1">
        <w:rPr>
          <w:color w:val="222222"/>
          <w:shd w:val="clear" w:color="auto" w:fill="FFFFFF"/>
        </w:rPr>
        <w:t xml:space="preserve">. </w:t>
      </w:r>
      <w:r w:rsidR="003A7A00" w:rsidRPr="00436BB1">
        <w:rPr>
          <w:i/>
          <w:iCs/>
          <w:color w:val="222222"/>
          <w:shd w:val="clear" w:color="auto" w:fill="FFFFFF"/>
        </w:rPr>
        <w:t xml:space="preserve">Global </w:t>
      </w:r>
      <w:r w:rsidR="003A7410">
        <w:rPr>
          <w:i/>
          <w:iCs/>
          <w:color w:val="222222"/>
          <w:shd w:val="clear" w:color="auto" w:fill="FFFFFF"/>
        </w:rPr>
        <w:t>T</w:t>
      </w:r>
      <w:r w:rsidR="003A7A00" w:rsidRPr="00436BB1">
        <w:rPr>
          <w:i/>
          <w:iCs/>
          <w:color w:val="222222"/>
          <w:shd w:val="clear" w:color="auto" w:fill="FFFFFF"/>
        </w:rPr>
        <w:t xml:space="preserve">rends in </w:t>
      </w:r>
      <w:r w:rsidR="003A7410">
        <w:rPr>
          <w:i/>
          <w:iCs/>
          <w:color w:val="222222"/>
          <w:shd w:val="clear" w:color="auto" w:fill="FFFFFF"/>
        </w:rPr>
        <w:t>C</w:t>
      </w:r>
      <w:r w:rsidR="003A7A00" w:rsidRPr="00436BB1">
        <w:rPr>
          <w:i/>
          <w:iCs/>
          <w:color w:val="222222"/>
          <w:shd w:val="clear" w:color="auto" w:fill="FFFFFF"/>
        </w:rPr>
        <w:t xml:space="preserve">limate </w:t>
      </w:r>
      <w:r w:rsidR="003A7410">
        <w:rPr>
          <w:i/>
          <w:iCs/>
          <w:color w:val="222222"/>
          <w:shd w:val="clear" w:color="auto" w:fill="FFFFFF"/>
        </w:rPr>
        <w:t>C</w:t>
      </w:r>
      <w:r w:rsidR="003A7A00" w:rsidRPr="00436BB1">
        <w:rPr>
          <w:i/>
          <w:iCs/>
          <w:color w:val="222222"/>
          <w:shd w:val="clear" w:color="auto" w:fill="FFFFFF"/>
        </w:rPr>
        <w:t xml:space="preserve">hange </w:t>
      </w:r>
      <w:r w:rsidR="003A7410">
        <w:rPr>
          <w:i/>
          <w:iCs/>
          <w:color w:val="222222"/>
          <w:shd w:val="clear" w:color="auto" w:fill="FFFFFF"/>
        </w:rPr>
        <w:t>L</w:t>
      </w:r>
      <w:r w:rsidR="003A7A00" w:rsidRPr="00436BB1">
        <w:rPr>
          <w:i/>
          <w:iCs/>
          <w:color w:val="222222"/>
          <w:shd w:val="clear" w:color="auto" w:fill="FFFFFF"/>
        </w:rPr>
        <w:t xml:space="preserve">itigation: 2019 </w:t>
      </w:r>
      <w:r w:rsidR="003A7410">
        <w:rPr>
          <w:i/>
          <w:iCs/>
          <w:color w:val="222222"/>
          <w:shd w:val="clear" w:color="auto" w:fill="FFFFFF"/>
        </w:rPr>
        <w:t>S</w:t>
      </w:r>
      <w:r w:rsidR="003A7A00" w:rsidRPr="00436BB1">
        <w:rPr>
          <w:i/>
          <w:iCs/>
          <w:color w:val="222222"/>
          <w:shd w:val="clear" w:color="auto" w:fill="FFFFFF"/>
        </w:rPr>
        <w:t>napshot</w:t>
      </w:r>
      <w:r w:rsidR="003A7A00" w:rsidRPr="00436BB1">
        <w:rPr>
          <w:color w:val="222222"/>
          <w:shd w:val="clear" w:color="auto" w:fill="FFFFFF"/>
        </w:rPr>
        <w:t>. Policy report. Grantham Research Institute on Climate Change and the Environment, London School of Economics.</w:t>
      </w:r>
      <w:r w:rsidR="00405A76" w:rsidRPr="00436BB1">
        <w:rPr>
          <w:color w:val="222222"/>
          <w:shd w:val="clear" w:color="auto" w:fill="FFFFFF"/>
        </w:rPr>
        <w:t xml:space="preserve"> </w:t>
      </w:r>
      <w:r w:rsidR="000F61B4" w:rsidRPr="003A7410">
        <w:rPr>
          <w:shd w:val="clear" w:color="auto" w:fill="FFFFFF"/>
        </w:rPr>
        <w:t>http://www.lse.ac.uk/GranthamInstitute/wp-content/uploads/2019/07/ GRI_Global-trends-in-climate-change-litigation-2019-snapshot.pdf</w:t>
      </w:r>
      <w:r w:rsidR="004D40DC" w:rsidRPr="00A56606">
        <w:rPr>
          <w:color w:val="222222"/>
          <w:shd w:val="clear" w:color="auto" w:fill="FFFFFF"/>
        </w:rPr>
        <w:t xml:space="preserve"> </w:t>
      </w:r>
    </w:p>
    <w:p w14:paraId="57D4F6EE" w14:textId="44E1D435" w:rsidR="006B7A10" w:rsidRPr="00A56606" w:rsidRDefault="006B7A10" w:rsidP="00C101C1">
      <w:pPr>
        <w:pStyle w:val="ListParagraph"/>
        <w:spacing w:line="480" w:lineRule="auto"/>
        <w:ind w:left="0"/>
        <w:rPr>
          <w:color w:val="222222"/>
          <w:shd w:val="clear" w:color="auto" w:fill="FFFFFF"/>
        </w:rPr>
      </w:pPr>
      <w:r w:rsidRPr="00A56606">
        <w:rPr>
          <w:color w:val="222222"/>
          <w:shd w:val="clear" w:color="auto" w:fill="FFFFFF"/>
        </w:rPr>
        <w:t xml:space="preserve">Solana, J. 2020. </w:t>
      </w:r>
      <w:r w:rsidR="003A7410">
        <w:rPr>
          <w:color w:val="222222"/>
          <w:shd w:val="clear" w:color="auto" w:fill="FFFFFF"/>
        </w:rPr>
        <w:t>“</w:t>
      </w:r>
      <w:r w:rsidRPr="00A56606">
        <w:rPr>
          <w:color w:val="222222"/>
          <w:shd w:val="clear" w:color="auto" w:fill="FFFFFF"/>
        </w:rPr>
        <w:t>Climate Litigation in Financial Markets: A Typology.</w:t>
      </w:r>
      <w:r w:rsidR="003A7410">
        <w:rPr>
          <w:color w:val="222222"/>
          <w:shd w:val="clear" w:color="auto" w:fill="FFFFFF"/>
        </w:rPr>
        <w:t>”</w:t>
      </w:r>
      <w:r w:rsidRPr="00A56606">
        <w:rPr>
          <w:color w:val="222222"/>
          <w:shd w:val="clear" w:color="auto" w:fill="FFFFFF"/>
        </w:rPr>
        <w:t> </w:t>
      </w:r>
      <w:r w:rsidRPr="00A56606">
        <w:rPr>
          <w:i/>
          <w:iCs/>
          <w:color w:val="222222"/>
          <w:shd w:val="clear" w:color="auto" w:fill="FFFFFF"/>
        </w:rPr>
        <w:t>Transnational Environmental Law</w:t>
      </w:r>
      <w:r w:rsidRPr="00A56606">
        <w:rPr>
          <w:color w:val="222222"/>
          <w:shd w:val="clear" w:color="auto" w:fill="FFFFFF"/>
        </w:rPr>
        <w:t> 1</w:t>
      </w:r>
      <w:r w:rsidR="003A7410">
        <w:rPr>
          <w:color w:val="222222"/>
          <w:shd w:val="clear" w:color="auto" w:fill="FFFFFF"/>
        </w:rPr>
        <w:t>–</w:t>
      </w:r>
      <w:r w:rsidRPr="00A56606">
        <w:rPr>
          <w:color w:val="222222"/>
          <w:shd w:val="clear" w:color="auto" w:fill="FFFFFF"/>
        </w:rPr>
        <w:t>33.</w:t>
      </w:r>
    </w:p>
    <w:p w14:paraId="2011DF3B" w14:textId="2483FC66" w:rsidR="006B7A10" w:rsidRPr="00436BB1" w:rsidRDefault="006B7A10" w:rsidP="001E0933">
      <w:pPr>
        <w:pStyle w:val="ListParagraph"/>
        <w:spacing w:line="480" w:lineRule="auto"/>
        <w:ind w:left="0"/>
      </w:pPr>
      <w:r w:rsidRPr="00255A7E">
        <w:rPr>
          <w:color w:val="222222"/>
          <w:shd w:val="clear" w:color="auto" w:fill="FFFFFF"/>
        </w:rPr>
        <w:lastRenderedPageBreak/>
        <w:t>Townshend</w:t>
      </w:r>
      <w:r w:rsidRPr="00255A7E">
        <w:t xml:space="preserve">, T., </w:t>
      </w:r>
      <w:r w:rsidR="007612BE">
        <w:t xml:space="preserve">S. </w:t>
      </w:r>
      <w:r w:rsidRPr="00255A7E">
        <w:t>Fankhauser,</w:t>
      </w:r>
      <w:r w:rsidR="004276ED" w:rsidRPr="00255A7E">
        <w:t xml:space="preserve"> </w:t>
      </w:r>
      <w:r w:rsidR="007612BE">
        <w:t>A.</w:t>
      </w:r>
      <w:r w:rsidRPr="00255A7E">
        <w:t xml:space="preserve"> Matthews,</w:t>
      </w:r>
      <w:r w:rsidR="004276ED" w:rsidRPr="00255A7E">
        <w:t xml:space="preserve"> </w:t>
      </w:r>
      <w:r w:rsidR="007612BE">
        <w:t>C.</w:t>
      </w:r>
      <w:r w:rsidRPr="00255A7E">
        <w:t xml:space="preserve"> Feger,</w:t>
      </w:r>
      <w:r w:rsidR="004276ED" w:rsidRPr="00436BB1">
        <w:t xml:space="preserve"> </w:t>
      </w:r>
      <w:r w:rsidR="007612BE">
        <w:t>J.</w:t>
      </w:r>
      <w:r w:rsidRPr="00436BB1">
        <w:t xml:space="preserve"> Liu</w:t>
      </w:r>
      <w:r w:rsidR="004276ED" w:rsidRPr="00436BB1">
        <w:t xml:space="preserve">, </w:t>
      </w:r>
      <w:r w:rsidRPr="00436BB1">
        <w:t xml:space="preserve">and </w:t>
      </w:r>
      <w:r w:rsidR="007612BE">
        <w:t xml:space="preserve">T. </w:t>
      </w:r>
      <w:r w:rsidRPr="00436BB1">
        <w:t>Narciso</w:t>
      </w:r>
      <w:r w:rsidR="004276ED" w:rsidRPr="00436BB1">
        <w:t>.</w:t>
      </w:r>
      <w:r w:rsidRPr="00436BB1">
        <w:t xml:space="preserve"> 2011. </w:t>
      </w:r>
      <w:r w:rsidR="007612BE">
        <w:t>“</w:t>
      </w:r>
      <w:r w:rsidRPr="00436BB1">
        <w:t>Legislating Climate Change at the National Level</w:t>
      </w:r>
      <w:r w:rsidR="007612BE">
        <w:t>.”</w:t>
      </w:r>
      <w:r w:rsidRPr="00436BB1">
        <w:t xml:space="preserve"> </w:t>
      </w:r>
      <w:r w:rsidRPr="00436BB1">
        <w:rPr>
          <w:i/>
        </w:rPr>
        <w:t>Environment</w:t>
      </w:r>
      <w:r w:rsidRPr="00436BB1">
        <w:t xml:space="preserve"> 53</w:t>
      </w:r>
      <w:r w:rsidR="007612BE">
        <w:t xml:space="preserve"> </w:t>
      </w:r>
      <w:r w:rsidRPr="00436BB1">
        <w:t>(5): 5</w:t>
      </w:r>
      <w:r w:rsidR="007612BE">
        <w:t>–</w:t>
      </w:r>
      <w:r w:rsidRPr="00436BB1">
        <w:t xml:space="preserve">16.  </w:t>
      </w:r>
    </w:p>
    <w:p w14:paraId="68AD9AF2" w14:textId="2EBDC0F6" w:rsidR="006B7A10" w:rsidRPr="00436BB1" w:rsidRDefault="006B7A10" w:rsidP="001E0933">
      <w:pPr>
        <w:pStyle w:val="ListParagraph"/>
        <w:spacing w:line="480" w:lineRule="auto"/>
        <w:ind w:left="0"/>
      </w:pPr>
      <w:r w:rsidRPr="00436BB1">
        <w:rPr>
          <w:color w:val="222222"/>
          <w:shd w:val="clear" w:color="auto" w:fill="FFFFFF"/>
        </w:rPr>
        <w:t>Townshend</w:t>
      </w:r>
      <w:r w:rsidRPr="00436BB1">
        <w:t xml:space="preserve">, T., </w:t>
      </w:r>
      <w:r w:rsidR="007612BE">
        <w:t xml:space="preserve">S. </w:t>
      </w:r>
      <w:r w:rsidRPr="00436BB1">
        <w:t>Fankhauser,</w:t>
      </w:r>
      <w:r w:rsidR="004276ED" w:rsidRPr="00436BB1">
        <w:t xml:space="preserve"> </w:t>
      </w:r>
      <w:r w:rsidR="007612BE">
        <w:t>R.</w:t>
      </w:r>
      <w:r w:rsidRPr="00436BB1">
        <w:t xml:space="preserve"> Aybar,</w:t>
      </w:r>
      <w:r w:rsidR="004276ED" w:rsidRPr="00436BB1">
        <w:t xml:space="preserve"> </w:t>
      </w:r>
      <w:r w:rsidR="007612BE">
        <w:t>M.</w:t>
      </w:r>
      <w:r w:rsidRPr="00436BB1">
        <w:t xml:space="preserve"> Collins,</w:t>
      </w:r>
      <w:r w:rsidR="004276ED" w:rsidRPr="00436BB1">
        <w:t xml:space="preserve"> </w:t>
      </w:r>
      <w:r w:rsidR="007612BE">
        <w:t>T.</w:t>
      </w:r>
      <w:r w:rsidRPr="00436BB1">
        <w:t xml:space="preserve"> Landesman,</w:t>
      </w:r>
      <w:r w:rsidR="004276ED" w:rsidRPr="00436BB1">
        <w:t xml:space="preserve"> </w:t>
      </w:r>
      <w:r w:rsidR="007612BE">
        <w:t>M.</w:t>
      </w:r>
      <w:r w:rsidRPr="00436BB1">
        <w:t xml:space="preserve"> Nachmany</w:t>
      </w:r>
      <w:r w:rsidR="004276ED" w:rsidRPr="00436BB1">
        <w:t xml:space="preserve">, </w:t>
      </w:r>
      <w:r w:rsidRPr="00436BB1">
        <w:t xml:space="preserve">and </w:t>
      </w:r>
      <w:r w:rsidR="007612BE">
        <w:t xml:space="preserve">C. </w:t>
      </w:r>
      <w:r w:rsidRPr="00436BB1">
        <w:t>Pavese</w:t>
      </w:r>
      <w:r w:rsidR="004276ED" w:rsidRPr="00436BB1">
        <w:t>.</w:t>
      </w:r>
      <w:r w:rsidR="000A1CCF" w:rsidRPr="00436BB1">
        <w:t xml:space="preserve"> </w:t>
      </w:r>
      <w:r w:rsidRPr="00436BB1">
        <w:t xml:space="preserve">2013.  </w:t>
      </w:r>
      <w:r w:rsidR="007612BE">
        <w:t>“</w:t>
      </w:r>
      <w:r w:rsidRPr="00436BB1">
        <w:t>How National Legislation Can Help to Solve Climate Change</w:t>
      </w:r>
      <w:r w:rsidR="007612BE">
        <w:t>.”</w:t>
      </w:r>
      <w:r w:rsidRPr="00436BB1">
        <w:t xml:space="preserve"> </w:t>
      </w:r>
      <w:r w:rsidRPr="00436BB1">
        <w:rPr>
          <w:i/>
        </w:rPr>
        <w:t>Nature Climate Change</w:t>
      </w:r>
      <w:r w:rsidRPr="00436BB1">
        <w:t xml:space="preserve"> 3</w:t>
      </w:r>
      <w:r w:rsidR="0018461A">
        <w:t xml:space="preserve"> </w:t>
      </w:r>
      <w:r w:rsidRPr="00436BB1">
        <w:t>(May): 430</w:t>
      </w:r>
      <w:r w:rsidR="0018461A">
        <w:t>–</w:t>
      </w:r>
      <w:r w:rsidRPr="00436BB1">
        <w:t>2.</w:t>
      </w:r>
    </w:p>
    <w:p w14:paraId="2937BCD9" w14:textId="23E6FF67" w:rsidR="00261432" w:rsidRPr="00436BB1" w:rsidRDefault="00261432" w:rsidP="001E0933">
      <w:pPr>
        <w:pStyle w:val="ListParagraph"/>
        <w:spacing w:line="480" w:lineRule="auto"/>
        <w:ind w:left="0"/>
      </w:pPr>
      <w:r w:rsidRPr="00436BB1">
        <w:t>Verschuuren, J.</w:t>
      </w:r>
      <w:r w:rsidR="004276ED" w:rsidRPr="00436BB1">
        <w:t xml:space="preserve"> </w:t>
      </w:r>
      <w:r w:rsidRPr="00436BB1">
        <w:t xml:space="preserve">2019. </w:t>
      </w:r>
      <w:r w:rsidR="0018461A">
        <w:t>“</w:t>
      </w:r>
      <w:r w:rsidRPr="00436BB1">
        <w:t xml:space="preserve">The State of the Netherlands v Urgenda Foundation: The Hague Court of Appeal </w:t>
      </w:r>
      <w:r w:rsidR="0018461A">
        <w:t>U</w:t>
      </w:r>
      <w:r w:rsidRPr="00436BB1">
        <w:t xml:space="preserve">pholds </w:t>
      </w:r>
      <w:r w:rsidR="0018461A">
        <w:t>J</w:t>
      </w:r>
      <w:r w:rsidRPr="00436BB1">
        <w:t xml:space="preserve">udgment </w:t>
      </w:r>
      <w:r w:rsidR="0018461A">
        <w:t>R</w:t>
      </w:r>
      <w:r w:rsidRPr="00436BB1">
        <w:t xml:space="preserve">equiring the Netherlands to </w:t>
      </w:r>
      <w:r w:rsidR="0018461A">
        <w:t>F</w:t>
      </w:r>
      <w:r w:rsidRPr="00436BB1">
        <w:t xml:space="preserve">urther </w:t>
      </w:r>
      <w:r w:rsidR="0018461A">
        <w:t>R</w:t>
      </w:r>
      <w:r w:rsidRPr="00436BB1">
        <w:t xml:space="preserve">educe </w:t>
      </w:r>
      <w:r w:rsidR="0018461A">
        <w:t>I</w:t>
      </w:r>
      <w:r w:rsidRPr="00436BB1">
        <w:t xml:space="preserve">ts </w:t>
      </w:r>
      <w:r w:rsidR="0018461A">
        <w:t>G</w:t>
      </w:r>
      <w:r w:rsidRPr="00436BB1">
        <w:t xml:space="preserve">reenhouse </w:t>
      </w:r>
      <w:r w:rsidR="0018461A">
        <w:t>G</w:t>
      </w:r>
      <w:r w:rsidRPr="00436BB1">
        <w:t xml:space="preserve">as </w:t>
      </w:r>
      <w:r w:rsidR="0018461A">
        <w:t>E</w:t>
      </w:r>
      <w:r w:rsidRPr="00436BB1">
        <w:t>missions.</w:t>
      </w:r>
      <w:r w:rsidR="0018461A">
        <w:t>”</w:t>
      </w:r>
      <w:r w:rsidRPr="00436BB1">
        <w:t> </w:t>
      </w:r>
      <w:r w:rsidRPr="00436BB1">
        <w:rPr>
          <w:i/>
          <w:iCs/>
        </w:rPr>
        <w:t>Review of European, Comparative &amp; International Environmental Law</w:t>
      </w:r>
      <w:r w:rsidRPr="00436BB1">
        <w:t> </w:t>
      </w:r>
      <w:r w:rsidRPr="0018461A">
        <w:rPr>
          <w:iCs/>
        </w:rPr>
        <w:t>28</w:t>
      </w:r>
      <w:r w:rsidR="0018461A">
        <w:rPr>
          <w:iCs/>
        </w:rPr>
        <w:t xml:space="preserve"> </w:t>
      </w:r>
      <w:r w:rsidRPr="00436BB1">
        <w:t>(1)</w:t>
      </w:r>
      <w:r w:rsidR="0018461A">
        <w:t>:</w:t>
      </w:r>
      <w:r w:rsidRPr="00436BB1">
        <w:t xml:space="preserve"> 94</w:t>
      </w:r>
      <w:r w:rsidR="0018461A">
        <w:t>–</w:t>
      </w:r>
      <w:r w:rsidRPr="00436BB1">
        <w:t>8.</w:t>
      </w:r>
    </w:p>
    <w:p w14:paraId="671E1ED0" w14:textId="3367731F" w:rsidR="006B7A10" w:rsidRPr="00255A7E" w:rsidRDefault="006B7A10" w:rsidP="001E0933">
      <w:pPr>
        <w:pStyle w:val="ListParagraph"/>
        <w:spacing w:line="480" w:lineRule="auto"/>
        <w:ind w:left="0"/>
      </w:pPr>
      <w:r w:rsidRPr="00A56606">
        <w:t xml:space="preserve">Wilensky, M. 2015. </w:t>
      </w:r>
      <w:r w:rsidR="0018461A">
        <w:t>“</w:t>
      </w:r>
      <w:r w:rsidRPr="00A56606">
        <w:t xml:space="preserve">Climate </w:t>
      </w:r>
      <w:r w:rsidR="0018461A">
        <w:t>C</w:t>
      </w:r>
      <w:r w:rsidRPr="00A56606">
        <w:t xml:space="preserve">hange in the </w:t>
      </w:r>
      <w:r w:rsidR="0018461A">
        <w:t>C</w:t>
      </w:r>
      <w:r w:rsidRPr="00A56606">
        <w:t xml:space="preserve">ourts: An </w:t>
      </w:r>
      <w:r w:rsidR="0018461A">
        <w:t>A</w:t>
      </w:r>
      <w:r w:rsidRPr="00A56606">
        <w:t xml:space="preserve">ssessment of </w:t>
      </w:r>
      <w:r w:rsidR="0018461A">
        <w:t>N</w:t>
      </w:r>
      <w:r w:rsidRPr="00A56606">
        <w:t xml:space="preserve">on-U.S. </w:t>
      </w:r>
      <w:r w:rsidR="0018461A">
        <w:t>C</w:t>
      </w:r>
      <w:r w:rsidRPr="00A56606">
        <w:t xml:space="preserve">limate </w:t>
      </w:r>
      <w:r w:rsidR="0018461A">
        <w:t>L</w:t>
      </w:r>
      <w:r w:rsidRPr="00A56606">
        <w:t>itigation.</w:t>
      </w:r>
      <w:r w:rsidR="0018461A">
        <w:t>”</w:t>
      </w:r>
      <w:r w:rsidRPr="00A56606">
        <w:t xml:space="preserve"> </w:t>
      </w:r>
      <w:r w:rsidRPr="00A56606">
        <w:rPr>
          <w:i/>
          <w:iCs/>
        </w:rPr>
        <w:t xml:space="preserve">Duke Environmental Law </w:t>
      </w:r>
      <w:r w:rsidR="004C5E17" w:rsidRPr="00A56606">
        <w:rPr>
          <w:i/>
          <w:iCs/>
        </w:rPr>
        <w:t>and</w:t>
      </w:r>
      <w:r w:rsidRPr="00A56606">
        <w:rPr>
          <w:i/>
          <w:iCs/>
        </w:rPr>
        <w:t xml:space="preserve"> Policy Forum</w:t>
      </w:r>
      <w:r w:rsidRPr="00A56606">
        <w:t xml:space="preserve"> 26</w:t>
      </w:r>
      <w:r w:rsidR="008A202C">
        <w:t xml:space="preserve"> </w:t>
      </w:r>
      <w:r w:rsidRPr="00A56606">
        <w:t>(1)</w:t>
      </w:r>
      <w:r w:rsidR="008A202C">
        <w:t>:</w:t>
      </w:r>
      <w:r w:rsidRPr="00A56606">
        <w:t xml:space="preserve"> 131–79.</w:t>
      </w:r>
    </w:p>
    <w:p w14:paraId="5B66EDE5" w14:textId="010C3CD0" w:rsidR="00FE49A1" w:rsidRDefault="00FE49A1" w:rsidP="001E0933">
      <w:pPr>
        <w:pStyle w:val="ListParagraph"/>
        <w:spacing w:line="480" w:lineRule="auto"/>
        <w:ind w:left="0"/>
      </w:pPr>
      <w:r w:rsidRPr="00255A7E">
        <w:t xml:space="preserve">Zenghelis, D. 2012. </w:t>
      </w:r>
      <w:r w:rsidR="008A202C">
        <w:t>“</w:t>
      </w:r>
      <w:r w:rsidRPr="008A202C">
        <w:rPr>
          <w:iCs/>
        </w:rPr>
        <w:t xml:space="preserve">A </w:t>
      </w:r>
      <w:r w:rsidR="008A202C">
        <w:rPr>
          <w:iCs/>
        </w:rPr>
        <w:t>S</w:t>
      </w:r>
      <w:r w:rsidRPr="008A202C">
        <w:rPr>
          <w:iCs/>
        </w:rPr>
        <w:t xml:space="preserve">trategy for </w:t>
      </w:r>
      <w:r w:rsidR="008A202C">
        <w:rPr>
          <w:iCs/>
        </w:rPr>
        <w:t>R</w:t>
      </w:r>
      <w:r w:rsidRPr="008A202C">
        <w:rPr>
          <w:iCs/>
        </w:rPr>
        <w:t xml:space="preserve">estoring </w:t>
      </w:r>
      <w:r w:rsidR="008A202C">
        <w:rPr>
          <w:iCs/>
        </w:rPr>
        <w:t>C</w:t>
      </w:r>
      <w:r w:rsidRPr="008A202C">
        <w:rPr>
          <w:iCs/>
        </w:rPr>
        <w:t xml:space="preserve">onfidence and </w:t>
      </w:r>
      <w:r w:rsidR="008A202C">
        <w:rPr>
          <w:iCs/>
        </w:rPr>
        <w:t>E</w:t>
      </w:r>
      <w:r w:rsidRPr="008A202C">
        <w:rPr>
          <w:iCs/>
        </w:rPr>
        <w:t xml:space="preserve">conomic </w:t>
      </w:r>
      <w:r w:rsidR="008A202C">
        <w:rPr>
          <w:iCs/>
        </w:rPr>
        <w:t>G</w:t>
      </w:r>
      <w:r w:rsidRPr="008A202C">
        <w:rPr>
          <w:iCs/>
        </w:rPr>
        <w:t xml:space="preserve">rowth through </w:t>
      </w:r>
      <w:r w:rsidR="008A202C">
        <w:rPr>
          <w:iCs/>
        </w:rPr>
        <w:t>G</w:t>
      </w:r>
      <w:r w:rsidRPr="008A202C">
        <w:rPr>
          <w:iCs/>
        </w:rPr>
        <w:t xml:space="preserve">reen </w:t>
      </w:r>
      <w:r w:rsidR="008A202C">
        <w:rPr>
          <w:iCs/>
        </w:rPr>
        <w:t>I</w:t>
      </w:r>
      <w:r w:rsidRPr="008A202C">
        <w:rPr>
          <w:iCs/>
        </w:rPr>
        <w:t xml:space="preserve">nvestment and </w:t>
      </w:r>
      <w:r w:rsidR="008A202C">
        <w:rPr>
          <w:iCs/>
        </w:rPr>
        <w:t>I</w:t>
      </w:r>
      <w:r w:rsidRPr="008A202C">
        <w:rPr>
          <w:iCs/>
        </w:rPr>
        <w:t>nnovation</w:t>
      </w:r>
      <w:r w:rsidRPr="008A202C">
        <w:t>.</w:t>
      </w:r>
      <w:r w:rsidR="008A202C">
        <w:t>”</w:t>
      </w:r>
      <w:r w:rsidRPr="00436BB1">
        <w:t xml:space="preserve"> Policy Brief. Grantham Research Institute on Climate Change and the Environment, London School of Economics. </w:t>
      </w:r>
      <w:r w:rsidR="007321B6" w:rsidRPr="008A202C">
        <w:t xml:space="preserve">http://www.lse.ac.uk/GranthamInstitute/ </w:t>
      </w:r>
      <w:r w:rsidR="007321B6" w:rsidRPr="003C2B4C">
        <w:rPr>
          <w:color w:val="000000" w:themeColor="text1"/>
        </w:rPr>
        <w:t>publication/a-strategy-for-restoring-confidence-and-economic-growth-through-green-</w:t>
      </w:r>
      <w:r w:rsidR="007321B6" w:rsidRPr="008A202C">
        <w:t>investment-and-innovation/</w:t>
      </w:r>
      <w:r w:rsidR="004D40DC" w:rsidRPr="00A56606">
        <w:t xml:space="preserve"> </w:t>
      </w:r>
    </w:p>
    <w:p w14:paraId="742BB65D" w14:textId="77777777" w:rsidR="001E0933" w:rsidRDefault="001E0933" w:rsidP="001E0933">
      <w:pPr>
        <w:pStyle w:val="ListParagraph"/>
        <w:spacing w:line="480" w:lineRule="auto"/>
        <w:ind w:left="0"/>
      </w:pPr>
    </w:p>
    <w:p w14:paraId="66B81606" w14:textId="6BC59747" w:rsidR="001E0933" w:rsidRPr="00A56606" w:rsidRDefault="001E0933" w:rsidP="001E0933">
      <w:pPr>
        <w:pStyle w:val="ListParagraph"/>
        <w:spacing w:line="480" w:lineRule="auto"/>
        <w:ind w:left="0"/>
        <w:sectPr w:rsidR="001E0933" w:rsidRPr="00A56606" w:rsidSect="002231A6">
          <w:headerReference w:type="default" r:id="rId11"/>
          <w:endnotePr>
            <w:numFmt w:val="decimal"/>
          </w:endnotePr>
          <w:pgSz w:w="12240" w:h="15840" w:code="1"/>
          <w:pgMar w:top="1440" w:right="1440" w:bottom="1440" w:left="1440" w:header="720" w:footer="720" w:gutter="0"/>
          <w:cols w:space="708"/>
          <w:docGrid w:linePitch="360"/>
        </w:sectPr>
      </w:pPr>
      <w:r>
        <w:t>Endnotes</w:t>
      </w:r>
    </w:p>
    <w:p w14:paraId="232A86A7" w14:textId="1116BA5D" w:rsidR="00327392" w:rsidRPr="00436BB1" w:rsidRDefault="005D7312" w:rsidP="00D14DB2">
      <w:pPr>
        <w:spacing w:after="200" w:line="2" w:lineRule="auto"/>
        <w:rPr>
          <w:b/>
          <w:bCs/>
        </w:rPr>
      </w:pPr>
      <w:r>
        <w:lastRenderedPageBreak/>
        <w:br w:type="page"/>
      </w:r>
    </w:p>
    <w:p w14:paraId="3268EE89" w14:textId="77777777" w:rsidR="00F960B8" w:rsidRDefault="00F960B8" w:rsidP="00B838E6">
      <w:pPr>
        <w:pStyle w:val="Heading2"/>
        <w:keepNext/>
        <w:keepLines/>
        <w:spacing w:after="0" w:line="276" w:lineRule="auto"/>
        <w:rPr>
          <w:b w:val="0"/>
        </w:rPr>
        <w:sectPr w:rsidR="00F960B8" w:rsidSect="00B838E6">
          <w:headerReference w:type="default" r:id="rId12"/>
          <w:footerReference w:type="default" r:id="rId13"/>
          <w:endnotePr>
            <w:numFmt w:val="decimal"/>
          </w:endnotePr>
          <w:type w:val="continuous"/>
          <w:pgSz w:w="12240" w:h="15840" w:code="1"/>
          <w:pgMar w:top="1440" w:right="1440" w:bottom="1440" w:left="1440" w:header="432" w:footer="706" w:gutter="0"/>
          <w:cols w:space="708"/>
          <w:docGrid w:linePitch="360"/>
        </w:sectPr>
      </w:pPr>
    </w:p>
    <w:p w14:paraId="06E03416" w14:textId="491B2BB7" w:rsidR="00F726B0" w:rsidRPr="00B838E6" w:rsidRDefault="00F726B0" w:rsidP="00B838E6">
      <w:pPr>
        <w:pStyle w:val="Heading2"/>
        <w:keepNext/>
        <w:keepLines/>
        <w:spacing w:after="0" w:line="276" w:lineRule="auto"/>
        <w:rPr>
          <w:b w:val="0"/>
        </w:rPr>
      </w:pPr>
      <w:r w:rsidRPr="00B838E6">
        <w:rPr>
          <w:b w:val="0"/>
        </w:rPr>
        <w:lastRenderedPageBreak/>
        <w:t>Table 1: Descriptive statistics on climate change legislation</w:t>
      </w:r>
    </w:p>
    <w:tbl>
      <w:tblPr>
        <w:tblW w:w="5183" w:type="pct"/>
        <w:tblLayout w:type="fixed"/>
        <w:tblLook w:val="04A0" w:firstRow="1" w:lastRow="0" w:firstColumn="1" w:lastColumn="0" w:noHBand="0" w:noVBand="1"/>
      </w:tblPr>
      <w:tblGrid>
        <w:gridCol w:w="6100"/>
        <w:gridCol w:w="1859"/>
        <w:gridCol w:w="3352"/>
        <w:gridCol w:w="2646"/>
      </w:tblGrid>
      <w:tr w:rsidR="00302F67" w:rsidRPr="00B838E6" w14:paraId="10D5947F" w14:textId="77777777" w:rsidTr="00DB26DA">
        <w:tc>
          <w:tcPr>
            <w:tcW w:w="2185" w:type="pct"/>
            <w:tcBorders>
              <w:top w:val="single" w:sz="4" w:space="0" w:color="auto"/>
              <w:left w:val="nil"/>
              <w:bottom w:val="single" w:sz="4" w:space="0" w:color="auto"/>
              <w:right w:val="nil"/>
            </w:tcBorders>
            <w:shd w:val="clear" w:color="auto" w:fill="auto"/>
            <w:noWrap/>
            <w:hideMark/>
          </w:tcPr>
          <w:p w14:paraId="476EBBD4" w14:textId="77777777" w:rsidR="00302F67" w:rsidRPr="00B838E6" w:rsidRDefault="00302F67" w:rsidP="00F960B8">
            <w:pPr>
              <w:spacing w:line="276" w:lineRule="auto"/>
              <w:rPr>
                <w:sz w:val="22"/>
                <w:szCs w:val="22"/>
              </w:rPr>
            </w:pPr>
          </w:p>
        </w:tc>
        <w:tc>
          <w:tcPr>
            <w:tcW w:w="666" w:type="pct"/>
            <w:tcBorders>
              <w:top w:val="single" w:sz="4" w:space="0" w:color="auto"/>
              <w:left w:val="nil"/>
              <w:bottom w:val="single" w:sz="4" w:space="0" w:color="auto"/>
              <w:right w:val="nil"/>
            </w:tcBorders>
            <w:shd w:val="clear" w:color="auto" w:fill="auto"/>
            <w:noWrap/>
            <w:hideMark/>
          </w:tcPr>
          <w:p w14:paraId="7E288649" w14:textId="77777777" w:rsidR="00302F67" w:rsidRPr="00B838E6" w:rsidRDefault="00302F67" w:rsidP="00F960B8">
            <w:pPr>
              <w:spacing w:line="276" w:lineRule="auto"/>
              <w:jc w:val="center"/>
              <w:rPr>
                <w:color w:val="000000"/>
                <w:sz w:val="22"/>
                <w:szCs w:val="22"/>
              </w:rPr>
            </w:pPr>
            <w:r w:rsidRPr="00B838E6">
              <w:rPr>
                <w:color w:val="000000"/>
                <w:sz w:val="22"/>
                <w:szCs w:val="22"/>
              </w:rPr>
              <w:t xml:space="preserve">All countries </w:t>
            </w:r>
          </w:p>
          <w:p w14:paraId="73B4894A" w14:textId="77777777" w:rsidR="00302F67" w:rsidRPr="00B838E6" w:rsidRDefault="00302F67" w:rsidP="00F960B8">
            <w:pPr>
              <w:spacing w:line="276" w:lineRule="auto"/>
              <w:jc w:val="center"/>
              <w:rPr>
                <w:color w:val="000000"/>
                <w:sz w:val="22"/>
                <w:szCs w:val="22"/>
              </w:rPr>
            </w:pPr>
            <w:r w:rsidRPr="00B838E6">
              <w:rPr>
                <w:color w:val="000000"/>
                <w:sz w:val="22"/>
                <w:szCs w:val="22"/>
              </w:rPr>
              <w:t>[N=198]</w:t>
            </w:r>
          </w:p>
        </w:tc>
        <w:tc>
          <w:tcPr>
            <w:tcW w:w="1201" w:type="pct"/>
            <w:tcBorders>
              <w:top w:val="single" w:sz="4" w:space="0" w:color="auto"/>
              <w:left w:val="nil"/>
              <w:bottom w:val="single" w:sz="4" w:space="0" w:color="auto"/>
              <w:right w:val="nil"/>
            </w:tcBorders>
            <w:shd w:val="clear" w:color="auto" w:fill="auto"/>
            <w:noWrap/>
            <w:hideMark/>
          </w:tcPr>
          <w:p w14:paraId="7003D5F0" w14:textId="77777777" w:rsidR="00302F67" w:rsidRPr="00B838E6" w:rsidRDefault="00302F67" w:rsidP="00F960B8">
            <w:pPr>
              <w:spacing w:line="276" w:lineRule="auto"/>
              <w:jc w:val="center"/>
              <w:rPr>
                <w:color w:val="000000"/>
                <w:sz w:val="22"/>
                <w:szCs w:val="22"/>
              </w:rPr>
            </w:pPr>
            <w:r w:rsidRPr="00B838E6">
              <w:rPr>
                <w:color w:val="000000"/>
                <w:sz w:val="22"/>
                <w:szCs w:val="22"/>
              </w:rPr>
              <w:t>OECD-EU</w:t>
            </w:r>
            <w:r w:rsidRPr="00B838E6">
              <w:rPr>
                <w:color w:val="FF0000"/>
                <w:sz w:val="22"/>
                <w:szCs w:val="22"/>
              </w:rPr>
              <w:t xml:space="preserve"> </w:t>
            </w:r>
            <w:r w:rsidRPr="00B838E6">
              <w:rPr>
                <w:color w:val="000000"/>
                <w:sz w:val="22"/>
                <w:szCs w:val="22"/>
              </w:rPr>
              <w:t xml:space="preserve">countries </w:t>
            </w:r>
          </w:p>
          <w:p w14:paraId="5E335458" w14:textId="77777777" w:rsidR="00302F67" w:rsidRPr="00B838E6" w:rsidRDefault="00302F67" w:rsidP="00F960B8">
            <w:pPr>
              <w:spacing w:line="276" w:lineRule="auto"/>
              <w:jc w:val="center"/>
              <w:rPr>
                <w:color w:val="000000"/>
                <w:sz w:val="22"/>
                <w:szCs w:val="22"/>
              </w:rPr>
            </w:pPr>
            <w:r w:rsidRPr="00B838E6">
              <w:rPr>
                <w:color w:val="000000"/>
                <w:sz w:val="22"/>
                <w:szCs w:val="22"/>
              </w:rPr>
              <w:t>[N=42]</w:t>
            </w:r>
          </w:p>
        </w:tc>
        <w:tc>
          <w:tcPr>
            <w:tcW w:w="948" w:type="pct"/>
            <w:tcBorders>
              <w:top w:val="single" w:sz="4" w:space="0" w:color="auto"/>
              <w:left w:val="nil"/>
              <w:bottom w:val="single" w:sz="4" w:space="0" w:color="auto"/>
              <w:right w:val="nil"/>
            </w:tcBorders>
          </w:tcPr>
          <w:p w14:paraId="72378D0E" w14:textId="77777777" w:rsidR="00302F67" w:rsidRPr="00B838E6" w:rsidRDefault="00302F67" w:rsidP="00F960B8">
            <w:pPr>
              <w:spacing w:line="276" w:lineRule="auto"/>
              <w:jc w:val="center"/>
              <w:rPr>
                <w:color w:val="000000"/>
                <w:sz w:val="22"/>
                <w:szCs w:val="22"/>
              </w:rPr>
            </w:pPr>
            <w:r w:rsidRPr="00B838E6">
              <w:rPr>
                <w:color w:val="000000"/>
                <w:sz w:val="22"/>
                <w:szCs w:val="22"/>
              </w:rPr>
              <w:t>Other</w:t>
            </w:r>
            <w:r w:rsidRPr="00B838E6">
              <w:rPr>
                <w:color w:val="FF0000"/>
                <w:sz w:val="22"/>
                <w:szCs w:val="22"/>
              </w:rPr>
              <w:t xml:space="preserve"> </w:t>
            </w:r>
            <w:r w:rsidRPr="00B838E6">
              <w:rPr>
                <w:color w:val="000000"/>
                <w:sz w:val="22"/>
                <w:szCs w:val="22"/>
              </w:rPr>
              <w:t xml:space="preserve">countries </w:t>
            </w:r>
          </w:p>
          <w:p w14:paraId="582B512A" w14:textId="77777777" w:rsidR="00302F67" w:rsidRPr="00B838E6" w:rsidRDefault="00302F67" w:rsidP="00F960B8">
            <w:pPr>
              <w:spacing w:line="276" w:lineRule="auto"/>
              <w:jc w:val="center"/>
              <w:rPr>
                <w:color w:val="000000"/>
                <w:sz w:val="22"/>
                <w:szCs w:val="22"/>
              </w:rPr>
            </w:pPr>
            <w:r w:rsidRPr="00B838E6">
              <w:rPr>
                <w:color w:val="000000"/>
                <w:sz w:val="22"/>
                <w:szCs w:val="22"/>
              </w:rPr>
              <w:t>[N=156]</w:t>
            </w:r>
          </w:p>
        </w:tc>
      </w:tr>
      <w:tr w:rsidR="00302F67" w:rsidRPr="00B838E6" w14:paraId="5419BC78" w14:textId="77777777" w:rsidTr="00DB26DA">
        <w:tc>
          <w:tcPr>
            <w:tcW w:w="2185" w:type="pct"/>
            <w:tcBorders>
              <w:left w:val="nil"/>
              <w:bottom w:val="nil"/>
              <w:right w:val="nil"/>
            </w:tcBorders>
            <w:shd w:val="clear" w:color="auto" w:fill="auto"/>
            <w:noWrap/>
            <w:hideMark/>
          </w:tcPr>
          <w:p w14:paraId="11FD0004" w14:textId="77777777" w:rsidR="00302F67" w:rsidRPr="00B838E6" w:rsidRDefault="00302F67" w:rsidP="00B838E6">
            <w:pPr>
              <w:spacing w:line="360" w:lineRule="auto"/>
              <w:rPr>
                <w:b/>
                <w:bCs/>
                <w:color w:val="000000"/>
                <w:sz w:val="22"/>
                <w:szCs w:val="22"/>
              </w:rPr>
            </w:pPr>
            <w:r w:rsidRPr="00B838E6">
              <w:rPr>
                <w:b/>
                <w:bCs/>
                <w:color w:val="000000"/>
                <w:sz w:val="22"/>
                <w:szCs w:val="22"/>
              </w:rPr>
              <w:t>Total number of laws</w:t>
            </w:r>
          </w:p>
        </w:tc>
        <w:tc>
          <w:tcPr>
            <w:tcW w:w="666" w:type="pct"/>
            <w:tcBorders>
              <w:left w:val="nil"/>
              <w:bottom w:val="nil"/>
              <w:right w:val="nil"/>
            </w:tcBorders>
            <w:shd w:val="clear" w:color="auto" w:fill="auto"/>
            <w:noWrap/>
            <w:hideMark/>
          </w:tcPr>
          <w:p w14:paraId="31F652ED" w14:textId="77777777" w:rsidR="00302F67" w:rsidRPr="00B838E6" w:rsidRDefault="00302F67" w:rsidP="00B838E6">
            <w:pPr>
              <w:spacing w:line="360" w:lineRule="auto"/>
              <w:jc w:val="center"/>
              <w:rPr>
                <w:b/>
                <w:bCs/>
                <w:color w:val="000000"/>
                <w:sz w:val="22"/>
                <w:szCs w:val="22"/>
              </w:rPr>
            </w:pPr>
          </w:p>
        </w:tc>
        <w:tc>
          <w:tcPr>
            <w:tcW w:w="1201" w:type="pct"/>
            <w:tcBorders>
              <w:left w:val="nil"/>
              <w:bottom w:val="nil"/>
              <w:right w:val="nil"/>
            </w:tcBorders>
            <w:shd w:val="clear" w:color="auto" w:fill="auto"/>
            <w:noWrap/>
            <w:hideMark/>
          </w:tcPr>
          <w:p w14:paraId="51D80DC9" w14:textId="77777777" w:rsidR="00302F67" w:rsidRPr="00B838E6" w:rsidRDefault="00302F67" w:rsidP="00B838E6">
            <w:pPr>
              <w:spacing w:line="360" w:lineRule="auto"/>
              <w:jc w:val="center"/>
              <w:rPr>
                <w:sz w:val="22"/>
                <w:szCs w:val="22"/>
              </w:rPr>
            </w:pPr>
          </w:p>
        </w:tc>
        <w:tc>
          <w:tcPr>
            <w:tcW w:w="948" w:type="pct"/>
            <w:tcBorders>
              <w:left w:val="nil"/>
              <w:bottom w:val="nil"/>
              <w:right w:val="nil"/>
            </w:tcBorders>
          </w:tcPr>
          <w:p w14:paraId="6895C0FE" w14:textId="77777777" w:rsidR="00302F67" w:rsidRPr="00B838E6" w:rsidRDefault="00302F67" w:rsidP="00B838E6">
            <w:pPr>
              <w:spacing w:line="360" w:lineRule="auto"/>
              <w:jc w:val="center"/>
              <w:rPr>
                <w:sz w:val="22"/>
                <w:szCs w:val="22"/>
              </w:rPr>
            </w:pPr>
          </w:p>
        </w:tc>
      </w:tr>
      <w:tr w:rsidR="00302F67" w:rsidRPr="00B838E6" w14:paraId="352C99B6" w14:textId="77777777" w:rsidTr="00DB26DA">
        <w:tc>
          <w:tcPr>
            <w:tcW w:w="2185" w:type="pct"/>
            <w:tcBorders>
              <w:top w:val="nil"/>
              <w:left w:val="nil"/>
              <w:bottom w:val="nil"/>
              <w:right w:val="nil"/>
            </w:tcBorders>
            <w:shd w:val="clear" w:color="auto" w:fill="auto"/>
            <w:noWrap/>
            <w:hideMark/>
          </w:tcPr>
          <w:p w14:paraId="7A602C85"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Total</w:t>
            </w:r>
          </w:p>
        </w:tc>
        <w:tc>
          <w:tcPr>
            <w:tcW w:w="666" w:type="pct"/>
            <w:tcBorders>
              <w:top w:val="nil"/>
              <w:left w:val="nil"/>
              <w:bottom w:val="nil"/>
              <w:right w:val="nil"/>
            </w:tcBorders>
            <w:shd w:val="clear" w:color="auto" w:fill="auto"/>
            <w:noWrap/>
            <w:hideMark/>
          </w:tcPr>
          <w:p w14:paraId="5698DDDB"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1,800</w:t>
            </w:r>
          </w:p>
        </w:tc>
        <w:tc>
          <w:tcPr>
            <w:tcW w:w="1201" w:type="pct"/>
            <w:tcBorders>
              <w:top w:val="nil"/>
              <w:left w:val="nil"/>
              <w:bottom w:val="nil"/>
              <w:right w:val="nil"/>
            </w:tcBorders>
            <w:shd w:val="clear" w:color="auto" w:fill="auto"/>
            <w:noWrap/>
            <w:hideMark/>
          </w:tcPr>
          <w:p w14:paraId="4183F7FF" w14:textId="77777777" w:rsidR="00302F67" w:rsidRPr="00B838E6" w:rsidRDefault="00302F67" w:rsidP="00B838E6">
            <w:pPr>
              <w:spacing w:line="360" w:lineRule="auto"/>
              <w:jc w:val="center"/>
              <w:rPr>
                <w:color w:val="000000"/>
                <w:sz w:val="22"/>
                <w:szCs w:val="22"/>
              </w:rPr>
            </w:pPr>
            <w:r w:rsidRPr="00B838E6">
              <w:rPr>
                <w:color w:val="000000"/>
                <w:sz w:val="22"/>
                <w:szCs w:val="22"/>
              </w:rPr>
              <w:t>605 (33.6% of all laws)</w:t>
            </w:r>
          </w:p>
        </w:tc>
        <w:tc>
          <w:tcPr>
            <w:tcW w:w="948" w:type="pct"/>
            <w:tcBorders>
              <w:top w:val="nil"/>
              <w:left w:val="nil"/>
              <w:bottom w:val="nil"/>
              <w:right w:val="nil"/>
            </w:tcBorders>
          </w:tcPr>
          <w:p w14:paraId="7ECDB884" w14:textId="77777777" w:rsidR="00302F67" w:rsidRPr="00B838E6" w:rsidRDefault="00302F67" w:rsidP="00B838E6">
            <w:pPr>
              <w:spacing w:line="360" w:lineRule="auto"/>
              <w:jc w:val="center"/>
              <w:rPr>
                <w:color w:val="000000"/>
                <w:sz w:val="22"/>
                <w:szCs w:val="22"/>
              </w:rPr>
            </w:pPr>
            <w:r w:rsidRPr="00B838E6">
              <w:rPr>
                <w:color w:val="000000"/>
                <w:sz w:val="22"/>
                <w:szCs w:val="22"/>
              </w:rPr>
              <w:t>1,195 (66.4%)</w:t>
            </w:r>
          </w:p>
        </w:tc>
      </w:tr>
      <w:tr w:rsidR="00302F67" w:rsidRPr="00B838E6" w14:paraId="14BFF79B" w14:textId="77777777" w:rsidTr="00DB26DA">
        <w:tc>
          <w:tcPr>
            <w:tcW w:w="2185" w:type="pct"/>
            <w:tcBorders>
              <w:top w:val="nil"/>
              <w:left w:val="nil"/>
              <w:bottom w:val="nil"/>
              <w:right w:val="nil"/>
            </w:tcBorders>
            <w:shd w:val="clear" w:color="auto" w:fill="auto"/>
            <w:noWrap/>
            <w:hideMark/>
          </w:tcPr>
          <w:p w14:paraId="0B11BB67"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 xml:space="preserve">Pre-1990 </w:t>
            </w:r>
          </w:p>
        </w:tc>
        <w:tc>
          <w:tcPr>
            <w:tcW w:w="666" w:type="pct"/>
            <w:tcBorders>
              <w:top w:val="nil"/>
              <w:left w:val="nil"/>
              <w:bottom w:val="nil"/>
              <w:right w:val="nil"/>
            </w:tcBorders>
            <w:shd w:val="clear" w:color="auto" w:fill="auto"/>
            <w:noWrap/>
            <w:hideMark/>
          </w:tcPr>
          <w:p w14:paraId="424F218E"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35</w:t>
            </w:r>
          </w:p>
        </w:tc>
        <w:tc>
          <w:tcPr>
            <w:tcW w:w="1201" w:type="pct"/>
            <w:tcBorders>
              <w:top w:val="nil"/>
              <w:left w:val="nil"/>
              <w:bottom w:val="nil"/>
              <w:right w:val="nil"/>
            </w:tcBorders>
            <w:shd w:val="clear" w:color="auto" w:fill="auto"/>
            <w:noWrap/>
            <w:hideMark/>
          </w:tcPr>
          <w:p w14:paraId="70C714D5" w14:textId="77777777" w:rsidR="00302F67" w:rsidRPr="00B838E6" w:rsidRDefault="00302F67" w:rsidP="00B838E6">
            <w:pPr>
              <w:spacing w:line="360" w:lineRule="auto"/>
              <w:jc w:val="center"/>
              <w:rPr>
                <w:color w:val="000000"/>
                <w:sz w:val="22"/>
                <w:szCs w:val="22"/>
              </w:rPr>
            </w:pPr>
            <w:r w:rsidRPr="00B838E6">
              <w:rPr>
                <w:color w:val="000000"/>
                <w:sz w:val="22"/>
                <w:szCs w:val="22"/>
              </w:rPr>
              <w:t>24 (68.6%)</w:t>
            </w:r>
          </w:p>
        </w:tc>
        <w:tc>
          <w:tcPr>
            <w:tcW w:w="948" w:type="pct"/>
            <w:tcBorders>
              <w:top w:val="nil"/>
              <w:left w:val="nil"/>
              <w:bottom w:val="nil"/>
              <w:right w:val="nil"/>
            </w:tcBorders>
          </w:tcPr>
          <w:p w14:paraId="20771DD3" w14:textId="77777777" w:rsidR="00302F67" w:rsidRPr="00B838E6" w:rsidRDefault="00302F67" w:rsidP="00B838E6">
            <w:pPr>
              <w:spacing w:line="360" w:lineRule="auto"/>
              <w:jc w:val="center"/>
              <w:rPr>
                <w:color w:val="000000"/>
                <w:sz w:val="22"/>
                <w:szCs w:val="22"/>
              </w:rPr>
            </w:pPr>
            <w:r w:rsidRPr="00B838E6">
              <w:rPr>
                <w:color w:val="000000"/>
                <w:sz w:val="22"/>
                <w:szCs w:val="22"/>
              </w:rPr>
              <w:t>9 (31.4%)</w:t>
            </w:r>
          </w:p>
        </w:tc>
      </w:tr>
      <w:tr w:rsidR="00302F67" w:rsidRPr="00B838E6" w14:paraId="411F5F01" w14:textId="77777777" w:rsidTr="00DB26DA">
        <w:tc>
          <w:tcPr>
            <w:tcW w:w="2185" w:type="pct"/>
            <w:tcBorders>
              <w:top w:val="nil"/>
              <w:left w:val="nil"/>
              <w:bottom w:val="nil"/>
              <w:right w:val="nil"/>
            </w:tcBorders>
            <w:shd w:val="clear" w:color="auto" w:fill="auto"/>
            <w:noWrap/>
            <w:hideMark/>
          </w:tcPr>
          <w:p w14:paraId="238AA185"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1990-1999</w:t>
            </w:r>
          </w:p>
        </w:tc>
        <w:tc>
          <w:tcPr>
            <w:tcW w:w="666" w:type="pct"/>
            <w:tcBorders>
              <w:top w:val="nil"/>
              <w:left w:val="nil"/>
              <w:bottom w:val="nil"/>
              <w:right w:val="nil"/>
            </w:tcBorders>
            <w:shd w:val="clear" w:color="auto" w:fill="auto"/>
            <w:noWrap/>
            <w:hideMark/>
          </w:tcPr>
          <w:p w14:paraId="1863253D"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110</w:t>
            </w:r>
          </w:p>
        </w:tc>
        <w:tc>
          <w:tcPr>
            <w:tcW w:w="1201" w:type="pct"/>
            <w:tcBorders>
              <w:top w:val="nil"/>
              <w:left w:val="nil"/>
              <w:bottom w:val="nil"/>
              <w:right w:val="nil"/>
            </w:tcBorders>
            <w:shd w:val="clear" w:color="auto" w:fill="auto"/>
            <w:noWrap/>
            <w:hideMark/>
          </w:tcPr>
          <w:p w14:paraId="2E98584C" w14:textId="77777777" w:rsidR="00302F67" w:rsidRPr="00B838E6" w:rsidRDefault="00302F67" w:rsidP="00B838E6">
            <w:pPr>
              <w:spacing w:line="360" w:lineRule="auto"/>
              <w:jc w:val="center"/>
              <w:rPr>
                <w:color w:val="000000"/>
                <w:sz w:val="22"/>
                <w:szCs w:val="22"/>
              </w:rPr>
            </w:pPr>
            <w:r w:rsidRPr="00B838E6">
              <w:rPr>
                <w:color w:val="000000"/>
                <w:sz w:val="22"/>
                <w:szCs w:val="22"/>
              </w:rPr>
              <w:t>38 (34.6%)</w:t>
            </w:r>
          </w:p>
        </w:tc>
        <w:tc>
          <w:tcPr>
            <w:tcW w:w="948" w:type="pct"/>
            <w:tcBorders>
              <w:top w:val="nil"/>
              <w:left w:val="nil"/>
              <w:bottom w:val="nil"/>
              <w:right w:val="nil"/>
            </w:tcBorders>
          </w:tcPr>
          <w:p w14:paraId="25802BDC" w14:textId="77777777" w:rsidR="00302F67" w:rsidRPr="00B838E6" w:rsidRDefault="00302F67" w:rsidP="00B838E6">
            <w:pPr>
              <w:spacing w:line="360" w:lineRule="auto"/>
              <w:jc w:val="center"/>
              <w:rPr>
                <w:color w:val="000000"/>
                <w:sz w:val="22"/>
                <w:szCs w:val="22"/>
              </w:rPr>
            </w:pPr>
            <w:r w:rsidRPr="00B838E6">
              <w:rPr>
                <w:color w:val="000000"/>
                <w:sz w:val="22"/>
                <w:szCs w:val="22"/>
              </w:rPr>
              <w:t>72 (65.4%)</w:t>
            </w:r>
          </w:p>
        </w:tc>
      </w:tr>
      <w:tr w:rsidR="00302F67" w:rsidRPr="00B838E6" w14:paraId="5F249CB4" w14:textId="77777777" w:rsidTr="00DB26DA">
        <w:tc>
          <w:tcPr>
            <w:tcW w:w="2185" w:type="pct"/>
            <w:tcBorders>
              <w:top w:val="nil"/>
              <w:left w:val="nil"/>
              <w:bottom w:val="nil"/>
              <w:right w:val="nil"/>
            </w:tcBorders>
            <w:shd w:val="clear" w:color="auto" w:fill="auto"/>
            <w:noWrap/>
            <w:hideMark/>
          </w:tcPr>
          <w:p w14:paraId="6B8C7929"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2000-2009</w:t>
            </w:r>
          </w:p>
        </w:tc>
        <w:tc>
          <w:tcPr>
            <w:tcW w:w="666" w:type="pct"/>
            <w:tcBorders>
              <w:top w:val="nil"/>
              <w:left w:val="nil"/>
              <w:bottom w:val="nil"/>
              <w:right w:val="nil"/>
            </w:tcBorders>
            <w:shd w:val="clear" w:color="auto" w:fill="auto"/>
            <w:noWrap/>
            <w:hideMark/>
          </w:tcPr>
          <w:p w14:paraId="071104E5"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554</w:t>
            </w:r>
          </w:p>
        </w:tc>
        <w:tc>
          <w:tcPr>
            <w:tcW w:w="1201" w:type="pct"/>
            <w:tcBorders>
              <w:top w:val="nil"/>
              <w:left w:val="nil"/>
              <w:bottom w:val="nil"/>
              <w:right w:val="nil"/>
            </w:tcBorders>
            <w:shd w:val="clear" w:color="auto" w:fill="auto"/>
            <w:noWrap/>
            <w:hideMark/>
          </w:tcPr>
          <w:p w14:paraId="32F5875B" w14:textId="77777777" w:rsidR="00302F67" w:rsidRPr="00B838E6" w:rsidRDefault="00302F67" w:rsidP="00B838E6">
            <w:pPr>
              <w:spacing w:line="360" w:lineRule="auto"/>
              <w:jc w:val="center"/>
              <w:rPr>
                <w:color w:val="000000"/>
                <w:sz w:val="22"/>
                <w:szCs w:val="22"/>
              </w:rPr>
            </w:pPr>
            <w:r w:rsidRPr="00B838E6">
              <w:rPr>
                <w:color w:val="000000"/>
                <w:sz w:val="22"/>
                <w:szCs w:val="22"/>
              </w:rPr>
              <w:t>203 (36.6%)</w:t>
            </w:r>
          </w:p>
        </w:tc>
        <w:tc>
          <w:tcPr>
            <w:tcW w:w="948" w:type="pct"/>
            <w:tcBorders>
              <w:top w:val="nil"/>
              <w:left w:val="nil"/>
              <w:bottom w:val="nil"/>
              <w:right w:val="nil"/>
            </w:tcBorders>
          </w:tcPr>
          <w:p w14:paraId="10567073" w14:textId="77777777" w:rsidR="00302F67" w:rsidRPr="00B838E6" w:rsidRDefault="00302F67" w:rsidP="00B838E6">
            <w:pPr>
              <w:spacing w:line="360" w:lineRule="auto"/>
              <w:jc w:val="center"/>
              <w:rPr>
                <w:color w:val="000000"/>
                <w:sz w:val="22"/>
                <w:szCs w:val="22"/>
              </w:rPr>
            </w:pPr>
            <w:r w:rsidRPr="00B838E6">
              <w:rPr>
                <w:color w:val="000000"/>
                <w:sz w:val="22"/>
                <w:szCs w:val="22"/>
              </w:rPr>
              <w:t>351 (63.4%)</w:t>
            </w:r>
          </w:p>
        </w:tc>
      </w:tr>
      <w:tr w:rsidR="00302F67" w:rsidRPr="00B838E6" w14:paraId="78D03D5C" w14:textId="77777777" w:rsidTr="00DB26DA">
        <w:tc>
          <w:tcPr>
            <w:tcW w:w="2185" w:type="pct"/>
            <w:tcBorders>
              <w:top w:val="nil"/>
              <w:left w:val="nil"/>
              <w:bottom w:val="nil"/>
              <w:right w:val="nil"/>
            </w:tcBorders>
            <w:shd w:val="clear" w:color="auto" w:fill="auto"/>
            <w:noWrap/>
            <w:hideMark/>
          </w:tcPr>
          <w:p w14:paraId="1A9C96AF"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2010-2019</w:t>
            </w:r>
          </w:p>
        </w:tc>
        <w:tc>
          <w:tcPr>
            <w:tcW w:w="666" w:type="pct"/>
            <w:tcBorders>
              <w:top w:val="nil"/>
              <w:left w:val="nil"/>
              <w:bottom w:val="nil"/>
              <w:right w:val="nil"/>
            </w:tcBorders>
            <w:shd w:val="clear" w:color="auto" w:fill="auto"/>
            <w:noWrap/>
            <w:hideMark/>
          </w:tcPr>
          <w:p w14:paraId="044D83A1"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1,101</w:t>
            </w:r>
          </w:p>
        </w:tc>
        <w:tc>
          <w:tcPr>
            <w:tcW w:w="1201" w:type="pct"/>
            <w:tcBorders>
              <w:top w:val="nil"/>
              <w:left w:val="nil"/>
              <w:bottom w:val="nil"/>
              <w:right w:val="nil"/>
            </w:tcBorders>
            <w:shd w:val="clear" w:color="auto" w:fill="auto"/>
            <w:noWrap/>
            <w:hideMark/>
          </w:tcPr>
          <w:p w14:paraId="2CBF78FA" w14:textId="77777777" w:rsidR="00302F67" w:rsidRPr="00B838E6" w:rsidRDefault="00302F67" w:rsidP="00B838E6">
            <w:pPr>
              <w:spacing w:line="360" w:lineRule="auto"/>
              <w:jc w:val="center"/>
              <w:rPr>
                <w:color w:val="000000"/>
                <w:sz w:val="22"/>
                <w:szCs w:val="22"/>
              </w:rPr>
            </w:pPr>
            <w:r w:rsidRPr="00B838E6">
              <w:rPr>
                <w:color w:val="000000"/>
                <w:sz w:val="22"/>
                <w:szCs w:val="22"/>
              </w:rPr>
              <w:t>340 (30.9%)</w:t>
            </w:r>
          </w:p>
        </w:tc>
        <w:tc>
          <w:tcPr>
            <w:tcW w:w="948" w:type="pct"/>
            <w:tcBorders>
              <w:top w:val="nil"/>
              <w:left w:val="nil"/>
              <w:bottom w:val="nil"/>
              <w:right w:val="nil"/>
            </w:tcBorders>
          </w:tcPr>
          <w:p w14:paraId="4890DF38" w14:textId="77777777" w:rsidR="00302F67" w:rsidRPr="00B838E6" w:rsidRDefault="00302F67" w:rsidP="00B838E6">
            <w:pPr>
              <w:spacing w:line="360" w:lineRule="auto"/>
              <w:jc w:val="center"/>
              <w:rPr>
                <w:color w:val="000000"/>
                <w:sz w:val="22"/>
                <w:szCs w:val="22"/>
              </w:rPr>
            </w:pPr>
            <w:r w:rsidRPr="00B838E6">
              <w:rPr>
                <w:color w:val="000000"/>
                <w:sz w:val="22"/>
                <w:szCs w:val="22"/>
              </w:rPr>
              <w:t>771 (69.1%)</w:t>
            </w:r>
          </w:p>
        </w:tc>
      </w:tr>
      <w:tr w:rsidR="00302F67" w:rsidRPr="00B838E6" w14:paraId="53794E92" w14:textId="77777777" w:rsidTr="00DB26DA">
        <w:tc>
          <w:tcPr>
            <w:tcW w:w="2185" w:type="pct"/>
            <w:tcBorders>
              <w:top w:val="nil"/>
              <w:left w:val="nil"/>
              <w:bottom w:val="nil"/>
              <w:right w:val="nil"/>
            </w:tcBorders>
            <w:shd w:val="clear" w:color="auto" w:fill="auto"/>
            <w:noWrap/>
            <w:hideMark/>
          </w:tcPr>
          <w:p w14:paraId="5FFA98B0" w14:textId="77777777" w:rsidR="00302F67" w:rsidRPr="00B838E6" w:rsidRDefault="00302F67" w:rsidP="00B838E6">
            <w:pPr>
              <w:spacing w:line="360" w:lineRule="auto"/>
              <w:rPr>
                <w:b/>
                <w:bCs/>
                <w:color w:val="000000"/>
                <w:sz w:val="22"/>
                <w:szCs w:val="22"/>
              </w:rPr>
            </w:pPr>
            <w:r w:rsidRPr="00B838E6">
              <w:rPr>
                <w:b/>
                <w:bCs/>
                <w:color w:val="000000"/>
                <w:sz w:val="22"/>
                <w:szCs w:val="22"/>
              </w:rPr>
              <w:t>Laws by topic</w:t>
            </w:r>
            <w:r w:rsidRPr="00B838E6">
              <w:rPr>
                <w:color w:val="000000"/>
                <w:sz w:val="22"/>
                <w:szCs w:val="22"/>
              </w:rPr>
              <w:t xml:space="preserve"> (1990-2019)</w:t>
            </w:r>
          </w:p>
        </w:tc>
        <w:tc>
          <w:tcPr>
            <w:tcW w:w="666" w:type="pct"/>
            <w:tcBorders>
              <w:top w:val="nil"/>
              <w:left w:val="nil"/>
              <w:bottom w:val="nil"/>
              <w:right w:val="nil"/>
            </w:tcBorders>
            <w:shd w:val="clear" w:color="auto" w:fill="auto"/>
            <w:noWrap/>
            <w:hideMark/>
          </w:tcPr>
          <w:p w14:paraId="2BC08449" w14:textId="77777777" w:rsidR="00302F67" w:rsidRPr="00B838E6" w:rsidRDefault="00302F67" w:rsidP="00B838E6">
            <w:pPr>
              <w:tabs>
                <w:tab w:val="decimal" w:pos="719"/>
              </w:tabs>
              <w:spacing w:line="360" w:lineRule="auto"/>
              <w:rPr>
                <w:b/>
                <w:bCs/>
                <w:color w:val="000000"/>
                <w:sz w:val="22"/>
                <w:szCs w:val="22"/>
              </w:rPr>
            </w:pPr>
          </w:p>
        </w:tc>
        <w:tc>
          <w:tcPr>
            <w:tcW w:w="1201" w:type="pct"/>
            <w:tcBorders>
              <w:top w:val="nil"/>
              <w:left w:val="nil"/>
              <w:bottom w:val="nil"/>
              <w:right w:val="nil"/>
            </w:tcBorders>
            <w:shd w:val="clear" w:color="auto" w:fill="auto"/>
            <w:noWrap/>
            <w:hideMark/>
          </w:tcPr>
          <w:p w14:paraId="139FB106" w14:textId="77777777" w:rsidR="00302F67" w:rsidRPr="00B838E6" w:rsidRDefault="00302F67" w:rsidP="00B838E6">
            <w:pPr>
              <w:spacing w:line="360" w:lineRule="auto"/>
              <w:jc w:val="center"/>
              <w:rPr>
                <w:sz w:val="22"/>
                <w:szCs w:val="22"/>
              </w:rPr>
            </w:pPr>
          </w:p>
        </w:tc>
        <w:tc>
          <w:tcPr>
            <w:tcW w:w="948" w:type="pct"/>
            <w:tcBorders>
              <w:top w:val="nil"/>
              <w:left w:val="nil"/>
              <w:bottom w:val="nil"/>
              <w:right w:val="nil"/>
            </w:tcBorders>
          </w:tcPr>
          <w:p w14:paraId="7056F81C" w14:textId="77777777" w:rsidR="00302F67" w:rsidRPr="00B838E6" w:rsidRDefault="00302F67" w:rsidP="00B838E6">
            <w:pPr>
              <w:spacing w:line="360" w:lineRule="auto"/>
              <w:jc w:val="center"/>
              <w:rPr>
                <w:sz w:val="22"/>
                <w:szCs w:val="22"/>
              </w:rPr>
            </w:pPr>
          </w:p>
        </w:tc>
      </w:tr>
      <w:tr w:rsidR="00302F67" w:rsidRPr="00B838E6" w14:paraId="5E109DCA" w14:textId="77777777" w:rsidTr="00DB26DA">
        <w:tc>
          <w:tcPr>
            <w:tcW w:w="2185" w:type="pct"/>
            <w:tcBorders>
              <w:top w:val="nil"/>
              <w:left w:val="nil"/>
              <w:bottom w:val="nil"/>
              <w:right w:val="nil"/>
            </w:tcBorders>
            <w:shd w:val="clear" w:color="auto" w:fill="auto"/>
            <w:noWrap/>
            <w:hideMark/>
          </w:tcPr>
          <w:p w14:paraId="6FC80F60"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Framework laws</w:t>
            </w:r>
          </w:p>
        </w:tc>
        <w:tc>
          <w:tcPr>
            <w:tcW w:w="666" w:type="pct"/>
            <w:tcBorders>
              <w:top w:val="nil"/>
              <w:left w:val="nil"/>
              <w:bottom w:val="nil"/>
              <w:right w:val="nil"/>
            </w:tcBorders>
            <w:shd w:val="clear" w:color="auto" w:fill="auto"/>
            <w:noWrap/>
            <w:hideMark/>
          </w:tcPr>
          <w:p w14:paraId="6902DBFF"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238</w:t>
            </w:r>
          </w:p>
        </w:tc>
        <w:tc>
          <w:tcPr>
            <w:tcW w:w="1201" w:type="pct"/>
            <w:tcBorders>
              <w:top w:val="nil"/>
              <w:left w:val="nil"/>
              <w:bottom w:val="nil"/>
              <w:right w:val="nil"/>
            </w:tcBorders>
            <w:shd w:val="clear" w:color="auto" w:fill="auto"/>
            <w:noWrap/>
            <w:hideMark/>
          </w:tcPr>
          <w:p w14:paraId="2DBEA4DF" w14:textId="77777777" w:rsidR="00302F67" w:rsidRPr="00B838E6" w:rsidRDefault="00302F67" w:rsidP="00B838E6">
            <w:pPr>
              <w:spacing w:line="360" w:lineRule="auto"/>
              <w:jc w:val="center"/>
              <w:rPr>
                <w:color w:val="000000"/>
                <w:sz w:val="22"/>
                <w:szCs w:val="22"/>
              </w:rPr>
            </w:pPr>
            <w:r w:rsidRPr="00B838E6">
              <w:rPr>
                <w:color w:val="000000"/>
                <w:sz w:val="22"/>
                <w:szCs w:val="22"/>
              </w:rPr>
              <w:t>85 (35.7%)</w:t>
            </w:r>
          </w:p>
        </w:tc>
        <w:tc>
          <w:tcPr>
            <w:tcW w:w="948" w:type="pct"/>
            <w:tcBorders>
              <w:top w:val="nil"/>
              <w:left w:val="nil"/>
              <w:bottom w:val="nil"/>
              <w:right w:val="nil"/>
            </w:tcBorders>
          </w:tcPr>
          <w:p w14:paraId="05C7D3AF" w14:textId="77777777" w:rsidR="00302F67" w:rsidRPr="00B838E6" w:rsidRDefault="00302F67" w:rsidP="00B838E6">
            <w:pPr>
              <w:spacing w:line="360" w:lineRule="auto"/>
              <w:jc w:val="center"/>
              <w:rPr>
                <w:color w:val="000000"/>
                <w:sz w:val="22"/>
                <w:szCs w:val="22"/>
              </w:rPr>
            </w:pPr>
            <w:r w:rsidRPr="00B838E6">
              <w:rPr>
                <w:color w:val="000000"/>
                <w:sz w:val="22"/>
                <w:szCs w:val="22"/>
              </w:rPr>
              <w:t>153 (64.3%)</w:t>
            </w:r>
          </w:p>
        </w:tc>
      </w:tr>
      <w:tr w:rsidR="00302F67" w:rsidRPr="00B838E6" w14:paraId="51328AF4" w14:textId="77777777" w:rsidTr="00DB26DA">
        <w:tc>
          <w:tcPr>
            <w:tcW w:w="2185" w:type="pct"/>
            <w:tcBorders>
              <w:top w:val="nil"/>
              <w:left w:val="nil"/>
              <w:bottom w:val="nil"/>
              <w:right w:val="nil"/>
            </w:tcBorders>
            <w:shd w:val="clear" w:color="auto" w:fill="auto"/>
            <w:noWrap/>
            <w:hideMark/>
          </w:tcPr>
          <w:p w14:paraId="3E823795"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Laws addressing GHG emissions (mitigation laws)</w:t>
            </w:r>
          </w:p>
        </w:tc>
        <w:tc>
          <w:tcPr>
            <w:tcW w:w="666" w:type="pct"/>
            <w:tcBorders>
              <w:top w:val="nil"/>
              <w:left w:val="nil"/>
              <w:bottom w:val="nil"/>
              <w:right w:val="nil"/>
            </w:tcBorders>
            <w:shd w:val="clear" w:color="auto" w:fill="auto"/>
            <w:noWrap/>
            <w:hideMark/>
          </w:tcPr>
          <w:p w14:paraId="249B29DE"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1,620</w:t>
            </w:r>
          </w:p>
        </w:tc>
        <w:tc>
          <w:tcPr>
            <w:tcW w:w="1201" w:type="pct"/>
            <w:tcBorders>
              <w:top w:val="nil"/>
              <w:left w:val="nil"/>
              <w:bottom w:val="nil"/>
              <w:right w:val="nil"/>
            </w:tcBorders>
            <w:shd w:val="clear" w:color="auto" w:fill="auto"/>
            <w:noWrap/>
            <w:hideMark/>
          </w:tcPr>
          <w:p w14:paraId="6FA20236" w14:textId="77777777" w:rsidR="00302F67" w:rsidRPr="00B838E6" w:rsidRDefault="00302F67" w:rsidP="00B838E6">
            <w:pPr>
              <w:spacing w:line="360" w:lineRule="auto"/>
              <w:jc w:val="center"/>
              <w:rPr>
                <w:color w:val="000000"/>
                <w:sz w:val="22"/>
                <w:szCs w:val="22"/>
              </w:rPr>
            </w:pPr>
            <w:r w:rsidRPr="00B838E6">
              <w:rPr>
                <w:color w:val="000000"/>
                <w:sz w:val="22"/>
                <w:szCs w:val="22"/>
              </w:rPr>
              <w:t>549 (33.9%)</w:t>
            </w:r>
          </w:p>
        </w:tc>
        <w:tc>
          <w:tcPr>
            <w:tcW w:w="948" w:type="pct"/>
            <w:tcBorders>
              <w:top w:val="nil"/>
              <w:left w:val="nil"/>
              <w:bottom w:val="nil"/>
              <w:right w:val="nil"/>
            </w:tcBorders>
          </w:tcPr>
          <w:p w14:paraId="353BC648" w14:textId="77777777" w:rsidR="00302F67" w:rsidRPr="00B838E6" w:rsidRDefault="00302F67" w:rsidP="00B838E6">
            <w:pPr>
              <w:spacing w:line="360" w:lineRule="auto"/>
              <w:jc w:val="center"/>
              <w:rPr>
                <w:color w:val="000000"/>
                <w:sz w:val="22"/>
                <w:szCs w:val="22"/>
              </w:rPr>
            </w:pPr>
            <w:r w:rsidRPr="00B838E6">
              <w:rPr>
                <w:color w:val="000000"/>
                <w:sz w:val="22"/>
                <w:szCs w:val="22"/>
              </w:rPr>
              <w:t>1,071 (66.1%)</w:t>
            </w:r>
          </w:p>
        </w:tc>
      </w:tr>
      <w:tr w:rsidR="00302F67" w:rsidRPr="00B838E6" w14:paraId="1129D0E1" w14:textId="77777777" w:rsidTr="00DB26DA">
        <w:tc>
          <w:tcPr>
            <w:tcW w:w="2185" w:type="pct"/>
            <w:tcBorders>
              <w:top w:val="nil"/>
              <w:left w:val="nil"/>
              <w:bottom w:val="nil"/>
              <w:right w:val="nil"/>
            </w:tcBorders>
            <w:shd w:val="clear" w:color="auto" w:fill="auto"/>
            <w:noWrap/>
            <w:hideMark/>
          </w:tcPr>
          <w:p w14:paraId="1B098178"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Mitigation laws focused on energy (energy laws)</w:t>
            </w:r>
          </w:p>
        </w:tc>
        <w:tc>
          <w:tcPr>
            <w:tcW w:w="666" w:type="pct"/>
            <w:tcBorders>
              <w:top w:val="nil"/>
              <w:left w:val="nil"/>
              <w:bottom w:val="nil"/>
              <w:right w:val="nil"/>
            </w:tcBorders>
            <w:shd w:val="clear" w:color="auto" w:fill="auto"/>
            <w:noWrap/>
            <w:hideMark/>
          </w:tcPr>
          <w:p w14:paraId="56B88F5E"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1,055</w:t>
            </w:r>
          </w:p>
        </w:tc>
        <w:tc>
          <w:tcPr>
            <w:tcW w:w="1201" w:type="pct"/>
            <w:tcBorders>
              <w:top w:val="nil"/>
              <w:left w:val="nil"/>
              <w:bottom w:val="nil"/>
              <w:right w:val="nil"/>
            </w:tcBorders>
            <w:shd w:val="clear" w:color="auto" w:fill="auto"/>
            <w:noWrap/>
            <w:hideMark/>
          </w:tcPr>
          <w:p w14:paraId="0160DA86" w14:textId="77777777" w:rsidR="00302F67" w:rsidRPr="00B838E6" w:rsidRDefault="00302F67" w:rsidP="00B838E6">
            <w:pPr>
              <w:spacing w:line="360" w:lineRule="auto"/>
              <w:jc w:val="center"/>
              <w:rPr>
                <w:color w:val="000000"/>
                <w:sz w:val="22"/>
                <w:szCs w:val="22"/>
              </w:rPr>
            </w:pPr>
            <w:r w:rsidRPr="00B838E6">
              <w:rPr>
                <w:color w:val="000000"/>
                <w:sz w:val="22"/>
                <w:szCs w:val="22"/>
              </w:rPr>
              <w:t>395 (37.4%)</w:t>
            </w:r>
          </w:p>
        </w:tc>
        <w:tc>
          <w:tcPr>
            <w:tcW w:w="948" w:type="pct"/>
            <w:tcBorders>
              <w:top w:val="nil"/>
              <w:left w:val="nil"/>
              <w:bottom w:val="nil"/>
              <w:right w:val="nil"/>
            </w:tcBorders>
          </w:tcPr>
          <w:p w14:paraId="7BAC0431" w14:textId="77777777" w:rsidR="00302F67" w:rsidRPr="00B838E6" w:rsidRDefault="00302F67" w:rsidP="00B838E6">
            <w:pPr>
              <w:spacing w:line="360" w:lineRule="auto"/>
              <w:jc w:val="center"/>
              <w:rPr>
                <w:color w:val="000000"/>
                <w:sz w:val="22"/>
                <w:szCs w:val="22"/>
              </w:rPr>
            </w:pPr>
            <w:r w:rsidRPr="00B838E6">
              <w:rPr>
                <w:color w:val="000000"/>
                <w:sz w:val="22"/>
                <w:szCs w:val="22"/>
              </w:rPr>
              <w:t>660 (62.6%)</w:t>
            </w:r>
          </w:p>
        </w:tc>
      </w:tr>
      <w:tr w:rsidR="00302F67" w:rsidRPr="00B838E6" w14:paraId="3B4519AD" w14:textId="77777777" w:rsidTr="00DB26DA">
        <w:tc>
          <w:tcPr>
            <w:tcW w:w="2185" w:type="pct"/>
            <w:tcBorders>
              <w:top w:val="nil"/>
              <w:left w:val="nil"/>
              <w:bottom w:val="nil"/>
              <w:right w:val="nil"/>
            </w:tcBorders>
            <w:shd w:val="clear" w:color="auto" w:fill="auto"/>
            <w:noWrap/>
            <w:hideMark/>
          </w:tcPr>
          <w:p w14:paraId="0C3EF72C"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Laws addressing climate resilience (adaptation laws)</w:t>
            </w:r>
          </w:p>
        </w:tc>
        <w:tc>
          <w:tcPr>
            <w:tcW w:w="666" w:type="pct"/>
            <w:tcBorders>
              <w:top w:val="nil"/>
              <w:left w:val="nil"/>
              <w:bottom w:val="nil"/>
              <w:right w:val="nil"/>
            </w:tcBorders>
            <w:shd w:val="clear" w:color="auto" w:fill="auto"/>
            <w:noWrap/>
            <w:hideMark/>
          </w:tcPr>
          <w:p w14:paraId="669D05A2"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641</w:t>
            </w:r>
          </w:p>
        </w:tc>
        <w:tc>
          <w:tcPr>
            <w:tcW w:w="1201" w:type="pct"/>
            <w:tcBorders>
              <w:top w:val="nil"/>
              <w:left w:val="nil"/>
              <w:bottom w:val="nil"/>
              <w:right w:val="nil"/>
            </w:tcBorders>
            <w:shd w:val="clear" w:color="auto" w:fill="auto"/>
            <w:noWrap/>
            <w:hideMark/>
          </w:tcPr>
          <w:p w14:paraId="30EE0FF6" w14:textId="77777777" w:rsidR="00302F67" w:rsidRPr="00B838E6" w:rsidRDefault="00302F67" w:rsidP="00B838E6">
            <w:pPr>
              <w:spacing w:line="360" w:lineRule="auto"/>
              <w:jc w:val="center"/>
              <w:rPr>
                <w:color w:val="000000"/>
                <w:sz w:val="22"/>
                <w:szCs w:val="22"/>
              </w:rPr>
            </w:pPr>
            <w:r w:rsidRPr="00B838E6">
              <w:rPr>
                <w:color w:val="000000"/>
                <w:sz w:val="22"/>
                <w:szCs w:val="22"/>
              </w:rPr>
              <w:t>143 (22.3%)</w:t>
            </w:r>
          </w:p>
        </w:tc>
        <w:tc>
          <w:tcPr>
            <w:tcW w:w="948" w:type="pct"/>
            <w:tcBorders>
              <w:top w:val="nil"/>
              <w:left w:val="nil"/>
              <w:bottom w:val="nil"/>
              <w:right w:val="nil"/>
            </w:tcBorders>
          </w:tcPr>
          <w:p w14:paraId="37E730BA" w14:textId="77777777" w:rsidR="00302F67" w:rsidRPr="00B838E6" w:rsidRDefault="00302F67" w:rsidP="00B838E6">
            <w:pPr>
              <w:spacing w:line="360" w:lineRule="auto"/>
              <w:jc w:val="center"/>
              <w:rPr>
                <w:color w:val="000000"/>
                <w:sz w:val="22"/>
                <w:szCs w:val="22"/>
              </w:rPr>
            </w:pPr>
            <w:r w:rsidRPr="00B838E6">
              <w:rPr>
                <w:color w:val="000000"/>
                <w:sz w:val="22"/>
                <w:szCs w:val="22"/>
              </w:rPr>
              <w:t>498 (77.7%)</w:t>
            </w:r>
          </w:p>
        </w:tc>
      </w:tr>
      <w:tr w:rsidR="00302F67" w:rsidRPr="00B838E6" w14:paraId="524C5699" w14:textId="77777777" w:rsidTr="00DB26DA">
        <w:tc>
          <w:tcPr>
            <w:tcW w:w="2185" w:type="pct"/>
            <w:tcBorders>
              <w:top w:val="nil"/>
              <w:left w:val="nil"/>
              <w:bottom w:val="nil"/>
              <w:right w:val="nil"/>
            </w:tcBorders>
            <w:shd w:val="clear" w:color="auto" w:fill="auto"/>
            <w:noWrap/>
            <w:hideMark/>
          </w:tcPr>
          <w:p w14:paraId="6FF70743" w14:textId="77777777" w:rsidR="00302F67" w:rsidRPr="00B838E6" w:rsidRDefault="00302F67" w:rsidP="00B838E6">
            <w:pPr>
              <w:spacing w:line="360" w:lineRule="auto"/>
              <w:rPr>
                <w:b/>
                <w:bCs/>
                <w:color w:val="000000"/>
                <w:sz w:val="22"/>
                <w:szCs w:val="22"/>
              </w:rPr>
            </w:pPr>
            <w:r w:rsidRPr="00B838E6">
              <w:rPr>
                <w:b/>
                <w:bCs/>
                <w:color w:val="000000"/>
                <w:sz w:val="22"/>
                <w:szCs w:val="22"/>
              </w:rPr>
              <w:t xml:space="preserve">Laws by type </w:t>
            </w:r>
            <w:r w:rsidRPr="00B838E6">
              <w:rPr>
                <w:color w:val="000000"/>
                <w:sz w:val="22"/>
                <w:szCs w:val="22"/>
              </w:rPr>
              <w:t>(1990-2019)</w:t>
            </w:r>
          </w:p>
        </w:tc>
        <w:tc>
          <w:tcPr>
            <w:tcW w:w="666" w:type="pct"/>
            <w:tcBorders>
              <w:top w:val="nil"/>
              <w:left w:val="nil"/>
              <w:bottom w:val="nil"/>
              <w:right w:val="nil"/>
            </w:tcBorders>
            <w:shd w:val="clear" w:color="auto" w:fill="auto"/>
            <w:noWrap/>
            <w:hideMark/>
          </w:tcPr>
          <w:p w14:paraId="72DE90F8" w14:textId="77777777" w:rsidR="00302F67" w:rsidRPr="00B838E6" w:rsidRDefault="00302F67" w:rsidP="00B838E6">
            <w:pPr>
              <w:tabs>
                <w:tab w:val="decimal" w:pos="719"/>
              </w:tabs>
              <w:spacing w:line="360" w:lineRule="auto"/>
              <w:rPr>
                <w:b/>
                <w:bCs/>
                <w:color w:val="000000"/>
                <w:sz w:val="22"/>
                <w:szCs w:val="22"/>
              </w:rPr>
            </w:pPr>
          </w:p>
        </w:tc>
        <w:tc>
          <w:tcPr>
            <w:tcW w:w="1201" w:type="pct"/>
            <w:tcBorders>
              <w:top w:val="nil"/>
              <w:left w:val="nil"/>
              <w:bottom w:val="nil"/>
              <w:right w:val="nil"/>
            </w:tcBorders>
            <w:shd w:val="clear" w:color="auto" w:fill="auto"/>
            <w:noWrap/>
            <w:hideMark/>
          </w:tcPr>
          <w:p w14:paraId="5F6C6F35" w14:textId="77777777" w:rsidR="00302F67" w:rsidRPr="00B838E6" w:rsidRDefault="00302F67" w:rsidP="00B838E6">
            <w:pPr>
              <w:spacing w:line="360" w:lineRule="auto"/>
              <w:jc w:val="center"/>
              <w:rPr>
                <w:sz w:val="22"/>
                <w:szCs w:val="22"/>
              </w:rPr>
            </w:pPr>
          </w:p>
        </w:tc>
        <w:tc>
          <w:tcPr>
            <w:tcW w:w="948" w:type="pct"/>
            <w:tcBorders>
              <w:top w:val="nil"/>
              <w:left w:val="nil"/>
              <w:bottom w:val="nil"/>
              <w:right w:val="nil"/>
            </w:tcBorders>
          </w:tcPr>
          <w:p w14:paraId="5DF31A7F" w14:textId="77777777" w:rsidR="00302F67" w:rsidRPr="00B838E6" w:rsidRDefault="00302F67" w:rsidP="00B838E6">
            <w:pPr>
              <w:spacing w:line="360" w:lineRule="auto"/>
              <w:jc w:val="center"/>
              <w:rPr>
                <w:sz w:val="22"/>
                <w:szCs w:val="22"/>
              </w:rPr>
            </w:pPr>
          </w:p>
        </w:tc>
      </w:tr>
      <w:tr w:rsidR="00302F67" w:rsidRPr="00B838E6" w14:paraId="0F9B5120" w14:textId="77777777" w:rsidTr="00DB26DA">
        <w:tc>
          <w:tcPr>
            <w:tcW w:w="2185" w:type="pct"/>
            <w:tcBorders>
              <w:top w:val="nil"/>
              <w:left w:val="nil"/>
              <w:bottom w:val="nil"/>
              <w:right w:val="nil"/>
            </w:tcBorders>
            <w:shd w:val="clear" w:color="auto" w:fill="auto"/>
            <w:noWrap/>
            <w:hideMark/>
          </w:tcPr>
          <w:p w14:paraId="55A30AF7"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 xml:space="preserve">Executive orders or policies </w:t>
            </w:r>
          </w:p>
        </w:tc>
        <w:tc>
          <w:tcPr>
            <w:tcW w:w="666" w:type="pct"/>
            <w:tcBorders>
              <w:top w:val="nil"/>
              <w:left w:val="nil"/>
              <w:bottom w:val="nil"/>
              <w:right w:val="nil"/>
            </w:tcBorders>
            <w:shd w:val="clear" w:color="auto" w:fill="auto"/>
            <w:noWrap/>
            <w:hideMark/>
          </w:tcPr>
          <w:p w14:paraId="6AE88855"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1,023</w:t>
            </w:r>
          </w:p>
        </w:tc>
        <w:tc>
          <w:tcPr>
            <w:tcW w:w="1201" w:type="pct"/>
            <w:tcBorders>
              <w:top w:val="nil"/>
              <w:left w:val="nil"/>
              <w:bottom w:val="nil"/>
              <w:right w:val="nil"/>
            </w:tcBorders>
            <w:shd w:val="clear" w:color="auto" w:fill="auto"/>
            <w:noWrap/>
            <w:hideMark/>
          </w:tcPr>
          <w:p w14:paraId="75C32694" w14:textId="77777777" w:rsidR="00302F67" w:rsidRPr="00B838E6" w:rsidRDefault="00302F67" w:rsidP="00B838E6">
            <w:pPr>
              <w:spacing w:line="360" w:lineRule="auto"/>
              <w:jc w:val="center"/>
              <w:rPr>
                <w:color w:val="000000"/>
                <w:sz w:val="22"/>
                <w:szCs w:val="22"/>
              </w:rPr>
            </w:pPr>
            <w:r w:rsidRPr="00B838E6">
              <w:rPr>
                <w:color w:val="000000"/>
                <w:sz w:val="22"/>
                <w:szCs w:val="22"/>
              </w:rPr>
              <w:t>244 (23.9%)</w:t>
            </w:r>
          </w:p>
        </w:tc>
        <w:tc>
          <w:tcPr>
            <w:tcW w:w="948" w:type="pct"/>
            <w:tcBorders>
              <w:top w:val="nil"/>
              <w:left w:val="nil"/>
              <w:bottom w:val="nil"/>
              <w:right w:val="nil"/>
            </w:tcBorders>
          </w:tcPr>
          <w:p w14:paraId="5AABE5CA" w14:textId="77777777" w:rsidR="00302F67" w:rsidRPr="00B838E6" w:rsidRDefault="00302F67" w:rsidP="00B838E6">
            <w:pPr>
              <w:spacing w:line="360" w:lineRule="auto"/>
              <w:jc w:val="center"/>
              <w:rPr>
                <w:color w:val="000000"/>
                <w:sz w:val="22"/>
                <w:szCs w:val="22"/>
              </w:rPr>
            </w:pPr>
            <w:r w:rsidRPr="00B838E6">
              <w:rPr>
                <w:sz w:val="22"/>
                <w:szCs w:val="22"/>
              </w:rPr>
              <w:t>799 (76.1%)</w:t>
            </w:r>
          </w:p>
        </w:tc>
      </w:tr>
      <w:tr w:rsidR="00302F67" w:rsidRPr="00B838E6" w14:paraId="439838BA" w14:textId="77777777" w:rsidTr="00DB26DA">
        <w:tc>
          <w:tcPr>
            <w:tcW w:w="2185" w:type="pct"/>
            <w:tcBorders>
              <w:top w:val="nil"/>
              <w:left w:val="nil"/>
              <w:bottom w:val="nil"/>
              <w:right w:val="nil"/>
            </w:tcBorders>
            <w:shd w:val="clear" w:color="auto" w:fill="auto"/>
            <w:noWrap/>
            <w:hideMark/>
          </w:tcPr>
          <w:p w14:paraId="5483EAD3"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 xml:space="preserve">Legislative acts </w:t>
            </w:r>
          </w:p>
        </w:tc>
        <w:tc>
          <w:tcPr>
            <w:tcW w:w="666" w:type="pct"/>
            <w:tcBorders>
              <w:top w:val="nil"/>
              <w:left w:val="nil"/>
              <w:bottom w:val="nil"/>
              <w:right w:val="nil"/>
            </w:tcBorders>
            <w:shd w:val="clear" w:color="auto" w:fill="auto"/>
            <w:noWrap/>
            <w:hideMark/>
          </w:tcPr>
          <w:p w14:paraId="63D49550"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742</w:t>
            </w:r>
          </w:p>
        </w:tc>
        <w:tc>
          <w:tcPr>
            <w:tcW w:w="1201" w:type="pct"/>
            <w:tcBorders>
              <w:top w:val="nil"/>
              <w:left w:val="nil"/>
              <w:bottom w:val="nil"/>
              <w:right w:val="nil"/>
            </w:tcBorders>
            <w:shd w:val="clear" w:color="auto" w:fill="auto"/>
            <w:noWrap/>
            <w:hideMark/>
          </w:tcPr>
          <w:p w14:paraId="6D711725" w14:textId="77777777" w:rsidR="00302F67" w:rsidRPr="00B838E6" w:rsidRDefault="00302F67" w:rsidP="00B838E6">
            <w:pPr>
              <w:spacing w:line="360" w:lineRule="auto"/>
              <w:jc w:val="center"/>
              <w:rPr>
                <w:color w:val="000000"/>
                <w:sz w:val="22"/>
                <w:szCs w:val="22"/>
              </w:rPr>
            </w:pPr>
            <w:r w:rsidRPr="00B838E6">
              <w:rPr>
                <w:color w:val="000000"/>
                <w:sz w:val="22"/>
                <w:szCs w:val="22"/>
              </w:rPr>
              <w:t>337 (45.4%)</w:t>
            </w:r>
          </w:p>
        </w:tc>
        <w:tc>
          <w:tcPr>
            <w:tcW w:w="948" w:type="pct"/>
            <w:tcBorders>
              <w:top w:val="nil"/>
              <w:left w:val="nil"/>
              <w:bottom w:val="nil"/>
              <w:right w:val="nil"/>
            </w:tcBorders>
          </w:tcPr>
          <w:p w14:paraId="2691D4AA" w14:textId="77777777" w:rsidR="00302F67" w:rsidRPr="00B838E6" w:rsidRDefault="00302F67" w:rsidP="00B838E6">
            <w:pPr>
              <w:spacing w:line="360" w:lineRule="auto"/>
              <w:jc w:val="center"/>
              <w:rPr>
                <w:color w:val="000000"/>
                <w:sz w:val="22"/>
                <w:szCs w:val="22"/>
              </w:rPr>
            </w:pPr>
            <w:r w:rsidRPr="00B838E6">
              <w:rPr>
                <w:color w:val="000000"/>
                <w:sz w:val="22"/>
                <w:szCs w:val="22"/>
              </w:rPr>
              <w:t>405 (54.6%)</w:t>
            </w:r>
          </w:p>
        </w:tc>
      </w:tr>
      <w:tr w:rsidR="00302F67" w:rsidRPr="00B838E6" w14:paraId="0299BACB" w14:textId="77777777" w:rsidTr="00DB26DA">
        <w:tc>
          <w:tcPr>
            <w:tcW w:w="2185" w:type="pct"/>
            <w:tcBorders>
              <w:top w:val="nil"/>
              <w:left w:val="nil"/>
              <w:bottom w:val="nil"/>
              <w:right w:val="nil"/>
            </w:tcBorders>
            <w:shd w:val="clear" w:color="auto" w:fill="auto"/>
            <w:noWrap/>
            <w:hideMark/>
          </w:tcPr>
          <w:p w14:paraId="775268D2" w14:textId="77777777" w:rsidR="00302F67" w:rsidRPr="00B838E6" w:rsidRDefault="00302F67" w:rsidP="00B838E6">
            <w:pPr>
              <w:spacing w:line="360" w:lineRule="auto"/>
              <w:rPr>
                <w:b/>
                <w:bCs/>
                <w:color w:val="000000"/>
                <w:sz w:val="22"/>
                <w:szCs w:val="22"/>
              </w:rPr>
            </w:pPr>
            <w:r w:rsidRPr="00B838E6">
              <w:rPr>
                <w:b/>
                <w:bCs/>
                <w:color w:val="000000"/>
                <w:sz w:val="22"/>
                <w:szCs w:val="22"/>
              </w:rPr>
              <w:t xml:space="preserve">Number of laws by country </w:t>
            </w:r>
            <w:r w:rsidRPr="00B838E6">
              <w:rPr>
                <w:color w:val="000000"/>
                <w:sz w:val="22"/>
                <w:szCs w:val="22"/>
              </w:rPr>
              <w:t>(1990-2019)</w:t>
            </w:r>
          </w:p>
        </w:tc>
        <w:tc>
          <w:tcPr>
            <w:tcW w:w="666" w:type="pct"/>
            <w:tcBorders>
              <w:top w:val="nil"/>
              <w:left w:val="nil"/>
              <w:bottom w:val="nil"/>
              <w:right w:val="nil"/>
            </w:tcBorders>
            <w:shd w:val="clear" w:color="auto" w:fill="auto"/>
            <w:noWrap/>
            <w:hideMark/>
          </w:tcPr>
          <w:p w14:paraId="2F8C418B" w14:textId="77777777" w:rsidR="00302F67" w:rsidRPr="00B838E6" w:rsidRDefault="00302F67" w:rsidP="00B838E6">
            <w:pPr>
              <w:tabs>
                <w:tab w:val="decimal" w:pos="719"/>
              </w:tabs>
              <w:spacing w:line="360" w:lineRule="auto"/>
              <w:rPr>
                <w:b/>
                <w:bCs/>
                <w:color w:val="000000"/>
                <w:sz w:val="22"/>
                <w:szCs w:val="22"/>
              </w:rPr>
            </w:pPr>
          </w:p>
        </w:tc>
        <w:tc>
          <w:tcPr>
            <w:tcW w:w="1201" w:type="pct"/>
            <w:tcBorders>
              <w:top w:val="nil"/>
              <w:left w:val="nil"/>
              <w:bottom w:val="nil"/>
              <w:right w:val="nil"/>
            </w:tcBorders>
            <w:shd w:val="clear" w:color="auto" w:fill="auto"/>
            <w:noWrap/>
            <w:hideMark/>
          </w:tcPr>
          <w:p w14:paraId="32BB31B6" w14:textId="77777777" w:rsidR="00302F67" w:rsidRPr="00B838E6" w:rsidRDefault="00302F67" w:rsidP="00B838E6">
            <w:pPr>
              <w:spacing w:line="360" w:lineRule="auto"/>
              <w:jc w:val="center"/>
              <w:rPr>
                <w:sz w:val="22"/>
                <w:szCs w:val="22"/>
              </w:rPr>
            </w:pPr>
          </w:p>
        </w:tc>
        <w:tc>
          <w:tcPr>
            <w:tcW w:w="948" w:type="pct"/>
            <w:tcBorders>
              <w:top w:val="nil"/>
              <w:left w:val="nil"/>
              <w:bottom w:val="nil"/>
              <w:right w:val="nil"/>
            </w:tcBorders>
          </w:tcPr>
          <w:p w14:paraId="526EE025" w14:textId="77777777" w:rsidR="00302F67" w:rsidRPr="00B838E6" w:rsidRDefault="00302F67" w:rsidP="00B838E6">
            <w:pPr>
              <w:spacing w:line="360" w:lineRule="auto"/>
              <w:jc w:val="center"/>
              <w:rPr>
                <w:sz w:val="22"/>
                <w:szCs w:val="22"/>
              </w:rPr>
            </w:pPr>
          </w:p>
        </w:tc>
      </w:tr>
      <w:tr w:rsidR="00302F67" w:rsidRPr="00B838E6" w14:paraId="380CDE32" w14:textId="77777777" w:rsidTr="00DB26DA">
        <w:tc>
          <w:tcPr>
            <w:tcW w:w="2185" w:type="pct"/>
            <w:tcBorders>
              <w:top w:val="nil"/>
              <w:left w:val="nil"/>
              <w:bottom w:val="nil"/>
              <w:right w:val="nil"/>
            </w:tcBorders>
            <w:shd w:val="clear" w:color="auto" w:fill="auto"/>
            <w:noWrap/>
            <w:hideMark/>
          </w:tcPr>
          <w:p w14:paraId="5E9FBEEF"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Mean</w:t>
            </w:r>
          </w:p>
        </w:tc>
        <w:tc>
          <w:tcPr>
            <w:tcW w:w="666" w:type="pct"/>
            <w:tcBorders>
              <w:top w:val="nil"/>
              <w:left w:val="nil"/>
              <w:bottom w:val="nil"/>
              <w:right w:val="nil"/>
            </w:tcBorders>
            <w:shd w:val="clear" w:color="auto" w:fill="auto"/>
            <w:noWrap/>
            <w:hideMark/>
          </w:tcPr>
          <w:p w14:paraId="316CB1B7"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8.9</w:t>
            </w:r>
          </w:p>
        </w:tc>
        <w:tc>
          <w:tcPr>
            <w:tcW w:w="1201" w:type="pct"/>
            <w:tcBorders>
              <w:top w:val="nil"/>
              <w:left w:val="nil"/>
              <w:bottom w:val="nil"/>
              <w:right w:val="nil"/>
            </w:tcBorders>
            <w:shd w:val="clear" w:color="auto" w:fill="auto"/>
            <w:noWrap/>
            <w:hideMark/>
          </w:tcPr>
          <w:p w14:paraId="31EA90A0" w14:textId="77777777" w:rsidR="00302F67" w:rsidRPr="00B838E6" w:rsidRDefault="00302F67" w:rsidP="00B838E6">
            <w:pPr>
              <w:spacing w:line="360" w:lineRule="auto"/>
              <w:jc w:val="center"/>
              <w:rPr>
                <w:color w:val="000000"/>
                <w:sz w:val="22"/>
                <w:szCs w:val="22"/>
              </w:rPr>
            </w:pPr>
            <w:r w:rsidRPr="00B838E6">
              <w:rPr>
                <w:color w:val="000000"/>
                <w:sz w:val="22"/>
                <w:szCs w:val="22"/>
              </w:rPr>
              <w:t>13.8</w:t>
            </w:r>
          </w:p>
        </w:tc>
        <w:tc>
          <w:tcPr>
            <w:tcW w:w="948" w:type="pct"/>
            <w:tcBorders>
              <w:top w:val="nil"/>
              <w:left w:val="nil"/>
              <w:bottom w:val="nil"/>
              <w:right w:val="nil"/>
            </w:tcBorders>
          </w:tcPr>
          <w:p w14:paraId="0EBB071F" w14:textId="77777777" w:rsidR="00302F67" w:rsidRPr="00B838E6" w:rsidRDefault="00302F67" w:rsidP="00B838E6">
            <w:pPr>
              <w:spacing w:line="360" w:lineRule="auto"/>
              <w:jc w:val="center"/>
              <w:rPr>
                <w:color w:val="000000"/>
                <w:sz w:val="22"/>
                <w:szCs w:val="22"/>
              </w:rPr>
            </w:pPr>
            <w:r w:rsidRPr="00B838E6">
              <w:rPr>
                <w:color w:val="000000"/>
                <w:sz w:val="22"/>
                <w:szCs w:val="22"/>
              </w:rPr>
              <w:t>7.6</w:t>
            </w:r>
          </w:p>
        </w:tc>
      </w:tr>
      <w:tr w:rsidR="00302F67" w:rsidRPr="00B838E6" w14:paraId="12703FE7" w14:textId="77777777" w:rsidTr="00DB26DA">
        <w:tc>
          <w:tcPr>
            <w:tcW w:w="2185" w:type="pct"/>
            <w:tcBorders>
              <w:top w:val="nil"/>
              <w:left w:val="nil"/>
              <w:bottom w:val="nil"/>
              <w:right w:val="nil"/>
            </w:tcBorders>
            <w:shd w:val="clear" w:color="auto" w:fill="auto"/>
            <w:noWrap/>
            <w:hideMark/>
          </w:tcPr>
          <w:p w14:paraId="60B4E4E7"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Standard deviation</w:t>
            </w:r>
          </w:p>
        </w:tc>
        <w:tc>
          <w:tcPr>
            <w:tcW w:w="666" w:type="pct"/>
            <w:tcBorders>
              <w:top w:val="nil"/>
              <w:left w:val="nil"/>
              <w:bottom w:val="nil"/>
              <w:right w:val="nil"/>
            </w:tcBorders>
            <w:shd w:val="clear" w:color="auto" w:fill="auto"/>
            <w:noWrap/>
            <w:hideMark/>
          </w:tcPr>
          <w:p w14:paraId="16BE495D"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6.3</w:t>
            </w:r>
          </w:p>
        </w:tc>
        <w:tc>
          <w:tcPr>
            <w:tcW w:w="1201" w:type="pct"/>
            <w:tcBorders>
              <w:top w:val="nil"/>
              <w:left w:val="nil"/>
              <w:bottom w:val="nil"/>
              <w:right w:val="nil"/>
            </w:tcBorders>
            <w:shd w:val="clear" w:color="auto" w:fill="auto"/>
            <w:noWrap/>
            <w:hideMark/>
          </w:tcPr>
          <w:p w14:paraId="1D11274A" w14:textId="77777777" w:rsidR="00302F67" w:rsidRPr="00B838E6" w:rsidRDefault="00302F67" w:rsidP="00B838E6">
            <w:pPr>
              <w:spacing w:line="360" w:lineRule="auto"/>
              <w:jc w:val="center"/>
              <w:rPr>
                <w:color w:val="000000"/>
                <w:sz w:val="22"/>
                <w:szCs w:val="22"/>
              </w:rPr>
            </w:pPr>
            <w:r w:rsidRPr="00B838E6">
              <w:rPr>
                <w:color w:val="000000"/>
                <w:sz w:val="22"/>
                <w:szCs w:val="22"/>
              </w:rPr>
              <w:t>7.5</w:t>
            </w:r>
          </w:p>
        </w:tc>
        <w:tc>
          <w:tcPr>
            <w:tcW w:w="948" w:type="pct"/>
            <w:tcBorders>
              <w:top w:val="nil"/>
              <w:left w:val="nil"/>
              <w:bottom w:val="nil"/>
              <w:right w:val="nil"/>
            </w:tcBorders>
          </w:tcPr>
          <w:p w14:paraId="361D05B2" w14:textId="77777777" w:rsidR="00302F67" w:rsidRPr="00B838E6" w:rsidRDefault="00302F67" w:rsidP="00B838E6">
            <w:pPr>
              <w:spacing w:line="360" w:lineRule="auto"/>
              <w:jc w:val="center"/>
              <w:rPr>
                <w:color w:val="000000"/>
                <w:sz w:val="22"/>
                <w:szCs w:val="22"/>
              </w:rPr>
            </w:pPr>
            <w:r w:rsidRPr="00B838E6">
              <w:rPr>
                <w:color w:val="000000"/>
                <w:sz w:val="22"/>
                <w:szCs w:val="22"/>
              </w:rPr>
              <w:t>5.2</w:t>
            </w:r>
          </w:p>
        </w:tc>
      </w:tr>
      <w:tr w:rsidR="00302F67" w:rsidRPr="00B838E6" w14:paraId="710633AE" w14:textId="77777777" w:rsidTr="00DB26DA">
        <w:tc>
          <w:tcPr>
            <w:tcW w:w="2185" w:type="pct"/>
            <w:tcBorders>
              <w:top w:val="nil"/>
              <w:left w:val="nil"/>
              <w:bottom w:val="nil"/>
              <w:right w:val="nil"/>
            </w:tcBorders>
            <w:shd w:val="clear" w:color="auto" w:fill="auto"/>
            <w:noWrap/>
            <w:hideMark/>
          </w:tcPr>
          <w:p w14:paraId="77504A45"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Median</w:t>
            </w:r>
          </w:p>
        </w:tc>
        <w:tc>
          <w:tcPr>
            <w:tcW w:w="666" w:type="pct"/>
            <w:tcBorders>
              <w:top w:val="nil"/>
              <w:left w:val="nil"/>
              <w:bottom w:val="nil"/>
              <w:right w:val="nil"/>
            </w:tcBorders>
            <w:shd w:val="clear" w:color="auto" w:fill="auto"/>
            <w:noWrap/>
            <w:hideMark/>
          </w:tcPr>
          <w:p w14:paraId="5E3E3299"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8</w:t>
            </w:r>
          </w:p>
        </w:tc>
        <w:tc>
          <w:tcPr>
            <w:tcW w:w="1201" w:type="pct"/>
            <w:tcBorders>
              <w:top w:val="nil"/>
              <w:left w:val="nil"/>
              <w:bottom w:val="nil"/>
              <w:right w:val="nil"/>
            </w:tcBorders>
            <w:shd w:val="clear" w:color="auto" w:fill="auto"/>
            <w:noWrap/>
            <w:hideMark/>
          </w:tcPr>
          <w:p w14:paraId="13280967" w14:textId="77777777" w:rsidR="00302F67" w:rsidRPr="00B838E6" w:rsidRDefault="00302F67" w:rsidP="00B838E6">
            <w:pPr>
              <w:spacing w:line="360" w:lineRule="auto"/>
              <w:jc w:val="center"/>
              <w:rPr>
                <w:color w:val="000000"/>
                <w:sz w:val="22"/>
                <w:szCs w:val="22"/>
              </w:rPr>
            </w:pPr>
            <w:r w:rsidRPr="00B838E6">
              <w:rPr>
                <w:color w:val="000000"/>
                <w:sz w:val="22"/>
                <w:szCs w:val="22"/>
              </w:rPr>
              <w:t>12</w:t>
            </w:r>
          </w:p>
        </w:tc>
        <w:tc>
          <w:tcPr>
            <w:tcW w:w="948" w:type="pct"/>
            <w:tcBorders>
              <w:top w:val="nil"/>
              <w:left w:val="nil"/>
              <w:bottom w:val="nil"/>
              <w:right w:val="nil"/>
            </w:tcBorders>
          </w:tcPr>
          <w:p w14:paraId="01FD6487" w14:textId="77777777" w:rsidR="00302F67" w:rsidRPr="00B838E6" w:rsidRDefault="00302F67" w:rsidP="00B838E6">
            <w:pPr>
              <w:spacing w:line="360" w:lineRule="auto"/>
              <w:jc w:val="center"/>
              <w:rPr>
                <w:color w:val="000000"/>
                <w:sz w:val="22"/>
                <w:szCs w:val="22"/>
              </w:rPr>
            </w:pPr>
            <w:r w:rsidRPr="00B838E6">
              <w:rPr>
                <w:color w:val="000000"/>
                <w:sz w:val="22"/>
                <w:szCs w:val="22"/>
              </w:rPr>
              <w:t>6</w:t>
            </w:r>
          </w:p>
        </w:tc>
      </w:tr>
      <w:tr w:rsidR="00302F67" w:rsidRPr="00B838E6" w14:paraId="0D1FF530" w14:textId="77777777" w:rsidTr="00DB26DA">
        <w:tc>
          <w:tcPr>
            <w:tcW w:w="2185" w:type="pct"/>
            <w:tcBorders>
              <w:top w:val="nil"/>
              <w:left w:val="nil"/>
              <w:right w:val="nil"/>
            </w:tcBorders>
            <w:shd w:val="clear" w:color="auto" w:fill="auto"/>
            <w:noWrap/>
            <w:hideMark/>
          </w:tcPr>
          <w:p w14:paraId="15F9939A"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Minimum</w:t>
            </w:r>
          </w:p>
        </w:tc>
        <w:tc>
          <w:tcPr>
            <w:tcW w:w="666" w:type="pct"/>
            <w:tcBorders>
              <w:top w:val="nil"/>
              <w:left w:val="nil"/>
              <w:right w:val="nil"/>
            </w:tcBorders>
            <w:shd w:val="clear" w:color="auto" w:fill="auto"/>
            <w:noWrap/>
            <w:hideMark/>
          </w:tcPr>
          <w:p w14:paraId="22A02907"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1</w:t>
            </w:r>
          </w:p>
        </w:tc>
        <w:tc>
          <w:tcPr>
            <w:tcW w:w="1201" w:type="pct"/>
            <w:tcBorders>
              <w:top w:val="nil"/>
              <w:left w:val="nil"/>
              <w:right w:val="nil"/>
            </w:tcBorders>
            <w:shd w:val="clear" w:color="auto" w:fill="auto"/>
            <w:noWrap/>
            <w:hideMark/>
          </w:tcPr>
          <w:p w14:paraId="7552C037" w14:textId="77777777" w:rsidR="00302F67" w:rsidRPr="00B838E6" w:rsidRDefault="00302F67" w:rsidP="00B838E6">
            <w:pPr>
              <w:spacing w:line="360" w:lineRule="auto"/>
              <w:jc w:val="center"/>
              <w:rPr>
                <w:color w:val="000000"/>
                <w:sz w:val="22"/>
                <w:szCs w:val="22"/>
              </w:rPr>
            </w:pPr>
            <w:r w:rsidRPr="00B838E6">
              <w:rPr>
                <w:color w:val="000000"/>
                <w:sz w:val="22"/>
                <w:szCs w:val="22"/>
              </w:rPr>
              <w:t>1</w:t>
            </w:r>
          </w:p>
        </w:tc>
        <w:tc>
          <w:tcPr>
            <w:tcW w:w="948" w:type="pct"/>
            <w:tcBorders>
              <w:top w:val="nil"/>
              <w:left w:val="nil"/>
              <w:right w:val="nil"/>
            </w:tcBorders>
          </w:tcPr>
          <w:p w14:paraId="02A4F38C" w14:textId="77777777" w:rsidR="00302F67" w:rsidRPr="00B838E6" w:rsidRDefault="00302F67" w:rsidP="00B838E6">
            <w:pPr>
              <w:spacing w:line="360" w:lineRule="auto"/>
              <w:jc w:val="center"/>
              <w:rPr>
                <w:color w:val="000000"/>
                <w:sz w:val="22"/>
                <w:szCs w:val="22"/>
              </w:rPr>
            </w:pPr>
            <w:r w:rsidRPr="00B838E6">
              <w:rPr>
                <w:color w:val="000000"/>
                <w:sz w:val="22"/>
                <w:szCs w:val="22"/>
              </w:rPr>
              <w:t>1</w:t>
            </w:r>
          </w:p>
        </w:tc>
      </w:tr>
      <w:tr w:rsidR="00302F67" w:rsidRPr="00B838E6" w14:paraId="33A8294F" w14:textId="77777777" w:rsidTr="00DB26DA">
        <w:tc>
          <w:tcPr>
            <w:tcW w:w="2185" w:type="pct"/>
            <w:tcBorders>
              <w:top w:val="nil"/>
              <w:left w:val="nil"/>
              <w:bottom w:val="single" w:sz="4" w:space="0" w:color="auto"/>
              <w:right w:val="nil"/>
            </w:tcBorders>
            <w:shd w:val="clear" w:color="auto" w:fill="auto"/>
            <w:noWrap/>
            <w:hideMark/>
          </w:tcPr>
          <w:p w14:paraId="1E0DF62D" w14:textId="77777777" w:rsidR="00302F67" w:rsidRPr="00B838E6" w:rsidRDefault="00302F67" w:rsidP="00F960B8">
            <w:pPr>
              <w:spacing w:line="360" w:lineRule="auto"/>
              <w:ind w:firstLineChars="81" w:firstLine="178"/>
              <w:rPr>
                <w:color w:val="000000"/>
                <w:sz w:val="22"/>
                <w:szCs w:val="22"/>
              </w:rPr>
            </w:pPr>
            <w:r w:rsidRPr="00B838E6">
              <w:rPr>
                <w:color w:val="000000"/>
                <w:sz w:val="22"/>
                <w:szCs w:val="22"/>
              </w:rPr>
              <w:t>Maximum</w:t>
            </w:r>
          </w:p>
        </w:tc>
        <w:tc>
          <w:tcPr>
            <w:tcW w:w="666" w:type="pct"/>
            <w:tcBorders>
              <w:top w:val="nil"/>
              <w:left w:val="nil"/>
              <w:bottom w:val="single" w:sz="4" w:space="0" w:color="auto"/>
              <w:right w:val="nil"/>
            </w:tcBorders>
            <w:shd w:val="clear" w:color="auto" w:fill="auto"/>
            <w:noWrap/>
            <w:hideMark/>
          </w:tcPr>
          <w:p w14:paraId="18A9EE9D" w14:textId="77777777" w:rsidR="00302F67" w:rsidRPr="00B838E6" w:rsidRDefault="00302F67" w:rsidP="00B838E6">
            <w:pPr>
              <w:tabs>
                <w:tab w:val="decimal" w:pos="719"/>
              </w:tabs>
              <w:spacing w:line="360" w:lineRule="auto"/>
              <w:rPr>
                <w:color w:val="000000"/>
                <w:sz w:val="22"/>
                <w:szCs w:val="22"/>
              </w:rPr>
            </w:pPr>
            <w:r w:rsidRPr="00B838E6">
              <w:rPr>
                <w:color w:val="000000"/>
                <w:sz w:val="22"/>
                <w:szCs w:val="22"/>
              </w:rPr>
              <w:t>38</w:t>
            </w:r>
          </w:p>
        </w:tc>
        <w:tc>
          <w:tcPr>
            <w:tcW w:w="1201" w:type="pct"/>
            <w:tcBorders>
              <w:top w:val="nil"/>
              <w:left w:val="nil"/>
              <w:bottom w:val="single" w:sz="4" w:space="0" w:color="auto"/>
              <w:right w:val="nil"/>
            </w:tcBorders>
            <w:shd w:val="clear" w:color="auto" w:fill="auto"/>
            <w:noWrap/>
            <w:hideMark/>
          </w:tcPr>
          <w:p w14:paraId="4A33B232" w14:textId="77777777" w:rsidR="00302F67" w:rsidRPr="00B838E6" w:rsidRDefault="00302F67" w:rsidP="00B838E6">
            <w:pPr>
              <w:spacing w:line="360" w:lineRule="auto"/>
              <w:jc w:val="center"/>
              <w:rPr>
                <w:color w:val="000000"/>
                <w:sz w:val="22"/>
                <w:szCs w:val="22"/>
              </w:rPr>
            </w:pPr>
            <w:r w:rsidRPr="00B838E6">
              <w:rPr>
                <w:color w:val="000000"/>
                <w:sz w:val="22"/>
                <w:szCs w:val="22"/>
              </w:rPr>
              <w:t>38</w:t>
            </w:r>
          </w:p>
        </w:tc>
        <w:tc>
          <w:tcPr>
            <w:tcW w:w="948" w:type="pct"/>
            <w:tcBorders>
              <w:top w:val="nil"/>
              <w:left w:val="nil"/>
              <w:bottom w:val="single" w:sz="4" w:space="0" w:color="auto"/>
              <w:right w:val="nil"/>
            </w:tcBorders>
          </w:tcPr>
          <w:p w14:paraId="3C48105A" w14:textId="77777777" w:rsidR="00302F67" w:rsidRPr="00B838E6" w:rsidRDefault="00302F67" w:rsidP="00B838E6">
            <w:pPr>
              <w:spacing w:line="360" w:lineRule="auto"/>
              <w:jc w:val="center"/>
              <w:rPr>
                <w:color w:val="000000"/>
                <w:sz w:val="22"/>
                <w:szCs w:val="22"/>
              </w:rPr>
            </w:pPr>
            <w:r w:rsidRPr="00B838E6">
              <w:rPr>
                <w:color w:val="000000"/>
                <w:sz w:val="22"/>
                <w:szCs w:val="22"/>
              </w:rPr>
              <w:t>28</w:t>
            </w:r>
          </w:p>
        </w:tc>
      </w:tr>
    </w:tbl>
    <w:p w14:paraId="7E93DC8D" w14:textId="77777777" w:rsidR="00F960B8" w:rsidRDefault="00F960B8" w:rsidP="00C8377D">
      <w:pPr>
        <w:spacing w:line="360" w:lineRule="auto"/>
        <w:rPr>
          <w:iCs/>
          <w:szCs w:val="20"/>
        </w:rPr>
      </w:pPr>
    </w:p>
    <w:p w14:paraId="4D034D0D" w14:textId="1B7CA32E" w:rsidR="00F726B0" w:rsidRPr="00B838E6" w:rsidRDefault="00F726B0" w:rsidP="00C8377D">
      <w:pPr>
        <w:spacing w:line="360" w:lineRule="auto"/>
        <w:rPr>
          <w:szCs w:val="20"/>
        </w:rPr>
      </w:pPr>
      <w:r w:rsidRPr="00B838E6">
        <w:rPr>
          <w:iCs/>
          <w:szCs w:val="20"/>
        </w:rPr>
        <w:t>Notes</w:t>
      </w:r>
      <w:r w:rsidR="00C8377D">
        <w:rPr>
          <w:iCs/>
          <w:szCs w:val="20"/>
        </w:rPr>
        <w:t>:</w:t>
      </w:r>
      <w:r w:rsidRPr="00B838E6">
        <w:rPr>
          <w:szCs w:val="20"/>
        </w:rPr>
        <w:t xml:space="preserve"> All data from </w:t>
      </w:r>
      <w:r w:rsidRPr="00B838E6">
        <w:rPr>
          <w:i/>
          <w:iCs/>
          <w:szCs w:val="20"/>
        </w:rPr>
        <w:t>Climate Change Laws of the World</w:t>
      </w:r>
      <w:r w:rsidRPr="00B838E6">
        <w:rPr>
          <w:szCs w:val="20"/>
        </w:rPr>
        <w:t>. Some laws deal with multiple issues, hence the higher totals for “laws by topic”.</w:t>
      </w:r>
    </w:p>
    <w:p w14:paraId="5FA6909B" w14:textId="35A24F25" w:rsidR="00F960B8" w:rsidRPr="00F960B8" w:rsidRDefault="00AE16FD" w:rsidP="00F960B8">
      <w:pPr>
        <w:spacing w:line="480" w:lineRule="auto"/>
      </w:pPr>
      <w:r w:rsidRPr="00F960B8">
        <w:lastRenderedPageBreak/>
        <w:t xml:space="preserve">Table </w:t>
      </w:r>
      <w:r w:rsidR="002470E9" w:rsidRPr="00F960B8">
        <w:t>2</w:t>
      </w:r>
      <w:r w:rsidRPr="00F960B8">
        <w:t>: Descriptive statistics on climate change litigation</w:t>
      </w:r>
    </w:p>
    <w:tbl>
      <w:tblPr>
        <w:tblW w:w="13518" w:type="dxa"/>
        <w:tblLayout w:type="fixed"/>
        <w:tblLook w:val="04A0" w:firstRow="1" w:lastRow="0" w:firstColumn="1" w:lastColumn="0" w:noHBand="0" w:noVBand="1"/>
      </w:tblPr>
      <w:tblGrid>
        <w:gridCol w:w="4730"/>
        <w:gridCol w:w="2758"/>
        <w:gridCol w:w="2316"/>
        <w:gridCol w:w="2010"/>
        <w:gridCol w:w="1704"/>
      </w:tblGrid>
      <w:tr w:rsidR="00D357ED" w:rsidRPr="00F960B8" w14:paraId="18F200D9" w14:textId="77777777" w:rsidTr="00F960B8">
        <w:tc>
          <w:tcPr>
            <w:tcW w:w="4730" w:type="dxa"/>
            <w:tcBorders>
              <w:top w:val="single" w:sz="4" w:space="0" w:color="auto"/>
              <w:left w:val="nil"/>
              <w:bottom w:val="single" w:sz="4" w:space="0" w:color="auto"/>
              <w:right w:val="nil"/>
            </w:tcBorders>
            <w:shd w:val="clear" w:color="auto" w:fill="auto"/>
            <w:noWrap/>
            <w:hideMark/>
          </w:tcPr>
          <w:p w14:paraId="66A01082" w14:textId="77777777" w:rsidR="00D357ED" w:rsidRPr="00F960B8" w:rsidRDefault="00D357ED" w:rsidP="00F960B8">
            <w:pPr>
              <w:spacing w:line="360" w:lineRule="auto"/>
            </w:pPr>
          </w:p>
        </w:tc>
        <w:tc>
          <w:tcPr>
            <w:tcW w:w="2758" w:type="dxa"/>
            <w:tcBorders>
              <w:top w:val="single" w:sz="4" w:space="0" w:color="auto"/>
              <w:left w:val="nil"/>
              <w:bottom w:val="single" w:sz="4" w:space="0" w:color="auto"/>
              <w:right w:val="nil"/>
            </w:tcBorders>
            <w:shd w:val="clear" w:color="auto" w:fill="auto"/>
            <w:noWrap/>
            <w:vAlign w:val="center"/>
            <w:hideMark/>
          </w:tcPr>
          <w:p w14:paraId="25A641D7" w14:textId="3F525C29" w:rsidR="00D357ED" w:rsidRPr="00F960B8" w:rsidRDefault="00D357ED" w:rsidP="00F960B8">
            <w:pPr>
              <w:spacing w:line="360" w:lineRule="auto"/>
              <w:jc w:val="center"/>
              <w:rPr>
                <w:color w:val="000000"/>
              </w:rPr>
            </w:pPr>
            <w:r w:rsidRPr="00F960B8">
              <w:rPr>
                <w:color w:val="000000"/>
              </w:rPr>
              <w:t xml:space="preserve">All </w:t>
            </w:r>
            <w:r w:rsidR="00AD033A" w:rsidRPr="00F960B8">
              <w:rPr>
                <w:color w:val="000000"/>
              </w:rPr>
              <w:t>jurisdictions</w:t>
            </w:r>
            <w:r w:rsidR="00E549A1" w:rsidRPr="00F960B8">
              <w:rPr>
                <w:color w:val="000000"/>
              </w:rPr>
              <w:t xml:space="preserve"> (excl US)</w:t>
            </w:r>
          </w:p>
          <w:p w14:paraId="76389D2F" w14:textId="202243E9" w:rsidR="00D357ED" w:rsidRPr="00F960B8" w:rsidRDefault="00D357ED" w:rsidP="00F960B8">
            <w:pPr>
              <w:spacing w:line="360" w:lineRule="auto"/>
              <w:jc w:val="center"/>
              <w:rPr>
                <w:color w:val="000000"/>
              </w:rPr>
            </w:pPr>
            <w:r w:rsidRPr="00F960B8">
              <w:rPr>
                <w:color w:val="000000"/>
              </w:rPr>
              <w:t>[N=3</w:t>
            </w:r>
            <w:r w:rsidR="00AD033A" w:rsidRPr="00F960B8">
              <w:rPr>
                <w:color w:val="000000"/>
              </w:rPr>
              <w:t>6</w:t>
            </w:r>
            <w:r w:rsidRPr="00F960B8">
              <w:rPr>
                <w:color w:val="000000"/>
              </w:rPr>
              <w:t>]</w:t>
            </w:r>
          </w:p>
        </w:tc>
        <w:tc>
          <w:tcPr>
            <w:tcW w:w="2316" w:type="dxa"/>
            <w:tcBorders>
              <w:top w:val="single" w:sz="4" w:space="0" w:color="auto"/>
              <w:left w:val="nil"/>
              <w:bottom w:val="single" w:sz="4" w:space="0" w:color="auto"/>
              <w:right w:val="nil"/>
            </w:tcBorders>
            <w:shd w:val="clear" w:color="auto" w:fill="auto"/>
            <w:noWrap/>
            <w:vAlign w:val="center"/>
            <w:hideMark/>
          </w:tcPr>
          <w:p w14:paraId="74F30A3C" w14:textId="625E324B" w:rsidR="00D357ED" w:rsidRPr="00F960B8" w:rsidRDefault="00D357ED" w:rsidP="00F960B8">
            <w:pPr>
              <w:spacing w:line="360" w:lineRule="auto"/>
              <w:jc w:val="center"/>
              <w:rPr>
                <w:color w:val="000000"/>
                <w:lang w:val="pt-BR"/>
              </w:rPr>
            </w:pPr>
            <w:r w:rsidRPr="00F960B8">
              <w:rPr>
                <w:color w:val="000000"/>
                <w:lang w:val="pt-BR"/>
              </w:rPr>
              <w:t>OECD-EU</w:t>
            </w:r>
            <w:r w:rsidRPr="00F960B8">
              <w:rPr>
                <w:color w:val="FF0000"/>
                <w:lang w:val="pt-BR"/>
              </w:rPr>
              <w:t xml:space="preserve"> </w:t>
            </w:r>
            <w:r w:rsidRPr="00F960B8">
              <w:rPr>
                <w:color w:val="000000"/>
                <w:lang w:val="pt-BR"/>
              </w:rPr>
              <w:t>(excl. US)</w:t>
            </w:r>
          </w:p>
          <w:p w14:paraId="2ADC8ADF" w14:textId="23965A93" w:rsidR="00D357ED" w:rsidRPr="00F960B8" w:rsidRDefault="00D357ED" w:rsidP="00F960B8">
            <w:pPr>
              <w:spacing w:line="360" w:lineRule="auto"/>
              <w:jc w:val="center"/>
              <w:rPr>
                <w:color w:val="000000"/>
                <w:lang w:val="pt-BR"/>
              </w:rPr>
            </w:pPr>
            <w:r w:rsidRPr="00F960B8">
              <w:rPr>
                <w:color w:val="000000"/>
                <w:lang w:val="pt-BR"/>
              </w:rPr>
              <w:t>[N=21]</w:t>
            </w:r>
          </w:p>
        </w:tc>
        <w:tc>
          <w:tcPr>
            <w:tcW w:w="2010" w:type="dxa"/>
            <w:tcBorders>
              <w:top w:val="single" w:sz="4" w:space="0" w:color="auto"/>
              <w:left w:val="nil"/>
              <w:bottom w:val="single" w:sz="4" w:space="0" w:color="auto"/>
              <w:right w:val="nil"/>
            </w:tcBorders>
            <w:vAlign w:val="center"/>
          </w:tcPr>
          <w:p w14:paraId="69C85637" w14:textId="5A1D7C2A" w:rsidR="00D357ED" w:rsidRPr="00F960B8" w:rsidRDefault="00D357ED" w:rsidP="00F960B8">
            <w:pPr>
              <w:spacing w:line="360" w:lineRule="auto"/>
              <w:jc w:val="center"/>
              <w:rPr>
                <w:color w:val="000000"/>
              </w:rPr>
            </w:pPr>
            <w:r w:rsidRPr="00F960B8">
              <w:rPr>
                <w:color w:val="000000"/>
              </w:rPr>
              <w:t xml:space="preserve">Other </w:t>
            </w:r>
            <w:r w:rsidR="00AD033A" w:rsidRPr="00F960B8">
              <w:rPr>
                <w:color w:val="000000"/>
              </w:rPr>
              <w:t>jurisdictions</w:t>
            </w:r>
          </w:p>
          <w:p w14:paraId="45A06794" w14:textId="77777777" w:rsidR="00D357ED" w:rsidRPr="00F960B8" w:rsidRDefault="00D357ED" w:rsidP="00F960B8">
            <w:pPr>
              <w:spacing w:line="360" w:lineRule="auto"/>
              <w:jc w:val="center"/>
              <w:rPr>
                <w:color w:val="000000"/>
              </w:rPr>
            </w:pPr>
            <w:r w:rsidRPr="00F960B8">
              <w:rPr>
                <w:color w:val="000000"/>
              </w:rPr>
              <w:t>[N=15]</w:t>
            </w:r>
          </w:p>
        </w:tc>
        <w:tc>
          <w:tcPr>
            <w:tcW w:w="1704" w:type="dxa"/>
            <w:tcBorders>
              <w:top w:val="single" w:sz="4" w:space="0" w:color="auto"/>
              <w:left w:val="nil"/>
              <w:bottom w:val="single" w:sz="4" w:space="0" w:color="auto"/>
              <w:right w:val="nil"/>
            </w:tcBorders>
            <w:vAlign w:val="center"/>
          </w:tcPr>
          <w:p w14:paraId="35B26C50" w14:textId="77777777" w:rsidR="00D357ED" w:rsidRPr="00F960B8" w:rsidRDefault="00D357ED" w:rsidP="00F960B8">
            <w:pPr>
              <w:spacing w:line="360" w:lineRule="auto"/>
              <w:jc w:val="center"/>
              <w:rPr>
                <w:color w:val="000000"/>
              </w:rPr>
            </w:pPr>
            <w:r w:rsidRPr="00F960B8">
              <w:rPr>
                <w:color w:val="000000"/>
              </w:rPr>
              <w:t>US</w:t>
            </w:r>
          </w:p>
        </w:tc>
      </w:tr>
      <w:tr w:rsidR="00D357ED" w:rsidRPr="00F960B8" w14:paraId="03B46D96" w14:textId="77777777" w:rsidTr="00F960B8">
        <w:tc>
          <w:tcPr>
            <w:tcW w:w="4730" w:type="dxa"/>
            <w:tcBorders>
              <w:left w:val="nil"/>
              <w:bottom w:val="nil"/>
              <w:right w:val="nil"/>
            </w:tcBorders>
            <w:shd w:val="clear" w:color="auto" w:fill="auto"/>
            <w:noWrap/>
            <w:hideMark/>
          </w:tcPr>
          <w:p w14:paraId="65AB8917" w14:textId="016E3F3A" w:rsidR="00D357ED" w:rsidRPr="00F960B8" w:rsidRDefault="00A245CF" w:rsidP="00F960B8">
            <w:pPr>
              <w:spacing w:line="360" w:lineRule="auto"/>
              <w:rPr>
                <w:b/>
                <w:bCs/>
                <w:color w:val="000000"/>
              </w:rPr>
            </w:pPr>
            <w:r w:rsidRPr="00F960B8">
              <w:rPr>
                <w:b/>
                <w:bCs/>
                <w:color w:val="000000"/>
              </w:rPr>
              <w:t>Total n</w:t>
            </w:r>
            <w:r w:rsidR="00D357ED" w:rsidRPr="00F960B8">
              <w:rPr>
                <w:b/>
                <w:bCs/>
                <w:color w:val="000000"/>
              </w:rPr>
              <w:t>umber of cases</w:t>
            </w:r>
          </w:p>
        </w:tc>
        <w:tc>
          <w:tcPr>
            <w:tcW w:w="2758" w:type="dxa"/>
            <w:tcBorders>
              <w:left w:val="nil"/>
              <w:bottom w:val="nil"/>
              <w:right w:val="nil"/>
            </w:tcBorders>
            <w:shd w:val="clear" w:color="auto" w:fill="auto"/>
            <w:noWrap/>
            <w:hideMark/>
          </w:tcPr>
          <w:p w14:paraId="00B711CC" w14:textId="77777777" w:rsidR="00D357ED" w:rsidRPr="00F960B8" w:rsidRDefault="00D357ED" w:rsidP="00F960B8">
            <w:pPr>
              <w:spacing w:line="360" w:lineRule="auto"/>
              <w:jc w:val="center"/>
              <w:rPr>
                <w:b/>
                <w:bCs/>
                <w:color w:val="000000"/>
              </w:rPr>
            </w:pPr>
          </w:p>
        </w:tc>
        <w:tc>
          <w:tcPr>
            <w:tcW w:w="2316" w:type="dxa"/>
            <w:tcBorders>
              <w:left w:val="nil"/>
              <w:bottom w:val="nil"/>
              <w:right w:val="nil"/>
            </w:tcBorders>
            <w:shd w:val="clear" w:color="auto" w:fill="auto"/>
            <w:noWrap/>
            <w:hideMark/>
          </w:tcPr>
          <w:p w14:paraId="0A327BCE" w14:textId="77777777" w:rsidR="00D357ED" w:rsidRPr="00F960B8" w:rsidRDefault="00D357ED" w:rsidP="00F960B8">
            <w:pPr>
              <w:spacing w:line="360" w:lineRule="auto"/>
              <w:jc w:val="center"/>
            </w:pPr>
          </w:p>
        </w:tc>
        <w:tc>
          <w:tcPr>
            <w:tcW w:w="2010" w:type="dxa"/>
            <w:tcBorders>
              <w:left w:val="nil"/>
              <w:bottom w:val="nil"/>
              <w:right w:val="nil"/>
            </w:tcBorders>
          </w:tcPr>
          <w:p w14:paraId="4DC44642" w14:textId="77777777" w:rsidR="00D357ED" w:rsidRPr="00F960B8" w:rsidRDefault="00D357ED" w:rsidP="00F960B8">
            <w:pPr>
              <w:spacing w:line="360" w:lineRule="auto"/>
              <w:jc w:val="center"/>
            </w:pPr>
          </w:p>
        </w:tc>
        <w:tc>
          <w:tcPr>
            <w:tcW w:w="1704" w:type="dxa"/>
            <w:tcBorders>
              <w:left w:val="nil"/>
              <w:bottom w:val="nil"/>
              <w:right w:val="nil"/>
            </w:tcBorders>
          </w:tcPr>
          <w:p w14:paraId="7DC82EB2" w14:textId="77777777" w:rsidR="00D357ED" w:rsidRPr="00F960B8" w:rsidRDefault="00D357ED" w:rsidP="00F960B8">
            <w:pPr>
              <w:spacing w:line="360" w:lineRule="auto"/>
              <w:jc w:val="center"/>
            </w:pPr>
          </w:p>
        </w:tc>
      </w:tr>
      <w:tr w:rsidR="007100B3" w:rsidRPr="00F960B8" w14:paraId="2F7EEBD4" w14:textId="77777777" w:rsidTr="00F960B8">
        <w:tc>
          <w:tcPr>
            <w:tcW w:w="4730" w:type="dxa"/>
            <w:tcBorders>
              <w:top w:val="nil"/>
              <w:left w:val="nil"/>
              <w:bottom w:val="nil"/>
              <w:right w:val="nil"/>
            </w:tcBorders>
            <w:shd w:val="clear" w:color="auto" w:fill="auto"/>
            <w:noWrap/>
            <w:hideMark/>
          </w:tcPr>
          <w:p w14:paraId="3BDCBDFA" w14:textId="77777777" w:rsidR="007100B3" w:rsidRPr="00F960B8" w:rsidRDefault="007100B3" w:rsidP="00F960B8">
            <w:pPr>
              <w:spacing w:line="360" w:lineRule="auto"/>
              <w:ind w:firstLineChars="260" w:firstLine="624"/>
              <w:rPr>
                <w:color w:val="000000"/>
              </w:rPr>
            </w:pPr>
            <w:r w:rsidRPr="00F960B8">
              <w:rPr>
                <w:color w:val="000000"/>
              </w:rPr>
              <w:t>Total</w:t>
            </w:r>
          </w:p>
        </w:tc>
        <w:tc>
          <w:tcPr>
            <w:tcW w:w="2758" w:type="dxa"/>
            <w:tcBorders>
              <w:top w:val="nil"/>
              <w:left w:val="nil"/>
              <w:bottom w:val="nil"/>
              <w:right w:val="nil"/>
            </w:tcBorders>
            <w:shd w:val="clear" w:color="auto" w:fill="auto"/>
            <w:noWrap/>
            <w:hideMark/>
          </w:tcPr>
          <w:p w14:paraId="1E70F949" w14:textId="5AC04149" w:rsidR="007100B3" w:rsidRPr="00F960B8" w:rsidRDefault="007100B3" w:rsidP="00F960B8">
            <w:pPr>
              <w:tabs>
                <w:tab w:val="decimal" w:pos="1480"/>
              </w:tabs>
              <w:spacing w:line="360" w:lineRule="auto"/>
              <w:rPr>
                <w:color w:val="000000"/>
              </w:rPr>
            </w:pPr>
            <w:r w:rsidRPr="00F960B8">
              <w:rPr>
                <w:color w:val="000000"/>
              </w:rPr>
              <w:t>355</w:t>
            </w:r>
          </w:p>
        </w:tc>
        <w:tc>
          <w:tcPr>
            <w:tcW w:w="2316" w:type="dxa"/>
            <w:tcBorders>
              <w:top w:val="nil"/>
              <w:left w:val="nil"/>
              <w:bottom w:val="nil"/>
              <w:right w:val="nil"/>
            </w:tcBorders>
            <w:shd w:val="clear" w:color="auto" w:fill="auto"/>
            <w:noWrap/>
          </w:tcPr>
          <w:p w14:paraId="6F183AB6" w14:textId="7D7C35A3" w:rsidR="007100B3" w:rsidRPr="00F960B8" w:rsidRDefault="007100B3" w:rsidP="00F960B8">
            <w:pPr>
              <w:tabs>
                <w:tab w:val="decimal" w:pos="1062"/>
              </w:tabs>
              <w:spacing w:line="360" w:lineRule="auto"/>
              <w:rPr>
                <w:color w:val="000000"/>
              </w:rPr>
            </w:pPr>
            <w:r w:rsidRPr="00F960B8">
              <w:rPr>
                <w:color w:val="000000"/>
              </w:rPr>
              <w:t>300 (85%)</w:t>
            </w:r>
          </w:p>
        </w:tc>
        <w:tc>
          <w:tcPr>
            <w:tcW w:w="2010" w:type="dxa"/>
            <w:tcBorders>
              <w:top w:val="nil"/>
              <w:left w:val="nil"/>
              <w:bottom w:val="nil"/>
              <w:right w:val="nil"/>
            </w:tcBorders>
          </w:tcPr>
          <w:p w14:paraId="0F91461D" w14:textId="21229672" w:rsidR="007100B3" w:rsidRPr="00F960B8" w:rsidRDefault="007100B3" w:rsidP="00F960B8">
            <w:pPr>
              <w:tabs>
                <w:tab w:val="decimal" w:pos="1062"/>
              </w:tabs>
              <w:spacing w:line="360" w:lineRule="auto"/>
              <w:rPr>
                <w:color w:val="000000"/>
              </w:rPr>
            </w:pPr>
            <w:r w:rsidRPr="00F960B8">
              <w:rPr>
                <w:color w:val="000000"/>
              </w:rPr>
              <w:t>55 (15%)</w:t>
            </w:r>
          </w:p>
        </w:tc>
        <w:tc>
          <w:tcPr>
            <w:tcW w:w="1704" w:type="dxa"/>
            <w:tcBorders>
              <w:top w:val="nil"/>
              <w:left w:val="nil"/>
              <w:bottom w:val="nil"/>
              <w:right w:val="nil"/>
            </w:tcBorders>
          </w:tcPr>
          <w:p w14:paraId="533B92E3" w14:textId="5B3D0D4A" w:rsidR="007100B3" w:rsidRPr="00F960B8" w:rsidRDefault="007100B3" w:rsidP="00F960B8">
            <w:pPr>
              <w:tabs>
                <w:tab w:val="decimal" w:pos="1062"/>
              </w:tabs>
              <w:spacing w:line="360" w:lineRule="auto"/>
              <w:rPr>
                <w:color w:val="000000"/>
              </w:rPr>
            </w:pPr>
            <w:r w:rsidRPr="00F960B8">
              <w:rPr>
                <w:color w:val="000000"/>
              </w:rPr>
              <w:t>1,154</w:t>
            </w:r>
          </w:p>
        </w:tc>
      </w:tr>
      <w:tr w:rsidR="007100B3" w:rsidRPr="00F960B8" w14:paraId="5D4C5F1F" w14:textId="77777777" w:rsidTr="00F960B8">
        <w:tc>
          <w:tcPr>
            <w:tcW w:w="4730" w:type="dxa"/>
            <w:tcBorders>
              <w:top w:val="nil"/>
              <w:left w:val="nil"/>
              <w:bottom w:val="nil"/>
              <w:right w:val="nil"/>
            </w:tcBorders>
            <w:shd w:val="clear" w:color="auto" w:fill="auto"/>
            <w:noWrap/>
            <w:hideMark/>
          </w:tcPr>
          <w:p w14:paraId="3329E3EE" w14:textId="77777777" w:rsidR="007100B3" w:rsidRPr="00F960B8" w:rsidRDefault="007100B3" w:rsidP="00F960B8">
            <w:pPr>
              <w:spacing w:line="360" w:lineRule="auto"/>
              <w:ind w:firstLineChars="260" w:firstLine="624"/>
              <w:rPr>
                <w:color w:val="000000"/>
              </w:rPr>
            </w:pPr>
            <w:r w:rsidRPr="00F960B8">
              <w:rPr>
                <w:color w:val="000000"/>
              </w:rPr>
              <w:t>Pre-1990</w:t>
            </w:r>
          </w:p>
        </w:tc>
        <w:tc>
          <w:tcPr>
            <w:tcW w:w="2758" w:type="dxa"/>
            <w:tcBorders>
              <w:top w:val="nil"/>
              <w:left w:val="nil"/>
              <w:bottom w:val="nil"/>
              <w:right w:val="nil"/>
            </w:tcBorders>
            <w:shd w:val="clear" w:color="auto" w:fill="auto"/>
            <w:noWrap/>
            <w:hideMark/>
          </w:tcPr>
          <w:p w14:paraId="6919F8FA" w14:textId="44C8D779" w:rsidR="007100B3" w:rsidRPr="00F960B8" w:rsidRDefault="007100B3" w:rsidP="00F960B8">
            <w:pPr>
              <w:tabs>
                <w:tab w:val="decimal" w:pos="1480"/>
              </w:tabs>
              <w:spacing w:line="360" w:lineRule="auto"/>
              <w:rPr>
                <w:color w:val="000000"/>
              </w:rPr>
            </w:pPr>
            <w:r w:rsidRPr="00F960B8">
              <w:rPr>
                <w:color w:val="000000"/>
              </w:rPr>
              <w:t>0</w:t>
            </w:r>
          </w:p>
        </w:tc>
        <w:tc>
          <w:tcPr>
            <w:tcW w:w="2316" w:type="dxa"/>
            <w:tcBorders>
              <w:top w:val="nil"/>
              <w:left w:val="nil"/>
              <w:bottom w:val="nil"/>
              <w:right w:val="nil"/>
            </w:tcBorders>
            <w:shd w:val="clear" w:color="auto" w:fill="auto"/>
            <w:noWrap/>
          </w:tcPr>
          <w:p w14:paraId="24716EA8" w14:textId="3D4BC21D" w:rsidR="007100B3" w:rsidRPr="00F960B8" w:rsidRDefault="007100B3" w:rsidP="00F960B8">
            <w:pPr>
              <w:tabs>
                <w:tab w:val="decimal" w:pos="1062"/>
              </w:tabs>
              <w:spacing w:line="360" w:lineRule="auto"/>
              <w:rPr>
                <w:color w:val="000000"/>
              </w:rPr>
            </w:pPr>
            <w:r w:rsidRPr="00F960B8">
              <w:rPr>
                <w:color w:val="000000"/>
              </w:rPr>
              <w:t>0</w:t>
            </w:r>
          </w:p>
        </w:tc>
        <w:tc>
          <w:tcPr>
            <w:tcW w:w="2010" w:type="dxa"/>
            <w:tcBorders>
              <w:top w:val="nil"/>
              <w:left w:val="nil"/>
              <w:bottom w:val="nil"/>
              <w:right w:val="nil"/>
            </w:tcBorders>
          </w:tcPr>
          <w:p w14:paraId="2EAEE2B9" w14:textId="4995BAE5" w:rsidR="007100B3" w:rsidRPr="00F960B8" w:rsidRDefault="007100B3" w:rsidP="00F960B8">
            <w:pPr>
              <w:tabs>
                <w:tab w:val="decimal" w:pos="1062"/>
              </w:tabs>
              <w:spacing w:line="360" w:lineRule="auto"/>
              <w:rPr>
                <w:color w:val="000000"/>
              </w:rPr>
            </w:pPr>
            <w:r w:rsidRPr="00F960B8">
              <w:rPr>
                <w:color w:val="000000"/>
              </w:rPr>
              <w:t>0</w:t>
            </w:r>
          </w:p>
        </w:tc>
        <w:tc>
          <w:tcPr>
            <w:tcW w:w="1704" w:type="dxa"/>
            <w:tcBorders>
              <w:top w:val="nil"/>
              <w:left w:val="nil"/>
              <w:bottom w:val="nil"/>
              <w:right w:val="nil"/>
            </w:tcBorders>
          </w:tcPr>
          <w:p w14:paraId="063C95D2" w14:textId="69C0A757" w:rsidR="007100B3" w:rsidRPr="00F960B8" w:rsidRDefault="007100B3" w:rsidP="00F960B8">
            <w:pPr>
              <w:tabs>
                <w:tab w:val="decimal" w:pos="1062"/>
              </w:tabs>
              <w:spacing w:line="360" w:lineRule="auto"/>
              <w:rPr>
                <w:color w:val="000000"/>
              </w:rPr>
            </w:pPr>
            <w:r w:rsidRPr="00F960B8">
              <w:rPr>
                <w:color w:val="000000"/>
              </w:rPr>
              <w:t>2</w:t>
            </w:r>
          </w:p>
        </w:tc>
      </w:tr>
      <w:tr w:rsidR="007100B3" w:rsidRPr="00F960B8" w14:paraId="2355AD3B" w14:textId="77777777" w:rsidTr="00F960B8">
        <w:tc>
          <w:tcPr>
            <w:tcW w:w="4730" w:type="dxa"/>
            <w:tcBorders>
              <w:top w:val="nil"/>
              <w:left w:val="nil"/>
              <w:bottom w:val="nil"/>
              <w:right w:val="nil"/>
            </w:tcBorders>
            <w:shd w:val="clear" w:color="auto" w:fill="auto"/>
            <w:noWrap/>
            <w:hideMark/>
          </w:tcPr>
          <w:p w14:paraId="55EA0D30" w14:textId="77777777" w:rsidR="007100B3" w:rsidRPr="00F960B8" w:rsidRDefault="007100B3" w:rsidP="00F960B8">
            <w:pPr>
              <w:spacing w:line="360" w:lineRule="auto"/>
              <w:ind w:firstLineChars="260" w:firstLine="624"/>
              <w:rPr>
                <w:color w:val="000000"/>
              </w:rPr>
            </w:pPr>
            <w:r w:rsidRPr="00F960B8">
              <w:rPr>
                <w:color w:val="000000"/>
              </w:rPr>
              <w:t>1990-1999</w:t>
            </w:r>
          </w:p>
        </w:tc>
        <w:tc>
          <w:tcPr>
            <w:tcW w:w="2758" w:type="dxa"/>
            <w:tcBorders>
              <w:top w:val="nil"/>
              <w:left w:val="nil"/>
              <w:bottom w:val="nil"/>
              <w:right w:val="nil"/>
            </w:tcBorders>
            <w:shd w:val="clear" w:color="auto" w:fill="auto"/>
            <w:noWrap/>
            <w:hideMark/>
          </w:tcPr>
          <w:p w14:paraId="0F08DDFB" w14:textId="100C8942" w:rsidR="007100B3" w:rsidRPr="00F960B8" w:rsidRDefault="007100B3" w:rsidP="00F960B8">
            <w:pPr>
              <w:tabs>
                <w:tab w:val="decimal" w:pos="1480"/>
              </w:tabs>
              <w:spacing w:line="360" w:lineRule="auto"/>
              <w:rPr>
                <w:color w:val="000000"/>
              </w:rPr>
            </w:pPr>
            <w:r w:rsidRPr="00F960B8">
              <w:rPr>
                <w:color w:val="000000"/>
              </w:rPr>
              <w:t>4</w:t>
            </w:r>
          </w:p>
        </w:tc>
        <w:tc>
          <w:tcPr>
            <w:tcW w:w="2316" w:type="dxa"/>
            <w:tcBorders>
              <w:top w:val="nil"/>
              <w:left w:val="nil"/>
              <w:bottom w:val="nil"/>
              <w:right w:val="nil"/>
            </w:tcBorders>
            <w:shd w:val="clear" w:color="auto" w:fill="auto"/>
            <w:noWrap/>
          </w:tcPr>
          <w:p w14:paraId="62389D1B" w14:textId="5E97215D" w:rsidR="007100B3" w:rsidRPr="00F960B8" w:rsidRDefault="007100B3" w:rsidP="00F960B8">
            <w:pPr>
              <w:tabs>
                <w:tab w:val="decimal" w:pos="1062"/>
              </w:tabs>
              <w:spacing w:line="360" w:lineRule="auto"/>
              <w:rPr>
                <w:color w:val="000000"/>
              </w:rPr>
            </w:pPr>
            <w:r w:rsidRPr="00F960B8">
              <w:rPr>
                <w:color w:val="000000"/>
              </w:rPr>
              <w:t>4</w:t>
            </w:r>
          </w:p>
        </w:tc>
        <w:tc>
          <w:tcPr>
            <w:tcW w:w="2010" w:type="dxa"/>
            <w:tcBorders>
              <w:top w:val="nil"/>
              <w:left w:val="nil"/>
              <w:bottom w:val="nil"/>
              <w:right w:val="nil"/>
            </w:tcBorders>
          </w:tcPr>
          <w:p w14:paraId="30EFF41E" w14:textId="6653E76E" w:rsidR="007100B3" w:rsidRPr="00F960B8" w:rsidRDefault="007100B3" w:rsidP="00F960B8">
            <w:pPr>
              <w:tabs>
                <w:tab w:val="decimal" w:pos="1062"/>
              </w:tabs>
              <w:spacing w:line="360" w:lineRule="auto"/>
              <w:rPr>
                <w:color w:val="000000"/>
              </w:rPr>
            </w:pPr>
            <w:r w:rsidRPr="00F960B8">
              <w:rPr>
                <w:color w:val="000000"/>
              </w:rPr>
              <w:t>0</w:t>
            </w:r>
          </w:p>
        </w:tc>
        <w:tc>
          <w:tcPr>
            <w:tcW w:w="1704" w:type="dxa"/>
            <w:tcBorders>
              <w:top w:val="nil"/>
              <w:left w:val="nil"/>
              <w:bottom w:val="nil"/>
              <w:right w:val="nil"/>
            </w:tcBorders>
          </w:tcPr>
          <w:p w14:paraId="0074FE8A" w14:textId="2CEFC199" w:rsidR="007100B3" w:rsidRPr="00F960B8" w:rsidRDefault="007100B3" w:rsidP="00F960B8">
            <w:pPr>
              <w:tabs>
                <w:tab w:val="decimal" w:pos="1062"/>
              </w:tabs>
              <w:spacing w:line="360" w:lineRule="auto"/>
              <w:rPr>
                <w:color w:val="000000"/>
              </w:rPr>
            </w:pPr>
            <w:r w:rsidRPr="00F960B8">
              <w:rPr>
                <w:color w:val="000000"/>
              </w:rPr>
              <w:t>5</w:t>
            </w:r>
          </w:p>
        </w:tc>
      </w:tr>
      <w:tr w:rsidR="007100B3" w:rsidRPr="00F960B8" w14:paraId="5B13CA26" w14:textId="77777777" w:rsidTr="00F960B8">
        <w:tc>
          <w:tcPr>
            <w:tcW w:w="4730" w:type="dxa"/>
            <w:tcBorders>
              <w:top w:val="nil"/>
              <w:left w:val="nil"/>
              <w:bottom w:val="nil"/>
              <w:right w:val="nil"/>
            </w:tcBorders>
            <w:shd w:val="clear" w:color="auto" w:fill="auto"/>
            <w:noWrap/>
            <w:hideMark/>
          </w:tcPr>
          <w:p w14:paraId="28E373A6" w14:textId="77777777" w:rsidR="007100B3" w:rsidRPr="00F960B8" w:rsidRDefault="007100B3" w:rsidP="00F960B8">
            <w:pPr>
              <w:spacing w:line="360" w:lineRule="auto"/>
              <w:ind w:firstLineChars="260" w:firstLine="624"/>
              <w:rPr>
                <w:color w:val="000000"/>
              </w:rPr>
            </w:pPr>
            <w:r w:rsidRPr="00F960B8">
              <w:rPr>
                <w:color w:val="000000"/>
              </w:rPr>
              <w:t>2000-2009</w:t>
            </w:r>
          </w:p>
        </w:tc>
        <w:tc>
          <w:tcPr>
            <w:tcW w:w="2758" w:type="dxa"/>
            <w:tcBorders>
              <w:top w:val="nil"/>
              <w:left w:val="nil"/>
              <w:bottom w:val="nil"/>
              <w:right w:val="nil"/>
            </w:tcBorders>
            <w:shd w:val="clear" w:color="auto" w:fill="auto"/>
            <w:noWrap/>
            <w:hideMark/>
          </w:tcPr>
          <w:p w14:paraId="38D863A9" w14:textId="76159984" w:rsidR="007100B3" w:rsidRPr="00F960B8" w:rsidRDefault="007100B3" w:rsidP="00F960B8">
            <w:pPr>
              <w:tabs>
                <w:tab w:val="decimal" w:pos="1480"/>
              </w:tabs>
              <w:spacing w:line="360" w:lineRule="auto"/>
              <w:rPr>
                <w:color w:val="000000"/>
              </w:rPr>
            </w:pPr>
            <w:r w:rsidRPr="00F960B8">
              <w:rPr>
                <w:color w:val="000000"/>
              </w:rPr>
              <w:t>117</w:t>
            </w:r>
          </w:p>
        </w:tc>
        <w:tc>
          <w:tcPr>
            <w:tcW w:w="2316" w:type="dxa"/>
            <w:tcBorders>
              <w:top w:val="nil"/>
              <w:left w:val="nil"/>
              <w:bottom w:val="nil"/>
              <w:right w:val="nil"/>
            </w:tcBorders>
            <w:shd w:val="clear" w:color="auto" w:fill="auto"/>
            <w:noWrap/>
          </w:tcPr>
          <w:p w14:paraId="60741D00" w14:textId="214573EC" w:rsidR="007100B3" w:rsidRPr="00F960B8" w:rsidRDefault="007100B3" w:rsidP="00F960B8">
            <w:pPr>
              <w:tabs>
                <w:tab w:val="decimal" w:pos="1062"/>
              </w:tabs>
              <w:spacing w:line="360" w:lineRule="auto"/>
              <w:rPr>
                <w:color w:val="000000"/>
              </w:rPr>
            </w:pPr>
            <w:r w:rsidRPr="00F960B8">
              <w:rPr>
                <w:color w:val="000000"/>
              </w:rPr>
              <w:t>109</w:t>
            </w:r>
          </w:p>
        </w:tc>
        <w:tc>
          <w:tcPr>
            <w:tcW w:w="2010" w:type="dxa"/>
            <w:tcBorders>
              <w:top w:val="nil"/>
              <w:left w:val="nil"/>
              <w:bottom w:val="nil"/>
              <w:right w:val="nil"/>
            </w:tcBorders>
          </w:tcPr>
          <w:p w14:paraId="61897FFC" w14:textId="52372D80" w:rsidR="007100B3" w:rsidRPr="00F960B8" w:rsidRDefault="007100B3" w:rsidP="00F960B8">
            <w:pPr>
              <w:tabs>
                <w:tab w:val="decimal" w:pos="1062"/>
              </w:tabs>
              <w:spacing w:line="360" w:lineRule="auto"/>
              <w:rPr>
                <w:color w:val="000000"/>
              </w:rPr>
            </w:pPr>
            <w:r w:rsidRPr="00F960B8">
              <w:rPr>
                <w:color w:val="000000"/>
              </w:rPr>
              <w:t>8</w:t>
            </w:r>
          </w:p>
        </w:tc>
        <w:tc>
          <w:tcPr>
            <w:tcW w:w="1704" w:type="dxa"/>
            <w:tcBorders>
              <w:top w:val="nil"/>
              <w:left w:val="nil"/>
              <w:bottom w:val="nil"/>
              <w:right w:val="nil"/>
            </w:tcBorders>
          </w:tcPr>
          <w:p w14:paraId="72FFD177" w14:textId="0CEF311A" w:rsidR="007100B3" w:rsidRPr="00F960B8" w:rsidRDefault="007100B3" w:rsidP="00F960B8">
            <w:pPr>
              <w:tabs>
                <w:tab w:val="decimal" w:pos="1062"/>
              </w:tabs>
              <w:spacing w:line="360" w:lineRule="auto"/>
              <w:rPr>
                <w:color w:val="000000"/>
              </w:rPr>
            </w:pPr>
            <w:r w:rsidRPr="00F960B8">
              <w:rPr>
                <w:color w:val="000000"/>
              </w:rPr>
              <w:t>231</w:t>
            </w:r>
          </w:p>
        </w:tc>
      </w:tr>
      <w:tr w:rsidR="007100B3" w:rsidRPr="00F960B8" w14:paraId="2C8C0ACF" w14:textId="77777777" w:rsidTr="00F960B8">
        <w:tc>
          <w:tcPr>
            <w:tcW w:w="4730" w:type="dxa"/>
            <w:tcBorders>
              <w:top w:val="nil"/>
              <w:left w:val="nil"/>
              <w:bottom w:val="nil"/>
              <w:right w:val="nil"/>
            </w:tcBorders>
            <w:shd w:val="clear" w:color="auto" w:fill="auto"/>
            <w:noWrap/>
            <w:hideMark/>
          </w:tcPr>
          <w:p w14:paraId="213F00D4" w14:textId="77777777" w:rsidR="007100B3" w:rsidRPr="00F960B8" w:rsidRDefault="007100B3" w:rsidP="00F960B8">
            <w:pPr>
              <w:spacing w:line="360" w:lineRule="auto"/>
              <w:ind w:firstLineChars="260" w:firstLine="624"/>
              <w:rPr>
                <w:color w:val="000000"/>
              </w:rPr>
            </w:pPr>
            <w:r w:rsidRPr="00F960B8">
              <w:rPr>
                <w:color w:val="000000"/>
              </w:rPr>
              <w:t>2010-2019</w:t>
            </w:r>
          </w:p>
        </w:tc>
        <w:tc>
          <w:tcPr>
            <w:tcW w:w="2758" w:type="dxa"/>
            <w:tcBorders>
              <w:top w:val="nil"/>
              <w:left w:val="nil"/>
              <w:bottom w:val="nil"/>
              <w:right w:val="nil"/>
            </w:tcBorders>
            <w:shd w:val="clear" w:color="auto" w:fill="auto"/>
            <w:noWrap/>
            <w:hideMark/>
          </w:tcPr>
          <w:p w14:paraId="090F8382" w14:textId="16A59F25" w:rsidR="007100B3" w:rsidRPr="00F960B8" w:rsidRDefault="007100B3" w:rsidP="00F960B8">
            <w:pPr>
              <w:tabs>
                <w:tab w:val="decimal" w:pos="1480"/>
              </w:tabs>
              <w:spacing w:line="360" w:lineRule="auto"/>
              <w:rPr>
                <w:color w:val="000000"/>
              </w:rPr>
            </w:pPr>
            <w:r w:rsidRPr="00F960B8">
              <w:rPr>
                <w:color w:val="000000"/>
              </w:rPr>
              <w:t>234</w:t>
            </w:r>
          </w:p>
        </w:tc>
        <w:tc>
          <w:tcPr>
            <w:tcW w:w="2316" w:type="dxa"/>
            <w:tcBorders>
              <w:top w:val="nil"/>
              <w:left w:val="nil"/>
              <w:bottom w:val="nil"/>
              <w:right w:val="nil"/>
            </w:tcBorders>
            <w:shd w:val="clear" w:color="auto" w:fill="auto"/>
            <w:noWrap/>
          </w:tcPr>
          <w:p w14:paraId="3334D86F" w14:textId="579F0CF4" w:rsidR="007100B3" w:rsidRPr="00F960B8" w:rsidRDefault="007100B3" w:rsidP="00F960B8">
            <w:pPr>
              <w:tabs>
                <w:tab w:val="decimal" w:pos="1062"/>
              </w:tabs>
              <w:spacing w:line="360" w:lineRule="auto"/>
              <w:rPr>
                <w:color w:val="000000"/>
              </w:rPr>
            </w:pPr>
            <w:r w:rsidRPr="00F960B8">
              <w:rPr>
                <w:color w:val="000000"/>
              </w:rPr>
              <w:t>187</w:t>
            </w:r>
          </w:p>
        </w:tc>
        <w:tc>
          <w:tcPr>
            <w:tcW w:w="2010" w:type="dxa"/>
            <w:tcBorders>
              <w:top w:val="nil"/>
              <w:left w:val="nil"/>
              <w:bottom w:val="nil"/>
              <w:right w:val="nil"/>
            </w:tcBorders>
          </w:tcPr>
          <w:p w14:paraId="0D5FFBBC" w14:textId="7E65A486" w:rsidR="007100B3" w:rsidRPr="00F960B8" w:rsidRDefault="007100B3" w:rsidP="00F960B8">
            <w:pPr>
              <w:tabs>
                <w:tab w:val="decimal" w:pos="1062"/>
              </w:tabs>
              <w:spacing w:line="360" w:lineRule="auto"/>
              <w:rPr>
                <w:color w:val="000000"/>
              </w:rPr>
            </w:pPr>
            <w:r w:rsidRPr="00F960B8">
              <w:rPr>
                <w:color w:val="000000"/>
              </w:rPr>
              <w:t>47</w:t>
            </w:r>
          </w:p>
        </w:tc>
        <w:tc>
          <w:tcPr>
            <w:tcW w:w="1704" w:type="dxa"/>
            <w:tcBorders>
              <w:top w:val="nil"/>
              <w:left w:val="nil"/>
              <w:bottom w:val="nil"/>
              <w:right w:val="nil"/>
            </w:tcBorders>
          </w:tcPr>
          <w:p w14:paraId="364913DE" w14:textId="3717C582" w:rsidR="007100B3" w:rsidRPr="00F960B8" w:rsidRDefault="007100B3" w:rsidP="00F960B8">
            <w:pPr>
              <w:tabs>
                <w:tab w:val="decimal" w:pos="1062"/>
              </w:tabs>
              <w:spacing w:line="360" w:lineRule="auto"/>
              <w:rPr>
                <w:color w:val="000000"/>
              </w:rPr>
            </w:pPr>
            <w:r w:rsidRPr="00F960B8">
              <w:rPr>
                <w:color w:val="000000"/>
              </w:rPr>
              <w:t>916</w:t>
            </w:r>
          </w:p>
        </w:tc>
      </w:tr>
      <w:tr w:rsidR="007100B3" w:rsidRPr="00F960B8" w14:paraId="5951A266" w14:textId="77777777" w:rsidTr="00F960B8">
        <w:tc>
          <w:tcPr>
            <w:tcW w:w="4730" w:type="dxa"/>
            <w:tcBorders>
              <w:left w:val="nil"/>
              <w:bottom w:val="nil"/>
              <w:right w:val="nil"/>
            </w:tcBorders>
            <w:shd w:val="clear" w:color="auto" w:fill="auto"/>
            <w:noWrap/>
            <w:hideMark/>
          </w:tcPr>
          <w:p w14:paraId="4BF72933" w14:textId="77777777" w:rsidR="007100B3" w:rsidRPr="00F960B8" w:rsidRDefault="007100B3" w:rsidP="00F960B8">
            <w:pPr>
              <w:spacing w:line="360" w:lineRule="auto"/>
              <w:rPr>
                <w:b/>
                <w:bCs/>
                <w:color w:val="000000"/>
              </w:rPr>
            </w:pPr>
            <w:r w:rsidRPr="00F960B8">
              <w:rPr>
                <w:b/>
                <w:bCs/>
                <w:color w:val="000000"/>
              </w:rPr>
              <w:t>Number of climate-centric cases</w:t>
            </w:r>
          </w:p>
        </w:tc>
        <w:tc>
          <w:tcPr>
            <w:tcW w:w="2758" w:type="dxa"/>
            <w:tcBorders>
              <w:left w:val="nil"/>
              <w:bottom w:val="nil"/>
              <w:right w:val="nil"/>
            </w:tcBorders>
            <w:shd w:val="clear" w:color="auto" w:fill="auto"/>
            <w:noWrap/>
            <w:hideMark/>
          </w:tcPr>
          <w:p w14:paraId="63F46BAE" w14:textId="77777777" w:rsidR="007100B3" w:rsidRPr="00F960B8" w:rsidRDefault="007100B3" w:rsidP="00F960B8">
            <w:pPr>
              <w:tabs>
                <w:tab w:val="decimal" w:pos="1480"/>
              </w:tabs>
              <w:spacing w:line="360" w:lineRule="auto"/>
              <w:rPr>
                <w:b/>
                <w:bCs/>
                <w:color w:val="000000"/>
              </w:rPr>
            </w:pPr>
          </w:p>
        </w:tc>
        <w:tc>
          <w:tcPr>
            <w:tcW w:w="2316" w:type="dxa"/>
            <w:tcBorders>
              <w:left w:val="nil"/>
              <w:bottom w:val="nil"/>
              <w:right w:val="nil"/>
            </w:tcBorders>
            <w:shd w:val="clear" w:color="auto" w:fill="auto"/>
            <w:noWrap/>
            <w:hideMark/>
          </w:tcPr>
          <w:p w14:paraId="32D3F077" w14:textId="77777777" w:rsidR="007100B3" w:rsidRPr="00F960B8" w:rsidRDefault="007100B3" w:rsidP="00F960B8">
            <w:pPr>
              <w:tabs>
                <w:tab w:val="decimal" w:pos="1062"/>
              </w:tabs>
              <w:spacing w:line="360" w:lineRule="auto"/>
            </w:pPr>
          </w:p>
        </w:tc>
        <w:tc>
          <w:tcPr>
            <w:tcW w:w="2010" w:type="dxa"/>
            <w:tcBorders>
              <w:left w:val="nil"/>
              <w:bottom w:val="nil"/>
              <w:right w:val="nil"/>
            </w:tcBorders>
          </w:tcPr>
          <w:p w14:paraId="07BCE18C" w14:textId="77777777" w:rsidR="007100B3" w:rsidRPr="00F960B8" w:rsidRDefault="007100B3" w:rsidP="00F960B8">
            <w:pPr>
              <w:tabs>
                <w:tab w:val="decimal" w:pos="1062"/>
              </w:tabs>
              <w:spacing w:line="360" w:lineRule="auto"/>
            </w:pPr>
          </w:p>
        </w:tc>
        <w:tc>
          <w:tcPr>
            <w:tcW w:w="1704" w:type="dxa"/>
            <w:tcBorders>
              <w:left w:val="nil"/>
              <w:bottom w:val="nil"/>
              <w:right w:val="nil"/>
            </w:tcBorders>
          </w:tcPr>
          <w:p w14:paraId="742562F1" w14:textId="77777777" w:rsidR="007100B3" w:rsidRPr="00F960B8" w:rsidRDefault="007100B3" w:rsidP="00F960B8">
            <w:pPr>
              <w:tabs>
                <w:tab w:val="decimal" w:pos="1062"/>
              </w:tabs>
              <w:spacing w:line="360" w:lineRule="auto"/>
            </w:pPr>
          </w:p>
        </w:tc>
      </w:tr>
      <w:tr w:rsidR="007100B3" w:rsidRPr="00F960B8" w14:paraId="181263E4" w14:textId="77777777" w:rsidTr="00F960B8">
        <w:tc>
          <w:tcPr>
            <w:tcW w:w="4730" w:type="dxa"/>
            <w:tcBorders>
              <w:top w:val="nil"/>
              <w:left w:val="nil"/>
              <w:bottom w:val="nil"/>
              <w:right w:val="nil"/>
            </w:tcBorders>
            <w:shd w:val="clear" w:color="auto" w:fill="auto"/>
            <w:noWrap/>
            <w:hideMark/>
          </w:tcPr>
          <w:p w14:paraId="2BCFFDCB" w14:textId="77777777" w:rsidR="007100B3" w:rsidRPr="00F960B8" w:rsidRDefault="007100B3" w:rsidP="00F960B8">
            <w:pPr>
              <w:spacing w:line="360" w:lineRule="auto"/>
              <w:ind w:firstLineChars="260" w:firstLine="624"/>
              <w:rPr>
                <w:color w:val="000000"/>
              </w:rPr>
            </w:pPr>
            <w:r w:rsidRPr="00F960B8">
              <w:rPr>
                <w:color w:val="000000"/>
              </w:rPr>
              <w:t>Total</w:t>
            </w:r>
          </w:p>
        </w:tc>
        <w:tc>
          <w:tcPr>
            <w:tcW w:w="2758" w:type="dxa"/>
            <w:tcBorders>
              <w:top w:val="nil"/>
              <w:left w:val="nil"/>
              <w:bottom w:val="nil"/>
              <w:right w:val="nil"/>
            </w:tcBorders>
            <w:shd w:val="clear" w:color="auto" w:fill="auto"/>
            <w:noWrap/>
            <w:hideMark/>
          </w:tcPr>
          <w:p w14:paraId="65482D4F" w14:textId="020A037E" w:rsidR="007100B3" w:rsidRPr="00F960B8" w:rsidRDefault="007100B3" w:rsidP="00F960B8">
            <w:pPr>
              <w:tabs>
                <w:tab w:val="decimal" w:pos="1480"/>
              </w:tabs>
              <w:spacing w:line="360" w:lineRule="auto"/>
              <w:rPr>
                <w:color w:val="000000"/>
              </w:rPr>
            </w:pPr>
            <w:r w:rsidRPr="00F960B8">
              <w:rPr>
                <w:color w:val="000000"/>
              </w:rPr>
              <w:t>138</w:t>
            </w:r>
          </w:p>
        </w:tc>
        <w:tc>
          <w:tcPr>
            <w:tcW w:w="2316" w:type="dxa"/>
            <w:tcBorders>
              <w:top w:val="nil"/>
              <w:left w:val="nil"/>
              <w:bottom w:val="nil"/>
              <w:right w:val="nil"/>
            </w:tcBorders>
            <w:shd w:val="clear" w:color="auto" w:fill="auto"/>
            <w:noWrap/>
          </w:tcPr>
          <w:p w14:paraId="1CFF245D" w14:textId="3B13F0B6" w:rsidR="007100B3" w:rsidRPr="00F960B8" w:rsidRDefault="007100B3" w:rsidP="00F960B8">
            <w:pPr>
              <w:tabs>
                <w:tab w:val="decimal" w:pos="1062"/>
              </w:tabs>
              <w:spacing w:line="360" w:lineRule="auto"/>
              <w:rPr>
                <w:color w:val="000000"/>
              </w:rPr>
            </w:pPr>
            <w:r w:rsidRPr="00F960B8">
              <w:rPr>
                <w:color w:val="000000"/>
              </w:rPr>
              <w:t>103 (75%)</w:t>
            </w:r>
          </w:p>
        </w:tc>
        <w:tc>
          <w:tcPr>
            <w:tcW w:w="2010" w:type="dxa"/>
            <w:tcBorders>
              <w:top w:val="nil"/>
              <w:left w:val="nil"/>
              <w:bottom w:val="nil"/>
              <w:right w:val="nil"/>
            </w:tcBorders>
          </w:tcPr>
          <w:p w14:paraId="0322D683" w14:textId="25A29B24" w:rsidR="007100B3" w:rsidRPr="00F960B8" w:rsidRDefault="007100B3" w:rsidP="00F960B8">
            <w:pPr>
              <w:tabs>
                <w:tab w:val="decimal" w:pos="1062"/>
              </w:tabs>
              <w:spacing w:line="360" w:lineRule="auto"/>
              <w:rPr>
                <w:color w:val="000000"/>
              </w:rPr>
            </w:pPr>
            <w:r w:rsidRPr="00F960B8">
              <w:rPr>
                <w:color w:val="000000"/>
              </w:rPr>
              <w:t>35 (25%)</w:t>
            </w:r>
          </w:p>
        </w:tc>
        <w:tc>
          <w:tcPr>
            <w:tcW w:w="1704" w:type="dxa"/>
            <w:tcBorders>
              <w:top w:val="nil"/>
              <w:left w:val="nil"/>
              <w:bottom w:val="nil"/>
              <w:right w:val="nil"/>
            </w:tcBorders>
          </w:tcPr>
          <w:p w14:paraId="6A8C0115" w14:textId="46F2458A" w:rsidR="007100B3" w:rsidRPr="00F960B8" w:rsidRDefault="007100B3" w:rsidP="00F960B8">
            <w:pPr>
              <w:tabs>
                <w:tab w:val="decimal" w:pos="1062"/>
              </w:tabs>
              <w:spacing w:line="360" w:lineRule="auto"/>
              <w:rPr>
                <w:color w:val="000000"/>
              </w:rPr>
            </w:pPr>
          </w:p>
        </w:tc>
      </w:tr>
      <w:tr w:rsidR="007100B3" w:rsidRPr="00F960B8" w14:paraId="06C0328A" w14:textId="77777777" w:rsidTr="00F960B8">
        <w:tc>
          <w:tcPr>
            <w:tcW w:w="4730" w:type="dxa"/>
            <w:tcBorders>
              <w:top w:val="nil"/>
              <w:left w:val="nil"/>
              <w:bottom w:val="nil"/>
              <w:right w:val="nil"/>
            </w:tcBorders>
            <w:shd w:val="clear" w:color="auto" w:fill="auto"/>
            <w:noWrap/>
            <w:hideMark/>
          </w:tcPr>
          <w:p w14:paraId="148EE378" w14:textId="77777777" w:rsidR="007100B3" w:rsidRPr="00F960B8" w:rsidRDefault="007100B3" w:rsidP="00F960B8">
            <w:pPr>
              <w:spacing w:line="360" w:lineRule="auto"/>
              <w:ind w:firstLineChars="260" w:firstLine="624"/>
              <w:rPr>
                <w:color w:val="000000"/>
              </w:rPr>
            </w:pPr>
            <w:r w:rsidRPr="00F960B8">
              <w:rPr>
                <w:color w:val="000000"/>
              </w:rPr>
              <w:t>1990-1999</w:t>
            </w:r>
          </w:p>
        </w:tc>
        <w:tc>
          <w:tcPr>
            <w:tcW w:w="2758" w:type="dxa"/>
            <w:tcBorders>
              <w:top w:val="nil"/>
              <w:left w:val="nil"/>
              <w:bottom w:val="nil"/>
              <w:right w:val="nil"/>
            </w:tcBorders>
            <w:shd w:val="clear" w:color="auto" w:fill="auto"/>
            <w:noWrap/>
            <w:hideMark/>
          </w:tcPr>
          <w:p w14:paraId="48B92A91" w14:textId="3C7AE945" w:rsidR="007100B3" w:rsidRPr="00F960B8" w:rsidRDefault="007100B3" w:rsidP="00F960B8">
            <w:pPr>
              <w:tabs>
                <w:tab w:val="decimal" w:pos="1480"/>
              </w:tabs>
              <w:spacing w:line="360" w:lineRule="auto"/>
              <w:rPr>
                <w:color w:val="000000"/>
              </w:rPr>
            </w:pPr>
            <w:r w:rsidRPr="00F960B8">
              <w:rPr>
                <w:color w:val="000000"/>
              </w:rPr>
              <w:t>0</w:t>
            </w:r>
          </w:p>
        </w:tc>
        <w:tc>
          <w:tcPr>
            <w:tcW w:w="2316" w:type="dxa"/>
            <w:tcBorders>
              <w:top w:val="nil"/>
              <w:left w:val="nil"/>
              <w:bottom w:val="nil"/>
              <w:right w:val="nil"/>
            </w:tcBorders>
            <w:shd w:val="clear" w:color="auto" w:fill="auto"/>
            <w:noWrap/>
          </w:tcPr>
          <w:p w14:paraId="02A2CA75" w14:textId="74F73A50" w:rsidR="007100B3" w:rsidRPr="00F960B8" w:rsidRDefault="007100B3" w:rsidP="00F960B8">
            <w:pPr>
              <w:tabs>
                <w:tab w:val="decimal" w:pos="1062"/>
              </w:tabs>
              <w:spacing w:line="360" w:lineRule="auto"/>
              <w:rPr>
                <w:color w:val="000000"/>
              </w:rPr>
            </w:pPr>
            <w:r w:rsidRPr="00F960B8">
              <w:rPr>
                <w:color w:val="000000"/>
              </w:rPr>
              <w:t>0</w:t>
            </w:r>
          </w:p>
        </w:tc>
        <w:tc>
          <w:tcPr>
            <w:tcW w:w="2010" w:type="dxa"/>
            <w:tcBorders>
              <w:top w:val="nil"/>
              <w:left w:val="nil"/>
              <w:bottom w:val="nil"/>
              <w:right w:val="nil"/>
            </w:tcBorders>
          </w:tcPr>
          <w:p w14:paraId="3A3D8C72" w14:textId="496583EF" w:rsidR="007100B3" w:rsidRPr="00F960B8" w:rsidRDefault="007100B3" w:rsidP="00F960B8">
            <w:pPr>
              <w:tabs>
                <w:tab w:val="decimal" w:pos="1062"/>
              </w:tabs>
              <w:spacing w:line="360" w:lineRule="auto"/>
              <w:rPr>
                <w:color w:val="000000"/>
              </w:rPr>
            </w:pPr>
            <w:r w:rsidRPr="00F960B8">
              <w:rPr>
                <w:color w:val="000000"/>
              </w:rPr>
              <w:t>0</w:t>
            </w:r>
          </w:p>
        </w:tc>
        <w:tc>
          <w:tcPr>
            <w:tcW w:w="1704" w:type="dxa"/>
            <w:tcBorders>
              <w:top w:val="nil"/>
              <w:left w:val="nil"/>
              <w:bottom w:val="nil"/>
              <w:right w:val="nil"/>
            </w:tcBorders>
          </w:tcPr>
          <w:p w14:paraId="6641D61E" w14:textId="77777777" w:rsidR="007100B3" w:rsidRPr="00F960B8" w:rsidRDefault="007100B3" w:rsidP="00F960B8">
            <w:pPr>
              <w:tabs>
                <w:tab w:val="decimal" w:pos="1062"/>
              </w:tabs>
              <w:spacing w:line="360" w:lineRule="auto"/>
              <w:rPr>
                <w:color w:val="000000"/>
              </w:rPr>
            </w:pPr>
          </w:p>
        </w:tc>
      </w:tr>
      <w:tr w:rsidR="007100B3" w:rsidRPr="00F960B8" w14:paraId="209B93D8" w14:textId="77777777" w:rsidTr="00F960B8">
        <w:tc>
          <w:tcPr>
            <w:tcW w:w="4730" w:type="dxa"/>
            <w:tcBorders>
              <w:top w:val="nil"/>
              <w:left w:val="nil"/>
              <w:bottom w:val="nil"/>
              <w:right w:val="nil"/>
            </w:tcBorders>
            <w:shd w:val="clear" w:color="auto" w:fill="auto"/>
            <w:noWrap/>
            <w:hideMark/>
          </w:tcPr>
          <w:p w14:paraId="165F925B" w14:textId="77777777" w:rsidR="007100B3" w:rsidRPr="00F960B8" w:rsidRDefault="007100B3" w:rsidP="00F960B8">
            <w:pPr>
              <w:spacing w:line="360" w:lineRule="auto"/>
              <w:ind w:firstLineChars="260" w:firstLine="624"/>
              <w:rPr>
                <w:color w:val="000000"/>
              </w:rPr>
            </w:pPr>
            <w:r w:rsidRPr="00F960B8">
              <w:rPr>
                <w:color w:val="000000"/>
              </w:rPr>
              <w:t>2000-2009</w:t>
            </w:r>
          </w:p>
        </w:tc>
        <w:tc>
          <w:tcPr>
            <w:tcW w:w="2758" w:type="dxa"/>
            <w:tcBorders>
              <w:top w:val="nil"/>
              <w:left w:val="nil"/>
              <w:bottom w:val="nil"/>
              <w:right w:val="nil"/>
            </w:tcBorders>
            <w:shd w:val="clear" w:color="auto" w:fill="auto"/>
            <w:noWrap/>
            <w:hideMark/>
          </w:tcPr>
          <w:p w14:paraId="6B7E65B4" w14:textId="05A2FB1D" w:rsidR="007100B3" w:rsidRPr="00F960B8" w:rsidRDefault="007100B3" w:rsidP="00F960B8">
            <w:pPr>
              <w:tabs>
                <w:tab w:val="decimal" w:pos="1480"/>
              </w:tabs>
              <w:spacing w:line="360" w:lineRule="auto"/>
              <w:rPr>
                <w:color w:val="000000"/>
              </w:rPr>
            </w:pPr>
            <w:r w:rsidRPr="00F960B8">
              <w:rPr>
                <w:color w:val="000000"/>
              </w:rPr>
              <w:t>28</w:t>
            </w:r>
          </w:p>
        </w:tc>
        <w:tc>
          <w:tcPr>
            <w:tcW w:w="2316" w:type="dxa"/>
            <w:tcBorders>
              <w:top w:val="nil"/>
              <w:left w:val="nil"/>
              <w:bottom w:val="nil"/>
              <w:right w:val="nil"/>
            </w:tcBorders>
            <w:shd w:val="clear" w:color="auto" w:fill="auto"/>
            <w:noWrap/>
          </w:tcPr>
          <w:p w14:paraId="6B109084" w14:textId="7CDC98CD" w:rsidR="007100B3" w:rsidRPr="00F960B8" w:rsidRDefault="007100B3" w:rsidP="00F960B8">
            <w:pPr>
              <w:tabs>
                <w:tab w:val="decimal" w:pos="1062"/>
              </w:tabs>
              <w:spacing w:line="360" w:lineRule="auto"/>
              <w:rPr>
                <w:color w:val="000000"/>
              </w:rPr>
            </w:pPr>
            <w:r w:rsidRPr="00F960B8">
              <w:rPr>
                <w:color w:val="000000"/>
              </w:rPr>
              <w:t>25</w:t>
            </w:r>
          </w:p>
        </w:tc>
        <w:tc>
          <w:tcPr>
            <w:tcW w:w="2010" w:type="dxa"/>
            <w:tcBorders>
              <w:top w:val="nil"/>
              <w:left w:val="nil"/>
              <w:bottom w:val="nil"/>
              <w:right w:val="nil"/>
            </w:tcBorders>
          </w:tcPr>
          <w:p w14:paraId="758507F8" w14:textId="45C982E7" w:rsidR="007100B3" w:rsidRPr="00F960B8" w:rsidRDefault="007100B3" w:rsidP="00F960B8">
            <w:pPr>
              <w:tabs>
                <w:tab w:val="decimal" w:pos="1062"/>
              </w:tabs>
              <w:spacing w:line="360" w:lineRule="auto"/>
              <w:rPr>
                <w:color w:val="000000"/>
              </w:rPr>
            </w:pPr>
            <w:r w:rsidRPr="00F960B8">
              <w:rPr>
                <w:color w:val="000000"/>
              </w:rPr>
              <w:t>3</w:t>
            </w:r>
          </w:p>
        </w:tc>
        <w:tc>
          <w:tcPr>
            <w:tcW w:w="1704" w:type="dxa"/>
            <w:tcBorders>
              <w:top w:val="nil"/>
              <w:left w:val="nil"/>
              <w:bottom w:val="nil"/>
              <w:right w:val="nil"/>
            </w:tcBorders>
          </w:tcPr>
          <w:p w14:paraId="0B8FA437" w14:textId="77777777" w:rsidR="007100B3" w:rsidRPr="00F960B8" w:rsidRDefault="007100B3" w:rsidP="00F960B8">
            <w:pPr>
              <w:tabs>
                <w:tab w:val="decimal" w:pos="1062"/>
              </w:tabs>
              <w:spacing w:line="360" w:lineRule="auto"/>
              <w:rPr>
                <w:color w:val="000000"/>
              </w:rPr>
            </w:pPr>
          </w:p>
        </w:tc>
      </w:tr>
      <w:tr w:rsidR="007100B3" w:rsidRPr="00F960B8" w14:paraId="18CE1E33" w14:textId="77777777" w:rsidTr="00F960B8">
        <w:tc>
          <w:tcPr>
            <w:tcW w:w="4730" w:type="dxa"/>
            <w:tcBorders>
              <w:top w:val="nil"/>
              <w:left w:val="nil"/>
              <w:bottom w:val="nil"/>
              <w:right w:val="nil"/>
            </w:tcBorders>
            <w:shd w:val="clear" w:color="auto" w:fill="auto"/>
            <w:noWrap/>
            <w:hideMark/>
          </w:tcPr>
          <w:p w14:paraId="0B839259" w14:textId="77777777" w:rsidR="007100B3" w:rsidRPr="00F960B8" w:rsidRDefault="007100B3" w:rsidP="00F960B8">
            <w:pPr>
              <w:spacing w:line="360" w:lineRule="auto"/>
              <w:ind w:firstLineChars="260" w:firstLine="624"/>
              <w:rPr>
                <w:color w:val="000000"/>
              </w:rPr>
            </w:pPr>
            <w:r w:rsidRPr="00F960B8">
              <w:rPr>
                <w:color w:val="000000"/>
              </w:rPr>
              <w:t>2010-2019</w:t>
            </w:r>
          </w:p>
        </w:tc>
        <w:tc>
          <w:tcPr>
            <w:tcW w:w="2758" w:type="dxa"/>
            <w:tcBorders>
              <w:top w:val="nil"/>
              <w:left w:val="nil"/>
              <w:bottom w:val="nil"/>
              <w:right w:val="nil"/>
            </w:tcBorders>
            <w:shd w:val="clear" w:color="auto" w:fill="auto"/>
            <w:noWrap/>
            <w:hideMark/>
          </w:tcPr>
          <w:p w14:paraId="519221BE" w14:textId="12D36D37" w:rsidR="007100B3" w:rsidRPr="00F960B8" w:rsidRDefault="007100B3" w:rsidP="00F960B8">
            <w:pPr>
              <w:tabs>
                <w:tab w:val="decimal" w:pos="1480"/>
              </w:tabs>
              <w:spacing w:line="360" w:lineRule="auto"/>
              <w:rPr>
                <w:color w:val="000000"/>
              </w:rPr>
            </w:pPr>
            <w:r w:rsidRPr="00F960B8">
              <w:rPr>
                <w:color w:val="000000"/>
              </w:rPr>
              <w:t>110</w:t>
            </w:r>
          </w:p>
        </w:tc>
        <w:tc>
          <w:tcPr>
            <w:tcW w:w="2316" w:type="dxa"/>
            <w:tcBorders>
              <w:top w:val="nil"/>
              <w:left w:val="nil"/>
              <w:bottom w:val="nil"/>
              <w:right w:val="nil"/>
            </w:tcBorders>
            <w:shd w:val="clear" w:color="auto" w:fill="auto"/>
            <w:noWrap/>
          </w:tcPr>
          <w:p w14:paraId="6E2565D0" w14:textId="41B14864" w:rsidR="007100B3" w:rsidRPr="00F960B8" w:rsidRDefault="007100B3" w:rsidP="00F960B8">
            <w:pPr>
              <w:tabs>
                <w:tab w:val="decimal" w:pos="1062"/>
              </w:tabs>
              <w:spacing w:line="360" w:lineRule="auto"/>
              <w:rPr>
                <w:color w:val="000000"/>
              </w:rPr>
            </w:pPr>
            <w:r w:rsidRPr="00F960B8">
              <w:rPr>
                <w:color w:val="000000"/>
              </w:rPr>
              <w:t>78</w:t>
            </w:r>
          </w:p>
        </w:tc>
        <w:tc>
          <w:tcPr>
            <w:tcW w:w="2010" w:type="dxa"/>
            <w:tcBorders>
              <w:top w:val="nil"/>
              <w:left w:val="nil"/>
              <w:bottom w:val="nil"/>
              <w:right w:val="nil"/>
            </w:tcBorders>
          </w:tcPr>
          <w:p w14:paraId="2BBFDD11" w14:textId="41BB46E9" w:rsidR="007100B3" w:rsidRPr="00F960B8" w:rsidRDefault="007100B3" w:rsidP="00F960B8">
            <w:pPr>
              <w:tabs>
                <w:tab w:val="decimal" w:pos="1062"/>
              </w:tabs>
              <w:spacing w:line="360" w:lineRule="auto"/>
              <w:rPr>
                <w:color w:val="000000"/>
              </w:rPr>
            </w:pPr>
            <w:r w:rsidRPr="00F960B8">
              <w:rPr>
                <w:color w:val="000000"/>
              </w:rPr>
              <w:t>32</w:t>
            </w:r>
          </w:p>
        </w:tc>
        <w:tc>
          <w:tcPr>
            <w:tcW w:w="1704" w:type="dxa"/>
            <w:tcBorders>
              <w:top w:val="nil"/>
              <w:left w:val="nil"/>
              <w:bottom w:val="nil"/>
              <w:right w:val="nil"/>
            </w:tcBorders>
          </w:tcPr>
          <w:p w14:paraId="7A909C6E" w14:textId="77777777" w:rsidR="007100B3" w:rsidRPr="00F960B8" w:rsidRDefault="007100B3" w:rsidP="00F960B8">
            <w:pPr>
              <w:tabs>
                <w:tab w:val="decimal" w:pos="1062"/>
              </w:tabs>
              <w:spacing w:line="360" w:lineRule="auto"/>
              <w:rPr>
                <w:color w:val="000000"/>
              </w:rPr>
            </w:pPr>
          </w:p>
        </w:tc>
      </w:tr>
      <w:tr w:rsidR="007100B3" w:rsidRPr="00F960B8" w14:paraId="1D8176DD" w14:textId="77777777" w:rsidTr="00F960B8">
        <w:tc>
          <w:tcPr>
            <w:tcW w:w="4730" w:type="dxa"/>
            <w:tcBorders>
              <w:top w:val="nil"/>
              <w:left w:val="nil"/>
              <w:bottom w:val="nil"/>
              <w:right w:val="nil"/>
            </w:tcBorders>
            <w:shd w:val="clear" w:color="auto" w:fill="auto"/>
            <w:noWrap/>
            <w:hideMark/>
          </w:tcPr>
          <w:p w14:paraId="05B9D491" w14:textId="55E14B40" w:rsidR="007100B3" w:rsidRPr="00F960B8" w:rsidRDefault="007100B3" w:rsidP="00F960B8">
            <w:pPr>
              <w:spacing w:line="360" w:lineRule="auto"/>
              <w:rPr>
                <w:b/>
                <w:bCs/>
                <w:color w:val="000000"/>
              </w:rPr>
            </w:pPr>
            <w:r w:rsidRPr="00F960B8">
              <w:rPr>
                <w:b/>
                <w:bCs/>
                <w:color w:val="000000"/>
              </w:rPr>
              <w:t xml:space="preserve">Number of cases by </w:t>
            </w:r>
            <w:r w:rsidR="00AD033A" w:rsidRPr="00F960B8">
              <w:rPr>
                <w:b/>
                <w:bCs/>
                <w:color w:val="000000"/>
              </w:rPr>
              <w:t>jurisdiction</w:t>
            </w:r>
            <w:r w:rsidRPr="00F960B8">
              <w:rPr>
                <w:b/>
                <w:bCs/>
                <w:color w:val="000000"/>
              </w:rPr>
              <w:t xml:space="preserve"> </w:t>
            </w:r>
            <w:r w:rsidRPr="00F960B8">
              <w:rPr>
                <w:color w:val="000000"/>
              </w:rPr>
              <w:t>(1990-2019)</w:t>
            </w:r>
          </w:p>
        </w:tc>
        <w:tc>
          <w:tcPr>
            <w:tcW w:w="2758" w:type="dxa"/>
            <w:tcBorders>
              <w:top w:val="nil"/>
              <w:left w:val="nil"/>
              <w:bottom w:val="nil"/>
              <w:right w:val="nil"/>
            </w:tcBorders>
            <w:shd w:val="clear" w:color="auto" w:fill="auto"/>
            <w:noWrap/>
          </w:tcPr>
          <w:p w14:paraId="451C6F9B" w14:textId="77777777" w:rsidR="007100B3" w:rsidRPr="00F960B8" w:rsidRDefault="007100B3" w:rsidP="00F960B8">
            <w:pPr>
              <w:tabs>
                <w:tab w:val="decimal" w:pos="1480"/>
              </w:tabs>
              <w:spacing w:line="360" w:lineRule="auto"/>
              <w:rPr>
                <w:b/>
                <w:bCs/>
                <w:color w:val="000000"/>
              </w:rPr>
            </w:pPr>
          </w:p>
        </w:tc>
        <w:tc>
          <w:tcPr>
            <w:tcW w:w="2316" w:type="dxa"/>
            <w:tcBorders>
              <w:top w:val="nil"/>
              <w:left w:val="nil"/>
              <w:bottom w:val="nil"/>
              <w:right w:val="nil"/>
            </w:tcBorders>
            <w:shd w:val="clear" w:color="auto" w:fill="auto"/>
            <w:noWrap/>
          </w:tcPr>
          <w:p w14:paraId="6EF2583C" w14:textId="77777777" w:rsidR="007100B3" w:rsidRPr="00F960B8" w:rsidRDefault="007100B3" w:rsidP="00F960B8">
            <w:pPr>
              <w:tabs>
                <w:tab w:val="decimal" w:pos="1062"/>
              </w:tabs>
              <w:spacing w:line="360" w:lineRule="auto"/>
            </w:pPr>
          </w:p>
        </w:tc>
        <w:tc>
          <w:tcPr>
            <w:tcW w:w="2010" w:type="dxa"/>
            <w:tcBorders>
              <w:top w:val="nil"/>
              <w:left w:val="nil"/>
              <w:bottom w:val="nil"/>
              <w:right w:val="nil"/>
            </w:tcBorders>
          </w:tcPr>
          <w:p w14:paraId="622FE836" w14:textId="77777777" w:rsidR="007100B3" w:rsidRPr="00F960B8" w:rsidRDefault="007100B3" w:rsidP="00F960B8">
            <w:pPr>
              <w:tabs>
                <w:tab w:val="decimal" w:pos="1062"/>
              </w:tabs>
              <w:spacing w:line="360" w:lineRule="auto"/>
            </w:pPr>
          </w:p>
        </w:tc>
        <w:tc>
          <w:tcPr>
            <w:tcW w:w="1704" w:type="dxa"/>
            <w:tcBorders>
              <w:top w:val="nil"/>
              <w:left w:val="nil"/>
              <w:bottom w:val="nil"/>
              <w:right w:val="nil"/>
            </w:tcBorders>
          </w:tcPr>
          <w:p w14:paraId="62EC478A" w14:textId="77777777" w:rsidR="007100B3" w:rsidRPr="00F960B8" w:rsidRDefault="007100B3" w:rsidP="00F960B8">
            <w:pPr>
              <w:tabs>
                <w:tab w:val="decimal" w:pos="1062"/>
              </w:tabs>
              <w:spacing w:line="360" w:lineRule="auto"/>
            </w:pPr>
          </w:p>
        </w:tc>
      </w:tr>
      <w:tr w:rsidR="007100B3" w:rsidRPr="00F960B8" w14:paraId="740EFC8B" w14:textId="77777777" w:rsidTr="00F960B8">
        <w:tc>
          <w:tcPr>
            <w:tcW w:w="4730" w:type="dxa"/>
            <w:tcBorders>
              <w:top w:val="nil"/>
              <w:left w:val="nil"/>
              <w:bottom w:val="nil"/>
              <w:right w:val="nil"/>
            </w:tcBorders>
            <w:shd w:val="clear" w:color="auto" w:fill="auto"/>
            <w:noWrap/>
            <w:hideMark/>
          </w:tcPr>
          <w:p w14:paraId="0AB9CE2F" w14:textId="77777777" w:rsidR="007100B3" w:rsidRPr="00F960B8" w:rsidRDefault="007100B3" w:rsidP="00F960B8">
            <w:pPr>
              <w:spacing w:line="360" w:lineRule="auto"/>
              <w:ind w:firstLineChars="260" w:firstLine="624"/>
              <w:rPr>
                <w:color w:val="000000"/>
              </w:rPr>
            </w:pPr>
            <w:r w:rsidRPr="00F960B8">
              <w:rPr>
                <w:color w:val="000000"/>
              </w:rPr>
              <w:t>Mean</w:t>
            </w:r>
          </w:p>
        </w:tc>
        <w:tc>
          <w:tcPr>
            <w:tcW w:w="2758" w:type="dxa"/>
            <w:tcBorders>
              <w:top w:val="nil"/>
              <w:left w:val="nil"/>
              <w:bottom w:val="nil"/>
              <w:right w:val="nil"/>
            </w:tcBorders>
            <w:shd w:val="clear" w:color="auto" w:fill="auto"/>
            <w:noWrap/>
          </w:tcPr>
          <w:p w14:paraId="1527A902" w14:textId="3DD6C659" w:rsidR="007100B3" w:rsidRPr="00F960B8" w:rsidRDefault="007100B3" w:rsidP="00F960B8">
            <w:pPr>
              <w:tabs>
                <w:tab w:val="decimal" w:pos="1480"/>
              </w:tabs>
              <w:spacing w:line="360" w:lineRule="auto"/>
              <w:rPr>
                <w:color w:val="000000"/>
              </w:rPr>
            </w:pPr>
            <w:r w:rsidRPr="00F960B8">
              <w:rPr>
                <w:color w:val="000000"/>
              </w:rPr>
              <w:t>9.9</w:t>
            </w:r>
          </w:p>
        </w:tc>
        <w:tc>
          <w:tcPr>
            <w:tcW w:w="2316" w:type="dxa"/>
            <w:tcBorders>
              <w:top w:val="nil"/>
              <w:left w:val="nil"/>
              <w:bottom w:val="nil"/>
              <w:right w:val="nil"/>
            </w:tcBorders>
            <w:shd w:val="clear" w:color="auto" w:fill="auto"/>
            <w:noWrap/>
          </w:tcPr>
          <w:p w14:paraId="2D8B7397" w14:textId="2CA08584" w:rsidR="007100B3" w:rsidRPr="00F960B8" w:rsidRDefault="007100B3" w:rsidP="00F960B8">
            <w:pPr>
              <w:tabs>
                <w:tab w:val="decimal" w:pos="1062"/>
              </w:tabs>
              <w:spacing w:line="360" w:lineRule="auto"/>
              <w:rPr>
                <w:color w:val="000000"/>
              </w:rPr>
            </w:pPr>
            <w:r w:rsidRPr="00F960B8">
              <w:rPr>
                <w:color w:val="000000"/>
              </w:rPr>
              <w:t>14.3</w:t>
            </w:r>
          </w:p>
        </w:tc>
        <w:tc>
          <w:tcPr>
            <w:tcW w:w="2010" w:type="dxa"/>
            <w:tcBorders>
              <w:top w:val="nil"/>
              <w:left w:val="nil"/>
              <w:bottom w:val="nil"/>
              <w:right w:val="nil"/>
            </w:tcBorders>
          </w:tcPr>
          <w:p w14:paraId="59DE34BB" w14:textId="103A2011" w:rsidR="007100B3" w:rsidRPr="00F960B8" w:rsidRDefault="007100B3" w:rsidP="00F960B8">
            <w:pPr>
              <w:tabs>
                <w:tab w:val="decimal" w:pos="1062"/>
              </w:tabs>
              <w:spacing w:line="360" w:lineRule="auto"/>
              <w:rPr>
                <w:color w:val="000000"/>
              </w:rPr>
            </w:pPr>
            <w:r w:rsidRPr="00F960B8">
              <w:rPr>
                <w:color w:val="000000"/>
              </w:rPr>
              <w:t>3.7</w:t>
            </w:r>
          </w:p>
        </w:tc>
        <w:tc>
          <w:tcPr>
            <w:tcW w:w="1704" w:type="dxa"/>
            <w:tcBorders>
              <w:top w:val="nil"/>
              <w:left w:val="nil"/>
              <w:bottom w:val="nil"/>
              <w:right w:val="nil"/>
            </w:tcBorders>
          </w:tcPr>
          <w:p w14:paraId="3C99D1B6" w14:textId="77777777" w:rsidR="007100B3" w:rsidRPr="00F960B8" w:rsidRDefault="007100B3" w:rsidP="00F960B8">
            <w:pPr>
              <w:tabs>
                <w:tab w:val="decimal" w:pos="1062"/>
              </w:tabs>
              <w:spacing w:line="360" w:lineRule="auto"/>
              <w:rPr>
                <w:color w:val="000000"/>
              </w:rPr>
            </w:pPr>
          </w:p>
        </w:tc>
      </w:tr>
      <w:tr w:rsidR="007100B3" w:rsidRPr="00F960B8" w14:paraId="724821EA" w14:textId="77777777" w:rsidTr="00F960B8">
        <w:tc>
          <w:tcPr>
            <w:tcW w:w="4730" w:type="dxa"/>
            <w:tcBorders>
              <w:top w:val="nil"/>
              <w:left w:val="nil"/>
              <w:bottom w:val="nil"/>
              <w:right w:val="nil"/>
            </w:tcBorders>
            <w:shd w:val="clear" w:color="auto" w:fill="auto"/>
            <w:noWrap/>
            <w:hideMark/>
          </w:tcPr>
          <w:p w14:paraId="7DFB60FF" w14:textId="77777777" w:rsidR="007100B3" w:rsidRPr="00F960B8" w:rsidRDefault="007100B3" w:rsidP="00F960B8">
            <w:pPr>
              <w:spacing w:line="360" w:lineRule="auto"/>
              <w:ind w:firstLineChars="260" w:firstLine="624"/>
              <w:rPr>
                <w:color w:val="000000"/>
              </w:rPr>
            </w:pPr>
            <w:r w:rsidRPr="00F960B8">
              <w:rPr>
                <w:color w:val="000000"/>
              </w:rPr>
              <w:t>Standard deviation</w:t>
            </w:r>
          </w:p>
        </w:tc>
        <w:tc>
          <w:tcPr>
            <w:tcW w:w="2758" w:type="dxa"/>
            <w:tcBorders>
              <w:top w:val="nil"/>
              <w:left w:val="nil"/>
              <w:bottom w:val="nil"/>
              <w:right w:val="nil"/>
            </w:tcBorders>
            <w:shd w:val="clear" w:color="auto" w:fill="auto"/>
            <w:noWrap/>
          </w:tcPr>
          <w:p w14:paraId="2FC50442" w14:textId="73841181" w:rsidR="007100B3" w:rsidRPr="00F960B8" w:rsidRDefault="007100B3" w:rsidP="00F960B8">
            <w:pPr>
              <w:tabs>
                <w:tab w:val="decimal" w:pos="1480"/>
              </w:tabs>
              <w:spacing w:line="360" w:lineRule="auto"/>
              <w:rPr>
                <w:color w:val="000000"/>
              </w:rPr>
            </w:pPr>
            <w:r w:rsidRPr="00F960B8">
              <w:rPr>
                <w:color w:val="000000"/>
              </w:rPr>
              <w:t>20.1</w:t>
            </w:r>
          </w:p>
        </w:tc>
        <w:tc>
          <w:tcPr>
            <w:tcW w:w="2316" w:type="dxa"/>
            <w:tcBorders>
              <w:top w:val="nil"/>
              <w:left w:val="nil"/>
              <w:bottom w:val="nil"/>
              <w:right w:val="nil"/>
            </w:tcBorders>
            <w:shd w:val="clear" w:color="auto" w:fill="auto"/>
            <w:noWrap/>
          </w:tcPr>
          <w:p w14:paraId="344127ED" w14:textId="252ED1FA" w:rsidR="007100B3" w:rsidRPr="00F960B8" w:rsidRDefault="007100B3" w:rsidP="00F960B8">
            <w:pPr>
              <w:tabs>
                <w:tab w:val="decimal" w:pos="1062"/>
              </w:tabs>
              <w:spacing w:line="360" w:lineRule="auto"/>
              <w:rPr>
                <w:color w:val="000000"/>
              </w:rPr>
            </w:pPr>
            <w:r w:rsidRPr="00F960B8">
              <w:rPr>
                <w:color w:val="000000"/>
              </w:rPr>
              <w:t>25.3</w:t>
            </w:r>
          </w:p>
        </w:tc>
        <w:tc>
          <w:tcPr>
            <w:tcW w:w="2010" w:type="dxa"/>
            <w:tcBorders>
              <w:top w:val="nil"/>
              <w:left w:val="nil"/>
              <w:bottom w:val="nil"/>
              <w:right w:val="nil"/>
            </w:tcBorders>
          </w:tcPr>
          <w:p w14:paraId="42A581AB" w14:textId="20ECE127" w:rsidR="007100B3" w:rsidRPr="00F960B8" w:rsidRDefault="007100B3" w:rsidP="00F960B8">
            <w:pPr>
              <w:tabs>
                <w:tab w:val="decimal" w:pos="1062"/>
              </w:tabs>
              <w:spacing w:line="360" w:lineRule="auto"/>
              <w:rPr>
                <w:color w:val="000000"/>
              </w:rPr>
            </w:pPr>
            <w:r w:rsidRPr="00F960B8">
              <w:rPr>
                <w:color w:val="000000"/>
              </w:rPr>
              <w:t>4.7</w:t>
            </w:r>
          </w:p>
        </w:tc>
        <w:tc>
          <w:tcPr>
            <w:tcW w:w="1704" w:type="dxa"/>
            <w:tcBorders>
              <w:top w:val="nil"/>
              <w:left w:val="nil"/>
              <w:bottom w:val="nil"/>
              <w:right w:val="nil"/>
            </w:tcBorders>
          </w:tcPr>
          <w:p w14:paraId="626C5D67" w14:textId="77777777" w:rsidR="007100B3" w:rsidRPr="00F960B8" w:rsidRDefault="007100B3" w:rsidP="00F960B8">
            <w:pPr>
              <w:tabs>
                <w:tab w:val="decimal" w:pos="1062"/>
              </w:tabs>
              <w:spacing w:line="360" w:lineRule="auto"/>
              <w:rPr>
                <w:color w:val="000000"/>
              </w:rPr>
            </w:pPr>
          </w:p>
        </w:tc>
      </w:tr>
      <w:tr w:rsidR="007100B3" w:rsidRPr="00F960B8" w14:paraId="7A8E2857" w14:textId="77777777" w:rsidTr="00F960B8">
        <w:tc>
          <w:tcPr>
            <w:tcW w:w="4730" w:type="dxa"/>
            <w:tcBorders>
              <w:top w:val="nil"/>
              <w:left w:val="nil"/>
              <w:bottom w:val="nil"/>
              <w:right w:val="nil"/>
            </w:tcBorders>
            <w:shd w:val="clear" w:color="auto" w:fill="auto"/>
            <w:noWrap/>
            <w:hideMark/>
          </w:tcPr>
          <w:p w14:paraId="544A049E" w14:textId="77777777" w:rsidR="007100B3" w:rsidRPr="00F960B8" w:rsidRDefault="007100B3" w:rsidP="00F960B8">
            <w:pPr>
              <w:spacing w:line="360" w:lineRule="auto"/>
              <w:ind w:firstLineChars="260" w:firstLine="624"/>
              <w:rPr>
                <w:color w:val="000000"/>
              </w:rPr>
            </w:pPr>
            <w:r w:rsidRPr="00F960B8">
              <w:rPr>
                <w:color w:val="000000"/>
              </w:rPr>
              <w:t>Median</w:t>
            </w:r>
          </w:p>
        </w:tc>
        <w:tc>
          <w:tcPr>
            <w:tcW w:w="2758" w:type="dxa"/>
            <w:tcBorders>
              <w:top w:val="nil"/>
              <w:left w:val="nil"/>
              <w:bottom w:val="nil"/>
              <w:right w:val="nil"/>
            </w:tcBorders>
            <w:shd w:val="clear" w:color="auto" w:fill="auto"/>
            <w:noWrap/>
          </w:tcPr>
          <w:p w14:paraId="36A00FEB" w14:textId="1CF2593B" w:rsidR="007100B3" w:rsidRPr="00F960B8" w:rsidRDefault="007100B3" w:rsidP="00F960B8">
            <w:pPr>
              <w:tabs>
                <w:tab w:val="decimal" w:pos="1480"/>
              </w:tabs>
              <w:spacing w:line="360" w:lineRule="auto"/>
              <w:rPr>
                <w:color w:val="000000"/>
              </w:rPr>
            </w:pPr>
            <w:r w:rsidRPr="00F960B8">
              <w:rPr>
                <w:color w:val="000000"/>
              </w:rPr>
              <w:t>2</w:t>
            </w:r>
          </w:p>
        </w:tc>
        <w:tc>
          <w:tcPr>
            <w:tcW w:w="2316" w:type="dxa"/>
            <w:tcBorders>
              <w:top w:val="nil"/>
              <w:left w:val="nil"/>
              <w:bottom w:val="nil"/>
              <w:right w:val="nil"/>
            </w:tcBorders>
            <w:shd w:val="clear" w:color="auto" w:fill="auto"/>
            <w:noWrap/>
          </w:tcPr>
          <w:p w14:paraId="358F8124" w14:textId="34BA79F1" w:rsidR="007100B3" w:rsidRPr="00F960B8" w:rsidRDefault="007100B3" w:rsidP="00F960B8">
            <w:pPr>
              <w:tabs>
                <w:tab w:val="decimal" w:pos="1062"/>
              </w:tabs>
              <w:spacing w:line="360" w:lineRule="auto"/>
              <w:rPr>
                <w:color w:val="000000"/>
              </w:rPr>
            </w:pPr>
            <w:r w:rsidRPr="00F960B8">
              <w:rPr>
                <w:color w:val="000000"/>
              </w:rPr>
              <w:t>2</w:t>
            </w:r>
          </w:p>
        </w:tc>
        <w:tc>
          <w:tcPr>
            <w:tcW w:w="2010" w:type="dxa"/>
            <w:tcBorders>
              <w:top w:val="nil"/>
              <w:left w:val="nil"/>
              <w:bottom w:val="nil"/>
              <w:right w:val="nil"/>
            </w:tcBorders>
          </w:tcPr>
          <w:p w14:paraId="5D5A0297" w14:textId="18FA2DC1" w:rsidR="007100B3" w:rsidRPr="00F960B8" w:rsidRDefault="007100B3" w:rsidP="00F960B8">
            <w:pPr>
              <w:tabs>
                <w:tab w:val="decimal" w:pos="1062"/>
              </w:tabs>
              <w:spacing w:line="360" w:lineRule="auto"/>
              <w:rPr>
                <w:color w:val="000000"/>
              </w:rPr>
            </w:pPr>
            <w:r w:rsidRPr="00F960B8">
              <w:rPr>
                <w:color w:val="000000"/>
              </w:rPr>
              <w:t>2</w:t>
            </w:r>
          </w:p>
        </w:tc>
        <w:tc>
          <w:tcPr>
            <w:tcW w:w="1704" w:type="dxa"/>
            <w:tcBorders>
              <w:top w:val="nil"/>
              <w:left w:val="nil"/>
              <w:bottom w:val="nil"/>
              <w:right w:val="nil"/>
            </w:tcBorders>
          </w:tcPr>
          <w:p w14:paraId="612243C1" w14:textId="77777777" w:rsidR="007100B3" w:rsidRPr="00F960B8" w:rsidRDefault="007100B3" w:rsidP="00F960B8">
            <w:pPr>
              <w:tabs>
                <w:tab w:val="decimal" w:pos="1062"/>
              </w:tabs>
              <w:spacing w:line="360" w:lineRule="auto"/>
              <w:rPr>
                <w:color w:val="000000"/>
              </w:rPr>
            </w:pPr>
          </w:p>
        </w:tc>
      </w:tr>
      <w:tr w:rsidR="007100B3" w:rsidRPr="00F960B8" w14:paraId="3791E24A" w14:textId="77777777" w:rsidTr="00F960B8">
        <w:tc>
          <w:tcPr>
            <w:tcW w:w="4730" w:type="dxa"/>
            <w:tcBorders>
              <w:top w:val="nil"/>
              <w:left w:val="nil"/>
              <w:bottom w:val="nil"/>
              <w:right w:val="nil"/>
            </w:tcBorders>
            <w:shd w:val="clear" w:color="auto" w:fill="auto"/>
            <w:noWrap/>
            <w:hideMark/>
          </w:tcPr>
          <w:p w14:paraId="3AAE7AA8" w14:textId="77777777" w:rsidR="007100B3" w:rsidRPr="00F960B8" w:rsidRDefault="007100B3" w:rsidP="00F960B8">
            <w:pPr>
              <w:spacing w:line="360" w:lineRule="auto"/>
              <w:ind w:firstLineChars="260" w:firstLine="624"/>
              <w:rPr>
                <w:color w:val="000000"/>
              </w:rPr>
            </w:pPr>
            <w:r w:rsidRPr="00F960B8">
              <w:rPr>
                <w:color w:val="000000"/>
              </w:rPr>
              <w:t>Minimum</w:t>
            </w:r>
          </w:p>
        </w:tc>
        <w:tc>
          <w:tcPr>
            <w:tcW w:w="2758" w:type="dxa"/>
            <w:tcBorders>
              <w:top w:val="nil"/>
              <w:left w:val="nil"/>
              <w:bottom w:val="nil"/>
              <w:right w:val="nil"/>
            </w:tcBorders>
            <w:shd w:val="clear" w:color="auto" w:fill="auto"/>
            <w:noWrap/>
          </w:tcPr>
          <w:p w14:paraId="52A44BFB" w14:textId="0A1DC38C" w:rsidR="007100B3" w:rsidRPr="00F960B8" w:rsidRDefault="007100B3" w:rsidP="00F960B8">
            <w:pPr>
              <w:tabs>
                <w:tab w:val="decimal" w:pos="1480"/>
              </w:tabs>
              <w:spacing w:line="360" w:lineRule="auto"/>
              <w:rPr>
                <w:color w:val="000000"/>
              </w:rPr>
            </w:pPr>
            <w:r w:rsidRPr="00F960B8">
              <w:rPr>
                <w:color w:val="000000"/>
              </w:rPr>
              <w:t>1</w:t>
            </w:r>
          </w:p>
        </w:tc>
        <w:tc>
          <w:tcPr>
            <w:tcW w:w="2316" w:type="dxa"/>
            <w:tcBorders>
              <w:top w:val="nil"/>
              <w:left w:val="nil"/>
              <w:bottom w:val="nil"/>
              <w:right w:val="nil"/>
            </w:tcBorders>
            <w:shd w:val="clear" w:color="auto" w:fill="auto"/>
            <w:noWrap/>
          </w:tcPr>
          <w:p w14:paraId="0403CAEE" w14:textId="5E92F97F" w:rsidR="007100B3" w:rsidRPr="00F960B8" w:rsidRDefault="007100B3" w:rsidP="00F960B8">
            <w:pPr>
              <w:tabs>
                <w:tab w:val="decimal" w:pos="1062"/>
              </w:tabs>
              <w:spacing w:line="360" w:lineRule="auto"/>
              <w:rPr>
                <w:color w:val="000000"/>
              </w:rPr>
            </w:pPr>
            <w:r w:rsidRPr="00F960B8">
              <w:rPr>
                <w:color w:val="000000"/>
              </w:rPr>
              <w:t>1</w:t>
            </w:r>
          </w:p>
        </w:tc>
        <w:tc>
          <w:tcPr>
            <w:tcW w:w="2010" w:type="dxa"/>
            <w:tcBorders>
              <w:top w:val="nil"/>
              <w:left w:val="nil"/>
              <w:bottom w:val="nil"/>
              <w:right w:val="nil"/>
            </w:tcBorders>
          </w:tcPr>
          <w:p w14:paraId="208CD1C6" w14:textId="3F4A19BF" w:rsidR="007100B3" w:rsidRPr="00F960B8" w:rsidRDefault="007100B3" w:rsidP="00F960B8">
            <w:pPr>
              <w:tabs>
                <w:tab w:val="decimal" w:pos="1062"/>
              </w:tabs>
              <w:spacing w:line="360" w:lineRule="auto"/>
              <w:rPr>
                <w:color w:val="000000"/>
              </w:rPr>
            </w:pPr>
            <w:r w:rsidRPr="00F960B8">
              <w:rPr>
                <w:color w:val="000000"/>
              </w:rPr>
              <w:t>1</w:t>
            </w:r>
          </w:p>
        </w:tc>
        <w:tc>
          <w:tcPr>
            <w:tcW w:w="1704" w:type="dxa"/>
            <w:tcBorders>
              <w:top w:val="nil"/>
              <w:left w:val="nil"/>
              <w:bottom w:val="nil"/>
              <w:right w:val="nil"/>
            </w:tcBorders>
          </w:tcPr>
          <w:p w14:paraId="55584D14" w14:textId="77777777" w:rsidR="007100B3" w:rsidRPr="00F960B8" w:rsidRDefault="007100B3" w:rsidP="00F960B8">
            <w:pPr>
              <w:tabs>
                <w:tab w:val="decimal" w:pos="1062"/>
              </w:tabs>
              <w:spacing w:line="360" w:lineRule="auto"/>
              <w:rPr>
                <w:color w:val="000000"/>
              </w:rPr>
            </w:pPr>
          </w:p>
        </w:tc>
      </w:tr>
      <w:tr w:rsidR="007100B3" w:rsidRPr="00F960B8" w14:paraId="0AE25858" w14:textId="77777777" w:rsidTr="00F960B8">
        <w:tc>
          <w:tcPr>
            <w:tcW w:w="4730" w:type="dxa"/>
            <w:tcBorders>
              <w:top w:val="nil"/>
              <w:left w:val="nil"/>
              <w:right w:val="nil"/>
            </w:tcBorders>
            <w:shd w:val="clear" w:color="auto" w:fill="auto"/>
            <w:noWrap/>
            <w:hideMark/>
          </w:tcPr>
          <w:p w14:paraId="72A30B8B" w14:textId="77777777" w:rsidR="007100B3" w:rsidRPr="00F960B8" w:rsidRDefault="007100B3" w:rsidP="00F960B8">
            <w:pPr>
              <w:spacing w:line="360" w:lineRule="auto"/>
              <w:ind w:firstLineChars="260" w:firstLine="624"/>
              <w:rPr>
                <w:color w:val="000000"/>
              </w:rPr>
            </w:pPr>
            <w:r w:rsidRPr="00F960B8">
              <w:rPr>
                <w:color w:val="000000"/>
              </w:rPr>
              <w:t>Maximum</w:t>
            </w:r>
          </w:p>
        </w:tc>
        <w:tc>
          <w:tcPr>
            <w:tcW w:w="2758" w:type="dxa"/>
            <w:tcBorders>
              <w:top w:val="nil"/>
              <w:left w:val="nil"/>
              <w:right w:val="nil"/>
            </w:tcBorders>
            <w:shd w:val="clear" w:color="auto" w:fill="auto"/>
            <w:noWrap/>
          </w:tcPr>
          <w:p w14:paraId="73FECB74" w14:textId="2CB6A4A4" w:rsidR="007100B3" w:rsidRPr="00F960B8" w:rsidRDefault="007100B3" w:rsidP="00F960B8">
            <w:pPr>
              <w:tabs>
                <w:tab w:val="decimal" w:pos="1480"/>
              </w:tabs>
              <w:spacing w:line="360" w:lineRule="auto"/>
              <w:rPr>
                <w:color w:val="000000"/>
              </w:rPr>
            </w:pPr>
            <w:r w:rsidRPr="00F960B8">
              <w:rPr>
                <w:color w:val="000000"/>
              </w:rPr>
              <w:t>96</w:t>
            </w:r>
          </w:p>
        </w:tc>
        <w:tc>
          <w:tcPr>
            <w:tcW w:w="2316" w:type="dxa"/>
            <w:tcBorders>
              <w:top w:val="nil"/>
              <w:left w:val="nil"/>
              <w:right w:val="nil"/>
            </w:tcBorders>
            <w:shd w:val="clear" w:color="auto" w:fill="auto"/>
            <w:noWrap/>
          </w:tcPr>
          <w:p w14:paraId="10D01A01" w14:textId="53A08014" w:rsidR="007100B3" w:rsidRPr="00F960B8" w:rsidRDefault="007100B3" w:rsidP="00F960B8">
            <w:pPr>
              <w:tabs>
                <w:tab w:val="decimal" w:pos="1062"/>
              </w:tabs>
              <w:spacing w:line="360" w:lineRule="auto"/>
              <w:rPr>
                <w:color w:val="000000"/>
              </w:rPr>
            </w:pPr>
            <w:r w:rsidRPr="00F960B8">
              <w:rPr>
                <w:color w:val="000000"/>
              </w:rPr>
              <w:t>96</w:t>
            </w:r>
          </w:p>
        </w:tc>
        <w:tc>
          <w:tcPr>
            <w:tcW w:w="2010" w:type="dxa"/>
            <w:tcBorders>
              <w:top w:val="nil"/>
              <w:left w:val="nil"/>
              <w:right w:val="nil"/>
            </w:tcBorders>
          </w:tcPr>
          <w:p w14:paraId="1A824B64" w14:textId="72002D4E" w:rsidR="007100B3" w:rsidRPr="00F960B8" w:rsidRDefault="007100B3" w:rsidP="00F960B8">
            <w:pPr>
              <w:tabs>
                <w:tab w:val="decimal" w:pos="1062"/>
              </w:tabs>
              <w:spacing w:line="360" w:lineRule="auto"/>
              <w:rPr>
                <w:color w:val="000000"/>
              </w:rPr>
            </w:pPr>
            <w:r w:rsidRPr="00F960B8">
              <w:rPr>
                <w:color w:val="000000"/>
              </w:rPr>
              <w:t>18</w:t>
            </w:r>
          </w:p>
        </w:tc>
        <w:tc>
          <w:tcPr>
            <w:tcW w:w="1704" w:type="dxa"/>
            <w:tcBorders>
              <w:top w:val="nil"/>
              <w:left w:val="nil"/>
              <w:right w:val="nil"/>
            </w:tcBorders>
          </w:tcPr>
          <w:p w14:paraId="1393098E" w14:textId="77777777" w:rsidR="007100B3" w:rsidRPr="00F960B8" w:rsidRDefault="007100B3" w:rsidP="00F960B8">
            <w:pPr>
              <w:tabs>
                <w:tab w:val="decimal" w:pos="1062"/>
              </w:tabs>
              <w:spacing w:line="360" w:lineRule="auto"/>
              <w:rPr>
                <w:color w:val="000000"/>
              </w:rPr>
            </w:pPr>
          </w:p>
        </w:tc>
      </w:tr>
      <w:tr w:rsidR="007100B3" w:rsidRPr="00F960B8" w14:paraId="5CCB5D71" w14:textId="77777777" w:rsidTr="00F960B8">
        <w:tc>
          <w:tcPr>
            <w:tcW w:w="4730" w:type="dxa"/>
            <w:tcBorders>
              <w:top w:val="nil"/>
              <w:left w:val="nil"/>
              <w:bottom w:val="nil"/>
              <w:right w:val="nil"/>
            </w:tcBorders>
            <w:shd w:val="clear" w:color="auto" w:fill="auto"/>
            <w:noWrap/>
            <w:hideMark/>
          </w:tcPr>
          <w:p w14:paraId="2820F98C" w14:textId="77777777" w:rsidR="007100B3" w:rsidRPr="00F960B8" w:rsidRDefault="007100B3" w:rsidP="00F960B8">
            <w:pPr>
              <w:spacing w:line="360" w:lineRule="auto"/>
              <w:rPr>
                <w:b/>
                <w:bCs/>
                <w:color w:val="000000"/>
              </w:rPr>
            </w:pPr>
            <w:r w:rsidRPr="00F960B8">
              <w:rPr>
                <w:b/>
                <w:bCs/>
              </w:rPr>
              <w:t>Court cases by type</w:t>
            </w:r>
            <w:r w:rsidRPr="00F960B8">
              <w:rPr>
                <w:b/>
                <w:bCs/>
                <w:color w:val="000000"/>
              </w:rPr>
              <w:t xml:space="preserve"> </w:t>
            </w:r>
            <w:r w:rsidRPr="00F960B8">
              <w:rPr>
                <w:color w:val="000000"/>
              </w:rPr>
              <w:t>(1990-2019)</w:t>
            </w:r>
          </w:p>
        </w:tc>
        <w:tc>
          <w:tcPr>
            <w:tcW w:w="2758" w:type="dxa"/>
            <w:tcBorders>
              <w:top w:val="nil"/>
              <w:left w:val="nil"/>
              <w:bottom w:val="nil"/>
              <w:right w:val="nil"/>
            </w:tcBorders>
            <w:shd w:val="clear" w:color="auto" w:fill="auto"/>
            <w:noWrap/>
          </w:tcPr>
          <w:p w14:paraId="141238C5" w14:textId="77777777" w:rsidR="007100B3" w:rsidRPr="00F960B8" w:rsidRDefault="007100B3" w:rsidP="00F960B8">
            <w:pPr>
              <w:tabs>
                <w:tab w:val="decimal" w:pos="1480"/>
              </w:tabs>
              <w:spacing w:line="360" w:lineRule="auto"/>
              <w:rPr>
                <w:b/>
                <w:bCs/>
                <w:color w:val="000000"/>
              </w:rPr>
            </w:pPr>
          </w:p>
        </w:tc>
        <w:tc>
          <w:tcPr>
            <w:tcW w:w="2316" w:type="dxa"/>
            <w:tcBorders>
              <w:top w:val="nil"/>
              <w:left w:val="nil"/>
              <w:bottom w:val="nil"/>
              <w:right w:val="nil"/>
            </w:tcBorders>
            <w:shd w:val="clear" w:color="auto" w:fill="auto"/>
            <w:noWrap/>
          </w:tcPr>
          <w:p w14:paraId="1A1886EE" w14:textId="77777777" w:rsidR="007100B3" w:rsidRPr="00F960B8" w:rsidRDefault="007100B3" w:rsidP="00F960B8">
            <w:pPr>
              <w:tabs>
                <w:tab w:val="decimal" w:pos="1062"/>
              </w:tabs>
              <w:spacing w:line="360" w:lineRule="auto"/>
            </w:pPr>
          </w:p>
        </w:tc>
        <w:tc>
          <w:tcPr>
            <w:tcW w:w="2010" w:type="dxa"/>
            <w:tcBorders>
              <w:top w:val="nil"/>
              <w:left w:val="nil"/>
              <w:bottom w:val="nil"/>
              <w:right w:val="nil"/>
            </w:tcBorders>
          </w:tcPr>
          <w:p w14:paraId="39FD1621" w14:textId="77777777" w:rsidR="007100B3" w:rsidRPr="00F960B8" w:rsidRDefault="007100B3" w:rsidP="00F960B8">
            <w:pPr>
              <w:tabs>
                <w:tab w:val="decimal" w:pos="1062"/>
              </w:tabs>
              <w:spacing w:line="360" w:lineRule="auto"/>
            </w:pPr>
          </w:p>
        </w:tc>
        <w:tc>
          <w:tcPr>
            <w:tcW w:w="1704" w:type="dxa"/>
            <w:tcBorders>
              <w:top w:val="nil"/>
              <w:left w:val="nil"/>
              <w:bottom w:val="nil"/>
              <w:right w:val="nil"/>
            </w:tcBorders>
          </w:tcPr>
          <w:p w14:paraId="3D46B646" w14:textId="77777777" w:rsidR="007100B3" w:rsidRPr="00F960B8" w:rsidRDefault="007100B3" w:rsidP="00F960B8">
            <w:pPr>
              <w:tabs>
                <w:tab w:val="decimal" w:pos="1062"/>
              </w:tabs>
              <w:spacing w:line="360" w:lineRule="auto"/>
            </w:pPr>
          </w:p>
        </w:tc>
      </w:tr>
      <w:tr w:rsidR="007100B3" w:rsidRPr="00F960B8" w14:paraId="78212423" w14:textId="77777777" w:rsidTr="00F960B8">
        <w:tc>
          <w:tcPr>
            <w:tcW w:w="4730" w:type="dxa"/>
            <w:tcBorders>
              <w:top w:val="nil"/>
              <w:left w:val="nil"/>
              <w:bottom w:val="nil"/>
              <w:right w:val="nil"/>
            </w:tcBorders>
            <w:shd w:val="clear" w:color="auto" w:fill="auto"/>
            <w:noWrap/>
            <w:vAlign w:val="bottom"/>
            <w:hideMark/>
          </w:tcPr>
          <w:p w14:paraId="00CC92DE" w14:textId="77777777" w:rsidR="007100B3" w:rsidRPr="00F960B8" w:rsidRDefault="007100B3" w:rsidP="00F960B8">
            <w:pPr>
              <w:spacing w:line="360" w:lineRule="auto"/>
              <w:ind w:firstLineChars="260" w:firstLine="624"/>
            </w:pPr>
            <w:bookmarkStart w:id="8" w:name="_Hlk35426278"/>
            <w:r w:rsidRPr="00F960B8">
              <w:t>Plaintiff=Public; Defendant=Public</w:t>
            </w:r>
          </w:p>
        </w:tc>
        <w:tc>
          <w:tcPr>
            <w:tcW w:w="2758" w:type="dxa"/>
            <w:tcBorders>
              <w:top w:val="nil"/>
              <w:left w:val="nil"/>
              <w:bottom w:val="nil"/>
              <w:right w:val="nil"/>
            </w:tcBorders>
            <w:shd w:val="clear" w:color="auto" w:fill="auto"/>
            <w:noWrap/>
            <w:vAlign w:val="bottom"/>
          </w:tcPr>
          <w:p w14:paraId="432B07D2" w14:textId="51CF9950" w:rsidR="007100B3" w:rsidRPr="00F960B8" w:rsidRDefault="007100B3" w:rsidP="00F960B8">
            <w:pPr>
              <w:tabs>
                <w:tab w:val="decimal" w:pos="1480"/>
              </w:tabs>
              <w:spacing w:line="360" w:lineRule="auto"/>
            </w:pPr>
            <w:r w:rsidRPr="00F960B8">
              <w:rPr>
                <w:color w:val="000000"/>
              </w:rPr>
              <w:t>48</w:t>
            </w:r>
          </w:p>
        </w:tc>
        <w:tc>
          <w:tcPr>
            <w:tcW w:w="2316" w:type="dxa"/>
            <w:tcBorders>
              <w:top w:val="nil"/>
              <w:left w:val="nil"/>
              <w:bottom w:val="nil"/>
              <w:right w:val="nil"/>
            </w:tcBorders>
            <w:shd w:val="clear" w:color="auto" w:fill="auto"/>
            <w:noWrap/>
            <w:vAlign w:val="bottom"/>
          </w:tcPr>
          <w:p w14:paraId="64D7CD78" w14:textId="4ABF2526" w:rsidR="007100B3" w:rsidRPr="00F960B8" w:rsidRDefault="007100B3" w:rsidP="00F960B8">
            <w:pPr>
              <w:tabs>
                <w:tab w:val="decimal" w:pos="1062"/>
              </w:tabs>
              <w:spacing w:line="360" w:lineRule="auto"/>
            </w:pPr>
            <w:r w:rsidRPr="00F960B8">
              <w:rPr>
                <w:color w:val="000000"/>
              </w:rPr>
              <w:t>32</w:t>
            </w:r>
          </w:p>
        </w:tc>
        <w:tc>
          <w:tcPr>
            <w:tcW w:w="2010" w:type="dxa"/>
            <w:tcBorders>
              <w:top w:val="nil"/>
              <w:left w:val="nil"/>
              <w:bottom w:val="nil"/>
              <w:right w:val="nil"/>
            </w:tcBorders>
            <w:vAlign w:val="bottom"/>
          </w:tcPr>
          <w:p w14:paraId="45F25327" w14:textId="1BC0ADEB" w:rsidR="007100B3" w:rsidRPr="00F960B8" w:rsidRDefault="007100B3" w:rsidP="00F960B8">
            <w:pPr>
              <w:tabs>
                <w:tab w:val="decimal" w:pos="1062"/>
              </w:tabs>
              <w:spacing w:line="360" w:lineRule="auto"/>
            </w:pPr>
            <w:r w:rsidRPr="00F960B8">
              <w:rPr>
                <w:color w:val="000000"/>
              </w:rPr>
              <w:t>16</w:t>
            </w:r>
          </w:p>
        </w:tc>
        <w:tc>
          <w:tcPr>
            <w:tcW w:w="1704" w:type="dxa"/>
            <w:tcBorders>
              <w:top w:val="nil"/>
              <w:left w:val="nil"/>
              <w:bottom w:val="nil"/>
              <w:right w:val="nil"/>
            </w:tcBorders>
            <w:vAlign w:val="bottom"/>
          </w:tcPr>
          <w:p w14:paraId="7C6CE1D8" w14:textId="097BC363" w:rsidR="007100B3" w:rsidRPr="00F960B8" w:rsidRDefault="007100B3" w:rsidP="00F960B8">
            <w:pPr>
              <w:tabs>
                <w:tab w:val="decimal" w:pos="1056"/>
              </w:tabs>
              <w:spacing w:line="360" w:lineRule="auto"/>
            </w:pPr>
            <w:r w:rsidRPr="00F960B8">
              <w:rPr>
                <w:color w:val="000000"/>
              </w:rPr>
              <w:t>59</w:t>
            </w:r>
          </w:p>
        </w:tc>
      </w:tr>
      <w:tr w:rsidR="007100B3" w:rsidRPr="00F960B8" w14:paraId="18B024DE" w14:textId="77777777" w:rsidTr="00F960B8">
        <w:tc>
          <w:tcPr>
            <w:tcW w:w="4730" w:type="dxa"/>
            <w:tcBorders>
              <w:top w:val="nil"/>
              <w:left w:val="nil"/>
              <w:bottom w:val="nil"/>
              <w:right w:val="nil"/>
            </w:tcBorders>
            <w:shd w:val="clear" w:color="auto" w:fill="auto"/>
            <w:noWrap/>
            <w:vAlign w:val="bottom"/>
            <w:hideMark/>
          </w:tcPr>
          <w:p w14:paraId="2A74388B" w14:textId="77777777" w:rsidR="007100B3" w:rsidRPr="00F960B8" w:rsidRDefault="007100B3" w:rsidP="00F960B8">
            <w:pPr>
              <w:spacing w:line="360" w:lineRule="auto"/>
              <w:ind w:firstLineChars="260" w:firstLine="624"/>
              <w:rPr>
                <w:color w:val="000000"/>
              </w:rPr>
            </w:pPr>
            <w:r w:rsidRPr="00F960B8">
              <w:rPr>
                <w:color w:val="000000"/>
              </w:rPr>
              <w:lastRenderedPageBreak/>
              <w:t>Plaintiff=Public; Defendant=Private</w:t>
            </w:r>
          </w:p>
        </w:tc>
        <w:tc>
          <w:tcPr>
            <w:tcW w:w="2758" w:type="dxa"/>
            <w:tcBorders>
              <w:top w:val="nil"/>
              <w:left w:val="nil"/>
              <w:bottom w:val="nil"/>
              <w:right w:val="nil"/>
            </w:tcBorders>
            <w:shd w:val="clear" w:color="auto" w:fill="auto"/>
            <w:noWrap/>
            <w:vAlign w:val="bottom"/>
          </w:tcPr>
          <w:p w14:paraId="47AA00A4" w14:textId="34ED9208" w:rsidR="007100B3" w:rsidRPr="00F960B8" w:rsidRDefault="007100B3" w:rsidP="00F960B8">
            <w:pPr>
              <w:tabs>
                <w:tab w:val="decimal" w:pos="1480"/>
              </w:tabs>
              <w:spacing w:line="360" w:lineRule="auto"/>
              <w:rPr>
                <w:color w:val="000000"/>
              </w:rPr>
            </w:pPr>
            <w:r w:rsidRPr="00F960B8">
              <w:rPr>
                <w:color w:val="000000"/>
              </w:rPr>
              <w:t>17</w:t>
            </w:r>
          </w:p>
        </w:tc>
        <w:tc>
          <w:tcPr>
            <w:tcW w:w="2316" w:type="dxa"/>
            <w:tcBorders>
              <w:top w:val="nil"/>
              <w:left w:val="nil"/>
              <w:bottom w:val="nil"/>
              <w:right w:val="nil"/>
            </w:tcBorders>
            <w:shd w:val="clear" w:color="auto" w:fill="auto"/>
            <w:noWrap/>
            <w:vAlign w:val="bottom"/>
          </w:tcPr>
          <w:p w14:paraId="5FE76CBE" w14:textId="64EA9FBD" w:rsidR="007100B3" w:rsidRPr="00F960B8" w:rsidRDefault="007100B3" w:rsidP="00F960B8">
            <w:pPr>
              <w:tabs>
                <w:tab w:val="decimal" w:pos="1062"/>
              </w:tabs>
              <w:spacing w:line="360" w:lineRule="auto"/>
              <w:rPr>
                <w:color w:val="000000"/>
              </w:rPr>
            </w:pPr>
            <w:r w:rsidRPr="00F960B8">
              <w:rPr>
                <w:color w:val="000000"/>
              </w:rPr>
              <w:t>14</w:t>
            </w:r>
          </w:p>
        </w:tc>
        <w:tc>
          <w:tcPr>
            <w:tcW w:w="2010" w:type="dxa"/>
            <w:tcBorders>
              <w:top w:val="nil"/>
              <w:left w:val="nil"/>
              <w:bottom w:val="nil"/>
              <w:right w:val="nil"/>
            </w:tcBorders>
            <w:vAlign w:val="bottom"/>
          </w:tcPr>
          <w:p w14:paraId="4C4394B5" w14:textId="2F137B2D" w:rsidR="007100B3" w:rsidRPr="00F960B8" w:rsidRDefault="007100B3" w:rsidP="00F960B8">
            <w:pPr>
              <w:tabs>
                <w:tab w:val="decimal" w:pos="1062"/>
              </w:tabs>
              <w:spacing w:line="360" w:lineRule="auto"/>
              <w:rPr>
                <w:color w:val="000000"/>
              </w:rPr>
            </w:pPr>
            <w:r w:rsidRPr="00F960B8">
              <w:rPr>
                <w:color w:val="000000"/>
              </w:rPr>
              <w:t>3</w:t>
            </w:r>
          </w:p>
        </w:tc>
        <w:tc>
          <w:tcPr>
            <w:tcW w:w="1704" w:type="dxa"/>
            <w:tcBorders>
              <w:top w:val="nil"/>
              <w:left w:val="nil"/>
              <w:bottom w:val="nil"/>
              <w:right w:val="nil"/>
            </w:tcBorders>
            <w:vAlign w:val="bottom"/>
          </w:tcPr>
          <w:p w14:paraId="57ACBBDE" w14:textId="6C03751E" w:rsidR="007100B3" w:rsidRPr="00F960B8" w:rsidRDefault="007100B3" w:rsidP="00F960B8">
            <w:pPr>
              <w:tabs>
                <w:tab w:val="decimal" w:pos="1056"/>
              </w:tabs>
              <w:spacing w:line="360" w:lineRule="auto"/>
              <w:rPr>
                <w:color w:val="000000"/>
              </w:rPr>
            </w:pPr>
            <w:r w:rsidRPr="00F960B8">
              <w:rPr>
                <w:color w:val="000000"/>
              </w:rPr>
              <w:t>27</w:t>
            </w:r>
          </w:p>
        </w:tc>
      </w:tr>
      <w:tr w:rsidR="007100B3" w:rsidRPr="00F960B8" w14:paraId="3F3519A5" w14:textId="77777777" w:rsidTr="00F960B8">
        <w:tc>
          <w:tcPr>
            <w:tcW w:w="4730" w:type="dxa"/>
            <w:tcBorders>
              <w:top w:val="nil"/>
              <w:left w:val="nil"/>
              <w:bottom w:val="nil"/>
              <w:right w:val="nil"/>
            </w:tcBorders>
            <w:shd w:val="clear" w:color="auto" w:fill="auto"/>
            <w:noWrap/>
            <w:vAlign w:val="bottom"/>
            <w:hideMark/>
          </w:tcPr>
          <w:p w14:paraId="38831DBC" w14:textId="77777777" w:rsidR="007100B3" w:rsidRPr="00F960B8" w:rsidRDefault="007100B3" w:rsidP="00F960B8">
            <w:pPr>
              <w:spacing w:line="360" w:lineRule="auto"/>
              <w:ind w:firstLineChars="260" w:firstLine="624"/>
              <w:rPr>
                <w:color w:val="000000"/>
              </w:rPr>
            </w:pPr>
            <w:r w:rsidRPr="00F960B8">
              <w:rPr>
                <w:color w:val="000000"/>
              </w:rPr>
              <w:t>Plaintiff=Public; Defendant=NGO</w:t>
            </w:r>
          </w:p>
        </w:tc>
        <w:tc>
          <w:tcPr>
            <w:tcW w:w="2758" w:type="dxa"/>
            <w:tcBorders>
              <w:top w:val="nil"/>
              <w:left w:val="nil"/>
              <w:bottom w:val="nil"/>
              <w:right w:val="nil"/>
            </w:tcBorders>
            <w:shd w:val="clear" w:color="auto" w:fill="auto"/>
            <w:noWrap/>
            <w:vAlign w:val="bottom"/>
          </w:tcPr>
          <w:p w14:paraId="19187AE8" w14:textId="73D790E5" w:rsidR="007100B3" w:rsidRPr="00F960B8" w:rsidRDefault="007100B3" w:rsidP="00F960B8">
            <w:pPr>
              <w:tabs>
                <w:tab w:val="decimal" w:pos="1480"/>
              </w:tabs>
              <w:spacing w:line="360" w:lineRule="auto"/>
              <w:rPr>
                <w:color w:val="000000"/>
              </w:rPr>
            </w:pPr>
            <w:r w:rsidRPr="00F960B8">
              <w:rPr>
                <w:color w:val="000000"/>
              </w:rPr>
              <w:t>10</w:t>
            </w:r>
          </w:p>
        </w:tc>
        <w:tc>
          <w:tcPr>
            <w:tcW w:w="2316" w:type="dxa"/>
            <w:tcBorders>
              <w:top w:val="nil"/>
              <w:left w:val="nil"/>
              <w:bottom w:val="nil"/>
              <w:right w:val="nil"/>
            </w:tcBorders>
            <w:shd w:val="clear" w:color="auto" w:fill="auto"/>
            <w:noWrap/>
            <w:vAlign w:val="bottom"/>
          </w:tcPr>
          <w:p w14:paraId="5B2FE64E" w14:textId="0A38D8FF" w:rsidR="007100B3" w:rsidRPr="00F960B8" w:rsidRDefault="007100B3" w:rsidP="00F960B8">
            <w:pPr>
              <w:tabs>
                <w:tab w:val="decimal" w:pos="1062"/>
              </w:tabs>
              <w:spacing w:line="360" w:lineRule="auto"/>
              <w:rPr>
                <w:color w:val="000000"/>
              </w:rPr>
            </w:pPr>
            <w:r w:rsidRPr="00F960B8">
              <w:rPr>
                <w:color w:val="000000"/>
              </w:rPr>
              <w:t>9</w:t>
            </w:r>
          </w:p>
        </w:tc>
        <w:tc>
          <w:tcPr>
            <w:tcW w:w="2010" w:type="dxa"/>
            <w:tcBorders>
              <w:top w:val="nil"/>
              <w:left w:val="nil"/>
              <w:bottom w:val="nil"/>
              <w:right w:val="nil"/>
            </w:tcBorders>
            <w:vAlign w:val="bottom"/>
          </w:tcPr>
          <w:p w14:paraId="57A317E0" w14:textId="3345CE9C" w:rsidR="007100B3" w:rsidRPr="00F960B8" w:rsidRDefault="007100B3" w:rsidP="00F960B8">
            <w:pPr>
              <w:tabs>
                <w:tab w:val="decimal" w:pos="1062"/>
              </w:tabs>
              <w:spacing w:line="360" w:lineRule="auto"/>
              <w:rPr>
                <w:color w:val="000000"/>
              </w:rPr>
            </w:pPr>
            <w:r w:rsidRPr="00F960B8">
              <w:rPr>
                <w:color w:val="000000"/>
              </w:rPr>
              <w:t>1</w:t>
            </w:r>
          </w:p>
        </w:tc>
        <w:tc>
          <w:tcPr>
            <w:tcW w:w="1704" w:type="dxa"/>
            <w:tcBorders>
              <w:top w:val="nil"/>
              <w:left w:val="nil"/>
              <w:bottom w:val="nil"/>
              <w:right w:val="nil"/>
            </w:tcBorders>
            <w:vAlign w:val="bottom"/>
          </w:tcPr>
          <w:p w14:paraId="26D7C88A" w14:textId="5BB0FD07" w:rsidR="007100B3" w:rsidRPr="00F960B8" w:rsidRDefault="007100B3" w:rsidP="00F960B8">
            <w:pPr>
              <w:tabs>
                <w:tab w:val="decimal" w:pos="1056"/>
              </w:tabs>
              <w:spacing w:line="360" w:lineRule="auto"/>
              <w:rPr>
                <w:color w:val="000000"/>
              </w:rPr>
            </w:pPr>
            <w:r w:rsidRPr="00F960B8">
              <w:rPr>
                <w:color w:val="000000"/>
              </w:rPr>
              <w:t>8</w:t>
            </w:r>
          </w:p>
        </w:tc>
      </w:tr>
      <w:tr w:rsidR="007100B3" w:rsidRPr="00F960B8" w14:paraId="2486697B" w14:textId="77777777" w:rsidTr="00F960B8">
        <w:tc>
          <w:tcPr>
            <w:tcW w:w="4730" w:type="dxa"/>
            <w:tcBorders>
              <w:top w:val="nil"/>
              <w:left w:val="nil"/>
              <w:bottom w:val="nil"/>
              <w:right w:val="nil"/>
            </w:tcBorders>
            <w:shd w:val="clear" w:color="auto" w:fill="auto"/>
            <w:noWrap/>
            <w:vAlign w:val="bottom"/>
            <w:hideMark/>
          </w:tcPr>
          <w:p w14:paraId="73259BAA" w14:textId="77777777" w:rsidR="007100B3" w:rsidRPr="00F960B8" w:rsidRDefault="007100B3" w:rsidP="00F960B8">
            <w:pPr>
              <w:spacing w:line="360" w:lineRule="auto"/>
              <w:ind w:firstLineChars="260" w:firstLine="624"/>
              <w:rPr>
                <w:color w:val="000000"/>
              </w:rPr>
            </w:pPr>
            <w:r w:rsidRPr="00F960B8">
              <w:rPr>
                <w:color w:val="000000"/>
              </w:rPr>
              <w:t>Plaintiff=Private; Defendant=Public</w:t>
            </w:r>
          </w:p>
        </w:tc>
        <w:tc>
          <w:tcPr>
            <w:tcW w:w="2758" w:type="dxa"/>
            <w:tcBorders>
              <w:top w:val="nil"/>
              <w:left w:val="nil"/>
              <w:bottom w:val="nil"/>
              <w:right w:val="nil"/>
            </w:tcBorders>
            <w:shd w:val="clear" w:color="auto" w:fill="auto"/>
            <w:noWrap/>
            <w:vAlign w:val="bottom"/>
          </w:tcPr>
          <w:p w14:paraId="04D1C8F7" w14:textId="55122007" w:rsidR="007100B3" w:rsidRPr="00F960B8" w:rsidRDefault="007100B3" w:rsidP="00F960B8">
            <w:pPr>
              <w:tabs>
                <w:tab w:val="decimal" w:pos="1480"/>
              </w:tabs>
              <w:spacing w:line="360" w:lineRule="auto"/>
              <w:rPr>
                <w:color w:val="000000"/>
              </w:rPr>
            </w:pPr>
            <w:r w:rsidRPr="00F960B8">
              <w:rPr>
                <w:color w:val="000000"/>
              </w:rPr>
              <w:t>117</w:t>
            </w:r>
          </w:p>
        </w:tc>
        <w:tc>
          <w:tcPr>
            <w:tcW w:w="2316" w:type="dxa"/>
            <w:tcBorders>
              <w:top w:val="nil"/>
              <w:left w:val="nil"/>
              <w:bottom w:val="nil"/>
              <w:right w:val="nil"/>
            </w:tcBorders>
            <w:shd w:val="clear" w:color="auto" w:fill="auto"/>
            <w:noWrap/>
            <w:vAlign w:val="bottom"/>
          </w:tcPr>
          <w:p w14:paraId="7F17571C" w14:textId="0DE4BB3B" w:rsidR="007100B3" w:rsidRPr="00F960B8" w:rsidRDefault="007100B3" w:rsidP="00F960B8">
            <w:pPr>
              <w:tabs>
                <w:tab w:val="decimal" w:pos="1062"/>
              </w:tabs>
              <w:spacing w:line="360" w:lineRule="auto"/>
              <w:rPr>
                <w:color w:val="000000"/>
              </w:rPr>
            </w:pPr>
            <w:r w:rsidRPr="00F960B8">
              <w:rPr>
                <w:color w:val="000000"/>
              </w:rPr>
              <w:t>116</w:t>
            </w:r>
          </w:p>
        </w:tc>
        <w:tc>
          <w:tcPr>
            <w:tcW w:w="2010" w:type="dxa"/>
            <w:tcBorders>
              <w:top w:val="nil"/>
              <w:left w:val="nil"/>
              <w:bottom w:val="nil"/>
              <w:right w:val="nil"/>
            </w:tcBorders>
            <w:vAlign w:val="bottom"/>
          </w:tcPr>
          <w:p w14:paraId="3D75D3E5" w14:textId="7215FAF1" w:rsidR="007100B3" w:rsidRPr="00F960B8" w:rsidRDefault="007100B3" w:rsidP="00F960B8">
            <w:pPr>
              <w:tabs>
                <w:tab w:val="decimal" w:pos="1062"/>
              </w:tabs>
              <w:spacing w:line="360" w:lineRule="auto"/>
              <w:rPr>
                <w:color w:val="000000"/>
              </w:rPr>
            </w:pPr>
            <w:r w:rsidRPr="00F960B8">
              <w:rPr>
                <w:color w:val="000000"/>
              </w:rPr>
              <w:t>1</w:t>
            </w:r>
          </w:p>
        </w:tc>
        <w:tc>
          <w:tcPr>
            <w:tcW w:w="1704" w:type="dxa"/>
            <w:tcBorders>
              <w:top w:val="nil"/>
              <w:left w:val="nil"/>
              <w:bottom w:val="nil"/>
              <w:right w:val="nil"/>
            </w:tcBorders>
            <w:vAlign w:val="bottom"/>
          </w:tcPr>
          <w:p w14:paraId="6C4EC271" w14:textId="2FE7DC92" w:rsidR="007100B3" w:rsidRPr="00F960B8" w:rsidRDefault="007100B3" w:rsidP="00F960B8">
            <w:pPr>
              <w:tabs>
                <w:tab w:val="decimal" w:pos="1056"/>
              </w:tabs>
              <w:spacing w:line="360" w:lineRule="auto"/>
              <w:rPr>
                <w:color w:val="000000"/>
              </w:rPr>
            </w:pPr>
            <w:r w:rsidRPr="00F960B8">
              <w:rPr>
                <w:color w:val="000000"/>
              </w:rPr>
              <w:t>90</w:t>
            </w:r>
          </w:p>
        </w:tc>
      </w:tr>
      <w:tr w:rsidR="007100B3" w:rsidRPr="00F960B8" w14:paraId="6F47E5DE" w14:textId="77777777" w:rsidTr="00F960B8">
        <w:tc>
          <w:tcPr>
            <w:tcW w:w="4730" w:type="dxa"/>
            <w:tcBorders>
              <w:top w:val="nil"/>
              <w:left w:val="nil"/>
              <w:right w:val="nil"/>
            </w:tcBorders>
            <w:shd w:val="clear" w:color="auto" w:fill="auto"/>
            <w:noWrap/>
            <w:vAlign w:val="bottom"/>
            <w:hideMark/>
          </w:tcPr>
          <w:p w14:paraId="5389540C" w14:textId="77777777" w:rsidR="007100B3" w:rsidRPr="00F960B8" w:rsidRDefault="007100B3" w:rsidP="00F960B8">
            <w:pPr>
              <w:spacing w:line="360" w:lineRule="auto"/>
              <w:ind w:firstLineChars="260" w:firstLine="624"/>
              <w:rPr>
                <w:color w:val="000000"/>
              </w:rPr>
            </w:pPr>
            <w:r w:rsidRPr="00F960B8">
              <w:rPr>
                <w:color w:val="000000"/>
              </w:rPr>
              <w:t>Plaintiff=Private; Defendant=Private</w:t>
            </w:r>
          </w:p>
        </w:tc>
        <w:tc>
          <w:tcPr>
            <w:tcW w:w="2758" w:type="dxa"/>
            <w:tcBorders>
              <w:top w:val="nil"/>
              <w:left w:val="nil"/>
              <w:right w:val="nil"/>
            </w:tcBorders>
            <w:shd w:val="clear" w:color="auto" w:fill="auto"/>
            <w:noWrap/>
            <w:vAlign w:val="bottom"/>
          </w:tcPr>
          <w:p w14:paraId="566A2B52" w14:textId="15B5D862" w:rsidR="007100B3" w:rsidRPr="00F960B8" w:rsidRDefault="007100B3" w:rsidP="00F960B8">
            <w:pPr>
              <w:tabs>
                <w:tab w:val="decimal" w:pos="1480"/>
              </w:tabs>
              <w:spacing w:line="360" w:lineRule="auto"/>
              <w:rPr>
                <w:color w:val="000000"/>
              </w:rPr>
            </w:pPr>
            <w:r w:rsidRPr="00F960B8">
              <w:rPr>
                <w:color w:val="000000"/>
              </w:rPr>
              <w:t>6</w:t>
            </w:r>
          </w:p>
        </w:tc>
        <w:tc>
          <w:tcPr>
            <w:tcW w:w="2316" w:type="dxa"/>
            <w:tcBorders>
              <w:top w:val="nil"/>
              <w:left w:val="nil"/>
              <w:right w:val="nil"/>
            </w:tcBorders>
            <w:shd w:val="clear" w:color="auto" w:fill="auto"/>
            <w:noWrap/>
            <w:vAlign w:val="bottom"/>
          </w:tcPr>
          <w:p w14:paraId="420CD642" w14:textId="799CF84E" w:rsidR="007100B3" w:rsidRPr="00F960B8" w:rsidRDefault="007100B3" w:rsidP="00F960B8">
            <w:pPr>
              <w:tabs>
                <w:tab w:val="decimal" w:pos="1062"/>
              </w:tabs>
              <w:spacing w:line="360" w:lineRule="auto"/>
              <w:rPr>
                <w:color w:val="000000"/>
              </w:rPr>
            </w:pPr>
            <w:r w:rsidRPr="00F960B8">
              <w:rPr>
                <w:color w:val="000000"/>
              </w:rPr>
              <w:t>6</w:t>
            </w:r>
          </w:p>
        </w:tc>
        <w:tc>
          <w:tcPr>
            <w:tcW w:w="2010" w:type="dxa"/>
            <w:tcBorders>
              <w:top w:val="nil"/>
              <w:left w:val="nil"/>
              <w:right w:val="nil"/>
            </w:tcBorders>
            <w:vAlign w:val="bottom"/>
          </w:tcPr>
          <w:p w14:paraId="01848A48" w14:textId="02907EE7" w:rsidR="007100B3" w:rsidRPr="00F960B8" w:rsidRDefault="007100B3" w:rsidP="00F960B8">
            <w:pPr>
              <w:tabs>
                <w:tab w:val="decimal" w:pos="1062"/>
              </w:tabs>
              <w:spacing w:line="360" w:lineRule="auto"/>
              <w:rPr>
                <w:color w:val="000000"/>
              </w:rPr>
            </w:pPr>
            <w:r w:rsidRPr="00F960B8">
              <w:rPr>
                <w:color w:val="000000"/>
              </w:rPr>
              <w:t>0</w:t>
            </w:r>
          </w:p>
        </w:tc>
        <w:tc>
          <w:tcPr>
            <w:tcW w:w="1704" w:type="dxa"/>
            <w:tcBorders>
              <w:top w:val="nil"/>
              <w:left w:val="nil"/>
              <w:right w:val="nil"/>
            </w:tcBorders>
            <w:vAlign w:val="bottom"/>
          </w:tcPr>
          <w:p w14:paraId="54B999A3" w14:textId="6D059D82" w:rsidR="007100B3" w:rsidRPr="00F960B8" w:rsidRDefault="007100B3" w:rsidP="00F960B8">
            <w:pPr>
              <w:tabs>
                <w:tab w:val="decimal" w:pos="1056"/>
              </w:tabs>
              <w:spacing w:line="360" w:lineRule="auto"/>
              <w:rPr>
                <w:color w:val="000000"/>
              </w:rPr>
            </w:pPr>
            <w:r w:rsidRPr="00F960B8">
              <w:rPr>
                <w:color w:val="000000"/>
              </w:rPr>
              <w:t>3</w:t>
            </w:r>
          </w:p>
        </w:tc>
      </w:tr>
      <w:tr w:rsidR="007100B3" w:rsidRPr="00F960B8" w14:paraId="35E6E545" w14:textId="77777777" w:rsidTr="00F960B8">
        <w:tc>
          <w:tcPr>
            <w:tcW w:w="4730" w:type="dxa"/>
            <w:tcBorders>
              <w:top w:val="nil"/>
              <w:left w:val="nil"/>
              <w:right w:val="nil"/>
            </w:tcBorders>
            <w:shd w:val="clear" w:color="auto" w:fill="auto"/>
            <w:noWrap/>
            <w:vAlign w:val="bottom"/>
            <w:hideMark/>
          </w:tcPr>
          <w:p w14:paraId="344A7148" w14:textId="77777777" w:rsidR="007100B3" w:rsidRPr="00F960B8" w:rsidRDefault="007100B3" w:rsidP="00F960B8">
            <w:pPr>
              <w:spacing w:line="360" w:lineRule="auto"/>
              <w:ind w:firstLineChars="260" w:firstLine="624"/>
              <w:rPr>
                <w:color w:val="000000"/>
              </w:rPr>
            </w:pPr>
            <w:r w:rsidRPr="00F960B8">
              <w:rPr>
                <w:color w:val="000000"/>
              </w:rPr>
              <w:t>Plaintiff=Private; Defendant=NGO</w:t>
            </w:r>
          </w:p>
        </w:tc>
        <w:tc>
          <w:tcPr>
            <w:tcW w:w="2758" w:type="dxa"/>
            <w:tcBorders>
              <w:top w:val="nil"/>
              <w:left w:val="nil"/>
              <w:right w:val="nil"/>
            </w:tcBorders>
            <w:shd w:val="clear" w:color="auto" w:fill="auto"/>
            <w:noWrap/>
            <w:vAlign w:val="bottom"/>
          </w:tcPr>
          <w:p w14:paraId="26E8A5E8" w14:textId="35779C19" w:rsidR="007100B3" w:rsidRPr="00F960B8" w:rsidRDefault="007100B3" w:rsidP="00F960B8">
            <w:pPr>
              <w:tabs>
                <w:tab w:val="decimal" w:pos="1480"/>
              </w:tabs>
              <w:spacing w:line="360" w:lineRule="auto"/>
              <w:rPr>
                <w:color w:val="000000"/>
              </w:rPr>
            </w:pPr>
            <w:r w:rsidRPr="00F960B8">
              <w:rPr>
                <w:color w:val="000000"/>
              </w:rPr>
              <w:t>10</w:t>
            </w:r>
          </w:p>
        </w:tc>
        <w:tc>
          <w:tcPr>
            <w:tcW w:w="2316" w:type="dxa"/>
            <w:tcBorders>
              <w:top w:val="nil"/>
              <w:left w:val="nil"/>
              <w:right w:val="nil"/>
            </w:tcBorders>
            <w:shd w:val="clear" w:color="auto" w:fill="auto"/>
            <w:noWrap/>
            <w:vAlign w:val="bottom"/>
          </w:tcPr>
          <w:p w14:paraId="46318B73" w14:textId="1175BF16" w:rsidR="007100B3" w:rsidRPr="00F960B8" w:rsidRDefault="007100B3" w:rsidP="00F960B8">
            <w:pPr>
              <w:tabs>
                <w:tab w:val="decimal" w:pos="1062"/>
              </w:tabs>
              <w:spacing w:line="360" w:lineRule="auto"/>
              <w:rPr>
                <w:color w:val="000000"/>
              </w:rPr>
            </w:pPr>
            <w:r w:rsidRPr="00F960B8">
              <w:rPr>
                <w:color w:val="000000"/>
              </w:rPr>
              <w:t>10</w:t>
            </w:r>
          </w:p>
        </w:tc>
        <w:tc>
          <w:tcPr>
            <w:tcW w:w="2010" w:type="dxa"/>
            <w:tcBorders>
              <w:top w:val="nil"/>
              <w:left w:val="nil"/>
              <w:right w:val="nil"/>
            </w:tcBorders>
            <w:vAlign w:val="bottom"/>
          </w:tcPr>
          <w:p w14:paraId="75BF9044" w14:textId="741BE8D1" w:rsidR="007100B3" w:rsidRPr="00F960B8" w:rsidRDefault="007100B3" w:rsidP="00F960B8">
            <w:pPr>
              <w:tabs>
                <w:tab w:val="decimal" w:pos="1062"/>
              </w:tabs>
              <w:spacing w:line="360" w:lineRule="auto"/>
              <w:rPr>
                <w:color w:val="000000"/>
              </w:rPr>
            </w:pPr>
            <w:r w:rsidRPr="00F960B8">
              <w:rPr>
                <w:color w:val="000000"/>
              </w:rPr>
              <w:t>0</w:t>
            </w:r>
          </w:p>
        </w:tc>
        <w:tc>
          <w:tcPr>
            <w:tcW w:w="1704" w:type="dxa"/>
            <w:tcBorders>
              <w:top w:val="nil"/>
              <w:left w:val="nil"/>
              <w:right w:val="nil"/>
            </w:tcBorders>
            <w:vAlign w:val="bottom"/>
          </w:tcPr>
          <w:p w14:paraId="510E8A92" w14:textId="0B788794" w:rsidR="007100B3" w:rsidRPr="00F960B8" w:rsidRDefault="007100B3" w:rsidP="00F960B8">
            <w:pPr>
              <w:tabs>
                <w:tab w:val="decimal" w:pos="1056"/>
              </w:tabs>
              <w:spacing w:line="360" w:lineRule="auto"/>
              <w:rPr>
                <w:color w:val="000000"/>
              </w:rPr>
            </w:pPr>
            <w:r w:rsidRPr="00F960B8">
              <w:rPr>
                <w:color w:val="000000"/>
              </w:rPr>
              <w:t>7</w:t>
            </w:r>
          </w:p>
        </w:tc>
      </w:tr>
      <w:tr w:rsidR="007100B3" w:rsidRPr="00F960B8" w14:paraId="6C1ACBB8" w14:textId="77777777" w:rsidTr="00F960B8">
        <w:tc>
          <w:tcPr>
            <w:tcW w:w="4730" w:type="dxa"/>
            <w:tcBorders>
              <w:top w:val="nil"/>
              <w:left w:val="nil"/>
              <w:right w:val="nil"/>
            </w:tcBorders>
            <w:shd w:val="clear" w:color="auto" w:fill="auto"/>
            <w:noWrap/>
            <w:vAlign w:val="bottom"/>
          </w:tcPr>
          <w:p w14:paraId="75F666EC" w14:textId="77777777" w:rsidR="007100B3" w:rsidRPr="00F960B8" w:rsidRDefault="007100B3" w:rsidP="00F960B8">
            <w:pPr>
              <w:spacing w:line="360" w:lineRule="auto"/>
              <w:ind w:firstLineChars="260" w:firstLine="624"/>
              <w:rPr>
                <w:color w:val="000000"/>
              </w:rPr>
            </w:pPr>
            <w:r w:rsidRPr="00F960B8">
              <w:rPr>
                <w:color w:val="000000"/>
              </w:rPr>
              <w:t>Plaintiff=NGO; Defendant=Public</w:t>
            </w:r>
          </w:p>
        </w:tc>
        <w:tc>
          <w:tcPr>
            <w:tcW w:w="2758" w:type="dxa"/>
            <w:tcBorders>
              <w:top w:val="nil"/>
              <w:left w:val="nil"/>
              <w:right w:val="nil"/>
            </w:tcBorders>
            <w:shd w:val="clear" w:color="auto" w:fill="auto"/>
            <w:noWrap/>
            <w:vAlign w:val="bottom"/>
          </w:tcPr>
          <w:p w14:paraId="08D76A4B" w14:textId="6666E553" w:rsidR="007100B3" w:rsidRPr="00F960B8" w:rsidRDefault="007100B3" w:rsidP="00F960B8">
            <w:pPr>
              <w:tabs>
                <w:tab w:val="decimal" w:pos="1480"/>
              </w:tabs>
              <w:spacing w:line="360" w:lineRule="auto"/>
              <w:rPr>
                <w:color w:val="000000"/>
              </w:rPr>
            </w:pPr>
            <w:r w:rsidRPr="00F960B8">
              <w:rPr>
                <w:color w:val="000000"/>
              </w:rPr>
              <w:t>141</w:t>
            </w:r>
          </w:p>
        </w:tc>
        <w:tc>
          <w:tcPr>
            <w:tcW w:w="2316" w:type="dxa"/>
            <w:tcBorders>
              <w:top w:val="nil"/>
              <w:left w:val="nil"/>
              <w:right w:val="nil"/>
            </w:tcBorders>
            <w:shd w:val="clear" w:color="auto" w:fill="auto"/>
            <w:noWrap/>
            <w:vAlign w:val="bottom"/>
          </w:tcPr>
          <w:p w14:paraId="4B156AC7" w14:textId="711E0563" w:rsidR="007100B3" w:rsidRPr="00F960B8" w:rsidRDefault="007100B3" w:rsidP="00F960B8">
            <w:pPr>
              <w:tabs>
                <w:tab w:val="decimal" w:pos="1062"/>
              </w:tabs>
              <w:spacing w:line="360" w:lineRule="auto"/>
              <w:rPr>
                <w:color w:val="000000"/>
              </w:rPr>
            </w:pPr>
            <w:r w:rsidRPr="00F960B8">
              <w:rPr>
                <w:color w:val="000000"/>
              </w:rPr>
              <w:t>107</w:t>
            </w:r>
          </w:p>
        </w:tc>
        <w:tc>
          <w:tcPr>
            <w:tcW w:w="2010" w:type="dxa"/>
            <w:tcBorders>
              <w:top w:val="nil"/>
              <w:left w:val="nil"/>
              <w:right w:val="nil"/>
            </w:tcBorders>
            <w:vAlign w:val="bottom"/>
          </w:tcPr>
          <w:p w14:paraId="0FAE4297" w14:textId="4748DBA2" w:rsidR="007100B3" w:rsidRPr="00F960B8" w:rsidRDefault="007100B3" w:rsidP="00F960B8">
            <w:pPr>
              <w:tabs>
                <w:tab w:val="decimal" w:pos="1062"/>
              </w:tabs>
              <w:spacing w:line="360" w:lineRule="auto"/>
              <w:rPr>
                <w:color w:val="000000"/>
              </w:rPr>
            </w:pPr>
            <w:r w:rsidRPr="00F960B8">
              <w:rPr>
                <w:color w:val="000000"/>
              </w:rPr>
              <w:t>34</w:t>
            </w:r>
          </w:p>
        </w:tc>
        <w:tc>
          <w:tcPr>
            <w:tcW w:w="1704" w:type="dxa"/>
            <w:tcBorders>
              <w:top w:val="nil"/>
              <w:left w:val="nil"/>
              <w:right w:val="nil"/>
            </w:tcBorders>
            <w:vAlign w:val="bottom"/>
          </w:tcPr>
          <w:p w14:paraId="2B3D5CB8" w14:textId="29F5FC47" w:rsidR="007100B3" w:rsidRPr="00F960B8" w:rsidRDefault="007100B3" w:rsidP="00F960B8">
            <w:pPr>
              <w:tabs>
                <w:tab w:val="decimal" w:pos="1056"/>
              </w:tabs>
              <w:spacing w:line="360" w:lineRule="auto"/>
              <w:rPr>
                <w:color w:val="000000"/>
              </w:rPr>
            </w:pPr>
            <w:r w:rsidRPr="00F960B8">
              <w:rPr>
                <w:color w:val="000000"/>
              </w:rPr>
              <w:t>563</w:t>
            </w:r>
          </w:p>
        </w:tc>
      </w:tr>
      <w:tr w:rsidR="007100B3" w:rsidRPr="00F960B8" w14:paraId="6B093DED" w14:textId="77777777" w:rsidTr="00F960B8">
        <w:tc>
          <w:tcPr>
            <w:tcW w:w="4730" w:type="dxa"/>
            <w:shd w:val="clear" w:color="auto" w:fill="auto"/>
            <w:noWrap/>
            <w:vAlign w:val="bottom"/>
            <w:hideMark/>
          </w:tcPr>
          <w:p w14:paraId="5B06399E" w14:textId="77777777" w:rsidR="007100B3" w:rsidRPr="00F960B8" w:rsidRDefault="007100B3" w:rsidP="00F960B8">
            <w:pPr>
              <w:spacing w:line="360" w:lineRule="auto"/>
              <w:ind w:firstLineChars="260" w:firstLine="624"/>
              <w:rPr>
                <w:color w:val="000000"/>
              </w:rPr>
            </w:pPr>
            <w:r w:rsidRPr="00F960B8">
              <w:rPr>
                <w:color w:val="000000"/>
              </w:rPr>
              <w:t>Plaintiff=NGO; Defendant=Private</w:t>
            </w:r>
          </w:p>
        </w:tc>
        <w:tc>
          <w:tcPr>
            <w:tcW w:w="2758" w:type="dxa"/>
            <w:shd w:val="clear" w:color="auto" w:fill="auto"/>
            <w:noWrap/>
            <w:vAlign w:val="bottom"/>
            <w:hideMark/>
          </w:tcPr>
          <w:p w14:paraId="18DD5245" w14:textId="1FF0DA5D" w:rsidR="007100B3" w:rsidRPr="00F960B8" w:rsidRDefault="007100B3" w:rsidP="00F960B8">
            <w:pPr>
              <w:tabs>
                <w:tab w:val="decimal" w:pos="1480"/>
              </w:tabs>
              <w:spacing w:line="360" w:lineRule="auto"/>
            </w:pPr>
            <w:r w:rsidRPr="00F960B8">
              <w:rPr>
                <w:color w:val="000000"/>
              </w:rPr>
              <w:t>24</w:t>
            </w:r>
          </w:p>
        </w:tc>
        <w:tc>
          <w:tcPr>
            <w:tcW w:w="2316" w:type="dxa"/>
            <w:shd w:val="clear" w:color="auto" w:fill="auto"/>
            <w:noWrap/>
            <w:vAlign w:val="bottom"/>
            <w:hideMark/>
          </w:tcPr>
          <w:p w14:paraId="7DA9DBCF" w14:textId="7772A9ED" w:rsidR="007100B3" w:rsidRPr="00F960B8" w:rsidRDefault="007100B3" w:rsidP="00F960B8">
            <w:pPr>
              <w:tabs>
                <w:tab w:val="decimal" w:pos="1062"/>
              </w:tabs>
              <w:spacing w:line="360" w:lineRule="auto"/>
            </w:pPr>
            <w:r w:rsidRPr="00F960B8">
              <w:rPr>
                <w:color w:val="000000"/>
              </w:rPr>
              <w:t>19</w:t>
            </w:r>
          </w:p>
        </w:tc>
        <w:tc>
          <w:tcPr>
            <w:tcW w:w="2010" w:type="dxa"/>
            <w:vAlign w:val="bottom"/>
          </w:tcPr>
          <w:p w14:paraId="78627D9F" w14:textId="33925DF3" w:rsidR="007100B3" w:rsidRPr="00F960B8" w:rsidRDefault="007100B3" w:rsidP="00F960B8">
            <w:pPr>
              <w:tabs>
                <w:tab w:val="decimal" w:pos="1062"/>
              </w:tabs>
              <w:spacing w:line="360" w:lineRule="auto"/>
              <w:rPr>
                <w:color w:val="000000"/>
              </w:rPr>
            </w:pPr>
            <w:r w:rsidRPr="00F960B8">
              <w:rPr>
                <w:color w:val="000000"/>
              </w:rPr>
              <w:t>5</w:t>
            </w:r>
          </w:p>
        </w:tc>
        <w:tc>
          <w:tcPr>
            <w:tcW w:w="1704" w:type="dxa"/>
            <w:vAlign w:val="bottom"/>
          </w:tcPr>
          <w:p w14:paraId="757A2C7A" w14:textId="5CDBFC85" w:rsidR="007100B3" w:rsidRPr="00F960B8" w:rsidRDefault="007100B3" w:rsidP="00F960B8">
            <w:pPr>
              <w:tabs>
                <w:tab w:val="decimal" w:pos="1056"/>
              </w:tabs>
              <w:spacing w:line="360" w:lineRule="auto"/>
              <w:rPr>
                <w:color w:val="000000"/>
              </w:rPr>
            </w:pPr>
            <w:r w:rsidRPr="00F960B8">
              <w:rPr>
                <w:color w:val="000000"/>
              </w:rPr>
              <w:t>65</w:t>
            </w:r>
          </w:p>
        </w:tc>
      </w:tr>
      <w:tr w:rsidR="007100B3" w:rsidRPr="00F960B8" w14:paraId="08EAA605" w14:textId="77777777" w:rsidTr="00F960B8">
        <w:tc>
          <w:tcPr>
            <w:tcW w:w="4730" w:type="dxa"/>
            <w:shd w:val="clear" w:color="auto" w:fill="auto"/>
            <w:noWrap/>
            <w:vAlign w:val="bottom"/>
          </w:tcPr>
          <w:p w14:paraId="5C99A5CE" w14:textId="77777777" w:rsidR="007100B3" w:rsidRPr="00F960B8" w:rsidRDefault="007100B3" w:rsidP="00F960B8">
            <w:pPr>
              <w:spacing w:line="360" w:lineRule="auto"/>
              <w:ind w:firstLineChars="260" w:firstLine="624"/>
              <w:rPr>
                <w:color w:val="000000"/>
              </w:rPr>
            </w:pPr>
            <w:r w:rsidRPr="00F960B8">
              <w:rPr>
                <w:color w:val="000000"/>
              </w:rPr>
              <w:t>Plaintiff=NGO; Defendant=NGO</w:t>
            </w:r>
          </w:p>
        </w:tc>
        <w:tc>
          <w:tcPr>
            <w:tcW w:w="2758" w:type="dxa"/>
            <w:shd w:val="clear" w:color="auto" w:fill="auto"/>
            <w:noWrap/>
            <w:vAlign w:val="bottom"/>
          </w:tcPr>
          <w:p w14:paraId="0D7AC1A8" w14:textId="38758E2C" w:rsidR="007100B3" w:rsidRPr="00F960B8" w:rsidRDefault="007100B3" w:rsidP="00F960B8">
            <w:pPr>
              <w:tabs>
                <w:tab w:val="decimal" w:pos="1480"/>
              </w:tabs>
              <w:spacing w:line="360" w:lineRule="auto"/>
              <w:rPr>
                <w:color w:val="000000"/>
              </w:rPr>
            </w:pPr>
            <w:r w:rsidRPr="00F960B8">
              <w:rPr>
                <w:color w:val="000000"/>
              </w:rPr>
              <w:t>4</w:t>
            </w:r>
          </w:p>
        </w:tc>
        <w:tc>
          <w:tcPr>
            <w:tcW w:w="2316" w:type="dxa"/>
            <w:shd w:val="clear" w:color="auto" w:fill="auto"/>
            <w:noWrap/>
            <w:vAlign w:val="bottom"/>
          </w:tcPr>
          <w:p w14:paraId="3963FA23" w14:textId="60A143CD" w:rsidR="007100B3" w:rsidRPr="00F960B8" w:rsidRDefault="007100B3" w:rsidP="00F960B8">
            <w:pPr>
              <w:tabs>
                <w:tab w:val="decimal" w:pos="1062"/>
              </w:tabs>
              <w:spacing w:line="360" w:lineRule="auto"/>
              <w:rPr>
                <w:color w:val="000000"/>
              </w:rPr>
            </w:pPr>
            <w:r w:rsidRPr="00F960B8">
              <w:rPr>
                <w:color w:val="000000"/>
              </w:rPr>
              <w:t>4</w:t>
            </w:r>
          </w:p>
        </w:tc>
        <w:tc>
          <w:tcPr>
            <w:tcW w:w="2010" w:type="dxa"/>
            <w:vAlign w:val="bottom"/>
          </w:tcPr>
          <w:p w14:paraId="4B7FDBB8" w14:textId="5F312B41" w:rsidR="007100B3" w:rsidRPr="00F960B8" w:rsidRDefault="007100B3" w:rsidP="00F960B8">
            <w:pPr>
              <w:tabs>
                <w:tab w:val="decimal" w:pos="1062"/>
              </w:tabs>
              <w:spacing w:line="360" w:lineRule="auto"/>
              <w:rPr>
                <w:color w:val="000000"/>
              </w:rPr>
            </w:pPr>
            <w:r w:rsidRPr="00F960B8">
              <w:rPr>
                <w:color w:val="000000"/>
              </w:rPr>
              <w:t>0</w:t>
            </w:r>
          </w:p>
        </w:tc>
        <w:tc>
          <w:tcPr>
            <w:tcW w:w="1704" w:type="dxa"/>
            <w:vAlign w:val="bottom"/>
          </w:tcPr>
          <w:p w14:paraId="031CF4DE" w14:textId="7E735427" w:rsidR="007100B3" w:rsidRPr="00F960B8" w:rsidRDefault="007100B3" w:rsidP="00F960B8">
            <w:pPr>
              <w:tabs>
                <w:tab w:val="decimal" w:pos="1056"/>
              </w:tabs>
              <w:spacing w:line="360" w:lineRule="auto"/>
              <w:rPr>
                <w:color w:val="000000"/>
              </w:rPr>
            </w:pPr>
            <w:r w:rsidRPr="00F960B8">
              <w:rPr>
                <w:color w:val="000000"/>
              </w:rPr>
              <w:t>16</w:t>
            </w:r>
          </w:p>
        </w:tc>
      </w:tr>
      <w:bookmarkEnd w:id="8"/>
    </w:tbl>
    <w:p w14:paraId="2EC2FF08" w14:textId="77777777" w:rsidR="00F960B8" w:rsidRDefault="00F960B8" w:rsidP="00F960B8">
      <w:pPr>
        <w:spacing w:line="480" w:lineRule="auto"/>
        <w:jc w:val="both"/>
        <w:rPr>
          <w:i/>
          <w:iCs/>
        </w:rPr>
      </w:pPr>
    </w:p>
    <w:p w14:paraId="5D2AF280" w14:textId="25F85D44" w:rsidR="005B07F7" w:rsidRPr="00F960B8" w:rsidRDefault="00F960B8" w:rsidP="00F960B8">
      <w:pPr>
        <w:spacing w:line="480" w:lineRule="auto"/>
        <w:rPr>
          <w:color w:val="000000" w:themeColor="text1"/>
        </w:rPr>
      </w:pPr>
      <w:r>
        <w:rPr>
          <w:iCs/>
        </w:rPr>
        <w:t>T</w:t>
      </w:r>
      <w:r w:rsidRPr="00F960B8">
        <w:rPr>
          <w:iCs/>
        </w:rPr>
        <w:t>able 2 n</w:t>
      </w:r>
      <w:r w:rsidR="005B07F7" w:rsidRPr="00F960B8">
        <w:rPr>
          <w:iCs/>
        </w:rPr>
        <w:t>otes</w:t>
      </w:r>
      <w:r w:rsidRPr="00F960B8">
        <w:rPr>
          <w:iCs/>
        </w:rPr>
        <w:t>:</w:t>
      </w:r>
      <w:r w:rsidR="005B07F7" w:rsidRPr="00F960B8">
        <w:t xml:space="preserve"> </w:t>
      </w:r>
      <w:r w:rsidR="002D02FB" w:rsidRPr="00F960B8">
        <w:t xml:space="preserve">Cases by type involves the following </w:t>
      </w:r>
      <w:r w:rsidR="005B07F7" w:rsidRPr="00F960B8">
        <w:t xml:space="preserve">three parties: Public (federal, state/local and tribal government and different departments of the governments), Private (corporations and businesses) and NGO (non-profit organizations and individuals). There were multiple types of plaintiffs in 10 cases, whereas 12 cases had multiple types of defendants. Data for the US come from McCormick </w:t>
      </w:r>
      <w:r w:rsidR="005B07F7" w:rsidRPr="00F960B8">
        <w:rPr>
          <w:i/>
          <w:iCs/>
        </w:rPr>
        <w:t>et al.</w:t>
      </w:r>
      <w:r w:rsidR="005B07F7" w:rsidRPr="00F960B8">
        <w:t xml:space="preserve"> (2018) wh</w:t>
      </w:r>
      <w:r w:rsidR="0029257C" w:rsidRPr="00F960B8">
        <w:t xml:space="preserve">o studied </w:t>
      </w:r>
      <w:r w:rsidR="005B07F7" w:rsidRPr="00F960B8">
        <w:t xml:space="preserve">838 cases </w:t>
      </w:r>
      <w:r w:rsidR="00DB1112" w:rsidRPr="00F960B8">
        <w:t>between</w:t>
      </w:r>
      <w:r w:rsidR="005B07F7" w:rsidRPr="00F960B8">
        <w:t xml:space="preserve"> 1990-2016. </w:t>
      </w:r>
      <w:r w:rsidR="0029257C" w:rsidRPr="00F960B8">
        <w:t xml:space="preserve"> The totals under “Court cases by type” therefore differ from the total numbers reported at the top of the table</w:t>
      </w:r>
      <w:r w:rsidR="0029257C" w:rsidRPr="00F960B8">
        <w:rPr>
          <w:color w:val="000000" w:themeColor="text1"/>
        </w:rPr>
        <w:t xml:space="preserve">. </w:t>
      </w:r>
      <w:r w:rsidR="00AD033A" w:rsidRPr="00F960B8">
        <w:rPr>
          <w:color w:val="000000" w:themeColor="text1"/>
        </w:rPr>
        <w:t xml:space="preserve">This list includes cases with </w:t>
      </w:r>
      <w:r w:rsidR="00DB1112" w:rsidRPr="00F960B8">
        <w:rPr>
          <w:color w:val="000000" w:themeColor="text1"/>
        </w:rPr>
        <w:t>international</w:t>
      </w:r>
      <w:r w:rsidR="00AD033A" w:rsidRPr="00F960B8">
        <w:rPr>
          <w:color w:val="000000" w:themeColor="text1"/>
        </w:rPr>
        <w:t xml:space="preserve"> and regional jurisdictions, with EU-jurisdiction cases included in total EU cases.</w:t>
      </w:r>
    </w:p>
    <w:p w14:paraId="67B2687D" w14:textId="09A182D2" w:rsidR="00AE16FD" w:rsidRPr="00F960B8" w:rsidRDefault="00AE16FD" w:rsidP="00F960B8">
      <w:pPr>
        <w:spacing w:line="480" w:lineRule="auto"/>
        <w:jc w:val="both"/>
      </w:pPr>
      <w:r w:rsidRPr="00F960B8">
        <w:rPr>
          <w:i/>
          <w:iCs/>
        </w:rPr>
        <w:t xml:space="preserve">Source: </w:t>
      </w:r>
      <w:r w:rsidR="004E4740" w:rsidRPr="00F960B8">
        <w:t xml:space="preserve">Authors based on </w:t>
      </w:r>
      <w:r w:rsidRPr="00F960B8">
        <w:rPr>
          <w:i/>
          <w:iCs/>
        </w:rPr>
        <w:t>Climate Change Laws of the World</w:t>
      </w:r>
      <w:r w:rsidR="00E36F82" w:rsidRPr="00F960B8">
        <w:rPr>
          <w:i/>
          <w:iCs/>
        </w:rPr>
        <w:t xml:space="preserve">, </w:t>
      </w:r>
      <w:r w:rsidR="00E36F82" w:rsidRPr="00F960B8">
        <w:t>Sabin Center data</w:t>
      </w:r>
      <w:r w:rsidR="0029257C" w:rsidRPr="00F960B8">
        <w:t xml:space="preserve"> and McCormick </w:t>
      </w:r>
      <w:r w:rsidR="0029257C" w:rsidRPr="00F960B8">
        <w:rPr>
          <w:i/>
          <w:iCs/>
        </w:rPr>
        <w:t>et al</w:t>
      </w:r>
      <w:r w:rsidR="00E87A80" w:rsidRPr="00F960B8">
        <w:rPr>
          <w:i/>
          <w:iCs/>
        </w:rPr>
        <w:t>.</w:t>
      </w:r>
      <w:r w:rsidR="0029257C" w:rsidRPr="00F960B8">
        <w:t xml:space="preserve"> (2018)</w:t>
      </w:r>
      <w:r w:rsidR="004672AF" w:rsidRPr="00F960B8">
        <w:t>.</w:t>
      </w:r>
    </w:p>
    <w:p w14:paraId="170CF0F2" w14:textId="77777777" w:rsidR="00F544C9" w:rsidRPr="00F960B8" w:rsidRDefault="00F544C9" w:rsidP="00F960B8">
      <w:pPr>
        <w:spacing w:line="480" w:lineRule="auto"/>
        <w:rPr>
          <w:b/>
        </w:rPr>
      </w:pPr>
      <w:r w:rsidRPr="00F960B8">
        <w:br w:type="page"/>
      </w:r>
    </w:p>
    <w:p w14:paraId="582E44A8" w14:textId="77777777" w:rsidR="00DA1981" w:rsidRPr="00F960B8" w:rsidRDefault="00DA1981" w:rsidP="00F960B8">
      <w:pPr>
        <w:pStyle w:val="Heading2"/>
        <w:keepNext/>
        <w:keepLines/>
        <w:spacing w:after="0" w:line="480" w:lineRule="auto"/>
        <w:jc w:val="center"/>
        <w:sectPr w:rsidR="00DA1981" w:rsidRPr="00F960B8" w:rsidSect="00F960B8">
          <w:endnotePr>
            <w:numFmt w:val="decimal"/>
          </w:endnotePr>
          <w:pgSz w:w="15840" w:h="12240" w:orient="landscape" w:code="1"/>
          <w:pgMar w:top="1296" w:right="1296" w:bottom="1296" w:left="1296" w:header="432" w:footer="706" w:gutter="0"/>
          <w:cols w:space="708"/>
          <w:docGrid w:linePitch="360"/>
        </w:sectPr>
      </w:pPr>
    </w:p>
    <w:p w14:paraId="576EDE2B" w14:textId="434F66F9" w:rsidR="002470E9" w:rsidRDefault="002470E9" w:rsidP="001375F3">
      <w:pPr>
        <w:pStyle w:val="Heading2"/>
        <w:keepNext/>
        <w:keepLines/>
        <w:spacing w:after="0" w:line="276" w:lineRule="auto"/>
        <w:rPr>
          <w:b w:val="0"/>
        </w:rPr>
      </w:pPr>
      <w:r w:rsidRPr="001375F3">
        <w:rPr>
          <w:b w:val="0"/>
        </w:rPr>
        <w:lastRenderedPageBreak/>
        <w:t>Table 3: Prominent strategic litigation cases</w:t>
      </w:r>
    </w:p>
    <w:p w14:paraId="39FA4E39" w14:textId="77777777" w:rsidR="001375F3" w:rsidRPr="001375F3" w:rsidRDefault="001375F3" w:rsidP="001375F3"/>
    <w:tbl>
      <w:tblPr>
        <w:tblStyle w:val="TableGrid"/>
        <w:tblW w:w="5312" w:type="pct"/>
        <w:tblLook w:val="04A0" w:firstRow="1" w:lastRow="0" w:firstColumn="1" w:lastColumn="0" w:noHBand="0" w:noVBand="1"/>
      </w:tblPr>
      <w:tblGrid>
        <w:gridCol w:w="1940"/>
        <w:gridCol w:w="1148"/>
        <w:gridCol w:w="2469"/>
        <w:gridCol w:w="1918"/>
        <w:gridCol w:w="6523"/>
      </w:tblGrid>
      <w:tr w:rsidR="002470E9" w:rsidRPr="001375F3" w14:paraId="08C0CCA0" w14:textId="77777777" w:rsidTr="00DA1981">
        <w:trPr>
          <w:tblHeader/>
        </w:trPr>
        <w:tc>
          <w:tcPr>
            <w:tcW w:w="693" w:type="pct"/>
          </w:tcPr>
          <w:p w14:paraId="534DFDF9" w14:textId="77777777" w:rsidR="002470E9" w:rsidRPr="001375F3" w:rsidRDefault="002470E9" w:rsidP="001375F3">
            <w:pPr>
              <w:spacing w:line="276" w:lineRule="auto"/>
              <w:ind w:left="319"/>
              <w:rPr>
                <w:b/>
                <w:bCs/>
                <w:szCs w:val="20"/>
              </w:rPr>
            </w:pPr>
            <w:r w:rsidRPr="001375F3">
              <w:rPr>
                <w:b/>
                <w:bCs/>
                <w:szCs w:val="20"/>
              </w:rPr>
              <w:t>Case</w:t>
            </w:r>
          </w:p>
        </w:tc>
        <w:tc>
          <w:tcPr>
            <w:tcW w:w="410" w:type="pct"/>
          </w:tcPr>
          <w:p w14:paraId="721517F0" w14:textId="77777777" w:rsidR="002470E9" w:rsidRPr="001375F3" w:rsidRDefault="002470E9" w:rsidP="001375F3">
            <w:pPr>
              <w:spacing w:line="276" w:lineRule="auto"/>
              <w:rPr>
                <w:b/>
                <w:bCs/>
                <w:szCs w:val="20"/>
              </w:rPr>
            </w:pPr>
            <w:r w:rsidRPr="001375F3">
              <w:rPr>
                <w:b/>
                <w:bCs/>
                <w:szCs w:val="20"/>
              </w:rPr>
              <w:t>Year started</w:t>
            </w:r>
          </w:p>
        </w:tc>
        <w:tc>
          <w:tcPr>
            <w:tcW w:w="882" w:type="pct"/>
          </w:tcPr>
          <w:p w14:paraId="2E445444" w14:textId="77777777" w:rsidR="002470E9" w:rsidRPr="001375F3" w:rsidRDefault="002470E9" w:rsidP="001375F3">
            <w:pPr>
              <w:spacing w:line="276" w:lineRule="auto"/>
              <w:rPr>
                <w:b/>
                <w:bCs/>
                <w:szCs w:val="20"/>
              </w:rPr>
            </w:pPr>
            <w:r w:rsidRPr="001375F3">
              <w:rPr>
                <w:b/>
                <w:bCs/>
                <w:szCs w:val="20"/>
              </w:rPr>
              <w:t>Plaintiff</w:t>
            </w:r>
          </w:p>
        </w:tc>
        <w:tc>
          <w:tcPr>
            <w:tcW w:w="685" w:type="pct"/>
          </w:tcPr>
          <w:p w14:paraId="0E6174C5" w14:textId="77777777" w:rsidR="002470E9" w:rsidRPr="001375F3" w:rsidRDefault="002470E9" w:rsidP="001375F3">
            <w:pPr>
              <w:spacing w:line="276" w:lineRule="auto"/>
              <w:rPr>
                <w:b/>
                <w:bCs/>
                <w:szCs w:val="20"/>
              </w:rPr>
            </w:pPr>
            <w:r w:rsidRPr="001375F3">
              <w:rPr>
                <w:b/>
                <w:bCs/>
                <w:szCs w:val="20"/>
              </w:rPr>
              <w:t xml:space="preserve">Defendant </w:t>
            </w:r>
          </w:p>
        </w:tc>
        <w:tc>
          <w:tcPr>
            <w:tcW w:w="2330" w:type="pct"/>
          </w:tcPr>
          <w:p w14:paraId="4BC968A8" w14:textId="4EFB0733" w:rsidR="002470E9" w:rsidRPr="001375F3" w:rsidRDefault="002470E9" w:rsidP="001375F3">
            <w:pPr>
              <w:spacing w:line="276" w:lineRule="auto"/>
              <w:rPr>
                <w:b/>
                <w:bCs/>
                <w:szCs w:val="20"/>
              </w:rPr>
            </w:pPr>
            <w:r w:rsidRPr="001375F3">
              <w:rPr>
                <w:b/>
                <w:bCs/>
                <w:szCs w:val="20"/>
              </w:rPr>
              <w:t>S</w:t>
            </w:r>
            <w:r w:rsidR="00F90656" w:rsidRPr="001375F3">
              <w:rPr>
                <w:b/>
                <w:bCs/>
                <w:szCs w:val="20"/>
              </w:rPr>
              <w:t>ummary and s</w:t>
            </w:r>
            <w:r w:rsidRPr="001375F3">
              <w:rPr>
                <w:b/>
                <w:bCs/>
                <w:szCs w:val="20"/>
              </w:rPr>
              <w:t>tatus</w:t>
            </w:r>
          </w:p>
        </w:tc>
      </w:tr>
      <w:tr w:rsidR="002470E9" w:rsidRPr="001375F3" w14:paraId="2F7D18E3" w14:textId="77777777" w:rsidTr="00DA1981">
        <w:tc>
          <w:tcPr>
            <w:tcW w:w="693" w:type="pct"/>
          </w:tcPr>
          <w:p w14:paraId="722CC286" w14:textId="4D014CEE" w:rsidR="00F90656" w:rsidRPr="001375F3" w:rsidRDefault="00F90656" w:rsidP="001375F3">
            <w:pPr>
              <w:spacing w:line="480" w:lineRule="auto"/>
              <w:rPr>
                <w:szCs w:val="20"/>
              </w:rPr>
            </w:pPr>
            <w:r w:rsidRPr="001375F3">
              <w:rPr>
                <w:i/>
                <w:iCs/>
                <w:szCs w:val="20"/>
              </w:rPr>
              <w:t>Urgenda Foundation v. State of the Netherlands</w:t>
            </w:r>
            <w:r w:rsidRPr="001375F3">
              <w:rPr>
                <w:szCs w:val="20"/>
              </w:rPr>
              <w:t xml:space="preserve"> </w:t>
            </w:r>
          </w:p>
          <w:p w14:paraId="366B17E0" w14:textId="5042A6B1" w:rsidR="002470E9" w:rsidRPr="001375F3" w:rsidRDefault="002470E9" w:rsidP="001375F3">
            <w:pPr>
              <w:spacing w:line="480" w:lineRule="auto"/>
              <w:ind w:left="319"/>
              <w:rPr>
                <w:b/>
                <w:bCs/>
                <w:szCs w:val="20"/>
              </w:rPr>
            </w:pPr>
          </w:p>
        </w:tc>
        <w:tc>
          <w:tcPr>
            <w:tcW w:w="410" w:type="pct"/>
          </w:tcPr>
          <w:p w14:paraId="457FAEB0" w14:textId="4CFD60E4" w:rsidR="002470E9" w:rsidRPr="001375F3" w:rsidRDefault="00F90656" w:rsidP="001375F3">
            <w:pPr>
              <w:spacing w:line="480" w:lineRule="auto"/>
              <w:rPr>
                <w:szCs w:val="20"/>
              </w:rPr>
            </w:pPr>
            <w:r w:rsidRPr="001375F3">
              <w:rPr>
                <w:szCs w:val="20"/>
              </w:rPr>
              <w:t>2013</w:t>
            </w:r>
          </w:p>
        </w:tc>
        <w:tc>
          <w:tcPr>
            <w:tcW w:w="882" w:type="pct"/>
          </w:tcPr>
          <w:p w14:paraId="7D0CD3B2" w14:textId="77777777" w:rsidR="00F90656" w:rsidRPr="001375F3" w:rsidRDefault="00F90656" w:rsidP="001375F3">
            <w:pPr>
              <w:spacing w:line="480" w:lineRule="auto"/>
              <w:rPr>
                <w:szCs w:val="20"/>
              </w:rPr>
            </w:pPr>
            <w:r w:rsidRPr="001375F3">
              <w:rPr>
                <w:szCs w:val="20"/>
              </w:rPr>
              <w:t>Dutch environmental group, the Urgenda Foundation, and 900 Dutch citizens</w:t>
            </w:r>
          </w:p>
          <w:p w14:paraId="4E5D6643" w14:textId="77777777" w:rsidR="002470E9" w:rsidRPr="001375F3" w:rsidRDefault="002470E9" w:rsidP="001375F3">
            <w:pPr>
              <w:spacing w:line="480" w:lineRule="auto"/>
              <w:rPr>
                <w:szCs w:val="20"/>
              </w:rPr>
            </w:pPr>
          </w:p>
        </w:tc>
        <w:tc>
          <w:tcPr>
            <w:tcW w:w="685" w:type="pct"/>
          </w:tcPr>
          <w:p w14:paraId="09DD5FF8" w14:textId="52932CDC" w:rsidR="00F90656" w:rsidRPr="001375F3" w:rsidRDefault="00F90656" w:rsidP="001375F3">
            <w:pPr>
              <w:spacing w:line="480" w:lineRule="auto"/>
              <w:rPr>
                <w:szCs w:val="20"/>
              </w:rPr>
            </w:pPr>
            <w:r w:rsidRPr="001375F3">
              <w:rPr>
                <w:szCs w:val="20"/>
              </w:rPr>
              <w:t xml:space="preserve">State of the Netherlands </w:t>
            </w:r>
          </w:p>
          <w:p w14:paraId="7028E763" w14:textId="77777777" w:rsidR="002470E9" w:rsidRPr="001375F3" w:rsidRDefault="002470E9" w:rsidP="001375F3">
            <w:pPr>
              <w:spacing w:line="480" w:lineRule="auto"/>
              <w:rPr>
                <w:szCs w:val="20"/>
              </w:rPr>
            </w:pPr>
          </w:p>
        </w:tc>
        <w:tc>
          <w:tcPr>
            <w:tcW w:w="2330" w:type="pct"/>
          </w:tcPr>
          <w:p w14:paraId="6C41B301" w14:textId="1F023F62" w:rsidR="005A0F3C" w:rsidRPr="001375F3" w:rsidRDefault="00F90656" w:rsidP="001375F3">
            <w:pPr>
              <w:spacing w:line="480" w:lineRule="auto"/>
              <w:rPr>
                <w:szCs w:val="20"/>
              </w:rPr>
            </w:pPr>
            <w:r w:rsidRPr="001375F3">
              <w:rPr>
                <w:szCs w:val="20"/>
              </w:rPr>
              <w:t xml:space="preserve">The first case to argue successfully for the adoption of stricter emissions reduction targets by a government. In December 2019, the Dutch Supreme Court upheld earlier rulings, which required the Netherlands to reduce </w:t>
            </w:r>
            <w:r w:rsidR="007626BF" w:rsidRPr="001375F3">
              <w:rPr>
                <w:szCs w:val="20"/>
              </w:rPr>
              <w:t xml:space="preserve">its </w:t>
            </w:r>
            <w:r w:rsidRPr="001375F3">
              <w:rPr>
                <w:szCs w:val="20"/>
              </w:rPr>
              <w:t xml:space="preserve">emissions by at least 25 percent on 1990 levels by 2020. Even before the final decision by the Supreme Court, the case triggered substantial changes in government policy, including the adoption of the </w:t>
            </w:r>
            <w:r w:rsidRPr="001375F3">
              <w:rPr>
                <w:i/>
                <w:iCs/>
                <w:szCs w:val="20"/>
              </w:rPr>
              <w:t>Climate Act</w:t>
            </w:r>
            <w:r w:rsidRPr="001375F3">
              <w:rPr>
                <w:szCs w:val="20"/>
              </w:rPr>
              <w:t xml:space="preserve"> 2019 and the decision to phase out coal-fired power generation by 2030 (Verschuuren 2019; Jodoin </w:t>
            </w:r>
            <w:r w:rsidRPr="001375F3">
              <w:rPr>
                <w:i/>
                <w:iCs/>
                <w:szCs w:val="20"/>
              </w:rPr>
              <w:t>et al.</w:t>
            </w:r>
            <w:r w:rsidRPr="001375F3">
              <w:rPr>
                <w:szCs w:val="20"/>
              </w:rPr>
              <w:t xml:space="preserve"> 2018). The case</w:t>
            </w:r>
            <w:r w:rsidR="009345A6" w:rsidRPr="001375F3">
              <w:rPr>
                <w:szCs w:val="20"/>
              </w:rPr>
              <w:t xml:space="preserve"> </w:t>
            </w:r>
            <w:r w:rsidRPr="001375F3">
              <w:rPr>
                <w:szCs w:val="20"/>
              </w:rPr>
              <w:t>motivated a wave of Urgenda-inspired climate change litigation across the world.</w:t>
            </w:r>
          </w:p>
        </w:tc>
      </w:tr>
      <w:tr w:rsidR="00F90656" w:rsidRPr="001375F3" w14:paraId="2A5909DA" w14:textId="77777777" w:rsidTr="00DA1981">
        <w:tc>
          <w:tcPr>
            <w:tcW w:w="693" w:type="pct"/>
          </w:tcPr>
          <w:p w14:paraId="72111BFE" w14:textId="70C95315" w:rsidR="00F90656" w:rsidRPr="001375F3" w:rsidRDefault="00F90656" w:rsidP="001375F3">
            <w:pPr>
              <w:spacing w:line="480" w:lineRule="auto"/>
              <w:rPr>
                <w:i/>
                <w:iCs/>
                <w:szCs w:val="20"/>
              </w:rPr>
            </w:pPr>
            <w:r w:rsidRPr="001375F3">
              <w:rPr>
                <w:i/>
                <w:iCs/>
                <w:szCs w:val="20"/>
              </w:rPr>
              <w:t>Leghari v Federation of Pakistan</w:t>
            </w:r>
          </w:p>
        </w:tc>
        <w:tc>
          <w:tcPr>
            <w:tcW w:w="410" w:type="pct"/>
          </w:tcPr>
          <w:p w14:paraId="156BC867" w14:textId="370371EB" w:rsidR="00F90656" w:rsidRPr="001375F3" w:rsidRDefault="00F90656" w:rsidP="001375F3">
            <w:pPr>
              <w:spacing w:line="480" w:lineRule="auto"/>
              <w:rPr>
                <w:szCs w:val="20"/>
              </w:rPr>
            </w:pPr>
            <w:r w:rsidRPr="001375F3">
              <w:rPr>
                <w:szCs w:val="20"/>
              </w:rPr>
              <w:t>2015</w:t>
            </w:r>
          </w:p>
        </w:tc>
        <w:tc>
          <w:tcPr>
            <w:tcW w:w="882" w:type="pct"/>
          </w:tcPr>
          <w:p w14:paraId="62F3C4E6" w14:textId="137E0E75" w:rsidR="00F90656" w:rsidRPr="001375F3" w:rsidRDefault="00F90656" w:rsidP="001375F3">
            <w:pPr>
              <w:spacing w:line="480" w:lineRule="auto"/>
              <w:rPr>
                <w:szCs w:val="20"/>
              </w:rPr>
            </w:pPr>
            <w:r w:rsidRPr="001375F3">
              <w:rPr>
                <w:szCs w:val="20"/>
              </w:rPr>
              <w:t>Ashgar Leghari</w:t>
            </w:r>
          </w:p>
        </w:tc>
        <w:tc>
          <w:tcPr>
            <w:tcW w:w="685" w:type="pct"/>
          </w:tcPr>
          <w:p w14:paraId="3CD58F36" w14:textId="316EC297" w:rsidR="00F90656" w:rsidRPr="001375F3" w:rsidRDefault="00F90656" w:rsidP="001375F3">
            <w:pPr>
              <w:spacing w:line="480" w:lineRule="auto"/>
              <w:rPr>
                <w:szCs w:val="20"/>
              </w:rPr>
            </w:pPr>
            <w:r w:rsidRPr="001375F3">
              <w:rPr>
                <w:szCs w:val="20"/>
              </w:rPr>
              <w:t>Federation of Pakistan</w:t>
            </w:r>
          </w:p>
        </w:tc>
        <w:tc>
          <w:tcPr>
            <w:tcW w:w="2330" w:type="pct"/>
          </w:tcPr>
          <w:p w14:paraId="67E3D46B" w14:textId="34465091" w:rsidR="005A0F3C" w:rsidRPr="001375F3" w:rsidRDefault="00F90656" w:rsidP="001375F3">
            <w:pPr>
              <w:spacing w:line="480" w:lineRule="auto"/>
              <w:rPr>
                <w:szCs w:val="20"/>
              </w:rPr>
            </w:pPr>
            <w:r w:rsidRPr="001375F3">
              <w:rPr>
                <w:szCs w:val="20"/>
              </w:rPr>
              <w:t xml:space="preserve">An appellate court in Pakistan granted the claims of Ashgar Leghari, a Pakistani farmer, who had sued the national government for failure to </w:t>
            </w:r>
            <w:r w:rsidR="0070239F" w:rsidRPr="001375F3">
              <w:rPr>
                <w:szCs w:val="20"/>
              </w:rPr>
              <w:t>implement</w:t>
            </w:r>
            <w:r w:rsidRPr="001375F3">
              <w:rPr>
                <w:szCs w:val="20"/>
              </w:rPr>
              <w:t xml:space="preserve"> the National Climate </w:t>
            </w:r>
            <w:r w:rsidRPr="001375F3">
              <w:rPr>
                <w:szCs w:val="20"/>
              </w:rPr>
              <w:lastRenderedPageBreak/>
              <w:t>Change Policy of 2012 and the Framework for Implementation of Climate Change Policy (2014-2030). The court, citing domestic and international legal principles, determined that "the delay and lethargy of the State in implementing the Framework offend the fundamental rights of the citizens."</w:t>
            </w:r>
          </w:p>
        </w:tc>
      </w:tr>
      <w:tr w:rsidR="00F90656" w:rsidRPr="001375F3" w14:paraId="1B6EB20A" w14:textId="77777777" w:rsidTr="00DA1981">
        <w:tc>
          <w:tcPr>
            <w:tcW w:w="693" w:type="pct"/>
          </w:tcPr>
          <w:p w14:paraId="3EA3EEA5" w14:textId="55D45499" w:rsidR="00F90656" w:rsidRPr="001375F3" w:rsidRDefault="00F90656" w:rsidP="001375F3">
            <w:pPr>
              <w:spacing w:line="480" w:lineRule="auto"/>
              <w:rPr>
                <w:i/>
                <w:iCs/>
                <w:szCs w:val="20"/>
              </w:rPr>
            </w:pPr>
            <w:r w:rsidRPr="001375F3">
              <w:rPr>
                <w:i/>
                <w:iCs/>
                <w:szCs w:val="20"/>
              </w:rPr>
              <w:lastRenderedPageBreak/>
              <w:t>Carbon Majors Inquiry</w:t>
            </w:r>
          </w:p>
        </w:tc>
        <w:tc>
          <w:tcPr>
            <w:tcW w:w="410" w:type="pct"/>
          </w:tcPr>
          <w:p w14:paraId="3206FC98" w14:textId="1C98B02E" w:rsidR="00F90656" w:rsidRPr="001375F3" w:rsidRDefault="00F90656" w:rsidP="001375F3">
            <w:pPr>
              <w:spacing w:line="480" w:lineRule="auto"/>
              <w:rPr>
                <w:szCs w:val="20"/>
              </w:rPr>
            </w:pPr>
            <w:r w:rsidRPr="001375F3">
              <w:rPr>
                <w:szCs w:val="20"/>
              </w:rPr>
              <w:t>2015</w:t>
            </w:r>
          </w:p>
        </w:tc>
        <w:tc>
          <w:tcPr>
            <w:tcW w:w="882" w:type="pct"/>
          </w:tcPr>
          <w:p w14:paraId="51152617" w14:textId="2C91CD67" w:rsidR="00F90656" w:rsidRPr="001375F3" w:rsidRDefault="00F90656" w:rsidP="001375F3">
            <w:pPr>
              <w:spacing w:line="480" w:lineRule="auto"/>
              <w:rPr>
                <w:szCs w:val="20"/>
              </w:rPr>
            </w:pPr>
            <w:r w:rsidRPr="001375F3">
              <w:rPr>
                <w:szCs w:val="20"/>
              </w:rPr>
              <w:t>Greenpeace Southeast Asia, Philippine Rural Reconstruction Movement and 12 NGOs, 20 individuals, and 1,288 Filipinos (signatories of a petition)</w:t>
            </w:r>
          </w:p>
        </w:tc>
        <w:tc>
          <w:tcPr>
            <w:tcW w:w="685" w:type="pct"/>
          </w:tcPr>
          <w:p w14:paraId="33631626" w14:textId="1FFC02AC" w:rsidR="00F90656" w:rsidRPr="001375F3" w:rsidRDefault="00F90656" w:rsidP="001375F3">
            <w:pPr>
              <w:spacing w:line="480" w:lineRule="auto"/>
              <w:rPr>
                <w:szCs w:val="20"/>
              </w:rPr>
            </w:pPr>
            <w:r w:rsidRPr="001375F3">
              <w:rPr>
                <w:szCs w:val="20"/>
              </w:rPr>
              <w:t>50 investor-owned Carbon Majors (largest producers of crude oil, natural gas, coal and cement)</w:t>
            </w:r>
          </w:p>
        </w:tc>
        <w:tc>
          <w:tcPr>
            <w:tcW w:w="2330" w:type="pct"/>
          </w:tcPr>
          <w:p w14:paraId="6F555BAD" w14:textId="77777777" w:rsidR="00F90656" w:rsidRPr="001375F3" w:rsidRDefault="0055575C" w:rsidP="001375F3">
            <w:pPr>
              <w:spacing w:line="480" w:lineRule="auto"/>
              <w:rPr>
                <w:szCs w:val="20"/>
              </w:rPr>
            </w:pPr>
            <w:r w:rsidRPr="001375F3">
              <w:rPr>
                <w:szCs w:val="20"/>
              </w:rPr>
              <w:t xml:space="preserve">A group of plaintiffs led by </w:t>
            </w:r>
            <w:r w:rsidR="00F90656" w:rsidRPr="001375F3">
              <w:rPr>
                <w:szCs w:val="20"/>
              </w:rPr>
              <w:t xml:space="preserve">Greenpeace Southeast Asia filed a petition asking the Philippines Commission on Human Rights to investigate “the human rights implications of climate change and ocean acidification and the resulting rights violations in the Philippines”, and “whether the investor-owned Carbon Majors have breached their responsibilities to respect the rights of the Filipino people.” The Commission found that fossil fuel companies have a clear moral responsibility, and the onus falls on individual countries to pass strong legislation and establish legal liability in their courts. The Commission further found that </w:t>
            </w:r>
            <w:r w:rsidR="00F90656" w:rsidRPr="001375F3">
              <w:rPr>
                <w:szCs w:val="20"/>
              </w:rPr>
              <w:lastRenderedPageBreak/>
              <w:t>existing civil law in the Philippines provided grounds for action, and</w:t>
            </w:r>
            <w:r w:rsidR="009345A6" w:rsidRPr="001375F3">
              <w:rPr>
                <w:szCs w:val="20"/>
              </w:rPr>
              <w:t xml:space="preserve"> that </w:t>
            </w:r>
            <w:r w:rsidR="00F90656" w:rsidRPr="001375F3">
              <w:rPr>
                <w:szCs w:val="20"/>
              </w:rPr>
              <w:t>it may be possible to hold companies criminally accountable where they have been clearly proved to have engaged in acts of obstruction and willful obfuscation.</w:t>
            </w:r>
          </w:p>
          <w:p w14:paraId="7B5588D1" w14:textId="1E925862" w:rsidR="005A0F3C" w:rsidRPr="001375F3" w:rsidRDefault="005A0F3C" w:rsidP="001375F3">
            <w:pPr>
              <w:spacing w:line="480" w:lineRule="auto"/>
              <w:rPr>
                <w:szCs w:val="20"/>
              </w:rPr>
            </w:pPr>
          </w:p>
        </w:tc>
      </w:tr>
    </w:tbl>
    <w:p w14:paraId="5297A783" w14:textId="77777777" w:rsidR="001375F3" w:rsidRDefault="001375F3" w:rsidP="001375F3">
      <w:pPr>
        <w:spacing w:line="360" w:lineRule="auto"/>
        <w:jc w:val="both"/>
        <w:rPr>
          <w:iCs/>
        </w:rPr>
      </w:pPr>
    </w:p>
    <w:p w14:paraId="319FE20D" w14:textId="088DACD6" w:rsidR="004672AF" w:rsidRPr="001375F3" w:rsidRDefault="001375F3" w:rsidP="001375F3">
      <w:pPr>
        <w:spacing w:line="360" w:lineRule="auto"/>
        <w:jc w:val="both"/>
        <w:rPr>
          <w:b/>
        </w:rPr>
      </w:pPr>
      <w:r>
        <w:rPr>
          <w:iCs/>
        </w:rPr>
        <w:t xml:space="preserve">Table 3 </w:t>
      </w:r>
      <w:r w:rsidR="002470E9" w:rsidRPr="001375F3">
        <w:rPr>
          <w:iCs/>
        </w:rPr>
        <w:t>Source:</w:t>
      </w:r>
      <w:r w:rsidR="002470E9" w:rsidRPr="001375F3">
        <w:rPr>
          <w:i/>
          <w:iCs/>
        </w:rPr>
        <w:t xml:space="preserve"> </w:t>
      </w:r>
      <w:r w:rsidR="002470E9" w:rsidRPr="001375F3">
        <w:t>Authors based on</w:t>
      </w:r>
      <w:r w:rsidR="002470E9" w:rsidRPr="001375F3">
        <w:rPr>
          <w:i/>
          <w:iCs/>
        </w:rPr>
        <w:t xml:space="preserve"> Climate Change Laws of the World</w:t>
      </w:r>
      <w:r w:rsidR="004672AF" w:rsidRPr="001375F3">
        <w:t>.</w:t>
      </w:r>
      <w:r w:rsidR="004672AF" w:rsidRPr="001375F3">
        <w:br w:type="page"/>
      </w:r>
    </w:p>
    <w:p w14:paraId="52E018AD" w14:textId="7654E346" w:rsidR="00AE16FD" w:rsidRDefault="004239A2" w:rsidP="005A2B65">
      <w:pPr>
        <w:pStyle w:val="Heading2"/>
        <w:keepNext/>
        <w:keepLines/>
        <w:spacing w:after="0" w:line="276" w:lineRule="auto"/>
        <w:rPr>
          <w:b w:val="0"/>
        </w:rPr>
      </w:pPr>
      <w:r w:rsidRPr="005A2B65">
        <w:rPr>
          <w:b w:val="0"/>
        </w:rPr>
        <w:lastRenderedPageBreak/>
        <w:t xml:space="preserve">Table 4: </w:t>
      </w:r>
      <w:r w:rsidR="00332564" w:rsidRPr="005A2B65">
        <w:rPr>
          <w:b w:val="0"/>
        </w:rPr>
        <w:t xml:space="preserve"> Legislative activity by countries</w:t>
      </w:r>
    </w:p>
    <w:p w14:paraId="2988340F" w14:textId="77777777" w:rsidR="007B296C" w:rsidRPr="007B296C" w:rsidRDefault="007B296C" w:rsidP="007B296C"/>
    <w:p w14:paraId="62DEE6FD" w14:textId="77777777" w:rsidR="00AE5404" w:rsidRDefault="00AE5404" w:rsidP="00AE5404">
      <w:pPr>
        <w:pStyle w:val="ListParagraph"/>
        <w:numPr>
          <w:ilvl w:val="0"/>
          <w:numId w:val="36"/>
        </w:numPr>
        <w:rPr>
          <w:bCs/>
        </w:rPr>
      </w:pPr>
      <w:r w:rsidRPr="005A2B65">
        <w:rPr>
          <w:bCs/>
        </w:rPr>
        <w:t>G-20 Countries</w:t>
      </w:r>
    </w:p>
    <w:p w14:paraId="6941DC05" w14:textId="77777777" w:rsidR="007B296C" w:rsidRPr="005A2B65" w:rsidRDefault="007B296C" w:rsidP="007B296C">
      <w:pPr>
        <w:pStyle w:val="ListParagraph"/>
        <w:rPr>
          <w:bCs/>
        </w:rPr>
      </w:pPr>
    </w:p>
    <w:tbl>
      <w:tblPr>
        <w:tblW w:w="4242" w:type="pct"/>
        <w:tblLayout w:type="fixed"/>
        <w:tblLook w:val="04A0" w:firstRow="1" w:lastRow="0" w:firstColumn="1" w:lastColumn="0" w:noHBand="0" w:noVBand="1"/>
      </w:tblPr>
      <w:tblGrid>
        <w:gridCol w:w="1384"/>
        <w:gridCol w:w="1402"/>
        <w:gridCol w:w="1482"/>
        <w:gridCol w:w="1688"/>
        <w:gridCol w:w="1713"/>
        <w:gridCol w:w="1710"/>
        <w:gridCol w:w="1800"/>
      </w:tblGrid>
      <w:tr w:rsidR="005A2B65" w:rsidRPr="005A2B65" w14:paraId="799FC07F" w14:textId="77777777" w:rsidTr="00994CA2">
        <w:trPr>
          <w:tblHeader/>
        </w:trPr>
        <w:tc>
          <w:tcPr>
            <w:tcW w:w="619" w:type="pct"/>
            <w:tcBorders>
              <w:top w:val="single" w:sz="4" w:space="0" w:color="auto"/>
              <w:left w:val="nil"/>
              <w:right w:val="nil"/>
            </w:tcBorders>
            <w:shd w:val="clear" w:color="auto" w:fill="auto"/>
            <w:noWrap/>
          </w:tcPr>
          <w:p w14:paraId="05AAB584" w14:textId="77777777" w:rsidR="005A2B65" w:rsidRPr="005A2B65" w:rsidRDefault="005A2B65" w:rsidP="005A2B65">
            <w:pPr>
              <w:spacing w:line="360" w:lineRule="auto"/>
              <w:jc w:val="center"/>
              <w:rPr>
                <w:color w:val="000000"/>
              </w:rPr>
            </w:pPr>
          </w:p>
        </w:tc>
        <w:tc>
          <w:tcPr>
            <w:tcW w:w="1290" w:type="pct"/>
            <w:gridSpan w:val="2"/>
            <w:tcBorders>
              <w:top w:val="single" w:sz="4" w:space="0" w:color="auto"/>
              <w:left w:val="nil"/>
              <w:bottom w:val="single" w:sz="4" w:space="0" w:color="auto"/>
              <w:right w:val="single" w:sz="4" w:space="0" w:color="auto"/>
            </w:tcBorders>
            <w:shd w:val="clear" w:color="auto" w:fill="auto"/>
            <w:noWrap/>
          </w:tcPr>
          <w:p w14:paraId="0102426D" w14:textId="77777777" w:rsidR="005A2B65" w:rsidRPr="005A2B65" w:rsidRDefault="005A2B65" w:rsidP="005A2B65">
            <w:pPr>
              <w:spacing w:line="360" w:lineRule="auto"/>
              <w:jc w:val="center"/>
              <w:rPr>
                <w:color w:val="000000"/>
              </w:rPr>
            </w:pPr>
            <w:r w:rsidRPr="005A2B65">
              <w:rPr>
                <w:color w:val="000000"/>
              </w:rPr>
              <w:t>Laws</w:t>
            </w:r>
          </w:p>
        </w:tc>
        <w:tc>
          <w:tcPr>
            <w:tcW w:w="1521" w:type="pct"/>
            <w:gridSpan w:val="2"/>
            <w:tcBorders>
              <w:top w:val="single" w:sz="4" w:space="0" w:color="auto"/>
              <w:left w:val="single" w:sz="4" w:space="0" w:color="auto"/>
              <w:bottom w:val="single" w:sz="4" w:space="0" w:color="auto"/>
              <w:right w:val="single" w:sz="4" w:space="0" w:color="auto"/>
            </w:tcBorders>
            <w:shd w:val="clear" w:color="auto" w:fill="auto"/>
            <w:noWrap/>
          </w:tcPr>
          <w:p w14:paraId="79464C7E" w14:textId="7E20A609" w:rsidR="005A2B65" w:rsidRPr="005A2B65" w:rsidRDefault="005A2B65" w:rsidP="005A2B65">
            <w:pPr>
              <w:spacing w:line="360" w:lineRule="auto"/>
              <w:jc w:val="center"/>
              <w:rPr>
                <w:color w:val="000000"/>
              </w:rPr>
            </w:pPr>
            <w:r w:rsidRPr="005A2B65">
              <w:rPr>
                <w:color w:val="000000"/>
              </w:rPr>
              <w:t>Quality-adjusted laws</w:t>
            </w:r>
          </w:p>
        </w:tc>
        <w:tc>
          <w:tcPr>
            <w:tcW w:w="1570" w:type="pct"/>
            <w:gridSpan w:val="2"/>
            <w:tcBorders>
              <w:top w:val="single" w:sz="4" w:space="0" w:color="auto"/>
              <w:left w:val="single" w:sz="4" w:space="0" w:color="auto"/>
              <w:bottom w:val="single" w:sz="4" w:space="0" w:color="auto"/>
              <w:right w:val="nil"/>
            </w:tcBorders>
            <w:shd w:val="clear" w:color="auto" w:fill="auto"/>
            <w:noWrap/>
          </w:tcPr>
          <w:p w14:paraId="02330050" w14:textId="3DF1BE5C" w:rsidR="005A2B65" w:rsidRPr="005A2B65" w:rsidRDefault="005A2B65" w:rsidP="005A2B65">
            <w:pPr>
              <w:spacing w:line="360" w:lineRule="auto"/>
              <w:jc w:val="center"/>
              <w:rPr>
                <w:color w:val="000000"/>
              </w:rPr>
            </w:pPr>
            <w:r w:rsidRPr="005A2B65">
              <w:rPr>
                <w:color w:val="000000"/>
              </w:rPr>
              <w:t>Lifetime quality-adjusted laws</w:t>
            </w:r>
          </w:p>
        </w:tc>
      </w:tr>
      <w:tr w:rsidR="007B296C" w:rsidRPr="005A2B65" w14:paraId="36C5CBB8" w14:textId="77777777" w:rsidTr="00994CA2">
        <w:trPr>
          <w:tblHeader/>
        </w:trPr>
        <w:tc>
          <w:tcPr>
            <w:tcW w:w="619" w:type="pct"/>
            <w:tcBorders>
              <w:left w:val="nil"/>
              <w:bottom w:val="single" w:sz="4" w:space="0" w:color="auto"/>
              <w:right w:val="nil"/>
            </w:tcBorders>
            <w:shd w:val="clear" w:color="auto" w:fill="auto"/>
            <w:noWrap/>
            <w:hideMark/>
          </w:tcPr>
          <w:p w14:paraId="00A8B444" w14:textId="77777777" w:rsidR="005A2B65" w:rsidRPr="005A2B65" w:rsidRDefault="005A2B65" w:rsidP="005A2B65">
            <w:pPr>
              <w:spacing w:line="360" w:lineRule="auto"/>
              <w:jc w:val="center"/>
              <w:rPr>
                <w:color w:val="000000"/>
              </w:rPr>
            </w:pPr>
            <w:r w:rsidRPr="005A2B65">
              <w:rPr>
                <w:color w:val="000000"/>
              </w:rPr>
              <w:t>Ranking</w:t>
            </w:r>
          </w:p>
        </w:tc>
        <w:tc>
          <w:tcPr>
            <w:tcW w:w="627" w:type="pct"/>
            <w:tcBorders>
              <w:top w:val="single" w:sz="4" w:space="0" w:color="auto"/>
              <w:left w:val="nil"/>
              <w:bottom w:val="single" w:sz="4" w:space="0" w:color="auto"/>
              <w:right w:val="nil"/>
            </w:tcBorders>
            <w:shd w:val="clear" w:color="auto" w:fill="auto"/>
            <w:noWrap/>
            <w:hideMark/>
          </w:tcPr>
          <w:p w14:paraId="63183CF0" w14:textId="77777777" w:rsidR="005A2B65" w:rsidRPr="005A2B65" w:rsidRDefault="005A2B65" w:rsidP="005A2B65">
            <w:pPr>
              <w:spacing w:line="360" w:lineRule="auto"/>
              <w:jc w:val="center"/>
              <w:rPr>
                <w:color w:val="000000"/>
              </w:rPr>
            </w:pPr>
            <w:r w:rsidRPr="005A2B65">
              <w:rPr>
                <w:color w:val="000000"/>
              </w:rPr>
              <w:t>ISO Code</w:t>
            </w:r>
          </w:p>
        </w:tc>
        <w:tc>
          <w:tcPr>
            <w:tcW w:w="663" w:type="pct"/>
            <w:tcBorders>
              <w:top w:val="single" w:sz="4" w:space="0" w:color="auto"/>
              <w:left w:val="nil"/>
              <w:bottom w:val="single" w:sz="4" w:space="0" w:color="auto"/>
              <w:right w:val="single" w:sz="4" w:space="0" w:color="auto"/>
            </w:tcBorders>
            <w:shd w:val="clear" w:color="auto" w:fill="auto"/>
            <w:noWrap/>
            <w:hideMark/>
          </w:tcPr>
          <w:p w14:paraId="33E6B1C9" w14:textId="77777777" w:rsidR="005A2B65" w:rsidRPr="005A2B65" w:rsidRDefault="005A2B65" w:rsidP="005A2B65">
            <w:pPr>
              <w:spacing w:line="360" w:lineRule="auto"/>
              <w:jc w:val="center"/>
              <w:rPr>
                <w:color w:val="000000"/>
              </w:rPr>
            </w:pPr>
            <w:r w:rsidRPr="005A2B65">
              <w:rPr>
                <w:color w:val="000000"/>
              </w:rPr>
              <w:t>Number</w:t>
            </w:r>
          </w:p>
        </w:tc>
        <w:tc>
          <w:tcPr>
            <w:tcW w:w="755" w:type="pct"/>
            <w:tcBorders>
              <w:top w:val="single" w:sz="4" w:space="0" w:color="auto"/>
              <w:left w:val="single" w:sz="4" w:space="0" w:color="auto"/>
              <w:bottom w:val="single" w:sz="4" w:space="0" w:color="auto"/>
              <w:right w:val="nil"/>
            </w:tcBorders>
            <w:shd w:val="clear" w:color="auto" w:fill="auto"/>
            <w:noWrap/>
            <w:hideMark/>
          </w:tcPr>
          <w:p w14:paraId="76F5624B" w14:textId="77777777" w:rsidR="005A2B65" w:rsidRPr="005A2B65" w:rsidRDefault="005A2B65" w:rsidP="005A2B65">
            <w:pPr>
              <w:spacing w:line="360" w:lineRule="auto"/>
              <w:jc w:val="center"/>
              <w:rPr>
                <w:color w:val="000000"/>
              </w:rPr>
            </w:pPr>
            <w:r w:rsidRPr="005A2B65">
              <w:rPr>
                <w:color w:val="000000"/>
              </w:rPr>
              <w:t>ISO Code</w:t>
            </w:r>
          </w:p>
        </w:tc>
        <w:tc>
          <w:tcPr>
            <w:tcW w:w="766" w:type="pct"/>
            <w:tcBorders>
              <w:top w:val="single" w:sz="4" w:space="0" w:color="auto"/>
              <w:left w:val="nil"/>
              <w:bottom w:val="single" w:sz="4" w:space="0" w:color="auto"/>
              <w:right w:val="single" w:sz="4" w:space="0" w:color="auto"/>
            </w:tcBorders>
            <w:shd w:val="clear" w:color="auto" w:fill="auto"/>
            <w:noWrap/>
            <w:hideMark/>
          </w:tcPr>
          <w:p w14:paraId="3EC8D62D" w14:textId="77777777" w:rsidR="005A2B65" w:rsidRPr="005A2B65" w:rsidRDefault="005A2B65" w:rsidP="005A2B65">
            <w:pPr>
              <w:spacing w:line="360" w:lineRule="auto"/>
              <w:jc w:val="center"/>
              <w:rPr>
                <w:color w:val="000000"/>
              </w:rPr>
            </w:pPr>
            <w:r w:rsidRPr="005A2B65">
              <w:rPr>
                <w:color w:val="000000"/>
              </w:rPr>
              <w:t>Number</w:t>
            </w:r>
          </w:p>
        </w:tc>
        <w:tc>
          <w:tcPr>
            <w:tcW w:w="765" w:type="pct"/>
            <w:tcBorders>
              <w:top w:val="single" w:sz="4" w:space="0" w:color="auto"/>
              <w:left w:val="single" w:sz="4" w:space="0" w:color="auto"/>
              <w:bottom w:val="single" w:sz="4" w:space="0" w:color="auto"/>
              <w:right w:val="nil"/>
            </w:tcBorders>
            <w:shd w:val="clear" w:color="auto" w:fill="auto"/>
            <w:noWrap/>
            <w:hideMark/>
          </w:tcPr>
          <w:p w14:paraId="13BB54C5" w14:textId="77777777" w:rsidR="005A2B65" w:rsidRPr="005A2B65" w:rsidRDefault="005A2B65" w:rsidP="005A2B65">
            <w:pPr>
              <w:spacing w:line="360" w:lineRule="auto"/>
              <w:jc w:val="center"/>
              <w:rPr>
                <w:color w:val="000000"/>
              </w:rPr>
            </w:pPr>
            <w:r w:rsidRPr="005A2B65">
              <w:rPr>
                <w:color w:val="000000"/>
              </w:rPr>
              <w:t>ISO Code</w:t>
            </w:r>
          </w:p>
        </w:tc>
        <w:tc>
          <w:tcPr>
            <w:tcW w:w="805" w:type="pct"/>
            <w:tcBorders>
              <w:top w:val="single" w:sz="4" w:space="0" w:color="auto"/>
              <w:left w:val="nil"/>
              <w:bottom w:val="single" w:sz="4" w:space="0" w:color="auto"/>
              <w:right w:val="nil"/>
            </w:tcBorders>
            <w:shd w:val="clear" w:color="auto" w:fill="auto"/>
            <w:noWrap/>
            <w:hideMark/>
          </w:tcPr>
          <w:p w14:paraId="14AFC92F" w14:textId="77777777" w:rsidR="005A2B65" w:rsidRPr="005A2B65" w:rsidRDefault="005A2B65" w:rsidP="005A2B65">
            <w:pPr>
              <w:spacing w:line="360" w:lineRule="auto"/>
              <w:jc w:val="center"/>
              <w:rPr>
                <w:color w:val="000000"/>
              </w:rPr>
            </w:pPr>
            <w:r w:rsidRPr="005A2B65">
              <w:rPr>
                <w:color w:val="000000"/>
              </w:rPr>
              <w:t>Number</w:t>
            </w:r>
          </w:p>
        </w:tc>
      </w:tr>
      <w:tr w:rsidR="007B296C" w:rsidRPr="005A2B65" w14:paraId="094A66EA" w14:textId="77777777" w:rsidTr="00994CA2">
        <w:trPr>
          <w:tblHeader/>
        </w:trPr>
        <w:tc>
          <w:tcPr>
            <w:tcW w:w="619" w:type="pct"/>
            <w:tcBorders>
              <w:left w:val="nil"/>
              <w:bottom w:val="nil"/>
              <w:right w:val="nil"/>
            </w:tcBorders>
            <w:shd w:val="clear" w:color="auto" w:fill="auto"/>
            <w:noWrap/>
            <w:hideMark/>
          </w:tcPr>
          <w:p w14:paraId="3D63EAA4" w14:textId="77777777" w:rsidR="005A2B65" w:rsidRPr="005A2B65" w:rsidRDefault="005A2B65" w:rsidP="005A2B65">
            <w:pPr>
              <w:spacing w:line="360" w:lineRule="auto"/>
              <w:jc w:val="center"/>
              <w:rPr>
                <w:color w:val="000000"/>
              </w:rPr>
            </w:pPr>
            <w:r w:rsidRPr="005A2B65">
              <w:rPr>
                <w:color w:val="000000"/>
              </w:rPr>
              <w:t>1</w:t>
            </w:r>
          </w:p>
        </w:tc>
        <w:tc>
          <w:tcPr>
            <w:tcW w:w="627" w:type="pct"/>
            <w:tcBorders>
              <w:left w:val="nil"/>
              <w:bottom w:val="nil"/>
              <w:right w:val="nil"/>
            </w:tcBorders>
            <w:shd w:val="clear" w:color="auto" w:fill="auto"/>
            <w:noWrap/>
            <w:vAlign w:val="bottom"/>
            <w:hideMark/>
          </w:tcPr>
          <w:p w14:paraId="3D2D6DEB" w14:textId="77777777" w:rsidR="005A2B65" w:rsidRPr="005A2B65" w:rsidRDefault="005A2B65" w:rsidP="007B296C">
            <w:pPr>
              <w:spacing w:line="360" w:lineRule="auto"/>
              <w:jc w:val="center"/>
              <w:rPr>
                <w:color w:val="000000"/>
              </w:rPr>
            </w:pPr>
            <w:r w:rsidRPr="005A2B65">
              <w:rPr>
                <w:color w:val="000000"/>
              </w:rPr>
              <w:t>BRA</w:t>
            </w:r>
          </w:p>
        </w:tc>
        <w:tc>
          <w:tcPr>
            <w:tcW w:w="663" w:type="pct"/>
            <w:tcBorders>
              <w:left w:val="nil"/>
              <w:bottom w:val="nil"/>
              <w:right w:val="single" w:sz="4" w:space="0" w:color="auto"/>
            </w:tcBorders>
            <w:shd w:val="clear" w:color="auto" w:fill="auto"/>
            <w:noWrap/>
            <w:vAlign w:val="bottom"/>
            <w:hideMark/>
          </w:tcPr>
          <w:p w14:paraId="12DEB022" w14:textId="77777777" w:rsidR="005A2B65" w:rsidRPr="005A2B65" w:rsidRDefault="005A2B65" w:rsidP="007B296C">
            <w:pPr>
              <w:tabs>
                <w:tab w:val="decimal" w:pos="681"/>
              </w:tabs>
              <w:spacing w:line="360" w:lineRule="auto"/>
              <w:rPr>
                <w:color w:val="000000"/>
              </w:rPr>
            </w:pPr>
            <w:r w:rsidRPr="005A2B65">
              <w:rPr>
                <w:color w:val="000000"/>
              </w:rPr>
              <w:t>28</w:t>
            </w:r>
          </w:p>
        </w:tc>
        <w:tc>
          <w:tcPr>
            <w:tcW w:w="755" w:type="pct"/>
            <w:tcBorders>
              <w:left w:val="single" w:sz="4" w:space="0" w:color="auto"/>
              <w:bottom w:val="nil"/>
              <w:right w:val="nil"/>
            </w:tcBorders>
            <w:shd w:val="clear" w:color="auto" w:fill="auto"/>
            <w:noWrap/>
            <w:vAlign w:val="bottom"/>
            <w:hideMark/>
          </w:tcPr>
          <w:p w14:paraId="1E56BCA3" w14:textId="78D407C6" w:rsidR="005A2B65" w:rsidRPr="005A2B65" w:rsidRDefault="005A2B65" w:rsidP="005A2B65">
            <w:pPr>
              <w:spacing w:line="360" w:lineRule="auto"/>
              <w:jc w:val="center"/>
              <w:rPr>
                <w:color w:val="000000"/>
              </w:rPr>
            </w:pPr>
            <w:r w:rsidRPr="005A2B65">
              <w:rPr>
                <w:color w:val="000000"/>
              </w:rPr>
              <w:t>GBR</w:t>
            </w:r>
          </w:p>
        </w:tc>
        <w:tc>
          <w:tcPr>
            <w:tcW w:w="766" w:type="pct"/>
            <w:tcBorders>
              <w:left w:val="nil"/>
              <w:bottom w:val="nil"/>
              <w:right w:val="single" w:sz="4" w:space="0" w:color="auto"/>
            </w:tcBorders>
            <w:shd w:val="clear" w:color="auto" w:fill="auto"/>
            <w:noWrap/>
            <w:vAlign w:val="bottom"/>
            <w:hideMark/>
          </w:tcPr>
          <w:p w14:paraId="008F7EAD" w14:textId="6DDBFAD3" w:rsidR="005A2B65" w:rsidRPr="005A2B65" w:rsidRDefault="005A2B65" w:rsidP="007B296C">
            <w:pPr>
              <w:tabs>
                <w:tab w:val="decimal" w:pos="614"/>
              </w:tabs>
              <w:spacing w:line="360" w:lineRule="auto"/>
              <w:rPr>
                <w:color w:val="000000"/>
              </w:rPr>
            </w:pPr>
            <w:r w:rsidRPr="005A2B65">
              <w:rPr>
                <w:color w:val="000000"/>
              </w:rPr>
              <w:t>16.85</w:t>
            </w:r>
          </w:p>
        </w:tc>
        <w:tc>
          <w:tcPr>
            <w:tcW w:w="765" w:type="pct"/>
            <w:tcBorders>
              <w:left w:val="single" w:sz="4" w:space="0" w:color="auto"/>
              <w:bottom w:val="nil"/>
              <w:right w:val="nil"/>
            </w:tcBorders>
            <w:shd w:val="clear" w:color="auto" w:fill="auto"/>
            <w:noWrap/>
            <w:vAlign w:val="bottom"/>
            <w:hideMark/>
          </w:tcPr>
          <w:p w14:paraId="18C1D69C" w14:textId="02BE80D8" w:rsidR="005A2B65" w:rsidRPr="005A2B65" w:rsidRDefault="005A2B65" w:rsidP="005A2B65">
            <w:pPr>
              <w:spacing w:line="360" w:lineRule="auto"/>
              <w:jc w:val="center"/>
              <w:rPr>
                <w:color w:val="000000"/>
              </w:rPr>
            </w:pPr>
            <w:r w:rsidRPr="005A2B65">
              <w:rPr>
                <w:color w:val="000000"/>
              </w:rPr>
              <w:t>GBR</w:t>
            </w:r>
          </w:p>
        </w:tc>
        <w:tc>
          <w:tcPr>
            <w:tcW w:w="805" w:type="pct"/>
            <w:tcBorders>
              <w:left w:val="nil"/>
              <w:bottom w:val="nil"/>
              <w:right w:val="nil"/>
            </w:tcBorders>
            <w:shd w:val="clear" w:color="auto" w:fill="auto"/>
            <w:noWrap/>
            <w:vAlign w:val="bottom"/>
            <w:hideMark/>
          </w:tcPr>
          <w:p w14:paraId="5F52DF39" w14:textId="793C8AA9" w:rsidR="005A2B65" w:rsidRPr="005A2B65" w:rsidRDefault="005A2B65" w:rsidP="007B296C">
            <w:pPr>
              <w:tabs>
                <w:tab w:val="decimal" w:pos="701"/>
              </w:tabs>
              <w:spacing w:line="360" w:lineRule="auto"/>
              <w:rPr>
                <w:color w:val="000000"/>
              </w:rPr>
            </w:pPr>
            <w:r w:rsidRPr="005A2B65">
              <w:rPr>
                <w:color w:val="000000"/>
              </w:rPr>
              <w:t>209.68</w:t>
            </w:r>
          </w:p>
        </w:tc>
      </w:tr>
      <w:tr w:rsidR="007B296C" w:rsidRPr="005A2B65" w14:paraId="3CD7ECBA" w14:textId="77777777" w:rsidTr="00994CA2">
        <w:trPr>
          <w:tblHeader/>
        </w:trPr>
        <w:tc>
          <w:tcPr>
            <w:tcW w:w="619" w:type="pct"/>
            <w:tcBorders>
              <w:top w:val="nil"/>
              <w:left w:val="nil"/>
              <w:bottom w:val="nil"/>
              <w:right w:val="nil"/>
            </w:tcBorders>
            <w:shd w:val="clear" w:color="auto" w:fill="auto"/>
            <w:noWrap/>
            <w:hideMark/>
          </w:tcPr>
          <w:p w14:paraId="065AC8AC" w14:textId="77777777" w:rsidR="005A2B65" w:rsidRPr="005A2B65" w:rsidRDefault="005A2B65" w:rsidP="005A2B65">
            <w:pPr>
              <w:spacing w:line="360" w:lineRule="auto"/>
              <w:jc w:val="center"/>
              <w:rPr>
                <w:color w:val="000000"/>
              </w:rPr>
            </w:pPr>
            <w:r w:rsidRPr="005A2B65">
              <w:rPr>
                <w:color w:val="000000"/>
              </w:rPr>
              <w:t>2</w:t>
            </w:r>
          </w:p>
        </w:tc>
        <w:tc>
          <w:tcPr>
            <w:tcW w:w="627" w:type="pct"/>
            <w:tcBorders>
              <w:top w:val="nil"/>
              <w:left w:val="nil"/>
              <w:bottom w:val="nil"/>
              <w:right w:val="nil"/>
            </w:tcBorders>
            <w:shd w:val="clear" w:color="auto" w:fill="auto"/>
            <w:noWrap/>
            <w:vAlign w:val="bottom"/>
            <w:hideMark/>
          </w:tcPr>
          <w:p w14:paraId="63D121A9" w14:textId="77777777" w:rsidR="005A2B65" w:rsidRPr="005A2B65" w:rsidRDefault="005A2B65" w:rsidP="007B296C">
            <w:pPr>
              <w:spacing w:line="360" w:lineRule="auto"/>
              <w:jc w:val="center"/>
              <w:rPr>
                <w:color w:val="000000"/>
              </w:rPr>
            </w:pPr>
            <w:r w:rsidRPr="005A2B65">
              <w:rPr>
                <w:color w:val="000000"/>
              </w:rPr>
              <w:t>ITA</w:t>
            </w:r>
          </w:p>
        </w:tc>
        <w:tc>
          <w:tcPr>
            <w:tcW w:w="663" w:type="pct"/>
            <w:tcBorders>
              <w:top w:val="nil"/>
              <w:left w:val="nil"/>
              <w:bottom w:val="nil"/>
              <w:right w:val="single" w:sz="4" w:space="0" w:color="auto"/>
            </w:tcBorders>
            <w:shd w:val="clear" w:color="auto" w:fill="auto"/>
            <w:noWrap/>
            <w:vAlign w:val="bottom"/>
            <w:hideMark/>
          </w:tcPr>
          <w:p w14:paraId="69052C8E" w14:textId="77777777" w:rsidR="005A2B65" w:rsidRPr="005A2B65" w:rsidRDefault="005A2B65" w:rsidP="007B296C">
            <w:pPr>
              <w:tabs>
                <w:tab w:val="decimal" w:pos="681"/>
              </w:tabs>
              <w:spacing w:line="360" w:lineRule="auto"/>
              <w:rPr>
                <w:color w:val="000000"/>
              </w:rPr>
            </w:pPr>
            <w:r w:rsidRPr="005A2B65">
              <w:rPr>
                <w:color w:val="000000"/>
              </w:rPr>
              <w:t>24</w:t>
            </w:r>
          </w:p>
        </w:tc>
        <w:tc>
          <w:tcPr>
            <w:tcW w:w="755" w:type="pct"/>
            <w:tcBorders>
              <w:top w:val="nil"/>
              <w:left w:val="single" w:sz="4" w:space="0" w:color="auto"/>
              <w:bottom w:val="nil"/>
              <w:right w:val="nil"/>
            </w:tcBorders>
            <w:shd w:val="clear" w:color="auto" w:fill="auto"/>
            <w:noWrap/>
            <w:vAlign w:val="bottom"/>
            <w:hideMark/>
          </w:tcPr>
          <w:p w14:paraId="245BD499" w14:textId="44A28709" w:rsidR="005A2B65" w:rsidRPr="005A2B65" w:rsidRDefault="005A2B65" w:rsidP="005A2B65">
            <w:pPr>
              <w:spacing w:line="360" w:lineRule="auto"/>
              <w:jc w:val="center"/>
              <w:rPr>
                <w:color w:val="000000"/>
              </w:rPr>
            </w:pPr>
            <w:r w:rsidRPr="005A2B65">
              <w:rPr>
                <w:color w:val="000000"/>
              </w:rPr>
              <w:t>AUS</w:t>
            </w:r>
          </w:p>
        </w:tc>
        <w:tc>
          <w:tcPr>
            <w:tcW w:w="766" w:type="pct"/>
            <w:tcBorders>
              <w:top w:val="nil"/>
              <w:left w:val="nil"/>
              <w:bottom w:val="nil"/>
              <w:right w:val="single" w:sz="4" w:space="0" w:color="auto"/>
            </w:tcBorders>
            <w:shd w:val="clear" w:color="auto" w:fill="auto"/>
            <w:noWrap/>
            <w:vAlign w:val="bottom"/>
            <w:hideMark/>
          </w:tcPr>
          <w:p w14:paraId="71F7A50E" w14:textId="25DEA0AA" w:rsidR="005A2B65" w:rsidRPr="005A2B65" w:rsidRDefault="005A2B65" w:rsidP="007B296C">
            <w:pPr>
              <w:tabs>
                <w:tab w:val="decimal" w:pos="614"/>
              </w:tabs>
              <w:spacing w:line="360" w:lineRule="auto"/>
              <w:rPr>
                <w:color w:val="000000"/>
              </w:rPr>
            </w:pPr>
            <w:r w:rsidRPr="005A2B65">
              <w:rPr>
                <w:color w:val="000000"/>
              </w:rPr>
              <w:t>15.41</w:t>
            </w:r>
          </w:p>
        </w:tc>
        <w:tc>
          <w:tcPr>
            <w:tcW w:w="765" w:type="pct"/>
            <w:tcBorders>
              <w:top w:val="nil"/>
              <w:left w:val="single" w:sz="4" w:space="0" w:color="auto"/>
              <w:bottom w:val="nil"/>
              <w:right w:val="nil"/>
            </w:tcBorders>
            <w:shd w:val="clear" w:color="auto" w:fill="auto"/>
            <w:noWrap/>
            <w:vAlign w:val="bottom"/>
            <w:hideMark/>
          </w:tcPr>
          <w:p w14:paraId="175238CE" w14:textId="7F289335" w:rsidR="005A2B65" w:rsidRPr="005A2B65" w:rsidRDefault="005A2B65" w:rsidP="005A2B65">
            <w:pPr>
              <w:spacing w:line="360" w:lineRule="auto"/>
              <w:jc w:val="center"/>
              <w:rPr>
                <w:color w:val="000000"/>
              </w:rPr>
            </w:pPr>
            <w:r w:rsidRPr="005A2B65">
              <w:rPr>
                <w:color w:val="000000"/>
              </w:rPr>
              <w:t>KOR</w:t>
            </w:r>
          </w:p>
        </w:tc>
        <w:tc>
          <w:tcPr>
            <w:tcW w:w="805" w:type="pct"/>
            <w:tcBorders>
              <w:top w:val="nil"/>
              <w:left w:val="nil"/>
              <w:bottom w:val="nil"/>
              <w:right w:val="nil"/>
            </w:tcBorders>
            <w:shd w:val="clear" w:color="auto" w:fill="auto"/>
            <w:noWrap/>
            <w:vAlign w:val="bottom"/>
            <w:hideMark/>
          </w:tcPr>
          <w:p w14:paraId="4859ECA2" w14:textId="050ABBE1" w:rsidR="005A2B65" w:rsidRPr="005A2B65" w:rsidRDefault="005A2B65" w:rsidP="007B296C">
            <w:pPr>
              <w:tabs>
                <w:tab w:val="decimal" w:pos="701"/>
              </w:tabs>
              <w:spacing w:line="360" w:lineRule="auto"/>
              <w:rPr>
                <w:color w:val="000000"/>
              </w:rPr>
            </w:pPr>
            <w:r w:rsidRPr="005A2B65">
              <w:rPr>
                <w:color w:val="000000"/>
              </w:rPr>
              <w:t>204.77</w:t>
            </w:r>
          </w:p>
        </w:tc>
      </w:tr>
      <w:tr w:rsidR="007B296C" w:rsidRPr="005A2B65" w14:paraId="0CAD39C1" w14:textId="77777777" w:rsidTr="00994CA2">
        <w:trPr>
          <w:tblHeader/>
        </w:trPr>
        <w:tc>
          <w:tcPr>
            <w:tcW w:w="619" w:type="pct"/>
            <w:tcBorders>
              <w:top w:val="nil"/>
              <w:left w:val="nil"/>
              <w:bottom w:val="nil"/>
              <w:right w:val="nil"/>
            </w:tcBorders>
            <w:shd w:val="clear" w:color="auto" w:fill="auto"/>
            <w:noWrap/>
            <w:hideMark/>
          </w:tcPr>
          <w:p w14:paraId="42A1684C" w14:textId="77777777" w:rsidR="005A2B65" w:rsidRPr="005A2B65" w:rsidRDefault="005A2B65" w:rsidP="005A2B65">
            <w:pPr>
              <w:spacing w:line="360" w:lineRule="auto"/>
              <w:jc w:val="center"/>
              <w:rPr>
                <w:color w:val="000000"/>
              </w:rPr>
            </w:pPr>
            <w:r w:rsidRPr="005A2B65">
              <w:rPr>
                <w:color w:val="000000"/>
              </w:rPr>
              <w:t>3</w:t>
            </w:r>
          </w:p>
        </w:tc>
        <w:tc>
          <w:tcPr>
            <w:tcW w:w="627" w:type="pct"/>
            <w:tcBorders>
              <w:top w:val="nil"/>
              <w:left w:val="nil"/>
              <w:bottom w:val="nil"/>
              <w:right w:val="nil"/>
            </w:tcBorders>
            <w:shd w:val="clear" w:color="auto" w:fill="auto"/>
            <w:noWrap/>
            <w:vAlign w:val="bottom"/>
            <w:hideMark/>
          </w:tcPr>
          <w:p w14:paraId="452B0573" w14:textId="77777777" w:rsidR="005A2B65" w:rsidRPr="005A2B65" w:rsidRDefault="005A2B65" w:rsidP="007B296C">
            <w:pPr>
              <w:spacing w:line="360" w:lineRule="auto"/>
              <w:jc w:val="center"/>
              <w:rPr>
                <w:color w:val="000000"/>
              </w:rPr>
            </w:pPr>
            <w:r w:rsidRPr="005A2B65">
              <w:rPr>
                <w:color w:val="000000"/>
              </w:rPr>
              <w:t>IDN</w:t>
            </w:r>
          </w:p>
        </w:tc>
        <w:tc>
          <w:tcPr>
            <w:tcW w:w="663" w:type="pct"/>
            <w:tcBorders>
              <w:top w:val="nil"/>
              <w:left w:val="nil"/>
              <w:bottom w:val="nil"/>
              <w:right w:val="single" w:sz="4" w:space="0" w:color="auto"/>
            </w:tcBorders>
            <w:shd w:val="clear" w:color="auto" w:fill="auto"/>
            <w:noWrap/>
            <w:vAlign w:val="bottom"/>
            <w:hideMark/>
          </w:tcPr>
          <w:p w14:paraId="1E7CDE74" w14:textId="77777777" w:rsidR="005A2B65" w:rsidRPr="005A2B65" w:rsidRDefault="005A2B65" w:rsidP="007B296C">
            <w:pPr>
              <w:tabs>
                <w:tab w:val="decimal" w:pos="681"/>
              </w:tabs>
              <w:spacing w:line="360" w:lineRule="auto"/>
              <w:rPr>
                <w:color w:val="000000"/>
              </w:rPr>
            </w:pPr>
            <w:r w:rsidRPr="005A2B65">
              <w:rPr>
                <w:color w:val="000000"/>
              </w:rPr>
              <w:t>22</w:t>
            </w:r>
          </w:p>
        </w:tc>
        <w:tc>
          <w:tcPr>
            <w:tcW w:w="755" w:type="pct"/>
            <w:tcBorders>
              <w:top w:val="nil"/>
              <w:left w:val="single" w:sz="4" w:space="0" w:color="auto"/>
              <w:bottom w:val="nil"/>
              <w:right w:val="nil"/>
            </w:tcBorders>
            <w:shd w:val="clear" w:color="auto" w:fill="auto"/>
            <w:noWrap/>
            <w:vAlign w:val="bottom"/>
            <w:hideMark/>
          </w:tcPr>
          <w:p w14:paraId="2E0F2ED9" w14:textId="1CA1908C" w:rsidR="005A2B65" w:rsidRPr="005A2B65" w:rsidRDefault="005A2B65" w:rsidP="005A2B65">
            <w:pPr>
              <w:spacing w:line="360" w:lineRule="auto"/>
              <w:jc w:val="center"/>
              <w:rPr>
                <w:color w:val="000000"/>
              </w:rPr>
            </w:pPr>
            <w:r w:rsidRPr="005A2B65">
              <w:rPr>
                <w:color w:val="000000"/>
              </w:rPr>
              <w:t>KOR</w:t>
            </w:r>
          </w:p>
        </w:tc>
        <w:tc>
          <w:tcPr>
            <w:tcW w:w="766" w:type="pct"/>
            <w:tcBorders>
              <w:top w:val="nil"/>
              <w:left w:val="nil"/>
              <w:bottom w:val="nil"/>
              <w:right w:val="single" w:sz="4" w:space="0" w:color="auto"/>
            </w:tcBorders>
            <w:shd w:val="clear" w:color="auto" w:fill="auto"/>
            <w:noWrap/>
            <w:vAlign w:val="bottom"/>
            <w:hideMark/>
          </w:tcPr>
          <w:p w14:paraId="17850696" w14:textId="28FD9349" w:rsidR="005A2B65" w:rsidRPr="005A2B65" w:rsidRDefault="005A2B65" w:rsidP="007B296C">
            <w:pPr>
              <w:tabs>
                <w:tab w:val="decimal" w:pos="614"/>
              </w:tabs>
              <w:spacing w:line="360" w:lineRule="auto"/>
              <w:rPr>
                <w:color w:val="000000"/>
              </w:rPr>
            </w:pPr>
            <w:r w:rsidRPr="005A2B65">
              <w:rPr>
                <w:color w:val="000000"/>
              </w:rPr>
              <w:t>15.25</w:t>
            </w:r>
          </w:p>
        </w:tc>
        <w:tc>
          <w:tcPr>
            <w:tcW w:w="765" w:type="pct"/>
            <w:tcBorders>
              <w:top w:val="nil"/>
              <w:left w:val="single" w:sz="4" w:space="0" w:color="auto"/>
              <w:bottom w:val="nil"/>
              <w:right w:val="nil"/>
            </w:tcBorders>
            <w:shd w:val="clear" w:color="auto" w:fill="auto"/>
            <w:noWrap/>
            <w:vAlign w:val="bottom"/>
            <w:hideMark/>
          </w:tcPr>
          <w:p w14:paraId="5A33007A" w14:textId="4591DEAE" w:rsidR="005A2B65" w:rsidRPr="005A2B65" w:rsidRDefault="005A2B65" w:rsidP="005A2B65">
            <w:pPr>
              <w:spacing w:line="360" w:lineRule="auto"/>
              <w:jc w:val="center"/>
              <w:rPr>
                <w:color w:val="000000"/>
              </w:rPr>
            </w:pPr>
            <w:r w:rsidRPr="005A2B65">
              <w:rPr>
                <w:color w:val="000000"/>
              </w:rPr>
              <w:t>ITA</w:t>
            </w:r>
          </w:p>
        </w:tc>
        <w:tc>
          <w:tcPr>
            <w:tcW w:w="805" w:type="pct"/>
            <w:tcBorders>
              <w:top w:val="nil"/>
              <w:left w:val="nil"/>
              <w:bottom w:val="nil"/>
              <w:right w:val="nil"/>
            </w:tcBorders>
            <w:shd w:val="clear" w:color="auto" w:fill="auto"/>
            <w:noWrap/>
            <w:vAlign w:val="bottom"/>
            <w:hideMark/>
          </w:tcPr>
          <w:p w14:paraId="71A61CD6" w14:textId="2F082B57" w:rsidR="005A2B65" w:rsidRPr="005A2B65" w:rsidRDefault="005A2B65" w:rsidP="007B296C">
            <w:pPr>
              <w:tabs>
                <w:tab w:val="decimal" w:pos="701"/>
              </w:tabs>
              <w:spacing w:line="360" w:lineRule="auto"/>
              <w:rPr>
                <w:color w:val="000000"/>
              </w:rPr>
            </w:pPr>
            <w:r w:rsidRPr="005A2B65">
              <w:rPr>
                <w:color w:val="000000"/>
              </w:rPr>
              <w:t>184.01</w:t>
            </w:r>
          </w:p>
        </w:tc>
      </w:tr>
      <w:tr w:rsidR="007B296C" w:rsidRPr="005A2B65" w14:paraId="39FDCE02" w14:textId="77777777" w:rsidTr="00994CA2">
        <w:trPr>
          <w:tblHeader/>
        </w:trPr>
        <w:tc>
          <w:tcPr>
            <w:tcW w:w="619" w:type="pct"/>
            <w:tcBorders>
              <w:top w:val="nil"/>
              <w:left w:val="nil"/>
              <w:bottom w:val="nil"/>
              <w:right w:val="nil"/>
            </w:tcBorders>
            <w:shd w:val="clear" w:color="auto" w:fill="auto"/>
            <w:noWrap/>
            <w:hideMark/>
          </w:tcPr>
          <w:p w14:paraId="6C8D45E7" w14:textId="77777777" w:rsidR="005A2B65" w:rsidRPr="005A2B65" w:rsidRDefault="005A2B65" w:rsidP="005A2B65">
            <w:pPr>
              <w:spacing w:line="360" w:lineRule="auto"/>
              <w:jc w:val="center"/>
              <w:rPr>
                <w:color w:val="000000"/>
              </w:rPr>
            </w:pPr>
            <w:r w:rsidRPr="005A2B65">
              <w:rPr>
                <w:color w:val="000000"/>
              </w:rPr>
              <w:t>4</w:t>
            </w:r>
          </w:p>
        </w:tc>
        <w:tc>
          <w:tcPr>
            <w:tcW w:w="627" w:type="pct"/>
            <w:tcBorders>
              <w:top w:val="nil"/>
              <w:left w:val="nil"/>
              <w:bottom w:val="nil"/>
              <w:right w:val="nil"/>
            </w:tcBorders>
            <w:shd w:val="clear" w:color="auto" w:fill="auto"/>
            <w:noWrap/>
            <w:vAlign w:val="bottom"/>
            <w:hideMark/>
          </w:tcPr>
          <w:p w14:paraId="02BF8FE1" w14:textId="77777777" w:rsidR="005A2B65" w:rsidRPr="005A2B65" w:rsidRDefault="005A2B65" w:rsidP="007B296C">
            <w:pPr>
              <w:spacing w:line="360" w:lineRule="auto"/>
              <w:jc w:val="center"/>
              <w:rPr>
                <w:color w:val="000000"/>
              </w:rPr>
            </w:pPr>
            <w:r w:rsidRPr="005A2B65">
              <w:rPr>
                <w:color w:val="000000"/>
              </w:rPr>
              <w:t>KOR</w:t>
            </w:r>
          </w:p>
        </w:tc>
        <w:tc>
          <w:tcPr>
            <w:tcW w:w="663" w:type="pct"/>
            <w:tcBorders>
              <w:top w:val="nil"/>
              <w:left w:val="nil"/>
              <w:bottom w:val="nil"/>
              <w:right w:val="single" w:sz="4" w:space="0" w:color="auto"/>
            </w:tcBorders>
            <w:shd w:val="clear" w:color="auto" w:fill="auto"/>
            <w:noWrap/>
            <w:vAlign w:val="bottom"/>
            <w:hideMark/>
          </w:tcPr>
          <w:p w14:paraId="09FF6004" w14:textId="77777777" w:rsidR="005A2B65" w:rsidRPr="005A2B65" w:rsidRDefault="005A2B65" w:rsidP="007B296C">
            <w:pPr>
              <w:tabs>
                <w:tab w:val="decimal" w:pos="681"/>
              </w:tabs>
              <w:spacing w:line="360" w:lineRule="auto"/>
              <w:rPr>
                <w:color w:val="000000"/>
              </w:rPr>
            </w:pPr>
            <w:r w:rsidRPr="005A2B65">
              <w:rPr>
                <w:color w:val="000000"/>
              </w:rPr>
              <w:t>22</w:t>
            </w:r>
          </w:p>
        </w:tc>
        <w:tc>
          <w:tcPr>
            <w:tcW w:w="755" w:type="pct"/>
            <w:tcBorders>
              <w:top w:val="nil"/>
              <w:left w:val="single" w:sz="4" w:space="0" w:color="auto"/>
              <w:bottom w:val="nil"/>
              <w:right w:val="nil"/>
            </w:tcBorders>
            <w:shd w:val="clear" w:color="auto" w:fill="auto"/>
            <w:noWrap/>
            <w:vAlign w:val="bottom"/>
            <w:hideMark/>
          </w:tcPr>
          <w:p w14:paraId="6C87256D" w14:textId="0A5ABF1E" w:rsidR="005A2B65" w:rsidRPr="005A2B65" w:rsidRDefault="005A2B65" w:rsidP="005A2B65">
            <w:pPr>
              <w:spacing w:line="360" w:lineRule="auto"/>
              <w:jc w:val="center"/>
              <w:rPr>
                <w:color w:val="000000"/>
              </w:rPr>
            </w:pPr>
            <w:r w:rsidRPr="005A2B65">
              <w:rPr>
                <w:color w:val="000000"/>
              </w:rPr>
              <w:t>DEU</w:t>
            </w:r>
          </w:p>
        </w:tc>
        <w:tc>
          <w:tcPr>
            <w:tcW w:w="766" w:type="pct"/>
            <w:tcBorders>
              <w:top w:val="nil"/>
              <w:left w:val="nil"/>
              <w:bottom w:val="nil"/>
              <w:right w:val="single" w:sz="4" w:space="0" w:color="auto"/>
            </w:tcBorders>
            <w:shd w:val="clear" w:color="auto" w:fill="auto"/>
            <w:noWrap/>
            <w:vAlign w:val="bottom"/>
            <w:hideMark/>
          </w:tcPr>
          <w:p w14:paraId="17B3ABDE" w14:textId="1FAA4E4F" w:rsidR="005A2B65" w:rsidRPr="005A2B65" w:rsidRDefault="005A2B65" w:rsidP="007B296C">
            <w:pPr>
              <w:tabs>
                <w:tab w:val="decimal" w:pos="614"/>
              </w:tabs>
              <w:spacing w:line="360" w:lineRule="auto"/>
              <w:rPr>
                <w:color w:val="000000"/>
              </w:rPr>
            </w:pPr>
            <w:r w:rsidRPr="005A2B65">
              <w:rPr>
                <w:color w:val="000000"/>
              </w:rPr>
              <w:t>15.03</w:t>
            </w:r>
          </w:p>
        </w:tc>
        <w:tc>
          <w:tcPr>
            <w:tcW w:w="765" w:type="pct"/>
            <w:tcBorders>
              <w:top w:val="nil"/>
              <w:left w:val="single" w:sz="4" w:space="0" w:color="auto"/>
              <w:bottom w:val="nil"/>
              <w:right w:val="nil"/>
            </w:tcBorders>
            <w:shd w:val="clear" w:color="auto" w:fill="auto"/>
            <w:noWrap/>
            <w:vAlign w:val="bottom"/>
            <w:hideMark/>
          </w:tcPr>
          <w:p w14:paraId="23D3B913" w14:textId="529FE0C5" w:rsidR="005A2B65" w:rsidRPr="005A2B65" w:rsidRDefault="005A2B65" w:rsidP="005A2B65">
            <w:pPr>
              <w:spacing w:line="360" w:lineRule="auto"/>
              <w:jc w:val="center"/>
              <w:rPr>
                <w:color w:val="000000"/>
              </w:rPr>
            </w:pPr>
            <w:r w:rsidRPr="005A2B65">
              <w:rPr>
                <w:color w:val="000000"/>
              </w:rPr>
              <w:t>DEU</w:t>
            </w:r>
          </w:p>
        </w:tc>
        <w:tc>
          <w:tcPr>
            <w:tcW w:w="805" w:type="pct"/>
            <w:tcBorders>
              <w:top w:val="nil"/>
              <w:left w:val="nil"/>
              <w:bottom w:val="nil"/>
              <w:right w:val="nil"/>
            </w:tcBorders>
            <w:shd w:val="clear" w:color="auto" w:fill="auto"/>
            <w:noWrap/>
            <w:vAlign w:val="bottom"/>
            <w:hideMark/>
          </w:tcPr>
          <w:p w14:paraId="0C6FD9A9" w14:textId="4D451626" w:rsidR="005A2B65" w:rsidRPr="005A2B65" w:rsidRDefault="005A2B65" w:rsidP="007B296C">
            <w:pPr>
              <w:tabs>
                <w:tab w:val="decimal" w:pos="701"/>
              </w:tabs>
              <w:spacing w:line="360" w:lineRule="auto"/>
              <w:rPr>
                <w:color w:val="000000"/>
              </w:rPr>
            </w:pPr>
            <w:r w:rsidRPr="005A2B65">
              <w:rPr>
                <w:color w:val="000000"/>
              </w:rPr>
              <w:t>163.00</w:t>
            </w:r>
          </w:p>
        </w:tc>
      </w:tr>
      <w:tr w:rsidR="007B296C" w:rsidRPr="005A2B65" w14:paraId="39D89478" w14:textId="77777777" w:rsidTr="00994CA2">
        <w:trPr>
          <w:tblHeader/>
        </w:trPr>
        <w:tc>
          <w:tcPr>
            <w:tcW w:w="619" w:type="pct"/>
            <w:tcBorders>
              <w:top w:val="nil"/>
              <w:left w:val="nil"/>
              <w:bottom w:val="nil"/>
              <w:right w:val="nil"/>
            </w:tcBorders>
            <w:shd w:val="clear" w:color="auto" w:fill="auto"/>
            <w:noWrap/>
            <w:hideMark/>
          </w:tcPr>
          <w:p w14:paraId="58D5039C" w14:textId="77777777" w:rsidR="005A2B65" w:rsidRPr="005A2B65" w:rsidRDefault="005A2B65" w:rsidP="005A2B65">
            <w:pPr>
              <w:spacing w:line="360" w:lineRule="auto"/>
              <w:jc w:val="center"/>
              <w:rPr>
                <w:color w:val="000000"/>
              </w:rPr>
            </w:pPr>
            <w:r w:rsidRPr="005A2B65">
              <w:rPr>
                <w:color w:val="000000"/>
              </w:rPr>
              <w:t>5</w:t>
            </w:r>
          </w:p>
        </w:tc>
        <w:tc>
          <w:tcPr>
            <w:tcW w:w="627" w:type="pct"/>
            <w:tcBorders>
              <w:top w:val="nil"/>
              <w:left w:val="nil"/>
              <w:bottom w:val="nil"/>
              <w:right w:val="nil"/>
            </w:tcBorders>
            <w:shd w:val="clear" w:color="auto" w:fill="auto"/>
            <w:noWrap/>
            <w:vAlign w:val="bottom"/>
            <w:hideMark/>
          </w:tcPr>
          <w:p w14:paraId="7EF84C30" w14:textId="77777777" w:rsidR="005A2B65" w:rsidRPr="005A2B65" w:rsidRDefault="005A2B65" w:rsidP="007B296C">
            <w:pPr>
              <w:spacing w:line="360" w:lineRule="auto"/>
              <w:jc w:val="center"/>
              <w:rPr>
                <w:color w:val="000000"/>
              </w:rPr>
            </w:pPr>
            <w:r w:rsidRPr="005A2B65">
              <w:rPr>
                <w:color w:val="000000"/>
              </w:rPr>
              <w:t>GBR</w:t>
            </w:r>
          </w:p>
        </w:tc>
        <w:tc>
          <w:tcPr>
            <w:tcW w:w="663" w:type="pct"/>
            <w:tcBorders>
              <w:top w:val="nil"/>
              <w:left w:val="nil"/>
              <w:bottom w:val="nil"/>
              <w:right w:val="single" w:sz="4" w:space="0" w:color="auto"/>
            </w:tcBorders>
            <w:shd w:val="clear" w:color="auto" w:fill="auto"/>
            <w:noWrap/>
            <w:vAlign w:val="bottom"/>
            <w:hideMark/>
          </w:tcPr>
          <w:p w14:paraId="168FC972" w14:textId="77777777" w:rsidR="005A2B65" w:rsidRPr="005A2B65" w:rsidRDefault="005A2B65" w:rsidP="007B296C">
            <w:pPr>
              <w:tabs>
                <w:tab w:val="decimal" w:pos="681"/>
              </w:tabs>
              <w:spacing w:line="360" w:lineRule="auto"/>
              <w:rPr>
                <w:color w:val="000000"/>
              </w:rPr>
            </w:pPr>
            <w:r w:rsidRPr="005A2B65">
              <w:rPr>
                <w:color w:val="000000"/>
              </w:rPr>
              <w:t>20</w:t>
            </w:r>
          </w:p>
        </w:tc>
        <w:tc>
          <w:tcPr>
            <w:tcW w:w="755" w:type="pct"/>
            <w:tcBorders>
              <w:top w:val="nil"/>
              <w:left w:val="single" w:sz="4" w:space="0" w:color="auto"/>
              <w:bottom w:val="nil"/>
              <w:right w:val="nil"/>
            </w:tcBorders>
            <w:shd w:val="clear" w:color="auto" w:fill="auto"/>
            <w:noWrap/>
            <w:vAlign w:val="bottom"/>
            <w:hideMark/>
          </w:tcPr>
          <w:p w14:paraId="3986CCA2" w14:textId="619EB1D4" w:rsidR="005A2B65" w:rsidRPr="005A2B65" w:rsidRDefault="005A2B65" w:rsidP="005A2B65">
            <w:pPr>
              <w:spacing w:line="360" w:lineRule="auto"/>
              <w:jc w:val="center"/>
              <w:rPr>
                <w:color w:val="000000"/>
              </w:rPr>
            </w:pPr>
            <w:r w:rsidRPr="005A2B65">
              <w:rPr>
                <w:color w:val="000000"/>
              </w:rPr>
              <w:t>JPN</w:t>
            </w:r>
          </w:p>
        </w:tc>
        <w:tc>
          <w:tcPr>
            <w:tcW w:w="766" w:type="pct"/>
            <w:tcBorders>
              <w:top w:val="nil"/>
              <w:left w:val="nil"/>
              <w:bottom w:val="nil"/>
              <w:right w:val="single" w:sz="4" w:space="0" w:color="auto"/>
            </w:tcBorders>
            <w:shd w:val="clear" w:color="auto" w:fill="auto"/>
            <w:noWrap/>
            <w:vAlign w:val="bottom"/>
            <w:hideMark/>
          </w:tcPr>
          <w:p w14:paraId="03653E58" w14:textId="79F161A3" w:rsidR="005A2B65" w:rsidRPr="005A2B65" w:rsidRDefault="005A2B65" w:rsidP="007B296C">
            <w:pPr>
              <w:tabs>
                <w:tab w:val="decimal" w:pos="614"/>
              </w:tabs>
              <w:spacing w:line="360" w:lineRule="auto"/>
              <w:rPr>
                <w:color w:val="000000"/>
              </w:rPr>
            </w:pPr>
            <w:r w:rsidRPr="005A2B65">
              <w:rPr>
                <w:color w:val="000000"/>
              </w:rPr>
              <w:t>15.01</w:t>
            </w:r>
          </w:p>
        </w:tc>
        <w:tc>
          <w:tcPr>
            <w:tcW w:w="765" w:type="pct"/>
            <w:tcBorders>
              <w:top w:val="nil"/>
              <w:left w:val="single" w:sz="4" w:space="0" w:color="auto"/>
              <w:bottom w:val="nil"/>
              <w:right w:val="nil"/>
            </w:tcBorders>
            <w:shd w:val="clear" w:color="auto" w:fill="auto"/>
            <w:noWrap/>
            <w:vAlign w:val="bottom"/>
            <w:hideMark/>
          </w:tcPr>
          <w:p w14:paraId="753BFA70" w14:textId="48B56877" w:rsidR="005A2B65" w:rsidRPr="005A2B65" w:rsidRDefault="005A2B65" w:rsidP="005A2B65">
            <w:pPr>
              <w:spacing w:line="360" w:lineRule="auto"/>
              <w:jc w:val="center"/>
              <w:rPr>
                <w:color w:val="000000"/>
              </w:rPr>
            </w:pPr>
            <w:r w:rsidRPr="005A2B65">
              <w:rPr>
                <w:color w:val="000000"/>
              </w:rPr>
              <w:t>AUS</w:t>
            </w:r>
          </w:p>
        </w:tc>
        <w:tc>
          <w:tcPr>
            <w:tcW w:w="805" w:type="pct"/>
            <w:tcBorders>
              <w:top w:val="nil"/>
              <w:left w:val="nil"/>
              <w:bottom w:val="nil"/>
              <w:right w:val="nil"/>
            </w:tcBorders>
            <w:shd w:val="clear" w:color="auto" w:fill="auto"/>
            <w:noWrap/>
            <w:vAlign w:val="bottom"/>
            <w:hideMark/>
          </w:tcPr>
          <w:p w14:paraId="19039785" w14:textId="20AD7078" w:rsidR="005A2B65" w:rsidRPr="005A2B65" w:rsidRDefault="005A2B65" w:rsidP="007B296C">
            <w:pPr>
              <w:tabs>
                <w:tab w:val="decimal" w:pos="701"/>
              </w:tabs>
              <w:spacing w:line="360" w:lineRule="auto"/>
              <w:rPr>
                <w:color w:val="000000"/>
              </w:rPr>
            </w:pPr>
            <w:r w:rsidRPr="005A2B65">
              <w:rPr>
                <w:color w:val="000000"/>
              </w:rPr>
              <w:t>138.48</w:t>
            </w:r>
          </w:p>
        </w:tc>
      </w:tr>
      <w:tr w:rsidR="007B296C" w:rsidRPr="005A2B65" w14:paraId="2DCFE8EA" w14:textId="77777777" w:rsidTr="00994CA2">
        <w:trPr>
          <w:tblHeader/>
        </w:trPr>
        <w:tc>
          <w:tcPr>
            <w:tcW w:w="619" w:type="pct"/>
            <w:tcBorders>
              <w:top w:val="nil"/>
              <w:left w:val="nil"/>
              <w:bottom w:val="nil"/>
              <w:right w:val="nil"/>
            </w:tcBorders>
            <w:shd w:val="clear" w:color="auto" w:fill="auto"/>
            <w:noWrap/>
          </w:tcPr>
          <w:p w14:paraId="44C4A08D" w14:textId="77777777" w:rsidR="005A2B65" w:rsidRPr="005A2B65" w:rsidRDefault="005A2B65" w:rsidP="005A2B65">
            <w:pPr>
              <w:spacing w:line="360" w:lineRule="auto"/>
              <w:jc w:val="center"/>
              <w:rPr>
                <w:color w:val="000000"/>
              </w:rPr>
            </w:pPr>
          </w:p>
        </w:tc>
        <w:tc>
          <w:tcPr>
            <w:tcW w:w="627" w:type="pct"/>
            <w:tcBorders>
              <w:top w:val="nil"/>
              <w:left w:val="nil"/>
              <w:bottom w:val="nil"/>
              <w:right w:val="nil"/>
            </w:tcBorders>
            <w:shd w:val="clear" w:color="auto" w:fill="auto"/>
            <w:noWrap/>
          </w:tcPr>
          <w:p w14:paraId="46501CB6" w14:textId="77777777" w:rsidR="005A2B65" w:rsidRPr="005A2B65" w:rsidRDefault="005A2B65" w:rsidP="007B296C">
            <w:pPr>
              <w:spacing w:line="360" w:lineRule="auto"/>
              <w:jc w:val="center"/>
              <w:rPr>
                <w:color w:val="000000"/>
              </w:rPr>
            </w:pPr>
          </w:p>
        </w:tc>
        <w:tc>
          <w:tcPr>
            <w:tcW w:w="663" w:type="pct"/>
            <w:tcBorders>
              <w:top w:val="nil"/>
              <w:left w:val="nil"/>
              <w:bottom w:val="nil"/>
              <w:right w:val="single" w:sz="4" w:space="0" w:color="auto"/>
            </w:tcBorders>
            <w:shd w:val="clear" w:color="auto" w:fill="auto"/>
            <w:noWrap/>
          </w:tcPr>
          <w:p w14:paraId="0A6A43A5" w14:textId="77777777" w:rsidR="005A2B65" w:rsidRPr="005A2B65" w:rsidRDefault="005A2B65" w:rsidP="007B296C">
            <w:pPr>
              <w:tabs>
                <w:tab w:val="decimal" w:pos="681"/>
              </w:tabs>
              <w:spacing w:line="360" w:lineRule="auto"/>
              <w:rPr>
                <w:color w:val="000000"/>
              </w:rPr>
            </w:pPr>
          </w:p>
        </w:tc>
        <w:tc>
          <w:tcPr>
            <w:tcW w:w="755" w:type="pct"/>
            <w:tcBorders>
              <w:top w:val="nil"/>
              <w:left w:val="single" w:sz="4" w:space="0" w:color="auto"/>
              <w:bottom w:val="nil"/>
              <w:right w:val="nil"/>
            </w:tcBorders>
            <w:shd w:val="clear" w:color="auto" w:fill="auto"/>
            <w:noWrap/>
            <w:vAlign w:val="bottom"/>
          </w:tcPr>
          <w:p w14:paraId="21A12760" w14:textId="77777777" w:rsidR="005A2B65" w:rsidRPr="005A2B65" w:rsidRDefault="005A2B65" w:rsidP="005A2B65">
            <w:pPr>
              <w:spacing w:line="360" w:lineRule="auto"/>
              <w:jc w:val="center"/>
              <w:rPr>
                <w:color w:val="000000"/>
              </w:rPr>
            </w:pPr>
          </w:p>
        </w:tc>
        <w:tc>
          <w:tcPr>
            <w:tcW w:w="766" w:type="pct"/>
            <w:tcBorders>
              <w:top w:val="nil"/>
              <w:left w:val="nil"/>
              <w:bottom w:val="nil"/>
              <w:right w:val="single" w:sz="4" w:space="0" w:color="auto"/>
            </w:tcBorders>
            <w:shd w:val="clear" w:color="auto" w:fill="auto"/>
            <w:noWrap/>
            <w:vAlign w:val="bottom"/>
          </w:tcPr>
          <w:p w14:paraId="3E7058E1" w14:textId="77777777" w:rsidR="005A2B65" w:rsidRPr="005A2B65" w:rsidRDefault="005A2B65" w:rsidP="007B296C">
            <w:pPr>
              <w:tabs>
                <w:tab w:val="decimal" w:pos="614"/>
              </w:tabs>
              <w:spacing w:line="360" w:lineRule="auto"/>
              <w:rPr>
                <w:color w:val="000000"/>
              </w:rPr>
            </w:pPr>
          </w:p>
        </w:tc>
        <w:tc>
          <w:tcPr>
            <w:tcW w:w="765" w:type="pct"/>
            <w:tcBorders>
              <w:top w:val="nil"/>
              <w:left w:val="single" w:sz="4" w:space="0" w:color="auto"/>
              <w:bottom w:val="nil"/>
              <w:right w:val="nil"/>
            </w:tcBorders>
            <w:shd w:val="clear" w:color="auto" w:fill="auto"/>
            <w:noWrap/>
            <w:vAlign w:val="bottom"/>
          </w:tcPr>
          <w:p w14:paraId="02BB3036" w14:textId="77777777" w:rsidR="005A2B65" w:rsidRPr="005A2B65" w:rsidRDefault="005A2B65" w:rsidP="005A2B65">
            <w:pPr>
              <w:spacing w:line="360" w:lineRule="auto"/>
              <w:jc w:val="center"/>
              <w:rPr>
                <w:color w:val="000000"/>
              </w:rPr>
            </w:pPr>
          </w:p>
        </w:tc>
        <w:tc>
          <w:tcPr>
            <w:tcW w:w="805" w:type="pct"/>
            <w:tcBorders>
              <w:top w:val="nil"/>
              <w:left w:val="nil"/>
              <w:bottom w:val="nil"/>
              <w:right w:val="nil"/>
            </w:tcBorders>
            <w:shd w:val="clear" w:color="auto" w:fill="auto"/>
            <w:noWrap/>
            <w:vAlign w:val="bottom"/>
          </w:tcPr>
          <w:p w14:paraId="6235321A" w14:textId="77777777" w:rsidR="005A2B65" w:rsidRPr="005A2B65" w:rsidRDefault="005A2B65" w:rsidP="007B296C">
            <w:pPr>
              <w:tabs>
                <w:tab w:val="decimal" w:pos="701"/>
              </w:tabs>
              <w:spacing w:line="360" w:lineRule="auto"/>
              <w:rPr>
                <w:color w:val="000000"/>
              </w:rPr>
            </w:pPr>
          </w:p>
        </w:tc>
      </w:tr>
      <w:tr w:rsidR="007B296C" w:rsidRPr="005A2B65" w14:paraId="7047BDB2" w14:textId="77777777" w:rsidTr="00994CA2">
        <w:trPr>
          <w:tblHeader/>
        </w:trPr>
        <w:tc>
          <w:tcPr>
            <w:tcW w:w="619" w:type="pct"/>
            <w:tcBorders>
              <w:top w:val="nil"/>
              <w:left w:val="nil"/>
              <w:bottom w:val="nil"/>
              <w:right w:val="nil"/>
            </w:tcBorders>
            <w:shd w:val="clear" w:color="auto" w:fill="auto"/>
            <w:noWrap/>
            <w:hideMark/>
          </w:tcPr>
          <w:p w14:paraId="1C271ED8" w14:textId="77777777" w:rsidR="005A2B65" w:rsidRPr="005A2B65" w:rsidRDefault="005A2B65" w:rsidP="005A2B65">
            <w:pPr>
              <w:spacing w:line="360" w:lineRule="auto"/>
              <w:jc w:val="center"/>
              <w:rPr>
                <w:color w:val="000000"/>
              </w:rPr>
            </w:pPr>
            <w:r w:rsidRPr="005A2B65">
              <w:rPr>
                <w:color w:val="000000"/>
              </w:rPr>
              <w:t>15</w:t>
            </w:r>
          </w:p>
        </w:tc>
        <w:tc>
          <w:tcPr>
            <w:tcW w:w="627" w:type="pct"/>
            <w:tcBorders>
              <w:top w:val="nil"/>
              <w:left w:val="nil"/>
              <w:bottom w:val="nil"/>
              <w:right w:val="nil"/>
            </w:tcBorders>
            <w:shd w:val="clear" w:color="auto" w:fill="auto"/>
            <w:noWrap/>
            <w:vAlign w:val="center"/>
            <w:hideMark/>
          </w:tcPr>
          <w:p w14:paraId="23D70309" w14:textId="77777777" w:rsidR="005A2B65" w:rsidRPr="005A2B65" w:rsidRDefault="005A2B65" w:rsidP="007B296C">
            <w:pPr>
              <w:spacing w:line="360" w:lineRule="auto"/>
              <w:jc w:val="center"/>
              <w:rPr>
                <w:color w:val="000000"/>
              </w:rPr>
            </w:pPr>
            <w:r w:rsidRPr="005A2B65">
              <w:rPr>
                <w:color w:val="000000"/>
              </w:rPr>
              <w:t>CAN</w:t>
            </w:r>
          </w:p>
        </w:tc>
        <w:tc>
          <w:tcPr>
            <w:tcW w:w="663" w:type="pct"/>
            <w:tcBorders>
              <w:top w:val="nil"/>
              <w:left w:val="nil"/>
              <w:bottom w:val="nil"/>
              <w:right w:val="single" w:sz="4" w:space="0" w:color="auto"/>
            </w:tcBorders>
            <w:shd w:val="clear" w:color="auto" w:fill="auto"/>
            <w:noWrap/>
            <w:vAlign w:val="center"/>
            <w:hideMark/>
          </w:tcPr>
          <w:p w14:paraId="0A9C3D73" w14:textId="77777777" w:rsidR="005A2B65" w:rsidRPr="005A2B65" w:rsidRDefault="005A2B65" w:rsidP="007B296C">
            <w:pPr>
              <w:tabs>
                <w:tab w:val="decimal" w:pos="681"/>
              </w:tabs>
              <w:spacing w:line="360" w:lineRule="auto"/>
              <w:rPr>
                <w:color w:val="000000"/>
              </w:rPr>
            </w:pPr>
            <w:r w:rsidRPr="005A2B65">
              <w:rPr>
                <w:color w:val="000000"/>
              </w:rPr>
              <w:t>10</w:t>
            </w:r>
          </w:p>
        </w:tc>
        <w:tc>
          <w:tcPr>
            <w:tcW w:w="755" w:type="pct"/>
            <w:tcBorders>
              <w:top w:val="nil"/>
              <w:left w:val="single" w:sz="4" w:space="0" w:color="auto"/>
              <w:bottom w:val="nil"/>
              <w:right w:val="nil"/>
            </w:tcBorders>
            <w:shd w:val="clear" w:color="auto" w:fill="auto"/>
            <w:noWrap/>
            <w:vAlign w:val="bottom"/>
            <w:hideMark/>
          </w:tcPr>
          <w:p w14:paraId="17A98157" w14:textId="0710B58C" w:rsidR="005A2B65" w:rsidRPr="005A2B65" w:rsidRDefault="005A2B65" w:rsidP="005A2B65">
            <w:pPr>
              <w:spacing w:line="360" w:lineRule="auto"/>
              <w:jc w:val="center"/>
              <w:rPr>
                <w:color w:val="000000"/>
              </w:rPr>
            </w:pPr>
            <w:r w:rsidRPr="005A2B65">
              <w:rPr>
                <w:color w:val="000000"/>
              </w:rPr>
              <w:t>IND</w:t>
            </w:r>
          </w:p>
        </w:tc>
        <w:tc>
          <w:tcPr>
            <w:tcW w:w="766" w:type="pct"/>
            <w:tcBorders>
              <w:top w:val="nil"/>
              <w:left w:val="nil"/>
              <w:bottom w:val="nil"/>
              <w:right w:val="single" w:sz="4" w:space="0" w:color="auto"/>
            </w:tcBorders>
            <w:shd w:val="clear" w:color="auto" w:fill="auto"/>
            <w:noWrap/>
            <w:vAlign w:val="bottom"/>
            <w:hideMark/>
          </w:tcPr>
          <w:p w14:paraId="5CD39BE1" w14:textId="61289C16" w:rsidR="005A2B65" w:rsidRPr="005A2B65" w:rsidRDefault="005A2B65" w:rsidP="007B296C">
            <w:pPr>
              <w:tabs>
                <w:tab w:val="decimal" w:pos="614"/>
              </w:tabs>
              <w:spacing w:line="360" w:lineRule="auto"/>
              <w:rPr>
                <w:color w:val="000000"/>
              </w:rPr>
            </w:pPr>
            <w:r w:rsidRPr="005A2B65">
              <w:rPr>
                <w:color w:val="000000"/>
              </w:rPr>
              <w:t>5.14</w:t>
            </w:r>
          </w:p>
        </w:tc>
        <w:tc>
          <w:tcPr>
            <w:tcW w:w="765" w:type="pct"/>
            <w:tcBorders>
              <w:top w:val="nil"/>
              <w:left w:val="single" w:sz="4" w:space="0" w:color="auto"/>
              <w:bottom w:val="nil"/>
              <w:right w:val="nil"/>
            </w:tcBorders>
            <w:shd w:val="clear" w:color="auto" w:fill="auto"/>
            <w:noWrap/>
            <w:vAlign w:val="bottom"/>
            <w:hideMark/>
          </w:tcPr>
          <w:p w14:paraId="25FEF5BD" w14:textId="0553C1E5" w:rsidR="005A2B65" w:rsidRPr="005A2B65" w:rsidRDefault="005A2B65" w:rsidP="005A2B65">
            <w:pPr>
              <w:spacing w:line="360" w:lineRule="auto"/>
              <w:jc w:val="center"/>
              <w:rPr>
                <w:color w:val="000000"/>
              </w:rPr>
            </w:pPr>
            <w:r w:rsidRPr="005A2B65">
              <w:rPr>
                <w:color w:val="000000"/>
              </w:rPr>
              <w:t>ZAF</w:t>
            </w:r>
          </w:p>
        </w:tc>
        <w:tc>
          <w:tcPr>
            <w:tcW w:w="805" w:type="pct"/>
            <w:tcBorders>
              <w:top w:val="nil"/>
              <w:left w:val="nil"/>
              <w:bottom w:val="nil"/>
              <w:right w:val="nil"/>
            </w:tcBorders>
            <w:shd w:val="clear" w:color="auto" w:fill="auto"/>
            <w:noWrap/>
            <w:vAlign w:val="bottom"/>
            <w:hideMark/>
          </w:tcPr>
          <w:p w14:paraId="41262AE0" w14:textId="7AC47B43" w:rsidR="005A2B65" w:rsidRPr="005A2B65" w:rsidRDefault="005A2B65" w:rsidP="007B296C">
            <w:pPr>
              <w:tabs>
                <w:tab w:val="decimal" w:pos="701"/>
              </w:tabs>
              <w:spacing w:line="360" w:lineRule="auto"/>
              <w:rPr>
                <w:color w:val="000000"/>
              </w:rPr>
            </w:pPr>
            <w:r w:rsidRPr="005A2B65">
              <w:rPr>
                <w:color w:val="000000"/>
              </w:rPr>
              <w:t>58.17</w:t>
            </w:r>
          </w:p>
        </w:tc>
      </w:tr>
      <w:tr w:rsidR="007B296C" w:rsidRPr="005A2B65" w14:paraId="742054A6" w14:textId="77777777" w:rsidTr="00994CA2">
        <w:trPr>
          <w:tblHeader/>
        </w:trPr>
        <w:tc>
          <w:tcPr>
            <w:tcW w:w="619" w:type="pct"/>
            <w:tcBorders>
              <w:top w:val="nil"/>
              <w:left w:val="nil"/>
              <w:bottom w:val="nil"/>
              <w:right w:val="nil"/>
            </w:tcBorders>
            <w:shd w:val="clear" w:color="auto" w:fill="auto"/>
            <w:noWrap/>
            <w:hideMark/>
          </w:tcPr>
          <w:p w14:paraId="0B454C34" w14:textId="77777777" w:rsidR="005A2B65" w:rsidRPr="005A2B65" w:rsidRDefault="005A2B65" w:rsidP="005A2B65">
            <w:pPr>
              <w:spacing w:line="360" w:lineRule="auto"/>
              <w:jc w:val="center"/>
              <w:rPr>
                <w:color w:val="000000"/>
              </w:rPr>
            </w:pPr>
            <w:r w:rsidRPr="005A2B65">
              <w:rPr>
                <w:color w:val="000000"/>
              </w:rPr>
              <w:t>16</w:t>
            </w:r>
          </w:p>
        </w:tc>
        <w:tc>
          <w:tcPr>
            <w:tcW w:w="627" w:type="pct"/>
            <w:tcBorders>
              <w:top w:val="nil"/>
              <w:left w:val="nil"/>
              <w:bottom w:val="nil"/>
              <w:right w:val="nil"/>
            </w:tcBorders>
            <w:shd w:val="clear" w:color="auto" w:fill="auto"/>
            <w:noWrap/>
            <w:vAlign w:val="bottom"/>
            <w:hideMark/>
          </w:tcPr>
          <w:p w14:paraId="7C892826" w14:textId="77777777" w:rsidR="005A2B65" w:rsidRPr="005A2B65" w:rsidRDefault="005A2B65" w:rsidP="007B296C">
            <w:pPr>
              <w:spacing w:line="360" w:lineRule="auto"/>
              <w:jc w:val="center"/>
              <w:rPr>
                <w:color w:val="000000"/>
              </w:rPr>
            </w:pPr>
            <w:r w:rsidRPr="005A2B65">
              <w:rPr>
                <w:color w:val="000000"/>
              </w:rPr>
              <w:t>IND</w:t>
            </w:r>
          </w:p>
        </w:tc>
        <w:tc>
          <w:tcPr>
            <w:tcW w:w="663" w:type="pct"/>
            <w:tcBorders>
              <w:top w:val="nil"/>
              <w:left w:val="nil"/>
              <w:bottom w:val="nil"/>
              <w:right w:val="single" w:sz="4" w:space="0" w:color="auto"/>
            </w:tcBorders>
            <w:shd w:val="clear" w:color="auto" w:fill="auto"/>
            <w:noWrap/>
            <w:vAlign w:val="bottom"/>
            <w:hideMark/>
          </w:tcPr>
          <w:p w14:paraId="34D64206" w14:textId="77777777" w:rsidR="005A2B65" w:rsidRPr="005A2B65" w:rsidRDefault="005A2B65" w:rsidP="007B296C">
            <w:pPr>
              <w:tabs>
                <w:tab w:val="decimal" w:pos="681"/>
              </w:tabs>
              <w:spacing w:line="360" w:lineRule="auto"/>
              <w:rPr>
                <w:color w:val="000000"/>
              </w:rPr>
            </w:pPr>
            <w:r w:rsidRPr="005A2B65">
              <w:rPr>
                <w:color w:val="000000"/>
              </w:rPr>
              <w:t>10</w:t>
            </w:r>
          </w:p>
        </w:tc>
        <w:tc>
          <w:tcPr>
            <w:tcW w:w="755" w:type="pct"/>
            <w:tcBorders>
              <w:top w:val="nil"/>
              <w:left w:val="single" w:sz="4" w:space="0" w:color="auto"/>
              <w:bottom w:val="nil"/>
              <w:right w:val="nil"/>
            </w:tcBorders>
            <w:shd w:val="clear" w:color="auto" w:fill="auto"/>
            <w:noWrap/>
            <w:vAlign w:val="bottom"/>
            <w:hideMark/>
          </w:tcPr>
          <w:p w14:paraId="63CD947C" w14:textId="01E0B8A7" w:rsidR="005A2B65" w:rsidRPr="005A2B65" w:rsidRDefault="005A2B65" w:rsidP="005A2B65">
            <w:pPr>
              <w:spacing w:line="360" w:lineRule="auto"/>
              <w:jc w:val="center"/>
              <w:rPr>
                <w:color w:val="000000"/>
              </w:rPr>
            </w:pPr>
            <w:r w:rsidRPr="005A2B65">
              <w:rPr>
                <w:color w:val="000000"/>
              </w:rPr>
              <w:t>RUS</w:t>
            </w:r>
          </w:p>
        </w:tc>
        <w:tc>
          <w:tcPr>
            <w:tcW w:w="766" w:type="pct"/>
            <w:tcBorders>
              <w:top w:val="nil"/>
              <w:left w:val="nil"/>
              <w:bottom w:val="nil"/>
              <w:right w:val="single" w:sz="4" w:space="0" w:color="auto"/>
            </w:tcBorders>
            <w:shd w:val="clear" w:color="auto" w:fill="auto"/>
            <w:noWrap/>
            <w:vAlign w:val="bottom"/>
            <w:hideMark/>
          </w:tcPr>
          <w:p w14:paraId="60C6471D" w14:textId="3A666A38" w:rsidR="005A2B65" w:rsidRPr="005A2B65" w:rsidRDefault="005A2B65" w:rsidP="007B296C">
            <w:pPr>
              <w:tabs>
                <w:tab w:val="decimal" w:pos="614"/>
              </w:tabs>
              <w:spacing w:line="360" w:lineRule="auto"/>
              <w:rPr>
                <w:color w:val="000000"/>
              </w:rPr>
            </w:pPr>
            <w:r w:rsidRPr="005A2B65">
              <w:rPr>
                <w:color w:val="000000"/>
              </w:rPr>
              <w:t>4.09</w:t>
            </w:r>
          </w:p>
        </w:tc>
        <w:tc>
          <w:tcPr>
            <w:tcW w:w="765" w:type="pct"/>
            <w:tcBorders>
              <w:top w:val="nil"/>
              <w:left w:val="single" w:sz="4" w:space="0" w:color="auto"/>
              <w:bottom w:val="nil"/>
              <w:right w:val="nil"/>
            </w:tcBorders>
            <w:shd w:val="clear" w:color="auto" w:fill="auto"/>
            <w:noWrap/>
            <w:vAlign w:val="bottom"/>
            <w:hideMark/>
          </w:tcPr>
          <w:p w14:paraId="59A4C695" w14:textId="14BCAA82" w:rsidR="005A2B65" w:rsidRPr="005A2B65" w:rsidRDefault="005A2B65" w:rsidP="005A2B65">
            <w:pPr>
              <w:spacing w:line="360" w:lineRule="auto"/>
              <w:jc w:val="center"/>
              <w:rPr>
                <w:color w:val="000000"/>
              </w:rPr>
            </w:pPr>
            <w:r w:rsidRPr="005A2B65">
              <w:rPr>
                <w:color w:val="000000"/>
              </w:rPr>
              <w:t>RUS</w:t>
            </w:r>
          </w:p>
        </w:tc>
        <w:tc>
          <w:tcPr>
            <w:tcW w:w="805" w:type="pct"/>
            <w:tcBorders>
              <w:top w:val="nil"/>
              <w:left w:val="nil"/>
              <w:bottom w:val="nil"/>
              <w:right w:val="nil"/>
            </w:tcBorders>
            <w:shd w:val="clear" w:color="auto" w:fill="auto"/>
            <w:noWrap/>
            <w:vAlign w:val="bottom"/>
            <w:hideMark/>
          </w:tcPr>
          <w:p w14:paraId="216328C8" w14:textId="236CE548" w:rsidR="005A2B65" w:rsidRPr="005A2B65" w:rsidRDefault="005A2B65" w:rsidP="007B296C">
            <w:pPr>
              <w:tabs>
                <w:tab w:val="decimal" w:pos="701"/>
              </w:tabs>
              <w:spacing w:line="360" w:lineRule="auto"/>
              <w:rPr>
                <w:color w:val="000000"/>
              </w:rPr>
            </w:pPr>
            <w:r w:rsidRPr="005A2B65">
              <w:rPr>
                <w:color w:val="000000"/>
              </w:rPr>
              <w:t>40.94</w:t>
            </w:r>
          </w:p>
        </w:tc>
      </w:tr>
      <w:tr w:rsidR="007B296C" w:rsidRPr="005A2B65" w14:paraId="0EF8315C" w14:textId="77777777" w:rsidTr="00994CA2">
        <w:trPr>
          <w:tblHeader/>
        </w:trPr>
        <w:tc>
          <w:tcPr>
            <w:tcW w:w="619" w:type="pct"/>
            <w:tcBorders>
              <w:top w:val="nil"/>
              <w:left w:val="nil"/>
              <w:bottom w:val="nil"/>
              <w:right w:val="nil"/>
            </w:tcBorders>
            <w:shd w:val="clear" w:color="auto" w:fill="auto"/>
            <w:noWrap/>
            <w:hideMark/>
          </w:tcPr>
          <w:p w14:paraId="175C55E6" w14:textId="77777777" w:rsidR="005A2B65" w:rsidRPr="005A2B65" w:rsidRDefault="005A2B65" w:rsidP="005A2B65">
            <w:pPr>
              <w:spacing w:line="360" w:lineRule="auto"/>
              <w:jc w:val="center"/>
              <w:rPr>
                <w:color w:val="000000"/>
              </w:rPr>
            </w:pPr>
            <w:r w:rsidRPr="005A2B65">
              <w:rPr>
                <w:color w:val="000000"/>
              </w:rPr>
              <w:t>17</w:t>
            </w:r>
          </w:p>
        </w:tc>
        <w:tc>
          <w:tcPr>
            <w:tcW w:w="627" w:type="pct"/>
            <w:tcBorders>
              <w:top w:val="nil"/>
              <w:left w:val="nil"/>
              <w:bottom w:val="nil"/>
              <w:right w:val="nil"/>
            </w:tcBorders>
            <w:shd w:val="clear" w:color="auto" w:fill="auto"/>
            <w:noWrap/>
            <w:vAlign w:val="bottom"/>
            <w:hideMark/>
          </w:tcPr>
          <w:p w14:paraId="4C581A1E" w14:textId="77777777" w:rsidR="005A2B65" w:rsidRPr="005A2B65" w:rsidRDefault="005A2B65" w:rsidP="007B296C">
            <w:pPr>
              <w:spacing w:line="360" w:lineRule="auto"/>
              <w:jc w:val="center"/>
              <w:rPr>
                <w:color w:val="000000"/>
              </w:rPr>
            </w:pPr>
            <w:r w:rsidRPr="005A2B65">
              <w:rPr>
                <w:color w:val="000000"/>
              </w:rPr>
              <w:t>MEX</w:t>
            </w:r>
          </w:p>
        </w:tc>
        <w:tc>
          <w:tcPr>
            <w:tcW w:w="663" w:type="pct"/>
            <w:tcBorders>
              <w:top w:val="nil"/>
              <w:left w:val="nil"/>
              <w:bottom w:val="nil"/>
              <w:right w:val="single" w:sz="4" w:space="0" w:color="auto"/>
            </w:tcBorders>
            <w:shd w:val="clear" w:color="auto" w:fill="auto"/>
            <w:noWrap/>
            <w:vAlign w:val="bottom"/>
            <w:hideMark/>
          </w:tcPr>
          <w:p w14:paraId="6AEEC843" w14:textId="77777777" w:rsidR="005A2B65" w:rsidRPr="005A2B65" w:rsidRDefault="005A2B65" w:rsidP="007B296C">
            <w:pPr>
              <w:tabs>
                <w:tab w:val="decimal" w:pos="681"/>
              </w:tabs>
              <w:spacing w:line="360" w:lineRule="auto"/>
              <w:rPr>
                <w:color w:val="000000"/>
              </w:rPr>
            </w:pPr>
            <w:r w:rsidRPr="005A2B65">
              <w:rPr>
                <w:color w:val="000000"/>
              </w:rPr>
              <w:t>10</w:t>
            </w:r>
          </w:p>
        </w:tc>
        <w:tc>
          <w:tcPr>
            <w:tcW w:w="755" w:type="pct"/>
            <w:tcBorders>
              <w:top w:val="nil"/>
              <w:left w:val="single" w:sz="4" w:space="0" w:color="auto"/>
              <w:bottom w:val="nil"/>
              <w:right w:val="nil"/>
            </w:tcBorders>
            <w:shd w:val="clear" w:color="auto" w:fill="auto"/>
            <w:noWrap/>
            <w:vAlign w:val="bottom"/>
            <w:hideMark/>
          </w:tcPr>
          <w:p w14:paraId="53EE9DF3" w14:textId="269EF1C1" w:rsidR="005A2B65" w:rsidRPr="005A2B65" w:rsidRDefault="005A2B65" w:rsidP="005A2B65">
            <w:pPr>
              <w:spacing w:line="360" w:lineRule="auto"/>
              <w:jc w:val="center"/>
              <w:rPr>
                <w:color w:val="000000"/>
              </w:rPr>
            </w:pPr>
            <w:r w:rsidRPr="005A2B65">
              <w:rPr>
                <w:color w:val="000000"/>
              </w:rPr>
              <w:t>MEX</w:t>
            </w:r>
          </w:p>
        </w:tc>
        <w:tc>
          <w:tcPr>
            <w:tcW w:w="766" w:type="pct"/>
            <w:tcBorders>
              <w:top w:val="nil"/>
              <w:left w:val="nil"/>
              <w:bottom w:val="nil"/>
              <w:right w:val="single" w:sz="4" w:space="0" w:color="auto"/>
            </w:tcBorders>
            <w:shd w:val="clear" w:color="auto" w:fill="auto"/>
            <w:noWrap/>
            <w:vAlign w:val="bottom"/>
            <w:hideMark/>
          </w:tcPr>
          <w:p w14:paraId="042E627A" w14:textId="258255C1" w:rsidR="005A2B65" w:rsidRPr="005A2B65" w:rsidRDefault="005A2B65" w:rsidP="007B296C">
            <w:pPr>
              <w:tabs>
                <w:tab w:val="decimal" w:pos="614"/>
              </w:tabs>
              <w:spacing w:line="360" w:lineRule="auto"/>
              <w:rPr>
                <w:color w:val="000000"/>
              </w:rPr>
            </w:pPr>
            <w:r w:rsidRPr="005A2B65">
              <w:rPr>
                <w:color w:val="000000"/>
              </w:rPr>
              <w:t>3.97</w:t>
            </w:r>
          </w:p>
        </w:tc>
        <w:tc>
          <w:tcPr>
            <w:tcW w:w="765" w:type="pct"/>
            <w:tcBorders>
              <w:top w:val="nil"/>
              <w:left w:val="single" w:sz="4" w:space="0" w:color="auto"/>
              <w:bottom w:val="nil"/>
              <w:right w:val="nil"/>
            </w:tcBorders>
            <w:shd w:val="clear" w:color="auto" w:fill="auto"/>
            <w:noWrap/>
            <w:vAlign w:val="bottom"/>
            <w:hideMark/>
          </w:tcPr>
          <w:p w14:paraId="30E42245" w14:textId="0286CF1A" w:rsidR="005A2B65" w:rsidRPr="005A2B65" w:rsidRDefault="005A2B65" w:rsidP="005A2B65">
            <w:pPr>
              <w:spacing w:line="360" w:lineRule="auto"/>
              <w:jc w:val="center"/>
              <w:rPr>
                <w:color w:val="000000"/>
              </w:rPr>
            </w:pPr>
            <w:r w:rsidRPr="005A2B65">
              <w:rPr>
                <w:color w:val="000000"/>
              </w:rPr>
              <w:t>MEX</w:t>
            </w:r>
          </w:p>
        </w:tc>
        <w:tc>
          <w:tcPr>
            <w:tcW w:w="805" w:type="pct"/>
            <w:tcBorders>
              <w:top w:val="nil"/>
              <w:left w:val="nil"/>
              <w:bottom w:val="nil"/>
              <w:right w:val="nil"/>
            </w:tcBorders>
            <w:shd w:val="clear" w:color="auto" w:fill="auto"/>
            <w:noWrap/>
            <w:vAlign w:val="bottom"/>
            <w:hideMark/>
          </w:tcPr>
          <w:p w14:paraId="3B0376FA" w14:textId="59C9560A" w:rsidR="005A2B65" w:rsidRPr="005A2B65" w:rsidRDefault="005A2B65" w:rsidP="007B296C">
            <w:pPr>
              <w:tabs>
                <w:tab w:val="decimal" w:pos="701"/>
              </w:tabs>
              <w:spacing w:line="360" w:lineRule="auto"/>
              <w:rPr>
                <w:color w:val="000000"/>
              </w:rPr>
            </w:pPr>
            <w:r w:rsidRPr="005A2B65">
              <w:rPr>
                <w:color w:val="000000"/>
              </w:rPr>
              <w:t>28.81</w:t>
            </w:r>
          </w:p>
        </w:tc>
      </w:tr>
      <w:tr w:rsidR="007B296C" w:rsidRPr="005A2B65" w14:paraId="1D02997D" w14:textId="77777777" w:rsidTr="00994CA2">
        <w:trPr>
          <w:tblHeader/>
        </w:trPr>
        <w:tc>
          <w:tcPr>
            <w:tcW w:w="619" w:type="pct"/>
            <w:tcBorders>
              <w:top w:val="nil"/>
              <w:left w:val="nil"/>
              <w:right w:val="nil"/>
            </w:tcBorders>
            <w:shd w:val="clear" w:color="auto" w:fill="auto"/>
            <w:noWrap/>
            <w:hideMark/>
          </w:tcPr>
          <w:p w14:paraId="628A5669" w14:textId="77777777" w:rsidR="005A2B65" w:rsidRPr="005A2B65" w:rsidRDefault="005A2B65" w:rsidP="005A2B65">
            <w:pPr>
              <w:spacing w:line="360" w:lineRule="auto"/>
              <w:jc w:val="center"/>
              <w:rPr>
                <w:color w:val="000000"/>
              </w:rPr>
            </w:pPr>
            <w:r w:rsidRPr="005A2B65">
              <w:rPr>
                <w:color w:val="000000"/>
              </w:rPr>
              <w:t>18</w:t>
            </w:r>
          </w:p>
        </w:tc>
        <w:tc>
          <w:tcPr>
            <w:tcW w:w="627" w:type="pct"/>
            <w:tcBorders>
              <w:top w:val="nil"/>
              <w:left w:val="nil"/>
              <w:right w:val="nil"/>
            </w:tcBorders>
            <w:shd w:val="clear" w:color="auto" w:fill="auto"/>
            <w:noWrap/>
            <w:vAlign w:val="center"/>
            <w:hideMark/>
          </w:tcPr>
          <w:p w14:paraId="7021D8A0" w14:textId="77777777" w:rsidR="005A2B65" w:rsidRPr="005A2B65" w:rsidRDefault="005A2B65" w:rsidP="007B296C">
            <w:pPr>
              <w:spacing w:line="360" w:lineRule="auto"/>
              <w:jc w:val="center"/>
              <w:rPr>
                <w:color w:val="000000"/>
              </w:rPr>
            </w:pPr>
            <w:r w:rsidRPr="005A2B65">
              <w:rPr>
                <w:color w:val="000000"/>
              </w:rPr>
              <w:t>CHN</w:t>
            </w:r>
          </w:p>
        </w:tc>
        <w:tc>
          <w:tcPr>
            <w:tcW w:w="663" w:type="pct"/>
            <w:tcBorders>
              <w:top w:val="nil"/>
              <w:left w:val="nil"/>
              <w:right w:val="single" w:sz="4" w:space="0" w:color="auto"/>
            </w:tcBorders>
            <w:shd w:val="clear" w:color="auto" w:fill="auto"/>
            <w:noWrap/>
            <w:vAlign w:val="center"/>
            <w:hideMark/>
          </w:tcPr>
          <w:p w14:paraId="5D807433" w14:textId="77777777" w:rsidR="005A2B65" w:rsidRPr="005A2B65" w:rsidRDefault="005A2B65" w:rsidP="007B296C">
            <w:pPr>
              <w:tabs>
                <w:tab w:val="decimal" w:pos="681"/>
              </w:tabs>
              <w:spacing w:line="360" w:lineRule="auto"/>
              <w:rPr>
                <w:color w:val="000000"/>
              </w:rPr>
            </w:pPr>
            <w:r w:rsidRPr="005A2B65">
              <w:rPr>
                <w:color w:val="000000"/>
              </w:rPr>
              <w:t>8</w:t>
            </w:r>
          </w:p>
        </w:tc>
        <w:tc>
          <w:tcPr>
            <w:tcW w:w="755" w:type="pct"/>
            <w:tcBorders>
              <w:top w:val="nil"/>
              <w:left w:val="single" w:sz="4" w:space="0" w:color="auto"/>
              <w:right w:val="nil"/>
            </w:tcBorders>
            <w:shd w:val="clear" w:color="auto" w:fill="auto"/>
            <w:noWrap/>
            <w:vAlign w:val="bottom"/>
            <w:hideMark/>
          </w:tcPr>
          <w:p w14:paraId="49A2AC18" w14:textId="42B79B90" w:rsidR="005A2B65" w:rsidRPr="005A2B65" w:rsidRDefault="005A2B65" w:rsidP="005A2B65">
            <w:pPr>
              <w:spacing w:line="360" w:lineRule="auto"/>
              <w:jc w:val="center"/>
              <w:rPr>
                <w:color w:val="000000"/>
              </w:rPr>
            </w:pPr>
            <w:r w:rsidRPr="005A2B65">
              <w:rPr>
                <w:color w:val="000000"/>
              </w:rPr>
              <w:t>CHN</w:t>
            </w:r>
          </w:p>
        </w:tc>
        <w:tc>
          <w:tcPr>
            <w:tcW w:w="766" w:type="pct"/>
            <w:tcBorders>
              <w:top w:val="nil"/>
              <w:left w:val="nil"/>
              <w:right w:val="single" w:sz="4" w:space="0" w:color="auto"/>
            </w:tcBorders>
            <w:shd w:val="clear" w:color="auto" w:fill="auto"/>
            <w:noWrap/>
            <w:vAlign w:val="bottom"/>
            <w:hideMark/>
          </w:tcPr>
          <w:p w14:paraId="00B0EC50" w14:textId="296BDCBA" w:rsidR="005A2B65" w:rsidRPr="005A2B65" w:rsidRDefault="005A2B65" w:rsidP="007B296C">
            <w:pPr>
              <w:tabs>
                <w:tab w:val="decimal" w:pos="614"/>
              </w:tabs>
              <w:spacing w:line="360" w:lineRule="auto"/>
              <w:rPr>
                <w:color w:val="000000"/>
              </w:rPr>
            </w:pPr>
            <w:r w:rsidRPr="005A2B65">
              <w:rPr>
                <w:color w:val="000000"/>
              </w:rPr>
              <w:t>3.25</w:t>
            </w:r>
          </w:p>
        </w:tc>
        <w:tc>
          <w:tcPr>
            <w:tcW w:w="765" w:type="pct"/>
            <w:tcBorders>
              <w:top w:val="nil"/>
              <w:left w:val="single" w:sz="4" w:space="0" w:color="auto"/>
              <w:right w:val="nil"/>
            </w:tcBorders>
            <w:shd w:val="clear" w:color="auto" w:fill="auto"/>
            <w:noWrap/>
            <w:vAlign w:val="bottom"/>
            <w:hideMark/>
          </w:tcPr>
          <w:p w14:paraId="5C50056E" w14:textId="5DB03788" w:rsidR="005A2B65" w:rsidRPr="005A2B65" w:rsidRDefault="005A2B65" w:rsidP="005A2B65">
            <w:pPr>
              <w:spacing w:line="360" w:lineRule="auto"/>
              <w:jc w:val="center"/>
              <w:rPr>
                <w:color w:val="000000"/>
              </w:rPr>
            </w:pPr>
            <w:r w:rsidRPr="005A2B65">
              <w:rPr>
                <w:color w:val="000000"/>
              </w:rPr>
              <w:t>CHN</w:t>
            </w:r>
          </w:p>
        </w:tc>
        <w:tc>
          <w:tcPr>
            <w:tcW w:w="805" w:type="pct"/>
            <w:tcBorders>
              <w:top w:val="nil"/>
              <w:left w:val="nil"/>
              <w:right w:val="nil"/>
            </w:tcBorders>
            <w:shd w:val="clear" w:color="auto" w:fill="auto"/>
            <w:noWrap/>
            <w:vAlign w:val="bottom"/>
            <w:hideMark/>
          </w:tcPr>
          <w:p w14:paraId="04ED41D1" w14:textId="15F7DF87" w:rsidR="005A2B65" w:rsidRPr="005A2B65" w:rsidRDefault="005A2B65" w:rsidP="007B296C">
            <w:pPr>
              <w:tabs>
                <w:tab w:val="decimal" w:pos="701"/>
              </w:tabs>
              <w:spacing w:line="360" w:lineRule="auto"/>
              <w:rPr>
                <w:color w:val="000000"/>
              </w:rPr>
            </w:pPr>
            <w:r w:rsidRPr="005A2B65">
              <w:rPr>
                <w:color w:val="000000"/>
              </w:rPr>
              <w:t>26.08</w:t>
            </w:r>
          </w:p>
        </w:tc>
      </w:tr>
      <w:tr w:rsidR="007B296C" w:rsidRPr="005A2B65" w14:paraId="133E0C82" w14:textId="77777777" w:rsidTr="00994CA2">
        <w:trPr>
          <w:tblHeader/>
        </w:trPr>
        <w:tc>
          <w:tcPr>
            <w:tcW w:w="619" w:type="pct"/>
            <w:tcBorders>
              <w:top w:val="nil"/>
              <w:left w:val="nil"/>
              <w:right w:val="nil"/>
            </w:tcBorders>
            <w:shd w:val="clear" w:color="auto" w:fill="auto"/>
            <w:noWrap/>
            <w:hideMark/>
          </w:tcPr>
          <w:p w14:paraId="07C70A7C" w14:textId="77777777" w:rsidR="005A2B65" w:rsidRPr="005A2B65" w:rsidRDefault="005A2B65" w:rsidP="005A2B65">
            <w:pPr>
              <w:spacing w:line="360" w:lineRule="auto"/>
              <w:jc w:val="center"/>
              <w:rPr>
                <w:color w:val="000000"/>
              </w:rPr>
            </w:pPr>
            <w:r w:rsidRPr="005A2B65">
              <w:rPr>
                <w:color w:val="000000"/>
              </w:rPr>
              <w:t>19</w:t>
            </w:r>
          </w:p>
        </w:tc>
        <w:tc>
          <w:tcPr>
            <w:tcW w:w="627" w:type="pct"/>
            <w:tcBorders>
              <w:top w:val="nil"/>
              <w:left w:val="nil"/>
              <w:right w:val="nil"/>
            </w:tcBorders>
            <w:shd w:val="clear" w:color="auto" w:fill="auto"/>
            <w:noWrap/>
            <w:vAlign w:val="bottom"/>
            <w:hideMark/>
          </w:tcPr>
          <w:p w14:paraId="79E9E1C1" w14:textId="77777777" w:rsidR="005A2B65" w:rsidRPr="005A2B65" w:rsidRDefault="005A2B65" w:rsidP="007B296C">
            <w:pPr>
              <w:spacing w:line="360" w:lineRule="auto"/>
              <w:jc w:val="center"/>
              <w:rPr>
                <w:color w:val="000000"/>
              </w:rPr>
            </w:pPr>
            <w:r w:rsidRPr="005A2B65">
              <w:rPr>
                <w:color w:val="000000"/>
              </w:rPr>
              <w:t>SAU</w:t>
            </w:r>
          </w:p>
        </w:tc>
        <w:tc>
          <w:tcPr>
            <w:tcW w:w="663" w:type="pct"/>
            <w:tcBorders>
              <w:top w:val="nil"/>
              <w:left w:val="nil"/>
              <w:right w:val="single" w:sz="4" w:space="0" w:color="auto"/>
            </w:tcBorders>
            <w:shd w:val="clear" w:color="auto" w:fill="auto"/>
            <w:noWrap/>
            <w:vAlign w:val="bottom"/>
            <w:hideMark/>
          </w:tcPr>
          <w:p w14:paraId="1C86977C" w14:textId="77777777" w:rsidR="005A2B65" w:rsidRPr="005A2B65" w:rsidRDefault="005A2B65" w:rsidP="007B296C">
            <w:pPr>
              <w:tabs>
                <w:tab w:val="decimal" w:pos="681"/>
              </w:tabs>
              <w:spacing w:line="360" w:lineRule="auto"/>
              <w:rPr>
                <w:color w:val="000000"/>
              </w:rPr>
            </w:pPr>
            <w:r w:rsidRPr="005A2B65">
              <w:rPr>
                <w:color w:val="000000"/>
              </w:rPr>
              <w:t>3</w:t>
            </w:r>
          </w:p>
        </w:tc>
        <w:tc>
          <w:tcPr>
            <w:tcW w:w="755" w:type="pct"/>
            <w:tcBorders>
              <w:top w:val="nil"/>
              <w:left w:val="single" w:sz="4" w:space="0" w:color="auto"/>
              <w:right w:val="nil"/>
            </w:tcBorders>
            <w:shd w:val="clear" w:color="auto" w:fill="auto"/>
            <w:noWrap/>
            <w:vAlign w:val="bottom"/>
            <w:hideMark/>
          </w:tcPr>
          <w:p w14:paraId="098BB85E" w14:textId="4D48F809" w:rsidR="005A2B65" w:rsidRPr="005A2B65" w:rsidRDefault="005A2B65" w:rsidP="005A2B65">
            <w:pPr>
              <w:spacing w:line="360" w:lineRule="auto"/>
              <w:jc w:val="center"/>
              <w:rPr>
                <w:color w:val="000000"/>
              </w:rPr>
            </w:pPr>
            <w:r w:rsidRPr="005A2B65">
              <w:rPr>
                <w:color w:val="000000"/>
              </w:rPr>
              <w:t>SAU</w:t>
            </w:r>
          </w:p>
        </w:tc>
        <w:tc>
          <w:tcPr>
            <w:tcW w:w="766" w:type="pct"/>
            <w:tcBorders>
              <w:top w:val="nil"/>
              <w:left w:val="nil"/>
              <w:right w:val="single" w:sz="4" w:space="0" w:color="auto"/>
            </w:tcBorders>
            <w:shd w:val="clear" w:color="auto" w:fill="auto"/>
            <w:noWrap/>
            <w:vAlign w:val="bottom"/>
            <w:hideMark/>
          </w:tcPr>
          <w:p w14:paraId="502CABD0" w14:textId="1FCF671D" w:rsidR="005A2B65" w:rsidRPr="005A2B65" w:rsidRDefault="005A2B65" w:rsidP="007B296C">
            <w:pPr>
              <w:tabs>
                <w:tab w:val="decimal" w:pos="614"/>
              </w:tabs>
              <w:spacing w:line="360" w:lineRule="auto"/>
              <w:rPr>
                <w:color w:val="000000"/>
              </w:rPr>
            </w:pPr>
            <w:r w:rsidRPr="005A2B65">
              <w:rPr>
                <w:color w:val="000000"/>
              </w:rPr>
              <w:t>1.61</w:t>
            </w:r>
          </w:p>
        </w:tc>
        <w:tc>
          <w:tcPr>
            <w:tcW w:w="765" w:type="pct"/>
            <w:tcBorders>
              <w:top w:val="nil"/>
              <w:left w:val="single" w:sz="4" w:space="0" w:color="auto"/>
              <w:right w:val="nil"/>
            </w:tcBorders>
            <w:shd w:val="clear" w:color="auto" w:fill="auto"/>
            <w:noWrap/>
            <w:vAlign w:val="bottom"/>
            <w:hideMark/>
          </w:tcPr>
          <w:p w14:paraId="07FAD4A2" w14:textId="7A6A0473" w:rsidR="005A2B65" w:rsidRPr="005A2B65" w:rsidRDefault="005A2B65" w:rsidP="005A2B65">
            <w:pPr>
              <w:spacing w:line="360" w:lineRule="auto"/>
              <w:jc w:val="center"/>
              <w:rPr>
                <w:color w:val="000000"/>
              </w:rPr>
            </w:pPr>
            <w:r w:rsidRPr="005A2B65">
              <w:rPr>
                <w:color w:val="000000"/>
              </w:rPr>
              <w:t>SAU</w:t>
            </w:r>
          </w:p>
        </w:tc>
        <w:tc>
          <w:tcPr>
            <w:tcW w:w="805" w:type="pct"/>
            <w:tcBorders>
              <w:top w:val="nil"/>
              <w:left w:val="nil"/>
              <w:right w:val="nil"/>
            </w:tcBorders>
            <w:shd w:val="clear" w:color="auto" w:fill="auto"/>
            <w:noWrap/>
            <w:vAlign w:val="bottom"/>
            <w:hideMark/>
          </w:tcPr>
          <w:p w14:paraId="3CBBFF4D" w14:textId="4F8B88A8" w:rsidR="005A2B65" w:rsidRPr="005A2B65" w:rsidRDefault="005A2B65" w:rsidP="007B296C">
            <w:pPr>
              <w:tabs>
                <w:tab w:val="decimal" w:pos="701"/>
              </w:tabs>
              <w:spacing w:line="360" w:lineRule="auto"/>
              <w:rPr>
                <w:color w:val="000000"/>
              </w:rPr>
            </w:pPr>
            <w:r w:rsidRPr="005A2B65">
              <w:rPr>
                <w:color w:val="000000"/>
              </w:rPr>
              <w:t>13.45</w:t>
            </w:r>
          </w:p>
        </w:tc>
      </w:tr>
    </w:tbl>
    <w:p w14:paraId="708DA974" w14:textId="77777777" w:rsidR="00C07FB9" w:rsidRDefault="00C07FB9" w:rsidP="00AE5404">
      <w:pPr>
        <w:rPr>
          <w:sz w:val="18"/>
          <w:szCs w:val="18"/>
        </w:rPr>
      </w:pPr>
    </w:p>
    <w:p w14:paraId="6967F3DC" w14:textId="540335D5" w:rsidR="005A2B65" w:rsidRDefault="005A2B65">
      <w:pPr>
        <w:spacing w:after="200" w:line="2" w:lineRule="auto"/>
        <w:rPr>
          <w:sz w:val="18"/>
          <w:szCs w:val="18"/>
        </w:rPr>
      </w:pPr>
      <w:r>
        <w:rPr>
          <w:sz w:val="18"/>
          <w:szCs w:val="18"/>
        </w:rPr>
        <w:br w:type="page"/>
      </w:r>
    </w:p>
    <w:p w14:paraId="1A351056" w14:textId="43786612" w:rsidR="005A2B65" w:rsidRPr="005A2B65" w:rsidRDefault="005A2B65" w:rsidP="005A2B65">
      <w:r w:rsidRPr="005A2B65">
        <w:lastRenderedPageBreak/>
        <w:t>Table 4 continued</w:t>
      </w:r>
    </w:p>
    <w:p w14:paraId="7CF088D7" w14:textId="77777777" w:rsidR="005A2B65" w:rsidRPr="005A2B65" w:rsidRDefault="005A2B65" w:rsidP="005A2B65"/>
    <w:p w14:paraId="08E5E74F" w14:textId="77777777" w:rsidR="00AE5404" w:rsidRDefault="00AE5404" w:rsidP="005A2B65">
      <w:pPr>
        <w:pStyle w:val="ListParagraph"/>
        <w:numPr>
          <w:ilvl w:val="0"/>
          <w:numId w:val="36"/>
        </w:numPr>
        <w:rPr>
          <w:bCs/>
        </w:rPr>
      </w:pPr>
      <w:r w:rsidRPr="007B296C">
        <w:rPr>
          <w:bCs/>
        </w:rPr>
        <w:t>OECD Countries</w:t>
      </w:r>
    </w:p>
    <w:p w14:paraId="484566DE" w14:textId="77777777" w:rsidR="007B296C" w:rsidRPr="007B296C" w:rsidRDefault="007B296C" w:rsidP="007B296C">
      <w:pPr>
        <w:pStyle w:val="ListParagraph"/>
        <w:rPr>
          <w:bCs/>
        </w:rPr>
      </w:pPr>
    </w:p>
    <w:tbl>
      <w:tblPr>
        <w:tblW w:w="4242" w:type="pct"/>
        <w:tblLayout w:type="fixed"/>
        <w:tblLook w:val="04A0" w:firstRow="1" w:lastRow="0" w:firstColumn="1" w:lastColumn="0" w:noHBand="0" w:noVBand="1"/>
      </w:tblPr>
      <w:tblGrid>
        <w:gridCol w:w="1381"/>
        <w:gridCol w:w="1404"/>
        <w:gridCol w:w="1487"/>
        <w:gridCol w:w="1693"/>
        <w:gridCol w:w="1706"/>
        <w:gridCol w:w="1713"/>
        <w:gridCol w:w="1795"/>
      </w:tblGrid>
      <w:tr w:rsidR="00FA5B66" w:rsidRPr="005A2B65" w14:paraId="1112A232" w14:textId="77777777" w:rsidTr="00994CA2">
        <w:trPr>
          <w:tblHeader/>
        </w:trPr>
        <w:tc>
          <w:tcPr>
            <w:tcW w:w="618" w:type="pct"/>
            <w:tcBorders>
              <w:top w:val="single" w:sz="4" w:space="0" w:color="auto"/>
              <w:left w:val="nil"/>
              <w:right w:val="nil"/>
            </w:tcBorders>
            <w:shd w:val="clear" w:color="auto" w:fill="auto"/>
            <w:noWrap/>
          </w:tcPr>
          <w:p w14:paraId="05D1A9F9" w14:textId="77777777" w:rsidR="005A2B65" w:rsidRPr="005A2B65" w:rsidRDefault="005A2B65" w:rsidP="005A2B65">
            <w:pPr>
              <w:spacing w:line="360" w:lineRule="auto"/>
              <w:jc w:val="center"/>
              <w:rPr>
                <w:color w:val="000000"/>
              </w:rPr>
            </w:pPr>
          </w:p>
        </w:tc>
        <w:tc>
          <w:tcPr>
            <w:tcW w:w="1293" w:type="pct"/>
            <w:gridSpan w:val="2"/>
            <w:tcBorders>
              <w:top w:val="single" w:sz="4" w:space="0" w:color="auto"/>
              <w:left w:val="nil"/>
              <w:bottom w:val="single" w:sz="4" w:space="0" w:color="auto"/>
              <w:right w:val="single" w:sz="4" w:space="0" w:color="auto"/>
            </w:tcBorders>
            <w:shd w:val="clear" w:color="auto" w:fill="auto"/>
            <w:noWrap/>
          </w:tcPr>
          <w:p w14:paraId="57727AD8" w14:textId="77777777" w:rsidR="005A2B65" w:rsidRPr="005A2B65" w:rsidRDefault="005A2B65" w:rsidP="005A2B65">
            <w:pPr>
              <w:spacing w:line="360" w:lineRule="auto"/>
              <w:jc w:val="center"/>
              <w:rPr>
                <w:color w:val="000000"/>
              </w:rPr>
            </w:pPr>
            <w:r w:rsidRPr="005A2B65">
              <w:rPr>
                <w:color w:val="000000"/>
              </w:rPr>
              <w:t>Laws</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noWrap/>
          </w:tcPr>
          <w:p w14:paraId="62A15BAE" w14:textId="2E01FC0A" w:rsidR="005A2B65" w:rsidRPr="005A2B65" w:rsidRDefault="005A2B65" w:rsidP="005A2B65">
            <w:pPr>
              <w:spacing w:line="360" w:lineRule="auto"/>
              <w:jc w:val="center"/>
              <w:rPr>
                <w:color w:val="000000"/>
              </w:rPr>
            </w:pPr>
            <w:r w:rsidRPr="005A2B65">
              <w:rPr>
                <w:color w:val="000000"/>
              </w:rPr>
              <w:t>Quality-adjusted laws</w:t>
            </w:r>
          </w:p>
        </w:tc>
        <w:tc>
          <w:tcPr>
            <w:tcW w:w="1570" w:type="pct"/>
            <w:gridSpan w:val="2"/>
            <w:tcBorders>
              <w:top w:val="single" w:sz="4" w:space="0" w:color="auto"/>
              <w:left w:val="single" w:sz="4" w:space="0" w:color="auto"/>
              <w:bottom w:val="single" w:sz="4" w:space="0" w:color="auto"/>
              <w:right w:val="nil"/>
            </w:tcBorders>
            <w:shd w:val="clear" w:color="auto" w:fill="auto"/>
            <w:noWrap/>
          </w:tcPr>
          <w:p w14:paraId="353D7086" w14:textId="2B9023DF" w:rsidR="005A2B65" w:rsidRPr="005A2B65" w:rsidRDefault="005A2B65" w:rsidP="005A2B65">
            <w:pPr>
              <w:spacing w:line="360" w:lineRule="auto"/>
              <w:jc w:val="center"/>
              <w:rPr>
                <w:color w:val="000000"/>
              </w:rPr>
            </w:pPr>
            <w:r w:rsidRPr="005A2B65">
              <w:rPr>
                <w:color w:val="000000"/>
              </w:rPr>
              <w:t>Lifetime quality-adjusted laws</w:t>
            </w:r>
          </w:p>
        </w:tc>
      </w:tr>
      <w:tr w:rsidR="00FA5B66" w:rsidRPr="005A2B65" w14:paraId="37A237B7" w14:textId="77777777" w:rsidTr="00994CA2">
        <w:trPr>
          <w:tblHeader/>
        </w:trPr>
        <w:tc>
          <w:tcPr>
            <w:tcW w:w="618" w:type="pct"/>
            <w:tcBorders>
              <w:left w:val="nil"/>
              <w:bottom w:val="single" w:sz="4" w:space="0" w:color="auto"/>
              <w:right w:val="nil"/>
            </w:tcBorders>
            <w:shd w:val="clear" w:color="auto" w:fill="auto"/>
            <w:noWrap/>
            <w:hideMark/>
          </w:tcPr>
          <w:p w14:paraId="12E4FFA8" w14:textId="77777777" w:rsidR="005A2B65" w:rsidRPr="005A2B65" w:rsidRDefault="005A2B65" w:rsidP="005A2B65">
            <w:pPr>
              <w:spacing w:line="360" w:lineRule="auto"/>
              <w:jc w:val="center"/>
              <w:rPr>
                <w:color w:val="000000"/>
              </w:rPr>
            </w:pPr>
            <w:r w:rsidRPr="005A2B65">
              <w:rPr>
                <w:color w:val="000000"/>
              </w:rPr>
              <w:t>Ranking</w:t>
            </w:r>
          </w:p>
        </w:tc>
        <w:tc>
          <w:tcPr>
            <w:tcW w:w="628" w:type="pct"/>
            <w:tcBorders>
              <w:top w:val="single" w:sz="4" w:space="0" w:color="auto"/>
              <w:left w:val="nil"/>
              <w:bottom w:val="single" w:sz="4" w:space="0" w:color="auto"/>
              <w:right w:val="nil"/>
            </w:tcBorders>
            <w:shd w:val="clear" w:color="auto" w:fill="auto"/>
            <w:noWrap/>
            <w:hideMark/>
          </w:tcPr>
          <w:p w14:paraId="763078F0" w14:textId="77777777" w:rsidR="005A2B65" w:rsidRPr="005A2B65" w:rsidRDefault="005A2B65" w:rsidP="005A2B65">
            <w:pPr>
              <w:spacing w:line="360" w:lineRule="auto"/>
              <w:jc w:val="center"/>
              <w:rPr>
                <w:color w:val="000000"/>
              </w:rPr>
            </w:pPr>
            <w:r w:rsidRPr="005A2B65">
              <w:rPr>
                <w:color w:val="000000"/>
              </w:rPr>
              <w:t>ISO Code</w:t>
            </w:r>
          </w:p>
        </w:tc>
        <w:tc>
          <w:tcPr>
            <w:tcW w:w="665" w:type="pct"/>
            <w:tcBorders>
              <w:top w:val="single" w:sz="4" w:space="0" w:color="auto"/>
              <w:left w:val="nil"/>
              <w:bottom w:val="single" w:sz="4" w:space="0" w:color="auto"/>
              <w:right w:val="single" w:sz="4" w:space="0" w:color="auto"/>
            </w:tcBorders>
            <w:shd w:val="clear" w:color="auto" w:fill="auto"/>
            <w:noWrap/>
            <w:hideMark/>
          </w:tcPr>
          <w:p w14:paraId="3C9C9622" w14:textId="77777777" w:rsidR="005A2B65" w:rsidRPr="005A2B65" w:rsidRDefault="005A2B65" w:rsidP="005A2B65">
            <w:pPr>
              <w:spacing w:line="360" w:lineRule="auto"/>
              <w:jc w:val="center"/>
              <w:rPr>
                <w:color w:val="000000"/>
              </w:rPr>
            </w:pPr>
            <w:r w:rsidRPr="005A2B65">
              <w:rPr>
                <w:color w:val="000000"/>
              </w:rPr>
              <w:t>Number</w:t>
            </w:r>
          </w:p>
        </w:tc>
        <w:tc>
          <w:tcPr>
            <w:tcW w:w="757" w:type="pct"/>
            <w:tcBorders>
              <w:top w:val="single" w:sz="4" w:space="0" w:color="auto"/>
              <w:left w:val="single" w:sz="4" w:space="0" w:color="auto"/>
              <w:bottom w:val="single" w:sz="4" w:space="0" w:color="auto"/>
              <w:right w:val="nil"/>
            </w:tcBorders>
            <w:shd w:val="clear" w:color="auto" w:fill="auto"/>
            <w:noWrap/>
            <w:hideMark/>
          </w:tcPr>
          <w:p w14:paraId="36FE106C" w14:textId="77777777" w:rsidR="005A2B65" w:rsidRPr="005A2B65" w:rsidRDefault="005A2B65" w:rsidP="005A2B65">
            <w:pPr>
              <w:spacing w:line="360" w:lineRule="auto"/>
              <w:jc w:val="center"/>
              <w:rPr>
                <w:color w:val="000000"/>
              </w:rPr>
            </w:pPr>
            <w:r w:rsidRPr="005A2B65">
              <w:rPr>
                <w:color w:val="000000"/>
              </w:rPr>
              <w:t>ISO Code</w:t>
            </w:r>
          </w:p>
        </w:tc>
        <w:tc>
          <w:tcPr>
            <w:tcW w:w="763" w:type="pct"/>
            <w:tcBorders>
              <w:top w:val="single" w:sz="4" w:space="0" w:color="auto"/>
              <w:left w:val="nil"/>
              <w:bottom w:val="single" w:sz="4" w:space="0" w:color="auto"/>
              <w:right w:val="single" w:sz="4" w:space="0" w:color="auto"/>
            </w:tcBorders>
            <w:shd w:val="clear" w:color="auto" w:fill="auto"/>
            <w:noWrap/>
            <w:hideMark/>
          </w:tcPr>
          <w:p w14:paraId="4BC8C4B1" w14:textId="77777777" w:rsidR="005A2B65" w:rsidRPr="005A2B65" w:rsidRDefault="005A2B65" w:rsidP="005A2B65">
            <w:pPr>
              <w:spacing w:line="360" w:lineRule="auto"/>
              <w:jc w:val="center"/>
              <w:rPr>
                <w:color w:val="000000"/>
              </w:rPr>
            </w:pPr>
            <w:r w:rsidRPr="005A2B65">
              <w:rPr>
                <w:color w:val="000000"/>
              </w:rPr>
              <w:t>Number</w:t>
            </w:r>
          </w:p>
        </w:tc>
        <w:tc>
          <w:tcPr>
            <w:tcW w:w="766" w:type="pct"/>
            <w:tcBorders>
              <w:top w:val="single" w:sz="4" w:space="0" w:color="auto"/>
              <w:left w:val="single" w:sz="4" w:space="0" w:color="auto"/>
              <w:bottom w:val="single" w:sz="4" w:space="0" w:color="auto"/>
              <w:right w:val="nil"/>
            </w:tcBorders>
            <w:shd w:val="clear" w:color="auto" w:fill="auto"/>
            <w:noWrap/>
            <w:hideMark/>
          </w:tcPr>
          <w:p w14:paraId="48268188" w14:textId="77777777" w:rsidR="005A2B65" w:rsidRPr="005A2B65" w:rsidRDefault="005A2B65" w:rsidP="005A2B65">
            <w:pPr>
              <w:spacing w:line="360" w:lineRule="auto"/>
              <w:jc w:val="center"/>
              <w:rPr>
                <w:color w:val="000000"/>
              </w:rPr>
            </w:pPr>
            <w:r w:rsidRPr="005A2B65">
              <w:rPr>
                <w:color w:val="000000"/>
              </w:rPr>
              <w:t>ISO Code</w:t>
            </w:r>
          </w:p>
        </w:tc>
        <w:tc>
          <w:tcPr>
            <w:tcW w:w="804" w:type="pct"/>
            <w:tcBorders>
              <w:top w:val="single" w:sz="4" w:space="0" w:color="auto"/>
              <w:left w:val="nil"/>
              <w:bottom w:val="single" w:sz="4" w:space="0" w:color="auto"/>
              <w:right w:val="nil"/>
            </w:tcBorders>
            <w:shd w:val="clear" w:color="auto" w:fill="auto"/>
            <w:noWrap/>
            <w:hideMark/>
          </w:tcPr>
          <w:p w14:paraId="084419E6" w14:textId="77777777" w:rsidR="005A2B65" w:rsidRPr="005A2B65" w:rsidRDefault="005A2B65" w:rsidP="005A2B65">
            <w:pPr>
              <w:spacing w:line="360" w:lineRule="auto"/>
              <w:jc w:val="center"/>
              <w:rPr>
                <w:color w:val="000000"/>
              </w:rPr>
            </w:pPr>
            <w:r w:rsidRPr="005A2B65">
              <w:rPr>
                <w:color w:val="000000"/>
              </w:rPr>
              <w:t>Number</w:t>
            </w:r>
          </w:p>
        </w:tc>
      </w:tr>
      <w:tr w:rsidR="00FA5B66" w:rsidRPr="005A2B65" w14:paraId="160CAF56" w14:textId="77777777" w:rsidTr="00994CA2">
        <w:trPr>
          <w:tblHeader/>
        </w:trPr>
        <w:tc>
          <w:tcPr>
            <w:tcW w:w="618" w:type="pct"/>
            <w:tcBorders>
              <w:left w:val="nil"/>
              <w:bottom w:val="nil"/>
              <w:right w:val="nil"/>
            </w:tcBorders>
            <w:shd w:val="clear" w:color="auto" w:fill="auto"/>
            <w:noWrap/>
            <w:hideMark/>
          </w:tcPr>
          <w:p w14:paraId="2D3BEE38" w14:textId="77777777" w:rsidR="005A2B65" w:rsidRPr="005A2B65" w:rsidRDefault="005A2B65" w:rsidP="005A2B65">
            <w:pPr>
              <w:spacing w:line="360" w:lineRule="auto"/>
              <w:jc w:val="center"/>
              <w:rPr>
                <w:color w:val="000000"/>
              </w:rPr>
            </w:pPr>
            <w:r w:rsidRPr="005A2B65">
              <w:rPr>
                <w:color w:val="000000"/>
              </w:rPr>
              <w:t>1</w:t>
            </w:r>
          </w:p>
        </w:tc>
        <w:tc>
          <w:tcPr>
            <w:tcW w:w="628" w:type="pct"/>
            <w:tcBorders>
              <w:left w:val="nil"/>
              <w:bottom w:val="nil"/>
              <w:right w:val="nil"/>
            </w:tcBorders>
            <w:shd w:val="clear" w:color="auto" w:fill="auto"/>
            <w:noWrap/>
            <w:vAlign w:val="bottom"/>
            <w:hideMark/>
          </w:tcPr>
          <w:p w14:paraId="6F2E9B61" w14:textId="77777777" w:rsidR="005A2B65" w:rsidRPr="005A2B65" w:rsidRDefault="005A2B65" w:rsidP="007B296C">
            <w:pPr>
              <w:spacing w:line="360" w:lineRule="auto"/>
              <w:jc w:val="center"/>
              <w:rPr>
                <w:color w:val="000000"/>
              </w:rPr>
            </w:pPr>
            <w:r w:rsidRPr="005A2B65">
              <w:rPr>
                <w:color w:val="000000"/>
              </w:rPr>
              <w:t>ESP</w:t>
            </w:r>
          </w:p>
        </w:tc>
        <w:tc>
          <w:tcPr>
            <w:tcW w:w="665" w:type="pct"/>
            <w:tcBorders>
              <w:left w:val="nil"/>
              <w:bottom w:val="nil"/>
              <w:right w:val="single" w:sz="4" w:space="0" w:color="auto"/>
            </w:tcBorders>
            <w:shd w:val="clear" w:color="auto" w:fill="auto"/>
            <w:noWrap/>
            <w:vAlign w:val="bottom"/>
            <w:hideMark/>
          </w:tcPr>
          <w:p w14:paraId="6A0BCB8D" w14:textId="77777777" w:rsidR="005A2B65" w:rsidRPr="005A2B65" w:rsidRDefault="005A2B65" w:rsidP="00FA5B66">
            <w:pPr>
              <w:tabs>
                <w:tab w:val="decimal" w:pos="651"/>
              </w:tabs>
              <w:spacing w:line="360" w:lineRule="auto"/>
              <w:rPr>
                <w:color w:val="000000"/>
              </w:rPr>
            </w:pPr>
            <w:r w:rsidRPr="005A2B65">
              <w:rPr>
                <w:color w:val="000000"/>
              </w:rPr>
              <w:t>38</w:t>
            </w:r>
          </w:p>
        </w:tc>
        <w:tc>
          <w:tcPr>
            <w:tcW w:w="757" w:type="pct"/>
            <w:tcBorders>
              <w:left w:val="single" w:sz="4" w:space="0" w:color="auto"/>
              <w:bottom w:val="nil"/>
              <w:right w:val="nil"/>
            </w:tcBorders>
            <w:shd w:val="clear" w:color="auto" w:fill="auto"/>
            <w:noWrap/>
            <w:vAlign w:val="bottom"/>
            <w:hideMark/>
          </w:tcPr>
          <w:p w14:paraId="71EFA545" w14:textId="3F4065A5" w:rsidR="005A2B65" w:rsidRPr="005A2B65" w:rsidRDefault="005A2B65" w:rsidP="005A2B65">
            <w:pPr>
              <w:spacing w:line="360" w:lineRule="auto"/>
              <w:jc w:val="center"/>
              <w:rPr>
                <w:color w:val="000000"/>
              </w:rPr>
            </w:pPr>
            <w:r w:rsidRPr="005A2B65">
              <w:rPr>
                <w:color w:val="000000"/>
              </w:rPr>
              <w:t>ESP</w:t>
            </w:r>
          </w:p>
        </w:tc>
        <w:tc>
          <w:tcPr>
            <w:tcW w:w="763" w:type="pct"/>
            <w:tcBorders>
              <w:left w:val="nil"/>
              <w:bottom w:val="nil"/>
              <w:right w:val="single" w:sz="4" w:space="0" w:color="auto"/>
            </w:tcBorders>
            <w:shd w:val="clear" w:color="auto" w:fill="auto"/>
            <w:noWrap/>
            <w:vAlign w:val="bottom"/>
            <w:hideMark/>
          </w:tcPr>
          <w:p w14:paraId="11A444D3" w14:textId="180EBD80" w:rsidR="005A2B65" w:rsidRPr="005A2B65" w:rsidRDefault="005A2B65" w:rsidP="00D24168">
            <w:pPr>
              <w:tabs>
                <w:tab w:val="decimal" w:pos="695"/>
              </w:tabs>
              <w:spacing w:line="360" w:lineRule="auto"/>
              <w:rPr>
                <w:color w:val="000000"/>
              </w:rPr>
            </w:pPr>
            <w:r w:rsidRPr="005A2B65">
              <w:rPr>
                <w:color w:val="000000"/>
              </w:rPr>
              <w:t>27.20</w:t>
            </w:r>
          </w:p>
        </w:tc>
        <w:tc>
          <w:tcPr>
            <w:tcW w:w="766" w:type="pct"/>
            <w:tcBorders>
              <w:left w:val="single" w:sz="4" w:space="0" w:color="auto"/>
              <w:bottom w:val="nil"/>
              <w:right w:val="nil"/>
            </w:tcBorders>
            <w:shd w:val="clear" w:color="auto" w:fill="auto"/>
            <w:noWrap/>
            <w:vAlign w:val="bottom"/>
            <w:hideMark/>
          </w:tcPr>
          <w:p w14:paraId="6D0314F3" w14:textId="40EBAB83" w:rsidR="005A2B65" w:rsidRPr="005A2B65" w:rsidRDefault="005A2B65" w:rsidP="005A2B65">
            <w:pPr>
              <w:spacing w:line="360" w:lineRule="auto"/>
              <w:jc w:val="center"/>
              <w:rPr>
                <w:color w:val="000000"/>
              </w:rPr>
            </w:pPr>
            <w:r w:rsidRPr="005A2B65">
              <w:rPr>
                <w:color w:val="000000"/>
              </w:rPr>
              <w:t>ESP</w:t>
            </w:r>
          </w:p>
        </w:tc>
        <w:tc>
          <w:tcPr>
            <w:tcW w:w="804" w:type="pct"/>
            <w:tcBorders>
              <w:left w:val="nil"/>
              <w:bottom w:val="nil"/>
              <w:right w:val="nil"/>
            </w:tcBorders>
            <w:shd w:val="clear" w:color="auto" w:fill="auto"/>
            <w:noWrap/>
            <w:vAlign w:val="bottom"/>
            <w:hideMark/>
          </w:tcPr>
          <w:p w14:paraId="2A478D83" w14:textId="53B37CC9" w:rsidR="005A2B65" w:rsidRPr="005A2B65" w:rsidRDefault="005A2B65" w:rsidP="00D24168">
            <w:pPr>
              <w:tabs>
                <w:tab w:val="decimal" w:pos="786"/>
              </w:tabs>
              <w:spacing w:line="360" w:lineRule="auto"/>
              <w:rPr>
                <w:color w:val="000000"/>
              </w:rPr>
            </w:pPr>
            <w:r w:rsidRPr="005A2B65">
              <w:rPr>
                <w:color w:val="000000"/>
              </w:rPr>
              <w:t>234.21</w:t>
            </w:r>
          </w:p>
        </w:tc>
      </w:tr>
      <w:tr w:rsidR="00FA5B66" w:rsidRPr="005A2B65" w14:paraId="688BEC7E" w14:textId="77777777" w:rsidTr="00994CA2">
        <w:trPr>
          <w:tblHeader/>
        </w:trPr>
        <w:tc>
          <w:tcPr>
            <w:tcW w:w="618" w:type="pct"/>
            <w:tcBorders>
              <w:top w:val="nil"/>
              <w:left w:val="nil"/>
              <w:bottom w:val="nil"/>
              <w:right w:val="nil"/>
            </w:tcBorders>
            <w:shd w:val="clear" w:color="auto" w:fill="auto"/>
            <w:noWrap/>
            <w:hideMark/>
          </w:tcPr>
          <w:p w14:paraId="7FAF3A6C" w14:textId="77777777" w:rsidR="005A2B65" w:rsidRPr="005A2B65" w:rsidRDefault="005A2B65" w:rsidP="005A2B65">
            <w:pPr>
              <w:spacing w:line="360" w:lineRule="auto"/>
              <w:jc w:val="center"/>
              <w:rPr>
                <w:color w:val="000000"/>
              </w:rPr>
            </w:pPr>
            <w:r w:rsidRPr="005A2B65">
              <w:rPr>
                <w:color w:val="000000"/>
              </w:rPr>
              <w:t>2</w:t>
            </w:r>
          </w:p>
        </w:tc>
        <w:tc>
          <w:tcPr>
            <w:tcW w:w="628" w:type="pct"/>
            <w:tcBorders>
              <w:top w:val="nil"/>
              <w:left w:val="nil"/>
              <w:bottom w:val="nil"/>
              <w:right w:val="nil"/>
            </w:tcBorders>
            <w:shd w:val="clear" w:color="auto" w:fill="auto"/>
            <w:noWrap/>
            <w:vAlign w:val="center"/>
            <w:hideMark/>
          </w:tcPr>
          <w:p w14:paraId="00614CAE" w14:textId="77777777" w:rsidR="005A2B65" w:rsidRPr="005A2B65" w:rsidRDefault="005A2B65" w:rsidP="007B296C">
            <w:pPr>
              <w:spacing w:line="360" w:lineRule="auto"/>
              <w:jc w:val="center"/>
              <w:rPr>
                <w:color w:val="000000"/>
              </w:rPr>
            </w:pPr>
            <w:r w:rsidRPr="005A2B65">
              <w:rPr>
                <w:color w:val="000000"/>
              </w:rPr>
              <w:t>CHL</w:t>
            </w:r>
          </w:p>
        </w:tc>
        <w:tc>
          <w:tcPr>
            <w:tcW w:w="665" w:type="pct"/>
            <w:tcBorders>
              <w:top w:val="nil"/>
              <w:left w:val="nil"/>
              <w:bottom w:val="nil"/>
              <w:right w:val="single" w:sz="4" w:space="0" w:color="auto"/>
            </w:tcBorders>
            <w:shd w:val="clear" w:color="auto" w:fill="auto"/>
            <w:noWrap/>
            <w:vAlign w:val="center"/>
            <w:hideMark/>
          </w:tcPr>
          <w:p w14:paraId="2FC76409" w14:textId="77777777" w:rsidR="005A2B65" w:rsidRPr="005A2B65" w:rsidRDefault="005A2B65" w:rsidP="00FA5B66">
            <w:pPr>
              <w:tabs>
                <w:tab w:val="decimal" w:pos="651"/>
              </w:tabs>
              <w:spacing w:line="360" w:lineRule="auto"/>
              <w:rPr>
                <w:color w:val="000000"/>
              </w:rPr>
            </w:pPr>
            <w:r w:rsidRPr="005A2B65">
              <w:rPr>
                <w:color w:val="000000"/>
              </w:rPr>
              <w:t>26</w:t>
            </w:r>
          </w:p>
        </w:tc>
        <w:tc>
          <w:tcPr>
            <w:tcW w:w="757" w:type="pct"/>
            <w:tcBorders>
              <w:top w:val="nil"/>
              <w:left w:val="single" w:sz="4" w:space="0" w:color="auto"/>
              <w:bottom w:val="nil"/>
              <w:right w:val="nil"/>
            </w:tcBorders>
            <w:shd w:val="clear" w:color="auto" w:fill="auto"/>
            <w:noWrap/>
            <w:vAlign w:val="bottom"/>
            <w:hideMark/>
          </w:tcPr>
          <w:p w14:paraId="5F80797A" w14:textId="789352A3" w:rsidR="005A2B65" w:rsidRPr="005A2B65" w:rsidRDefault="005A2B65" w:rsidP="005A2B65">
            <w:pPr>
              <w:spacing w:line="360" w:lineRule="auto"/>
              <w:jc w:val="center"/>
              <w:rPr>
                <w:color w:val="000000"/>
              </w:rPr>
            </w:pPr>
            <w:r w:rsidRPr="005A2B65">
              <w:rPr>
                <w:color w:val="000000"/>
              </w:rPr>
              <w:t>CHL</w:t>
            </w:r>
          </w:p>
        </w:tc>
        <w:tc>
          <w:tcPr>
            <w:tcW w:w="763" w:type="pct"/>
            <w:tcBorders>
              <w:top w:val="nil"/>
              <w:left w:val="nil"/>
              <w:bottom w:val="nil"/>
              <w:right w:val="single" w:sz="4" w:space="0" w:color="auto"/>
            </w:tcBorders>
            <w:shd w:val="clear" w:color="auto" w:fill="auto"/>
            <w:noWrap/>
            <w:vAlign w:val="bottom"/>
            <w:hideMark/>
          </w:tcPr>
          <w:p w14:paraId="5EC133DB" w14:textId="21B185DC" w:rsidR="005A2B65" w:rsidRPr="005A2B65" w:rsidRDefault="005A2B65" w:rsidP="00D24168">
            <w:pPr>
              <w:tabs>
                <w:tab w:val="decimal" w:pos="695"/>
              </w:tabs>
              <w:spacing w:line="360" w:lineRule="auto"/>
              <w:rPr>
                <w:color w:val="000000"/>
              </w:rPr>
            </w:pPr>
            <w:r w:rsidRPr="005A2B65">
              <w:rPr>
                <w:color w:val="000000"/>
              </w:rPr>
              <w:t>19.65</w:t>
            </w:r>
          </w:p>
        </w:tc>
        <w:tc>
          <w:tcPr>
            <w:tcW w:w="766" w:type="pct"/>
            <w:tcBorders>
              <w:top w:val="nil"/>
              <w:left w:val="single" w:sz="4" w:space="0" w:color="auto"/>
              <w:bottom w:val="nil"/>
              <w:right w:val="nil"/>
            </w:tcBorders>
            <w:shd w:val="clear" w:color="auto" w:fill="auto"/>
            <w:noWrap/>
            <w:vAlign w:val="bottom"/>
            <w:hideMark/>
          </w:tcPr>
          <w:p w14:paraId="59786D30" w14:textId="1CAA1436" w:rsidR="005A2B65" w:rsidRPr="005A2B65" w:rsidRDefault="005A2B65" w:rsidP="005A2B65">
            <w:pPr>
              <w:spacing w:line="360" w:lineRule="auto"/>
              <w:jc w:val="center"/>
              <w:rPr>
                <w:color w:val="000000"/>
              </w:rPr>
            </w:pPr>
            <w:r w:rsidRPr="005A2B65">
              <w:rPr>
                <w:color w:val="000000"/>
              </w:rPr>
              <w:t>GBR</w:t>
            </w:r>
          </w:p>
        </w:tc>
        <w:tc>
          <w:tcPr>
            <w:tcW w:w="804" w:type="pct"/>
            <w:tcBorders>
              <w:top w:val="nil"/>
              <w:left w:val="nil"/>
              <w:bottom w:val="nil"/>
              <w:right w:val="nil"/>
            </w:tcBorders>
            <w:shd w:val="clear" w:color="auto" w:fill="auto"/>
            <w:noWrap/>
            <w:vAlign w:val="bottom"/>
            <w:hideMark/>
          </w:tcPr>
          <w:p w14:paraId="7C01B50F" w14:textId="099474C9" w:rsidR="005A2B65" w:rsidRPr="005A2B65" w:rsidRDefault="005A2B65" w:rsidP="00D24168">
            <w:pPr>
              <w:tabs>
                <w:tab w:val="decimal" w:pos="786"/>
              </w:tabs>
              <w:spacing w:line="360" w:lineRule="auto"/>
              <w:rPr>
                <w:color w:val="000000"/>
              </w:rPr>
            </w:pPr>
            <w:r w:rsidRPr="005A2B65">
              <w:rPr>
                <w:color w:val="000000"/>
              </w:rPr>
              <w:t>209.68</w:t>
            </w:r>
          </w:p>
        </w:tc>
      </w:tr>
      <w:tr w:rsidR="00FA5B66" w:rsidRPr="005A2B65" w14:paraId="0439FE01" w14:textId="77777777" w:rsidTr="00994CA2">
        <w:trPr>
          <w:tblHeader/>
        </w:trPr>
        <w:tc>
          <w:tcPr>
            <w:tcW w:w="618" w:type="pct"/>
            <w:tcBorders>
              <w:top w:val="nil"/>
              <w:left w:val="nil"/>
              <w:bottom w:val="nil"/>
              <w:right w:val="nil"/>
            </w:tcBorders>
            <w:shd w:val="clear" w:color="auto" w:fill="auto"/>
            <w:noWrap/>
            <w:hideMark/>
          </w:tcPr>
          <w:p w14:paraId="5AFC9B47" w14:textId="77777777" w:rsidR="005A2B65" w:rsidRPr="005A2B65" w:rsidRDefault="005A2B65" w:rsidP="005A2B65">
            <w:pPr>
              <w:spacing w:line="360" w:lineRule="auto"/>
              <w:jc w:val="center"/>
              <w:rPr>
                <w:color w:val="000000"/>
              </w:rPr>
            </w:pPr>
            <w:r w:rsidRPr="005A2B65">
              <w:rPr>
                <w:color w:val="000000"/>
              </w:rPr>
              <w:t>3</w:t>
            </w:r>
          </w:p>
        </w:tc>
        <w:tc>
          <w:tcPr>
            <w:tcW w:w="628" w:type="pct"/>
            <w:tcBorders>
              <w:top w:val="nil"/>
              <w:left w:val="nil"/>
              <w:bottom w:val="nil"/>
              <w:right w:val="nil"/>
            </w:tcBorders>
            <w:shd w:val="clear" w:color="auto" w:fill="auto"/>
            <w:noWrap/>
            <w:vAlign w:val="bottom"/>
            <w:hideMark/>
          </w:tcPr>
          <w:p w14:paraId="27DDD626" w14:textId="77777777" w:rsidR="005A2B65" w:rsidRPr="005A2B65" w:rsidRDefault="005A2B65" w:rsidP="007B296C">
            <w:pPr>
              <w:spacing w:line="360" w:lineRule="auto"/>
              <w:jc w:val="center"/>
              <w:rPr>
                <w:color w:val="000000"/>
              </w:rPr>
            </w:pPr>
            <w:r w:rsidRPr="005A2B65">
              <w:rPr>
                <w:color w:val="000000"/>
              </w:rPr>
              <w:t>ITA</w:t>
            </w:r>
          </w:p>
        </w:tc>
        <w:tc>
          <w:tcPr>
            <w:tcW w:w="665" w:type="pct"/>
            <w:tcBorders>
              <w:top w:val="nil"/>
              <w:left w:val="nil"/>
              <w:bottom w:val="nil"/>
              <w:right w:val="single" w:sz="4" w:space="0" w:color="auto"/>
            </w:tcBorders>
            <w:shd w:val="clear" w:color="auto" w:fill="auto"/>
            <w:noWrap/>
            <w:vAlign w:val="bottom"/>
            <w:hideMark/>
          </w:tcPr>
          <w:p w14:paraId="046D441A" w14:textId="77777777" w:rsidR="005A2B65" w:rsidRPr="005A2B65" w:rsidRDefault="005A2B65" w:rsidP="00FA5B66">
            <w:pPr>
              <w:tabs>
                <w:tab w:val="decimal" w:pos="651"/>
              </w:tabs>
              <w:spacing w:line="360" w:lineRule="auto"/>
              <w:rPr>
                <w:color w:val="000000"/>
              </w:rPr>
            </w:pPr>
            <w:r w:rsidRPr="005A2B65">
              <w:rPr>
                <w:color w:val="000000"/>
              </w:rPr>
              <w:t>24</w:t>
            </w:r>
          </w:p>
        </w:tc>
        <w:tc>
          <w:tcPr>
            <w:tcW w:w="757" w:type="pct"/>
            <w:tcBorders>
              <w:top w:val="nil"/>
              <w:left w:val="single" w:sz="4" w:space="0" w:color="auto"/>
              <w:bottom w:val="nil"/>
              <w:right w:val="nil"/>
            </w:tcBorders>
            <w:shd w:val="clear" w:color="auto" w:fill="auto"/>
            <w:noWrap/>
            <w:vAlign w:val="bottom"/>
            <w:hideMark/>
          </w:tcPr>
          <w:p w14:paraId="49C29484" w14:textId="05229321" w:rsidR="005A2B65" w:rsidRPr="005A2B65" w:rsidRDefault="005A2B65" w:rsidP="005A2B65">
            <w:pPr>
              <w:spacing w:line="360" w:lineRule="auto"/>
              <w:jc w:val="center"/>
              <w:rPr>
                <w:color w:val="000000"/>
              </w:rPr>
            </w:pPr>
            <w:r w:rsidRPr="005A2B65">
              <w:rPr>
                <w:color w:val="000000"/>
              </w:rPr>
              <w:t>GBR</w:t>
            </w:r>
          </w:p>
        </w:tc>
        <w:tc>
          <w:tcPr>
            <w:tcW w:w="763" w:type="pct"/>
            <w:tcBorders>
              <w:top w:val="nil"/>
              <w:left w:val="nil"/>
              <w:bottom w:val="nil"/>
              <w:right w:val="single" w:sz="4" w:space="0" w:color="auto"/>
            </w:tcBorders>
            <w:shd w:val="clear" w:color="auto" w:fill="auto"/>
            <w:noWrap/>
            <w:vAlign w:val="bottom"/>
            <w:hideMark/>
          </w:tcPr>
          <w:p w14:paraId="48C864E5" w14:textId="4B6CDA7F" w:rsidR="005A2B65" w:rsidRPr="005A2B65" w:rsidRDefault="005A2B65" w:rsidP="00D24168">
            <w:pPr>
              <w:tabs>
                <w:tab w:val="decimal" w:pos="695"/>
              </w:tabs>
              <w:spacing w:line="360" w:lineRule="auto"/>
              <w:rPr>
                <w:color w:val="000000"/>
              </w:rPr>
            </w:pPr>
            <w:r w:rsidRPr="005A2B65">
              <w:rPr>
                <w:color w:val="000000"/>
              </w:rPr>
              <w:t>16.85</w:t>
            </w:r>
          </w:p>
        </w:tc>
        <w:tc>
          <w:tcPr>
            <w:tcW w:w="766" w:type="pct"/>
            <w:tcBorders>
              <w:top w:val="nil"/>
              <w:left w:val="single" w:sz="4" w:space="0" w:color="auto"/>
              <w:bottom w:val="nil"/>
              <w:right w:val="nil"/>
            </w:tcBorders>
            <w:shd w:val="clear" w:color="auto" w:fill="auto"/>
            <w:noWrap/>
            <w:vAlign w:val="bottom"/>
            <w:hideMark/>
          </w:tcPr>
          <w:p w14:paraId="2C7B6193" w14:textId="0188A6BE" w:rsidR="005A2B65" w:rsidRPr="005A2B65" w:rsidRDefault="005A2B65" w:rsidP="005A2B65">
            <w:pPr>
              <w:spacing w:line="360" w:lineRule="auto"/>
              <w:jc w:val="center"/>
              <w:rPr>
                <w:color w:val="000000"/>
              </w:rPr>
            </w:pPr>
            <w:r w:rsidRPr="005A2B65">
              <w:rPr>
                <w:color w:val="000000"/>
              </w:rPr>
              <w:t>KOR</w:t>
            </w:r>
          </w:p>
        </w:tc>
        <w:tc>
          <w:tcPr>
            <w:tcW w:w="804" w:type="pct"/>
            <w:tcBorders>
              <w:top w:val="nil"/>
              <w:left w:val="nil"/>
              <w:bottom w:val="nil"/>
              <w:right w:val="nil"/>
            </w:tcBorders>
            <w:shd w:val="clear" w:color="auto" w:fill="auto"/>
            <w:noWrap/>
            <w:vAlign w:val="bottom"/>
            <w:hideMark/>
          </w:tcPr>
          <w:p w14:paraId="145B0E23" w14:textId="055B9EDA" w:rsidR="005A2B65" w:rsidRPr="005A2B65" w:rsidRDefault="005A2B65" w:rsidP="00D24168">
            <w:pPr>
              <w:tabs>
                <w:tab w:val="decimal" w:pos="786"/>
              </w:tabs>
              <w:spacing w:line="360" w:lineRule="auto"/>
              <w:rPr>
                <w:color w:val="000000"/>
              </w:rPr>
            </w:pPr>
            <w:r w:rsidRPr="005A2B65">
              <w:rPr>
                <w:color w:val="000000"/>
              </w:rPr>
              <w:t>204.77</w:t>
            </w:r>
          </w:p>
        </w:tc>
      </w:tr>
      <w:tr w:rsidR="00FA5B66" w:rsidRPr="005A2B65" w14:paraId="4254314D" w14:textId="77777777" w:rsidTr="00994CA2">
        <w:trPr>
          <w:tblHeader/>
        </w:trPr>
        <w:tc>
          <w:tcPr>
            <w:tcW w:w="618" w:type="pct"/>
            <w:tcBorders>
              <w:top w:val="nil"/>
              <w:left w:val="nil"/>
              <w:bottom w:val="nil"/>
              <w:right w:val="nil"/>
            </w:tcBorders>
            <w:shd w:val="clear" w:color="auto" w:fill="auto"/>
            <w:noWrap/>
            <w:hideMark/>
          </w:tcPr>
          <w:p w14:paraId="3FD22310" w14:textId="77777777" w:rsidR="005A2B65" w:rsidRPr="005A2B65" w:rsidRDefault="005A2B65" w:rsidP="005A2B65">
            <w:pPr>
              <w:spacing w:line="360" w:lineRule="auto"/>
              <w:jc w:val="center"/>
              <w:rPr>
                <w:color w:val="000000"/>
              </w:rPr>
            </w:pPr>
            <w:r w:rsidRPr="005A2B65">
              <w:rPr>
                <w:color w:val="000000"/>
              </w:rPr>
              <w:t>4</w:t>
            </w:r>
          </w:p>
        </w:tc>
        <w:tc>
          <w:tcPr>
            <w:tcW w:w="628" w:type="pct"/>
            <w:tcBorders>
              <w:top w:val="nil"/>
              <w:left w:val="nil"/>
              <w:bottom w:val="nil"/>
              <w:right w:val="nil"/>
            </w:tcBorders>
            <w:shd w:val="clear" w:color="auto" w:fill="auto"/>
            <w:noWrap/>
            <w:vAlign w:val="bottom"/>
            <w:hideMark/>
          </w:tcPr>
          <w:p w14:paraId="7B97E737" w14:textId="77777777" w:rsidR="005A2B65" w:rsidRPr="005A2B65" w:rsidRDefault="005A2B65" w:rsidP="007B296C">
            <w:pPr>
              <w:spacing w:line="360" w:lineRule="auto"/>
              <w:jc w:val="center"/>
              <w:rPr>
                <w:color w:val="000000"/>
              </w:rPr>
            </w:pPr>
            <w:r w:rsidRPr="005A2B65">
              <w:rPr>
                <w:color w:val="000000"/>
              </w:rPr>
              <w:t>KOR</w:t>
            </w:r>
          </w:p>
        </w:tc>
        <w:tc>
          <w:tcPr>
            <w:tcW w:w="665" w:type="pct"/>
            <w:tcBorders>
              <w:top w:val="nil"/>
              <w:left w:val="nil"/>
              <w:bottom w:val="nil"/>
              <w:right w:val="single" w:sz="4" w:space="0" w:color="auto"/>
            </w:tcBorders>
            <w:shd w:val="clear" w:color="auto" w:fill="auto"/>
            <w:noWrap/>
            <w:vAlign w:val="bottom"/>
            <w:hideMark/>
          </w:tcPr>
          <w:p w14:paraId="0D8E10FC" w14:textId="77777777" w:rsidR="005A2B65" w:rsidRPr="005A2B65" w:rsidRDefault="005A2B65" w:rsidP="00FA5B66">
            <w:pPr>
              <w:tabs>
                <w:tab w:val="decimal" w:pos="651"/>
              </w:tabs>
              <w:spacing w:line="360" w:lineRule="auto"/>
              <w:rPr>
                <w:color w:val="000000"/>
              </w:rPr>
            </w:pPr>
            <w:r w:rsidRPr="005A2B65">
              <w:rPr>
                <w:color w:val="000000"/>
              </w:rPr>
              <w:t>22</w:t>
            </w:r>
          </w:p>
        </w:tc>
        <w:tc>
          <w:tcPr>
            <w:tcW w:w="757" w:type="pct"/>
            <w:tcBorders>
              <w:top w:val="nil"/>
              <w:left w:val="single" w:sz="4" w:space="0" w:color="auto"/>
              <w:bottom w:val="nil"/>
              <w:right w:val="nil"/>
            </w:tcBorders>
            <w:shd w:val="clear" w:color="auto" w:fill="auto"/>
            <w:noWrap/>
            <w:vAlign w:val="bottom"/>
            <w:hideMark/>
          </w:tcPr>
          <w:p w14:paraId="7113FB17" w14:textId="6C9ECF1A" w:rsidR="005A2B65" w:rsidRPr="005A2B65" w:rsidRDefault="005A2B65" w:rsidP="005A2B65">
            <w:pPr>
              <w:spacing w:line="360" w:lineRule="auto"/>
              <w:jc w:val="center"/>
              <w:rPr>
                <w:color w:val="000000"/>
              </w:rPr>
            </w:pPr>
            <w:r w:rsidRPr="005A2B65">
              <w:rPr>
                <w:color w:val="000000"/>
              </w:rPr>
              <w:t>AUS</w:t>
            </w:r>
          </w:p>
        </w:tc>
        <w:tc>
          <w:tcPr>
            <w:tcW w:w="763" w:type="pct"/>
            <w:tcBorders>
              <w:top w:val="nil"/>
              <w:left w:val="nil"/>
              <w:bottom w:val="nil"/>
              <w:right w:val="single" w:sz="4" w:space="0" w:color="auto"/>
            </w:tcBorders>
            <w:shd w:val="clear" w:color="auto" w:fill="auto"/>
            <w:noWrap/>
            <w:vAlign w:val="bottom"/>
            <w:hideMark/>
          </w:tcPr>
          <w:p w14:paraId="26949007" w14:textId="68DEE017" w:rsidR="005A2B65" w:rsidRPr="005A2B65" w:rsidRDefault="005A2B65" w:rsidP="00D24168">
            <w:pPr>
              <w:tabs>
                <w:tab w:val="decimal" w:pos="695"/>
              </w:tabs>
              <w:spacing w:line="360" w:lineRule="auto"/>
              <w:rPr>
                <w:color w:val="000000"/>
              </w:rPr>
            </w:pPr>
            <w:r w:rsidRPr="005A2B65">
              <w:rPr>
                <w:color w:val="000000"/>
              </w:rPr>
              <w:t>15.41</w:t>
            </w:r>
          </w:p>
        </w:tc>
        <w:tc>
          <w:tcPr>
            <w:tcW w:w="766" w:type="pct"/>
            <w:tcBorders>
              <w:top w:val="nil"/>
              <w:left w:val="single" w:sz="4" w:space="0" w:color="auto"/>
              <w:bottom w:val="nil"/>
              <w:right w:val="nil"/>
            </w:tcBorders>
            <w:shd w:val="clear" w:color="auto" w:fill="auto"/>
            <w:noWrap/>
            <w:vAlign w:val="bottom"/>
            <w:hideMark/>
          </w:tcPr>
          <w:p w14:paraId="64250E9B" w14:textId="701C984F" w:rsidR="005A2B65" w:rsidRPr="005A2B65" w:rsidRDefault="005A2B65" w:rsidP="005A2B65">
            <w:pPr>
              <w:spacing w:line="360" w:lineRule="auto"/>
              <w:jc w:val="center"/>
              <w:rPr>
                <w:color w:val="000000"/>
              </w:rPr>
            </w:pPr>
            <w:r w:rsidRPr="005A2B65">
              <w:rPr>
                <w:color w:val="000000"/>
              </w:rPr>
              <w:t>NOR</w:t>
            </w:r>
          </w:p>
        </w:tc>
        <w:tc>
          <w:tcPr>
            <w:tcW w:w="804" w:type="pct"/>
            <w:tcBorders>
              <w:top w:val="nil"/>
              <w:left w:val="nil"/>
              <w:bottom w:val="nil"/>
              <w:right w:val="nil"/>
            </w:tcBorders>
            <w:shd w:val="clear" w:color="auto" w:fill="auto"/>
            <w:noWrap/>
            <w:vAlign w:val="bottom"/>
            <w:hideMark/>
          </w:tcPr>
          <w:p w14:paraId="7CAE35D5" w14:textId="2E22FFFA" w:rsidR="005A2B65" w:rsidRPr="005A2B65" w:rsidRDefault="005A2B65" w:rsidP="00D24168">
            <w:pPr>
              <w:tabs>
                <w:tab w:val="decimal" w:pos="786"/>
              </w:tabs>
              <w:spacing w:line="360" w:lineRule="auto"/>
              <w:rPr>
                <w:color w:val="000000"/>
              </w:rPr>
            </w:pPr>
            <w:r w:rsidRPr="005A2B65">
              <w:rPr>
                <w:color w:val="000000"/>
              </w:rPr>
              <w:t>186.10</w:t>
            </w:r>
          </w:p>
        </w:tc>
      </w:tr>
      <w:tr w:rsidR="00FA5B66" w:rsidRPr="005A2B65" w14:paraId="604D8349" w14:textId="77777777" w:rsidTr="00994CA2">
        <w:trPr>
          <w:tblHeader/>
        </w:trPr>
        <w:tc>
          <w:tcPr>
            <w:tcW w:w="618" w:type="pct"/>
            <w:tcBorders>
              <w:top w:val="nil"/>
              <w:left w:val="nil"/>
              <w:bottom w:val="nil"/>
              <w:right w:val="nil"/>
            </w:tcBorders>
            <w:shd w:val="clear" w:color="auto" w:fill="auto"/>
            <w:noWrap/>
            <w:hideMark/>
          </w:tcPr>
          <w:p w14:paraId="32F439CE" w14:textId="77777777" w:rsidR="005A2B65" w:rsidRPr="005A2B65" w:rsidRDefault="005A2B65" w:rsidP="005A2B65">
            <w:pPr>
              <w:spacing w:line="360" w:lineRule="auto"/>
              <w:jc w:val="center"/>
              <w:rPr>
                <w:color w:val="000000"/>
              </w:rPr>
            </w:pPr>
            <w:r w:rsidRPr="005A2B65">
              <w:rPr>
                <w:color w:val="000000"/>
              </w:rPr>
              <w:t>5</w:t>
            </w:r>
          </w:p>
        </w:tc>
        <w:tc>
          <w:tcPr>
            <w:tcW w:w="628" w:type="pct"/>
            <w:tcBorders>
              <w:top w:val="nil"/>
              <w:left w:val="nil"/>
              <w:bottom w:val="nil"/>
              <w:right w:val="nil"/>
            </w:tcBorders>
            <w:shd w:val="clear" w:color="auto" w:fill="auto"/>
            <w:noWrap/>
            <w:vAlign w:val="bottom"/>
            <w:hideMark/>
          </w:tcPr>
          <w:p w14:paraId="5E5A5DB7" w14:textId="77777777" w:rsidR="005A2B65" w:rsidRPr="005A2B65" w:rsidRDefault="005A2B65" w:rsidP="007B296C">
            <w:pPr>
              <w:spacing w:line="360" w:lineRule="auto"/>
              <w:jc w:val="center"/>
              <w:rPr>
                <w:color w:val="000000"/>
              </w:rPr>
            </w:pPr>
            <w:r w:rsidRPr="005A2B65">
              <w:rPr>
                <w:color w:val="000000"/>
              </w:rPr>
              <w:t>GBR</w:t>
            </w:r>
          </w:p>
        </w:tc>
        <w:tc>
          <w:tcPr>
            <w:tcW w:w="665" w:type="pct"/>
            <w:tcBorders>
              <w:top w:val="nil"/>
              <w:left w:val="nil"/>
              <w:bottom w:val="nil"/>
              <w:right w:val="single" w:sz="4" w:space="0" w:color="auto"/>
            </w:tcBorders>
            <w:shd w:val="clear" w:color="auto" w:fill="auto"/>
            <w:noWrap/>
            <w:vAlign w:val="bottom"/>
            <w:hideMark/>
          </w:tcPr>
          <w:p w14:paraId="4BCA1311" w14:textId="77777777" w:rsidR="005A2B65" w:rsidRPr="005A2B65" w:rsidRDefault="005A2B65" w:rsidP="00FA5B66">
            <w:pPr>
              <w:tabs>
                <w:tab w:val="decimal" w:pos="651"/>
              </w:tabs>
              <w:spacing w:line="360" w:lineRule="auto"/>
              <w:rPr>
                <w:color w:val="000000"/>
              </w:rPr>
            </w:pPr>
            <w:r w:rsidRPr="005A2B65">
              <w:rPr>
                <w:color w:val="000000"/>
              </w:rPr>
              <w:t>20</w:t>
            </w:r>
          </w:p>
        </w:tc>
        <w:tc>
          <w:tcPr>
            <w:tcW w:w="757" w:type="pct"/>
            <w:tcBorders>
              <w:top w:val="nil"/>
              <w:left w:val="single" w:sz="4" w:space="0" w:color="auto"/>
              <w:bottom w:val="nil"/>
              <w:right w:val="nil"/>
            </w:tcBorders>
            <w:shd w:val="clear" w:color="auto" w:fill="auto"/>
            <w:noWrap/>
            <w:vAlign w:val="bottom"/>
            <w:hideMark/>
          </w:tcPr>
          <w:p w14:paraId="16B8CCCB" w14:textId="5FB3D42B" w:rsidR="005A2B65" w:rsidRPr="005A2B65" w:rsidRDefault="005A2B65" w:rsidP="005A2B65">
            <w:pPr>
              <w:spacing w:line="360" w:lineRule="auto"/>
              <w:jc w:val="center"/>
              <w:rPr>
                <w:color w:val="000000"/>
              </w:rPr>
            </w:pPr>
            <w:r w:rsidRPr="005A2B65">
              <w:rPr>
                <w:color w:val="000000"/>
              </w:rPr>
              <w:t>KOR</w:t>
            </w:r>
          </w:p>
        </w:tc>
        <w:tc>
          <w:tcPr>
            <w:tcW w:w="763" w:type="pct"/>
            <w:tcBorders>
              <w:top w:val="nil"/>
              <w:left w:val="nil"/>
              <w:bottom w:val="nil"/>
              <w:right w:val="single" w:sz="4" w:space="0" w:color="auto"/>
            </w:tcBorders>
            <w:shd w:val="clear" w:color="auto" w:fill="auto"/>
            <w:noWrap/>
            <w:vAlign w:val="bottom"/>
            <w:hideMark/>
          </w:tcPr>
          <w:p w14:paraId="4A954257" w14:textId="63DDFDAE" w:rsidR="005A2B65" w:rsidRPr="005A2B65" w:rsidRDefault="005A2B65" w:rsidP="00D24168">
            <w:pPr>
              <w:tabs>
                <w:tab w:val="decimal" w:pos="695"/>
              </w:tabs>
              <w:spacing w:line="360" w:lineRule="auto"/>
              <w:rPr>
                <w:color w:val="000000"/>
              </w:rPr>
            </w:pPr>
            <w:r w:rsidRPr="005A2B65">
              <w:rPr>
                <w:color w:val="000000"/>
              </w:rPr>
              <w:t>15.25</w:t>
            </w:r>
          </w:p>
        </w:tc>
        <w:tc>
          <w:tcPr>
            <w:tcW w:w="766" w:type="pct"/>
            <w:tcBorders>
              <w:top w:val="nil"/>
              <w:left w:val="single" w:sz="4" w:space="0" w:color="auto"/>
              <w:bottom w:val="nil"/>
              <w:right w:val="nil"/>
            </w:tcBorders>
            <w:shd w:val="clear" w:color="auto" w:fill="auto"/>
            <w:noWrap/>
            <w:vAlign w:val="bottom"/>
            <w:hideMark/>
          </w:tcPr>
          <w:p w14:paraId="4A616D3E" w14:textId="41D730ED" w:rsidR="005A2B65" w:rsidRPr="005A2B65" w:rsidRDefault="005A2B65" w:rsidP="005A2B65">
            <w:pPr>
              <w:spacing w:line="360" w:lineRule="auto"/>
              <w:jc w:val="center"/>
              <w:rPr>
                <w:color w:val="000000"/>
              </w:rPr>
            </w:pPr>
            <w:r w:rsidRPr="005A2B65">
              <w:rPr>
                <w:color w:val="000000"/>
              </w:rPr>
              <w:t>ITA</w:t>
            </w:r>
          </w:p>
        </w:tc>
        <w:tc>
          <w:tcPr>
            <w:tcW w:w="804" w:type="pct"/>
            <w:tcBorders>
              <w:top w:val="nil"/>
              <w:left w:val="nil"/>
              <w:bottom w:val="nil"/>
              <w:right w:val="nil"/>
            </w:tcBorders>
            <w:shd w:val="clear" w:color="auto" w:fill="auto"/>
            <w:noWrap/>
            <w:vAlign w:val="bottom"/>
            <w:hideMark/>
          </w:tcPr>
          <w:p w14:paraId="16A8AEFB" w14:textId="07ADBC1E" w:rsidR="005A2B65" w:rsidRPr="005A2B65" w:rsidRDefault="005A2B65" w:rsidP="00D24168">
            <w:pPr>
              <w:tabs>
                <w:tab w:val="decimal" w:pos="786"/>
              </w:tabs>
              <w:spacing w:line="360" w:lineRule="auto"/>
              <w:rPr>
                <w:color w:val="000000"/>
              </w:rPr>
            </w:pPr>
            <w:r w:rsidRPr="005A2B65">
              <w:rPr>
                <w:color w:val="000000"/>
              </w:rPr>
              <w:t>184.01</w:t>
            </w:r>
          </w:p>
        </w:tc>
      </w:tr>
      <w:tr w:rsidR="00FA5B66" w:rsidRPr="005A2B65" w14:paraId="52934BE0" w14:textId="77777777" w:rsidTr="00994CA2">
        <w:trPr>
          <w:tblHeader/>
        </w:trPr>
        <w:tc>
          <w:tcPr>
            <w:tcW w:w="618" w:type="pct"/>
            <w:tcBorders>
              <w:top w:val="nil"/>
              <w:left w:val="nil"/>
              <w:bottom w:val="nil"/>
              <w:right w:val="nil"/>
            </w:tcBorders>
            <w:shd w:val="clear" w:color="auto" w:fill="auto"/>
            <w:noWrap/>
          </w:tcPr>
          <w:p w14:paraId="18B278E4" w14:textId="77777777" w:rsidR="005A2B65" w:rsidRPr="005A2B65" w:rsidRDefault="005A2B65" w:rsidP="005A2B65">
            <w:pPr>
              <w:spacing w:line="360" w:lineRule="auto"/>
              <w:jc w:val="center"/>
              <w:rPr>
                <w:color w:val="000000"/>
              </w:rPr>
            </w:pPr>
          </w:p>
        </w:tc>
        <w:tc>
          <w:tcPr>
            <w:tcW w:w="628" w:type="pct"/>
            <w:tcBorders>
              <w:top w:val="nil"/>
              <w:left w:val="nil"/>
              <w:bottom w:val="nil"/>
              <w:right w:val="nil"/>
            </w:tcBorders>
            <w:shd w:val="clear" w:color="auto" w:fill="auto"/>
            <w:noWrap/>
            <w:vAlign w:val="bottom"/>
          </w:tcPr>
          <w:p w14:paraId="11D46F7D" w14:textId="77777777" w:rsidR="005A2B65" w:rsidRPr="005A2B65" w:rsidRDefault="005A2B65" w:rsidP="007B296C">
            <w:pPr>
              <w:spacing w:line="360" w:lineRule="auto"/>
              <w:jc w:val="center"/>
              <w:rPr>
                <w:color w:val="000000"/>
              </w:rPr>
            </w:pPr>
          </w:p>
        </w:tc>
        <w:tc>
          <w:tcPr>
            <w:tcW w:w="665" w:type="pct"/>
            <w:tcBorders>
              <w:top w:val="nil"/>
              <w:left w:val="nil"/>
              <w:bottom w:val="nil"/>
              <w:right w:val="single" w:sz="4" w:space="0" w:color="auto"/>
            </w:tcBorders>
            <w:shd w:val="clear" w:color="auto" w:fill="auto"/>
            <w:noWrap/>
            <w:vAlign w:val="bottom"/>
          </w:tcPr>
          <w:p w14:paraId="1DC5CBC7" w14:textId="77777777" w:rsidR="005A2B65" w:rsidRPr="005A2B65" w:rsidRDefault="005A2B65" w:rsidP="00FA5B66">
            <w:pPr>
              <w:tabs>
                <w:tab w:val="decimal" w:pos="651"/>
              </w:tabs>
              <w:spacing w:line="360" w:lineRule="auto"/>
              <w:rPr>
                <w:color w:val="000000"/>
              </w:rPr>
            </w:pPr>
          </w:p>
        </w:tc>
        <w:tc>
          <w:tcPr>
            <w:tcW w:w="757" w:type="pct"/>
            <w:tcBorders>
              <w:top w:val="nil"/>
              <w:left w:val="single" w:sz="4" w:space="0" w:color="auto"/>
              <w:bottom w:val="nil"/>
              <w:right w:val="nil"/>
            </w:tcBorders>
            <w:shd w:val="clear" w:color="auto" w:fill="auto"/>
            <w:noWrap/>
            <w:vAlign w:val="bottom"/>
          </w:tcPr>
          <w:p w14:paraId="29E9F8AC" w14:textId="77777777" w:rsidR="005A2B65" w:rsidRPr="005A2B65" w:rsidRDefault="005A2B65" w:rsidP="005A2B65">
            <w:pPr>
              <w:spacing w:line="360" w:lineRule="auto"/>
              <w:jc w:val="center"/>
              <w:rPr>
                <w:color w:val="000000"/>
              </w:rPr>
            </w:pPr>
          </w:p>
        </w:tc>
        <w:tc>
          <w:tcPr>
            <w:tcW w:w="763" w:type="pct"/>
            <w:tcBorders>
              <w:top w:val="nil"/>
              <w:left w:val="nil"/>
              <w:bottom w:val="nil"/>
              <w:right w:val="single" w:sz="4" w:space="0" w:color="auto"/>
            </w:tcBorders>
            <w:shd w:val="clear" w:color="auto" w:fill="auto"/>
            <w:noWrap/>
            <w:vAlign w:val="bottom"/>
          </w:tcPr>
          <w:p w14:paraId="0FF5B7CD" w14:textId="77777777" w:rsidR="005A2B65" w:rsidRPr="005A2B65" w:rsidRDefault="005A2B65" w:rsidP="00D24168">
            <w:pPr>
              <w:tabs>
                <w:tab w:val="decimal" w:pos="695"/>
              </w:tabs>
              <w:spacing w:line="360" w:lineRule="auto"/>
              <w:rPr>
                <w:color w:val="000000"/>
              </w:rPr>
            </w:pPr>
          </w:p>
        </w:tc>
        <w:tc>
          <w:tcPr>
            <w:tcW w:w="766" w:type="pct"/>
            <w:tcBorders>
              <w:top w:val="nil"/>
              <w:left w:val="single" w:sz="4" w:space="0" w:color="auto"/>
              <w:bottom w:val="nil"/>
              <w:right w:val="nil"/>
            </w:tcBorders>
            <w:shd w:val="clear" w:color="auto" w:fill="auto"/>
            <w:noWrap/>
            <w:vAlign w:val="bottom"/>
          </w:tcPr>
          <w:p w14:paraId="67D7A7CE" w14:textId="77777777" w:rsidR="005A2B65" w:rsidRPr="005A2B65" w:rsidRDefault="005A2B65" w:rsidP="005A2B65">
            <w:pPr>
              <w:spacing w:line="360" w:lineRule="auto"/>
              <w:jc w:val="center"/>
              <w:rPr>
                <w:color w:val="000000"/>
              </w:rPr>
            </w:pPr>
          </w:p>
        </w:tc>
        <w:tc>
          <w:tcPr>
            <w:tcW w:w="804" w:type="pct"/>
            <w:tcBorders>
              <w:top w:val="nil"/>
              <w:left w:val="nil"/>
              <w:bottom w:val="nil"/>
              <w:right w:val="nil"/>
            </w:tcBorders>
            <w:shd w:val="clear" w:color="auto" w:fill="auto"/>
            <w:noWrap/>
            <w:vAlign w:val="bottom"/>
          </w:tcPr>
          <w:p w14:paraId="574D7BCD" w14:textId="77777777" w:rsidR="005A2B65" w:rsidRPr="005A2B65" w:rsidRDefault="005A2B65" w:rsidP="00D24168">
            <w:pPr>
              <w:tabs>
                <w:tab w:val="decimal" w:pos="786"/>
              </w:tabs>
              <w:spacing w:line="360" w:lineRule="auto"/>
              <w:rPr>
                <w:color w:val="000000"/>
              </w:rPr>
            </w:pPr>
          </w:p>
        </w:tc>
      </w:tr>
      <w:tr w:rsidR="00FA5B66" w:rsidRPr="005A2B65" w14:paraId="26F5242E" w14:textId="77777777" w:rsidTr="00994CA2">
        <w:trPr>
          <w:tblHeader/>
        </w:trPr>
        <w:tc>
          <w:tcPr>
            <w:tcW w:w="618" w:type="pct"/>
            <w:tcBorders>
              <w:top w:val="nil"/>
              <w:left w:val="nil"/>
              <w:bottom w:val="nil"/>
              <w:right w:val="nil"/>
            </w:tcBorders>
            <w:shd w:val="clear" w:color="auto" w:fill="auto"/>
            <w:noWrap/>
            <w:hideMark/>
          </w:tcPr>
          <w:p w14:paraId="77D2B97F" w14:textId="77777777" w:rsidR="005A2B65" w:rsidRPr="005A2B65" w:rsidRDefault="005A2B65" w:rsidP="005A2B65">
            <w:pPr>
              <w:spacing w:line="360" w:lineRule="auto"/>
              <w:jc w:val="center"/>
              <w:rPr>
                <w:color w:val="000000"/>
              </w:rPr>
            </w:pPr>
            <w:r w:rsidRPr="005A2B65">
              <w:rPr>
                <w:color w:val="000000"/>
              </w:rPr>
              <w:t>31</w:t>
            </w:r>
          </w:p>
        </w:tc>
        <w:tc>
          <w:tcPr>
            <w:tcW w:w="628" w:type="pct"/>
            <w:tcBorders>
              <w:top w:val="nil"/>
              <w:left w:val="nil"/>
              <w:bottom w:val="nil"/>
              <w:right w:val="nil"/>
            </w:tcBorders>
            <w:shd w:val="clear" w:color="auto" w:fill="auto"/>
            <w:noWrap/>
            <w:vAlign w:val="bottom"/>
            <w:hideMark/>
          </w:tcPr>
          <w:p w14:paraId="6A233745" w14:textId="77777777" w:rsidR="005A2B65" w:rsidRPr="005A2B65" w:rsidRDefault="005A2B65" w:rsidP="007B296C">
            <w:pPr>
              <w:spacing w:line="360" w:lineRule="auto"/>
              <w:jc w:val="center"/>
              <w:rPr>
                <w:color w:val="000000"/>
              </w:rPr>
            </w:pPr>
            <w:r w:rsidRPr="005A2B65">
              <w:rPr>
                <w:color w:val="000000"/>
              </w:rPr>
              <w:t>CZE</w:t>
            </w:r>
          </w:p>
        </w:tc>
        <w:tc>
          <w:tcPr>
            <w:tcW w:w="665" w:type="pct"/>
            <w:tcBorders>
              <w:top w:val="nil"/>
              <w:left w:val="nil"/>
              <w:bottom w:val="nil"/>
              <w:right w:val="single" w:sz="4" w:space="0" w:color="auto"/>
            </w:tcBorders>
            <w:shd w:val="clear" w:color="auto" w:fill="auto"/>
            <w:noWrap/>
            <w:vAlign w:val="bottom"/>
            <w:hideMark/>
          </w:tcPr>
          <w:p w14:paraId="640C2EE7" w14:textId="77777777" w:rsidR="005A2B65" w:rsidRPr="005A2B65" w:rsidRDefault="005A2B65" w:rsidP="00FA5B66">
            <w:pPr>
              <w:tabs>
                <w:tab w:val="decimal" w:pos="651"/>
              </w:tabs>
              <w:spacing w:line="360" w:lineRule="auto"/>
              <w:rPr>
                <w:color w:val="000000"/>
              </w:rPr>
            </w:pPr>
            <w:r w:rsidRPr="005A2B65">
              <w:rPr>
                <w:color w:val="000000"/>
              </w:rPr>
              <w:t>9</w:t>
            </w:r>
          </w:p>
        </w:tc>
        <w:tc>
          <w:tcPr>
            <w:tcW w:w="757" w:type="pct"/>
            <w:tcBorders>
              <w:top w:val="nil"/>
              <w:left w:val="single" w:sz="4" w:space="0" w:color="auto"/>
              <w:bottom w:val="nil"/>
              <w:right w:val="nil"/>
            </w:tcBorders>
            <w:shd w:val="clear" w:color="auto" w:fill="auto"/>
            <w:noWrap/>
            <w:vAlign w:val="bottom"/>
            <w:hideMark/>
          </w:tcPr>
          <w:p w14:paraId="64E5D9A8" w14:textId="76CC15B9" w:rsidR="005A2B65" w:rsidRPr="005A2B65" w:rsidRDefault="005A2B65" w:rsidP="005A2B65">
            <w:pPr>
              <w:spacing w:line="360" w:lineRule="auto"/>
              <w:jc w:val="center"/>
              <w:rPr>
                <w:color w:val="000000"/>
              </w:rPr>
            </w:pPr>
            <w:r w:rsidRPr="005A2B65">
              <w:rPr>
                <w:color w:val="000000"/>
              </w:rPr>
              <w:t>ISL</w:t>
            </w:r>
          </w:p>
        </w:tc>
        <w:tc>
          <w:tcPr>
            <w:tcW w:w="763" w:type="pct"/>
            <w:tcBorders>
              <w:top w:val="nil"/>
              <w:left w:val="nil"/>
              <w:bottom w:val="nil"/>
              <w:right w:val="single" w:sz="4" w:space="0" w:color="auto"/>
            </w:tcBorders>
            <w:shd w:val="clear" w:color="auto" w:fill="auto"/>
            <w:noWrap/>
            <w:vAlign w:val="bottom"/>
            <w:hideMark/>
          </w:tcPr>
          <w:p w14:paraId="60DBDF3E" w14:textId="2029CAC2" w:rsidR="005A2B65" w:rsidRPr="005A2B65" w:rsidRDefault="005A2B65" w:rsidP="00D24168">
            <w:pPr>
              <w:tabs>
                <w:tab w:val="decimal" w:pos="695"/>
              </w:tabs>
              <w:spacing w:line="360" w:lineRule="auto"/>
              <w:rPr>
                <w:color w:val="000000"/>
              </w:rPr>
            </w:pPr>
            <w:r w:rsidRPr="005A2B65">
              <w:rPr>
                <w:color w:val="000000"/>
              </w:rPr>
              <w:t>5.93</w:t>
            </w:r>
          </w:p>
        </w:tc>
        <w:tc>
          <w:tcPr>
            <w:tcW w:w="766" w:type="pct"/>
            <w:tcBorders>
              <w:top w:val="nil"/>
              <w:left w:val="single" w:sz="4" w:space="0" w:color="auto"/>
              <w:bottom w:val="nil"/>
              <w:right w:val="nil"/>
            </w:tcBorders>
            <w:shd w:val="clear" w:color="auto" w:fill="auto"/>
            <w:noWrap/>
            <w:vAlign w:val="bottom"/>
            <w:hideMark/>
          </w:tcPr>
          <w:p w14:paraId="7C896F0A" w14:textId="3BBE0C8E" w:rsidR="005A2B65" w:rsidRPr="005A2B65" w:rsidRDefault="005A2B65" w:rsidP="005A2B65">
            <w:pPr>
              <w:spacing w:line="360" w:lineRule="auto"/>
              <w:jc w:val="center"/>
              <w:rPr>
                <w:color w:val="000000"/>
              </w:rPr>
            </w:pPr>
            <w:r w:rsidRPr="005A2B65">
              <w:rPr>
                <w:color w:val="000000"/>
              </w:rPr>
              <w:t>ISL</w:t>
            </w:r>
          </w:p>
        </w:tc>
        <w:tc>
          <w:tcPr>
            <w:tcW w:w="804" w:type="pct"/>
            <w:tcBorders>
              <w:top w:val="nil"/>
              <w:left w:val="nil"/>
              <w:bottom w:val="nil"/>
              <w:right w:val="nil"/>
            </w:tcBorders>
            <w:shd w:val="clear" w:color="auto" w:fill="auto"/>
            <w:noWrap/>
            <w:vAlign w:val="bottom"/>
            <w:hideMark/>
          </w:tcPr>
          <w:p w14:paraId="3F75D83B" w14:textId="340EFE2A" w:rsidR="005A2B65" w:rsidRPr="005A2B65" w:rsidRDefault="005A2B65" w:rsidP="00D24168">
            <w:pPr>
              <w:tabs>
                <w:tab w:val="decimal" w:pos="786"/>
              </w:tabs>
              <w:spacing w:line="360" w:lineRule="auto"/>
              <w:rPr>
                <w:color w:val="000000"/>
              </w:rPr>
            </w:pPr>
            <w:r w:rsidRPr="005A2B65">
              <w:rPr>
                <w:color w:val="000000"/>
              </w:rPr>
              <w:t>57.91</w:t>
            </w:r>
          </w:p>
        </w:tc>
      </w:tr>
      <w:tr w:rsidR="00FA5B66" w:rsidRPr="005A2B65" w14:paraId="2F4B0622" w14:textId="77777777" w:rsidTr="00994CA2">
        <w:trPr>
          <w:tblHeader/>
        </w:trPr>
        <w:tc>
          <w:tcPr>
            <w:tcW w:w="618" w:type="pct"/>
            <w:tcBorders>
              <w:top w:val="nil"/>
              <w:left w:val="nil"/>
              <w:bottom w:val="nil"/>
              <w:right w:val="nil"/>
            </w:tcBorders>
            <w:shd w:val="clear" w:color="auto" w:fill="auto"/>
            <w:noWrap/>
            <w:hideMark/>
          </w:tcPr>
          <w:p w14:paraId="2579BCE6" w14:textId="77777777" w:rsidR="005A2B65" w:rsidRPr="005A2B65" w:rsidRDefault="005A2B65" w:rsidP="005A2B65">
            <w:pPr>
              <w:spacing w:line="360" w:lineRule="auto"/>
              <w:jc w:val="center"/>
              <w:rPr>
                <w:color w:val="000000"/>
              </w:rPr>
            </w:pPr>
            <w:r w:rsidRPr="005A2B65">
              <w:rPr>
                <w:color w:val="000000"/>
              </w:rPr>
              <w:t>32</w:t>
            </w:r>
          </w:p>
        </w:tc>
        <w:tc>
          <w:tcPr>
            <w:tcW w:w="628" w:type="pct"/>
            <w:tcBorders>
              <w:top w:val="nil"/>
              <w:left w:val="nil"/>
              <w:bottom w:val="nil"/>
              <w:right w:val="nil"/>
            </w:tcBorders>
            <w:shd w:val="clear" w:color="auto" w:fill="auto"/>
            <w:noWrap/>
            <w:vAlign w:val="bottom"/>
            <w:hideMark/>
          </w:tcPr>
          <w:p w14:paraId="4A508245" w14:textId="77777777" w:rsidR="005A2B65" w:rsidRPr="005A2B65" w:rsidRDefault="005A2B65" w:rsidP="007B296C">
            <w:pPr>
              <w:spacing w:line="360" w:lineRule="auto"/>
              <w:jc w:val="center"/>
              <w:rPr>
                <w:color w:val="000000"/>
              </w:rPr>
            </w:pPr>
            <w:r w:rsidRPr="005A2B65">
              <w:rPr>
                <w:color w:val="000000"/>
              </w:rPr>
              <w:t>ISL</w:t>
            </w:r>
          </w:p>
        </w:tc>
        <w:tc>
          <w:tcPr>
            <w:tcW w:w="665" w:type="pct"/>
            <w:tcBorders>
              <w:top w:val="nil"/>
              <w:left w:val="nil"/>
              <w:bottom w:val="nil"/>
              <w:right w:val="single" w:sz="4" w:space="0" w:color="auto"/>
            </w:tcBorders>
            <w:shd w:val="clear" w:color="auto" w:fill="auto"/>
            <w:noWrap/>
            <w:vAlign w:val="bottom"/>
            <w:hideMark/>
          </w:tcPr>
          <w:p w14:paraId="0DA26C2F" w14:textId="77777777" w:rsidR="005A2B65" w:rsidRPr="005A2B65" w:rsidRDefault="005A2B65" w:rsidP="00FA5B66">
            <w:pPr>
              <w:tabs>
                <w:tab w:val="decimal" w:pos="651"/>
              </w:tabs>
              <w:spacing w:line="360" w:lineRule="auto"/>
              <w:rPr>
                <w:color w:val="000000"/>
              </w:rPr>
            </w:pPr>
            <w:r w:rsidRPr="005A2B65">
              <w:rPr>
                <w:color w:val="000000"/>
              </w:rPr>
              <w:t>7</w:t>
            </w:r>
          </w:p>
        </w:tc>
        <w:tc>
          <w:tcPr>
            <w:tcW w:w="757" w:type="pct"/>
            <w:tcBorders>
              <w:top w:val="nil"/>
              <w:left w:val="single" w:sz="4" w:space="0" w:color="auto"/>
              <w:bottom w:val="nil"/>
              <w:right w:val="nil"/>
            </w:tcBorders>
            <w:shd w:val="clear" w:color="auto" w:fill="auto"/>
            <w:noWrap/>
            <w:vAlign w:val="bottom"/>
            <w:hideMark/>
          </w:tcPr>
          <w:p w14:paraId="110CCD2D" w14:textId="7EAA2081" w:rsidR="005A2B65" w:rsidRPr="005A2B65" w:rsidRDefault="005A2B65" w:rsidP="005A2B65">
            <w:pPr>
              <w:spacing w:line="360" w:lineRule="auto"/>
              <w:jc w:val="center"/>
              <w:rPr>
                <w:color w:val="000000"/>
              </w:rPr>
            </w:pPr>
            <w:r w:rsidRPr="005A2B65">
              <w:rPr>
                <w:color w:val="000000"/>
              </w:rPr>
              <w:t>SVN</w:t>
            </w:r>
          </w:p>
        </w:tc>
        <w:tc>
          <w:tcPr>
            <w:tcW w:w="763" w:type="pct"/>
            <w:tcBorders>
              <w:top w:val="nil"/>
              <w:left w:val="nil"/>
              <w:bottom w:val="nil"/>
              <w:right w:val="single" w:sz="4" w:space="0" w:color="auto"/>
            </w:tcBorders>
            <w:shd w:val="clear" w:color="auto" w:fill="auto"/>
            <w:noWrap/>
            <w:vAlign w:val="bottom"/>
            <w:hideMark/>
          </w:tcPr>
          <w:p w14:paraId="3327E594" w14:textId="31AA8763" w:rsidR="005A2B65" w:rsidRPr="005A2B65" w:rsidRDefault="005A2B65" w:rsidP="00D24168">
            <w:pPr>
              <w:tabs>
                <w:tab w:val="decimal" w:pos="695"/>
              </w:tabs>
              <w:spacing w:line="360" w:lineRule="auto"/>
              <w:rPr>
                <w:color w:val="000000"/>
              </w:rPr>
            </w:pPr>
            <w:r w:rsidRPr="005A2B65">
              <w:rPr>
                <w:color w:val="000000"/>
              </w:rPr>
              <w:t>4.92</w:t>
            </w:r>
          </w:p>
        </w:tc>
        <w:tc>
          <w:tcPr>
            <w:tcW w:w="766" w:type="pct"/>
            <w:tcBorders>
              <w:top w:val="nil"/>
              <w:left w:val="single" w:sz="4" w:space="0" w:color="auto"/>
              <w:bottom w:val="nil"/>
              <w:right w:val="nil"/>
            </w:tcBorders>
            <w:shd w:val="clear" w:color="auto" w:fill="auto"/>
            <w:noWrap/>
            <w:vAlign w:val="bottom"/>
            <w:hideMark/>
          </w:tcPr>
          <w:p w14:paraId="23B5BF33" w14:textId="3B83B31E" w:rsidR="005A2B65" w:rsidRPr="005A2B65" w:rsidRDefault="005A2B65" w:rsidP="005A2B65">
            <w:pPr>
              <w:spacing w:line="360" w:lineRule="auto"/>
              <w:jc w:val="center"/>
              <w:rPr>
                <w:color w:val="000000"/>
              </w:rPr>
            </w:pPr>
            <w:r w:rsidRPr="005A2B65">
              <w:rPr>
                <w:color w:val="000000"/>
              </w:rPr>
              <w:t>SVN</w:t>
            </w:r>
          </w:p>
        </w:tc>
        <w:tc>
          <w:tcPr>
            <w:tcW w:w="804" w:type="pct"/>
            <w:tcBorders>
              <w:top w:val="nil"/>
              <w:left w:val="nil"/>
              <w:bottom w:val="nil"/>
              <w:right w:val="nil"/>
            </w:tcBorders>
            <w:shd w:val="clear" w:color="auto" w:fill="auto"/>
            <w:noWrap/>
            <w:vAlign w:val="bottom"/>
            <w:hideMark/>
          </w:tcPr>
          <w:p w14:paraId="0E74BB88" w14:textId="04D2B5D2" w:rsidR="005A2B65" w:rsidRPr="005A2B65" w:rsidRDefault="005A2B65" w:rsidP="00D24168">
            <w:pPr>
              <w:tabs>
                <w:tab w:val="decimal" w:pos="786"/>
              </w:tabs>
              <w:spacing w:line="360" w:lineRule="auto"/>
              <w:rPr>
                <w:color w:val="000000"/>
              </w:rPr>
            </w:pPr>
            <w:r w:rsidRPr="005A2B65">
              <w:rPr>
                <w:color w:val="000000"/>
              </w:rPr>
              <w:t>43.58</w:t>
            </w:r>
          </w:p>
        </w:tc>
      </w:tr>
      <w:tr w:rsidR="00FA5B66" w:rsidRPr="005A2B65" w14:paraId="365B83A4" w14:textId="77777777" w:rsidTr="00994CA2">
        <w:trPr>
          <w:tblHeader/>
        </w:trPr>
        <w:tc>
          <w:tcPr>
            <w:tcW w:w="618" w:type="pct"/>
            <w:tcBorders>
              <w:top w:val="nil"/>
              <w:left w:val="nil"/>
              <w:bottom w:val="nil"/>
              <w:right w:val="nil"/>
            </w:tcBorders>
            <w:shd w:val="clear" w:color="auto" w:fill="auto"/>
            <w:noWrap/>
            <w:hideMark/>
          </w:tcPr>
          <w:p w14:paraId="6C3702E4" w14:textId="77777777" w:rsidR="005A2B65" w:rsidRPr="005A2B65" w:rsidRDefault="005A2B65" w:rsidP="005A2B65">
            <w:pPr>
              <w:spacing w:line="360" w:lineRule="auto"/>
              <w:jc w:val="center"/>
              <w:rPr>
                <w:color w:val="000000"/>
              </w:rPr>
            </w:pPr>
            <w:r w:rsidRPr="005A2B65">
              <w:rPr>
                <w:color w:val="000000"/>
              </w:rPr>
              <w:t>33</w:t>
            </w:r>
          </w:p>
        </w:tc>
        <w:tc>
          <w:tcPr>
            <w:tcW w:w="628" w:type="pct"/>
            <w:tcBorders>
              <w:top w:val="nil"/>
              <w:left w:val="nil"/>
              <w:bottom w:val="nil"/>
              <w:right w:val="nil"/>
            </w:tcBorders>
            <w:shd w:val="clear" w:color="auto" w:fill="auto"/>
            <w:noWrap/>
            <w:vAlign w:val="bottom"/>
            <w:hideMark/>
          </w:tcPr>
          <w:p w14:paraId="1576DC0B" w14:textId="77777777" w:rsidR="005A2B65" w:rsidRPr="005A2B65" w:rsidRDefault="005A2B65" w:rsidP="007B296C">
            <w:pPr>
              <w:spacing w:line="360" w:lineRule="auto"/>
              <w:jc w:val="center"/>
              <w:rPr>
                <w:color w:val="000000"/>
              </w:rPr>
            </w:pPr>
            <w:r w:rsidRPr="005A2B65">
              <w:rPr>
                <w:color w:val="000000"/>
              </w:rPr>
              <w:t>SVN</w:t>
            </w:r>
          </w:p>
        </w:tc>
        <w:tc>
          <w:tcPr>
            <w:tcW w:w="665" w:type="pct"/>
            <w:tcBorders>
              <w:top w:val="nil"/>
              <w:left w:val="nil"/>
              <w:bottom w:val="nil"/>
              <w:right w:val="single" w:sz="4" w:space="0" w:color="auto"/>
            </w:tcBorders>
            <w:shd w:val="clear" w:color="auto" w:fill="auto"/>
            <w:noWrap/>
            <w:vAlign w:val="bottom"/>
            <w:hideMark/>
          </w:tcPr>
          <w:p w14:paraId="0BE4452D" w14:textId="77777777" w:rsidR="005A2B65" w:rsidRPr="005A2B65" w:rsidRDefault="005A2B65" w:rsidP="00FA5B66">
            <w:pPr>
              <w:tabs>
                <w:tab w:val="decimal" w:pos="651"/>
              </w:tabs>
              <w:spacing w:line="360" w:lineRule="auto"/>
              <w:rPr>
                <w:color w:val="000000"/>
              </w:rPr>
            </w:pPr>
            <w:r w:rsidRPr="005A2B65">
              <w:rPr>
                <w:color w:val="000000"/>
              </w:rPr>
              <w:t>7</w:t>
            </w:r>
          </w:p>
        </w:tc>
        <w:tc>
          <w:tcPr>
            <w:tcW w:w="757" w:type="pct"/>
            <w:tcBorders>
              <w:top w:val="nil"/>
              <w:left w:val="single" w:sz="4" w:space="0" w:color="auto"/>
              <w:bottom w:val="nil"/>
              <w:right w:val="nil"/>
            </w:tcBorders>
            <w:shd w:val="clear" w:color="auto" w:fill="auto"/>
            <w:noWrap/>
            <w:vAlign w:val="bottom"/>
            <w:hideMark/>
          </w:tcPr>
          <w:p w14:paraId="2C86C651" w14:textId="2B92BBBA" w:rsidR="005A2B65" w:rsidRPr="005A2B65" w:rsidRDefault="005A2B65" w:rsidP="005A2B65">
            <w:pPr>
              <w:spacing w:line="360" w:lineRule="auto"/>
              <w:jc w:val="center"/>
              <w:rPr>
                <w:color w:val="000000"/>
              </w:rPr>
            </w:pPr>
            <w:r w:rsidRPr="005A2B65">
              <w:rPr>
                <w:color w:val="000000"/>
              </w:rPr>
              <w:t>MEX</w:t>
            </w:r>
          </w:p>
        </w:tc>
        <w:tc>
          <w:tcPr>
            <w:tcW w:w="763" w:type="pct"/>
            <w:tcBorders>
              <w:top w:val="nil"/>
              <w:left w:val="nil"/>
              <w:bottom w:val="nil"/>
              <w:right w:val="single" w:sz="4" w:space="0" w:color="auto"/>
            </w:tcBorders>
            <w:shd w:val="clear" w:color="auto" w:fill="auto"/>
            <w:noWrap/>
            <w:vAlign w:val="bottom"/>
            <w:hideMark/>
          </w:tcPr>
          <w:p w14:paraId="4972DE27" w14:textId="134599F5" w:rsidR="005A2B65" w:rsidRPr="005A2B65" w:rsidRDefault="005A2B65" w:rsidP="00D24168">
            <w:pPr>
              <w:tabs>
                <w:tab w:val="decimal" w:pos="695"/>
              </w:tabs>
              <w:spacing w:line="360" w:lineRule="auto"/>
              <w:rPr>
                <w:color w:val="000000"/>
              </w:rPr>
            </w:pPr>
            <w:r w:rsidRPr="005A2B65">
              <w:rPr>
                <w:color w:val="000000"/>
              </w:rPr>
              <w:t>3.97</w:t>
            </w:r>
          </w:p>
        </w:tc>
        <w:tc>
          <w:tcPr>
            <w:tcW w:w="766" w:type="pct"/>
            <w:tcBorders>
              <w:top w:val="nil"/>
              <w:left w:val="single" w:sz="4" w:space="0" w:color="auto"/>
              <w:bottom w:val="nil"/>
              <w:right w:val="nil"/>
            </w:tcBorders>
            <w:shd w:val="clear" w:color="auto" w:fill="auto"/>
            <w:noWrap/>
            <w:vAlign w:val="bottom"/>
            <w:hideMark/>
          </w:tcPr>
          <w:p w14:paraId="525A1666" w14:textId="6CC5AB94" w:rsidR="005A2B65" w:rsidRPr="005A2B65" w:rsidRDefault="005A2B65" w:rsidP="005A2B65">
            <w:pPr>
              <w:spacing w:line="360" w:lineRule="auto"/>
              <w:jc w:val="center"/>
              <w:rPr>
                <w:color w:val="000000"/>
              </w:rPr>
            </w:pPr>
            <w:r w:rsidRPr="005A2B65">
              <w:rPr>
                <w:color w:val="000000"/>
              </w:rPr>
              <w:t>MEX</w:t>
            </w:r>
          </w:p>
        </w:tc>
        <w:tc>
          <w:tcPr>
            <w:tcW w:w="804" w:type="pct"/>
            <w:tcBorders>
              <w:top w:val="nil"/>
              <w:left w:val="nil"/>
              <w:bottom w:val="nil"/>
              <w:right w:val="nil"/>
            </w:tcBorders>
            <w:shd w:val="clear" w:color="auto" w:fill="auto"/>
            <w:noWrap/>
            <w:vAlign w:val="bottom"/>
            <w:hideMark/>
          </w:tcPr>
          <w:p w14:paraId="651A2071" w14:textId="1A9B1D89" w:rsidR="005A2B65" w:rsidRPr="005A2B65" w:rsidRDefault="005A2B65" w:rsidP="00D24168">
            <w:pPr>
              <w:tabs>
                <w:tab w:val="decimal" w:pos="786"/>
              </w:tabs>
              <w:spacing w:line="360" w:lineRule="auto"/>
              <w:rPr>
                <w:color w:val="000000"/>
              </w:rPr>
            </w:pPr>
            <w:r w:rsidRPr="005A2B65">
              <w:rPr>
                <w:color w:val="000000"/>
              </w:rPr>
              <w:t>28.81</w:t>
            </w:r>
          </w:p>
        </w:tc>
      </w:tr>
      <w:tr w:rsidR="00FA5B66" w:rsidRPr="005A2B65" w14:paraId="7922A448" w14:textId="77777777" w:rsidTr="00994CA2">
        <w:trPr>
          <w:tblHeader/>
        </w:trPr>
        <w:tc>
          <w:tcPr>
            <w:tcW w:w="618" w:type="pct"/>
            <w:tcBorders>
              <w:top w:val="nil"/>
              <w:left w:val="nil"/>
              <w:right w:val="nil"/>
            </w:tcBorders>
            <w:shd w:val="clear" w:color="auto" w:fill="auto"/>
            <w:noWrap/>
            <w:hideMark/>
          </w:tcPr>
          <w:p w14:paraId="6FD5F654" w14:textId="77777777" w:rsidR="005A2B65" w:rsidRPr="005A2B65" w:rsidRDefault="005A2B65" w:rsidP="005A2B65">
            <w:pPr>
              <w:spacing w:line="360" w:lineRule="auto"/>
              <w:jc w:val="center"/>
              <w:rPr>
                <w:color w:val="000000"/>
              </w:rPr>
            </w:pPr>
            <w:r w:rsidRPr="005A2B65">
              <w:rPr>
                <w:color w:val="000000"/>
              </w:rPr>
              <w:t>34</w:t>
            </w:r>
          </w:p>
        </w:tc>
        <w:tc>
          <w:tcPr>
            <w:tcW w:w="628" w:type="pct"/>
            <w:tcBorders>
              <w:top w:val="nil"/>
              <w:left w:val="nil"/>
              <w:right w:val="nil"/>
            </w:tcBorders>
            <w:shd w:val="clear" w:color="auto" w:fill="auto"/>
            <w:noWrap/>
            <w:vAlign w:val="bottom"/>
            <w:hideMark/>
          </w:tcPr>
          <w:p w14:paraId="7E57E6DA" w14:textId="77777777" w:rsidR="005A2B65" w:rsidRPr="005A2B65" w:rsidRDefault="005A2B65" w:rsidP="007B296C">
            <w:pPr>
              <w:spacing w:line="360" w:lineRule="auto"/>
              <w:jc w:val="center"/>
              <w:rPr>
                <w:color w:val="000000"/>
              </w:rPr>
            </w:pPr>
            <w:r w:rsidRPr="005A2B65">
              <w:rPr>
                <w:color w:val="000000"/>
              </w:rPr>
              <w:t>EST</w:t>
            </w:r>
          </w:p>
        </w:tc>
        <w:tc>
          <w:tcPr>
            <w:tcW w:w="665" w:type="pct"/>
            <w:tcBorders>
              <w:top w:val="nil"/>
              <w:left w:val="nil"/>
              <w:right w:val="single" w:sz="4" w:space="0" w:color="auto"/>
            </w:tcBorders>
            <w:shd w:val="clear" w:color="auto" w:fill="auto"/>
            <w:noWrap/>
            <w:vAlign w:val="bottom"/>
            <w:hideMark/>
          </w:tcPr>
          <w:p w14:paraId="0D404098" w14:textId="77777777" w:rsidR="005A2B65" w:rsidRPr="005A2B65" w:rsidRDefault="005A2B65" w:rsidP="00FA5B66">
            <w:pPr>
              <w:tabs>
                <w:tab w:val="decimal" w:pos="651"/>
              </w:tabs>
              <w:spacing w:line="360" w:lineRule="auto"/>
              <w:rPr>
                <w:color w:val="000000"/>
              </w:rPr>
            </w:pPr>
            <w:r w:rsidRPr="005A2B65">
              <w:rPr>
                <w:color w:val="000000"/>
              </w:rPr>
              <w:t>3</w:t>
            </w:r>
          </w:p>
        </w:tc>
        <w:tc>
          <w:tcPr>
            <w:tcW w:w="757" w:type="pct"/>
            <w:tcBorders>
              <w:top w:val="nil"/>
              <w:left w:val="single" w:sz="4" w:space="0" w:color="auto"/>
              <w:right w:val="nil"/>
            </w:tcBorders>
            <w:shd w:val="clear" w:color="auto" w:fill="auto"/>
            <w:noWrap/>
            <w:vAlign w:val="bottom"/>
            <w:hideMark/>
          </w:tcPr>
          <w:p w14:paraId="53268155" w14:textId="7EDB8729" w:rsidR="005A2B65" w:rsidRPr="005A2B65" w:rsidRDefault="005A2B65" w:rsidP="005A2B65">
            <w:pPr>
              <w:spacing w:line="360" w:lineRule="auto"/>
              <w:jc w:val="center"/>
              <w:rPr>
                <w:color w:val="000000"/>
              </w:rPr>
            </w:pPr>
            <w:r w:rsidRPr="005A2B65">
              <w:rPr>
                <w:color w:val="000000"/>
              </w:rPr>
              <w:t>EST</w:t>
            </w:r>
          </w:p>
        </w:tc>
        <w:tc>
          <w:tcPr>
            <w:tcW w:w="763" w:type="pct"/>
            <w:tcBorders>
              <w:top w:val="nil"/>
              <w:left w:val="nil"/>
              <w:right w:val="single" w:sz="4" w:space="0" w:color="auto"/>
            </w:tcBorders>
            <w:shd w:val="clear" w:color="auto" w:fill="auto"/>
            <w:noWrap/>
            <w:vAlign w:val="bottom"/>
            <w:hideMark/>
          </w:tcPr>
          <w:p w14:paraId="073C881A" w14:textId="2C129D48" w:rsidR="005A2B65" w:rsidRPr="005A2B65" w:rsidRDefault="005A2B65" w:rsidP="00D24168">
            <w:pPr>
              <w:tabs>
                <w:tab w:val="decimal" w:pos="695"/>
              </w:tabs>
              <w:spacing w:line="360" w:lineRule="auto"/>
              <w:rPr>
                <w:color w:val="000000"/>
              </w:rPr>
            </w:pPr>
            <w:r w:rsidRPr="005A2B65">
              <w:rPr>
                <w:color w:val="000000"/>
              </w:rPr>
              <w:t>2.23</w:t>
            </w:r>
          </w:p>
        </w:tc>
        <w:tc>
          <w:tcPr>
            <w:tcW w:w="766" w:type="pct"/>
            <w:tcBorders>
              <w:top w:val="nil"/>
              <w:left w:val="single" w:sz="4" w:space="0" w:color="auto"/>
              <w:right w:val="nil"/>
            </w:tcBorders>
            <w:shd w:val="clear" w:color="auto" w:fill="auto"/>
            <w:noWrap/>
            <w:vAlign w:val="bottom"/>
            <w:hideMark/>
          </w:tcPr>
          <w:p w14:paraId="3ED2C29A" w14:textId="6F87FD48" w:rsidR="005A2B65" w:rsidRPr="005A2B65" w:rsidRDefault="005A2B65" w:rsidP="005A2B65">
            <w:pPr>
              <w:spacing w:line="360" w:lineRule="auto"/>
              <w:jc w:val="center"/>
              <w:rPr>
                <w:color w:val="000000"/>
              </w:rPr>
            </w:pPr>
            <w:r w:rsidRPr="005A2B65">
              <w:rPr>
                <w:color w:val="000000"/>
              </w:rPr>
              <w:t>EST</w:t>
            </w:r>
          </w:p>
        </w:tc>
        <w:tc>
          <w:tcPr>
            <w:tcW w:w="804" w:type="pct"/>
            <w:tcBorders>
              <w:top w:val="nil"/>
              <w:left w:val="nil"/>
              <w:right w:val="nil"/>
            </w:tcBorders>
            <w:shd w:val="clear" w:color="auto" w:fill="auto"/>
            <w:noWrap/>
            <w:vAlign w:val="bottom"/>
            <w:hideMark/>
          </w:tcPr>
          <w:p w14:paraId="36807559" w14:textId="32D6FE5D" w:rsidR="005A2B65" w:rsidRPr="005A2B65" w:rsidRDefault="005A2B65" w:rsidP="00D24168">
            <w:pPr>
              <w:tabs>
                <w:tab w:val="decimal" w:pos="786"/>
              </w:tabs>
              <w:spacing w:line="360" w:lineRule="auto"/>
              <w:rPr>
                <w:color w:val="000000"/>
              </w:rPr>
            </w:pPr>
            <w:r w:rsidRPr="005A2B65">
              <w:rPr>
                <w:color w:val="000000"/>
              </w:rPr>
              <w:t>17.81</w:t>
            </w:r>
          </w:p>
        </w:tc>
      </w:tr>
      <w:tr w:rsidR="00FA5B66" w:rsidRPr="005A2B65" w14:paraId="7DB1089F" w14:textId="77777777" w:rsidTr="00994CA2">
        <w:trPr>
          <w:tblHeader/>
        </w:trPr>
        <w:tc>
          <w:tcPr>
            <w:tcW w:w="618" w:type="pct"/>
            <w:tcBorders>
              <w:top w:val="nil"/>
              <w:left w:val="nil"/>
              <w:right w:val="nil"/>
            </w:tcBorders>
            <w:shd w:val="clear" w:color="auto" w:fill="auto"/>
            <w:noWrap/>
            <w:hideMark/>
          </w:tcPr>
          <w:p w14:paraId="41054CE7" w14:textId="77777777" w:rsidR="005A2B65" w:rsidRPr="005A2B65" w:rsidRDefault="005A2B65" w:rsidP="005A2B65">
            <w:pPr>
              <w:spacing w:line="360" w:lineRule="auto"/>
              <w:jc w:val="center"/>
              <w:rPr>
                <w:color w:val="000000"/>
              </w:rPr>
            </w:pPr>
            <w:r w:rsidRPr="005A2B65">
              <w:rPr>
                <w:color w:val="000000"/>
              </w:rPr>
              <w:t>35</w:t>
            </w:r>
          </w:p>
        </w:tc>
        <w:tc>
          <w:tcPr>
            <w:tcW w:w="628" w:type="pct"/>
            <w:tcBorders>
              <w:top w:val="nil"/>
              <w:left w:val="nil"/>
              <w:right w:val="nil"/>
            </w:tcBorders>
            <w:shd w:val="clear" w:color="auto" w:fill="auto"/>
            <w:noWrap/>
            <w:vAlign w:val="bottom"/>
            <w:hideMark/>
          </w:tcPr>
          <w:p w14:paraId="0363FF61" w14:textId="77777777" w:rsidR="005A2B65" w:rsidRPr="005A2B65" w:rsidRDefault="005A2B65" w:rsidP="007B296C">
            <w:pPr>
              <w:spacing w:line="360" w:lineRule="auto"/>
              <w:jc w:val="center"/>
              <w:rPr>
                <w:color w:val="000000"/>
              </w:rPr>
            </w:pPr>
            <w:r w:rsidRPr="005A2B65">
              <w:rPr>
                <w:color w:val="000000"/>
              </w:rPr>
              <w:t>LTU</w:t>
            </w:r>
          </w:p>
        </w:tc>
        <w:tc>
          <w:tcPr>
            <w:tcW w:w="665" w:type="pct"/>
            <w:tcBorders>
              <w:top w:val="nil"/>
              <w:left w:val="nil"/>
              <w:right w:val="single" w:sz="4" w:space="0" w:color="auto"/>
            </w:tcBorders>
            <w:shd w:val="clear" w:color="auto" w:fill="auto"/>
            <w:noWrap/>
            <w:vAlign w:val="bottom"/>
            <w:hideMark/>
          </w:tcPr>
          <w:p w14:paraId="2E48EE54" w14:textId="77777777" w:rsidR="005A2B65" w:rsidRPr="005A2B65" w:rsidRDefault="005A2B65" w:rsidP="00FA5B66">
            <w:pPr>
              <w:tabs>
                <w:tab w:val="decimal" w:pos="651"/>
              </w:tabs>
              <w:spacing w:line="360" w:lineRule="auto"/>
              <w:rPr>
                <w:color w:val="000000"/>
              </w:rPr>
            </w:pPr>
            <w:r w:rsidRPr="005A2B65">
              <w:rPr>
                <w:color w:val="000000"/>
              </w:rPr>
              <w:t>2</w:t>
            </w:r>
          </w:p>
        </w:tc>
        <w:tc>
          <w:tcPr>
            <w:tcW w:w="757" w:type="pct"/>
            <w:tcBorders>
              <w:top w:val="nil"/>
              <w:left w:val="single" w:sz="4" w:space="0" w:color="auto"/>
              <w:right w:val="nil"/>
            </w:tcBorders>
            <w:shd w:val="clear" w:color="auto" w:fill="auto"/>
            <w:noWrap/>
            <w:vAlign w:val="bottom"/>
            <w:hideMark/>
          </w:tcPr>
          <w:p w14:paraId="7661F73C" w14:textId="6F5F315E" w:rsidR="005A2B65" w:rsidRPr="005A2B65" w:rsidRDefault="005A2B65" w:rsidP="005A2B65">
            <w:pPr>
              <w:spacing w:line="360" w:lineRule="auto"/>
              <w:jc w:val="center"/>
              <w:rPr>
                <w:color w:val="000000"/>
              </w:rPr>
            </w:pPr>
            <w:r w:rsidRPr="005A2B65">
              <w:rPr>
                <w:color w:val="000000"/>
              </w:rPr>
              <w:t>LTU</w:t>
            </w:r>
          </w:p>
        </w:tc>
        <w:tc>
          <w:tcPr>
            <w:tcW w:w="763" w:type="pct"/>
            <w:tcBorders>
              <w:top w:val="nil"/>
              <w:left w:val="nil"/>
              <w:right w:val="single" w:sz="4" w:space="0" w:color="auto"/>
            </w:tcBorders>
            <w:shd w:val="clear" w:color="auto" w:fill="auto"/>
            <w:noWrap/>
            <w:vAlign w:val="bottom"/>
            <w:hideMark/>
          </w:tcPr>
          <w:p w14:paraId="2756A9B7" w14:textId="4031301A" w:rsidR="005A2B65" w:rsidRPr="005A2B65" w:rsidRDefault="005A2B65" w:rsidP="00D24168">
            <w:pPr>
              <w:tabs>
                <w:tab w:val="decimal" w:pos="695"/>
              </w:tabs>
              <w:spacing w:line="360" w:lineRule="auto"/>
              <w:rPr>
                <w:color w:val="000000"/>
              </w:rPr>
            </w:pPr>
            <w:r w:rsidRPr="005A2B65">
              <w:rPr>
                <w:color w:val="000000"/>
              </w:rPr>
              <w:t>1.34</w:t>
            </w:r>
          </w:p>
        </w:tc>
        <w:tc>
          <w:tcPr>
            <w:tcW w:w="766" w:type="pct"/>
            <w:tcBorders>
              <w:top w:val="nil"/>
              <w:left w:val="single" w:sz="4" w:space="0" w:color="auto"/>
              <w:right w:val="nil"/>
            </w:tcBorders>
            <w:shd w:val="clear" w:color="auto" w:fill="auto"/>
            <w:noWrap/>
            <w:vAlign w:val="bottom"/>
            <w:hideMark/>
          </w:tcPr>
          <w:p w14:paraId="66674C0C" w14:textId="11AABA16" w:rsidR="005A2B65" w:rsidRPr="005A2B65" w:rsidRDefault="005A2B65" w:rsidP="005A2B65">
            <w:pPr>
              <w:spacing w:line="360" w:lineRule="auto"/>
              <w:jc w:val="center"/>
              <w:rPr>
                <w:color w:val="000000"/>
              </w:rPr>
            </w:pPr>
            <w:r w:rsidRPr="005A2B65">
              <w:rPr>
                <w:color w:val="000000"/>
              </w:rPr>
              <w:t>LTU</w:t>
            </w:r>
          </w:p>
        </w:tc>
        <w:tc>
          <w:tcPr>
            <w:tcW w:w="804" w:type="pct"/>
            <w:tcBorders>
              <w:top w:val="nil"/>
              <w:left w:val="nil"/>
              <w:right w:val="nil"/>
            </w:tcBorders>
            <w:shd w:val="clear" w:color="auto" w:fill="auto"/>
            <w:noWrap/>
            <w:vAlign w:val="bottom"/>
            <w:hideMark/>
          </w:tcPr>
          <w:p w14:paraId="23DD5921" w14:textId="03EC4ED1" w:rsidR="005A2B65" w:rsidRPr="005A2B65" w:rsidRDefault="005A2B65" w:rsidP="00D24168">
            <w:pPr>
              <w:tabs>
                <w:tab w:val="decimal" w:pos="786"/>
              </w:tabs>
              <w:spacing w:line="360" w:lineRule="auto"/>
              <w:rPr>
                <w:color w:val="000000"/>
              </w:rPr>
            </w:pPr>
            <w:r w:rsidRPr="005A2B65">
              <w:rPr>
                <w:color w:val="000000"/>
              </w:rPr>
              <w:t>10.34</w:t>
            </w:r>
          </w:p>
        </w:tc>
      </w:tr>
    </w:tbl>
    <w:p w14:paraId="4E9E8D64" w14:textId="05ADB80D" w:rsidR="005A2B65" w:rsidRPr="005A2B65" w:rsidRDefault="005A2B65" w:rsidP="005A2B65"/>
    <w:p w14:paraId="747A828B" w14:textId="77777777" w:rsidR="005A2B65" w:rsidRPr="005A2B65" w:rsidRDefault="005A2B65" w:rsidP="005A2B65">
      <w:pPr>
        <w:spacing w:line="2" w:lineRule="auto"/>
      </w:pPr>
      <w:r w:rsidRPr="005A2B65">
        <w:br w:type="page"/>
      </w:r>
    </w:p>
    <w:p w14:paraId="57B9959E" w14:textId="5C2E4793" w:rsidR="00C07FB9" w:rsidRPr="00D24168" w:rsidRDefault="005A2B65" w:rsidP="00D24168">
      <w:r w:rsidRPr="00D24168">
        <w:lastRenderedPageBreak/>
        <w:t>Table 4 concluded</w:t>
      </w:r>
    </w:p>
    <w:p w14:paraId="1AEEF4B3" w14:textId="77777777" w:rsidR="005A2B65" w:rsidRPr="00D24168" w:rsidRDefault="005A2B65" w:rsidP="00D24168"/>
    <w:p w14:paraId="6D4E9C1A" w14:textId="77777777" w:rsidR="00AE5404" w:rsidRPr="00D24168" w:rsidRDefault="00AE5404" w:rsidP="00D24168">
      <w:pPr>
        <w:pStyle w:val="ListParagraph"/>
        <w:numPr>
          <w:ilvl w:val="0"/>
          <w:numId w:val="36"/>
        </w:numPr>
        <w:rPr>
          <w:bCs/>
        </w:rPr>
      </w:pPr>
      <w:r w:rsidRPr="00D24168">
        <w:rPr>
          <w:bCs/>
        </w:rPr>
        <w:t>EU countries</w:t>
      </w:r>
    </w:p>
    <w:p w14:paraId="003D047D" w14:textId="77777777" w:rsidR="00D24168" w:rsidRPr="00D24168" w:rsidRDefault="00D24168" w:rsidP="00D24168">
      <w:pPr>
        <w:pStyle w:val="ListParagraph"/>
        <w:rPr>
          <w:b/>
          <w:bCs/>
        </w:rPr>
      </w:pPr>
    </w:p>
    <w:tbl>
      <w:tblPr>
        <w:tblW w:w="4281" w:type="pct"/>
        <w:tblLayout w:type="fixed"/>
        <w:tblLook w:val="04A0" w:firstRow="1" w:lastRow="0" w:firstColumn="1" w:lastColumn="0" w:noHBand="0" w:noVBand="1"/>
      </w:tblPr>
      <w:tblGrid>
        <w:gridCol w:w="1332"/>
        <w:gridCol w:w="1354"/>
        <w:gridCol w:w="1652"/>
        <w:gridCol w:w="1839"/>
        <w:gridCol w:w="1902"/>
        <w:gridCol w:w="1268"/>
        <w:gridCol w:w="1934"/>
      </w:tblGrid>
      <w:tr w:rsidR="00D24168" w:rsidRPr="00D24168" w14:paraId="08E46DF6" w14:textId="77777777" w:rsidTr="00994CA2">
        <w:trPr>
          <w:tblHeader/>
        </w:trPr>
        <w:tc>
          <w:tcPr>
            <w:tcW w:w="591" w:type="pct"/>
            <w:tcBorders>
              <w:top w:val="single" w:sz="4" w:space="0" w:color="auto"/>
              <w:left w:val="nil"/>
              <w:right w:val="nil"/>
            </w:tcBorders>
            <w:shd w:val="clear" w:color="auto" w:fill="auto"/>
            <w:noWrap/>
          </w:tcPr>
          <w:p w14:paraId="68E66EBD" w14:textId="77777777" w:rsidR="005A2B65" w:rsidRPr="00D24168" w:rsidRDefault="005A2B65" w:rsidP="00D24168">
            <w:pPr>
              <w:spacing w:line="360" w:lineRule="auto"/>
              <w:jc w:val="center"/>
              <w:rPr>
                <w:color w:val="000000"/>
              </w:rPr>
            </w:pPr>
          </w:p>
        </w:tc>
        <w:tc>
          <w:tcPr>
            <w:tcW w:w="1332" w:type="pct"/>
            <w:gridSpan w:val="2"/>
            <w:tcBorders>
              <w:top w:val="single" w:sz="4" w:space="0" w:color="auto"/>
              <w:left w:val="nil"/>
              <w:bottom w:val="single" w:sz="4" w:space="0" w:color="auto"/>
              <w:right w:val="single" w:sz="4" w:space="0" w:color="auto"/>
            </w:tcBorders>
            <w:shd w:val="clear" w:color="auto" w:fill="auto"/>
            <w:noWrap/>
          </w:tcPr>
          <w:p w14:paraId="6B3335AE" w14:textId="77777777" w:rsidR="005A2B65" w:rsidRPr="00D24168" w:rsidRDefault="005A2B65" w:rsidP="00D24168">
            <w:pPr>
              <w:spacing w:line="360" w:lineRule="auto"/>
              <w:jc w:val="center"/>
              <w:rPr>
                <w:color w:val="000000"/>
              </w:rPr>
            </w:pPr>
            <w:r w:rsidRPr="00D24168">
              <w:rPr>
                <w:color w:val="000000"/>
              </w:rPr>
              <w:t>Laws</w:t>
            </w:r>
          </w:p>
        </w:tc>
        <w:tc>
          <w:tcPr>
            <w:tcW w:w="1658" w:type="pct"/>
            <w:gridSpan w:val="2"/>
            <w:tcBorders>
              <w:top w:val="single" w:sz="4" w:space="0" w:color="auto"/>
              <w:left w:val="single" w:sz="4" w:space="0" w:color="auto"/>
              <w:bottom w:val="single" w:sz="4" w:space="0" w:color="auto"/>
              <w:right w:val="single" w:sz="4" w:space="0" w:color="auto"/>
            </w:tcBorders>
            <w:shd w:val="clear" w:color="auto" w:fill="auto"/>
            <w:noWrap/>
          </w:tcPr>
          <w:p w14:paraId="455D0789" w14:textId="42BAAFA9" w:rsidR="005A2B65" w:rsidRPr="00D24168" w:rsidRDefault="005A2B65" w:rsidP="00D24168">
            <w:pPr>
              <w:spacing w:line="360" w:lineRule="auto"/>
              <w:jc w:val="center"/>
              <w:rPr>
                <w:color w:val="000000"/>
              </w:rPr>
            </w:pPr>
            <w:r w:rsidRPr="00D24168">
              <w:rPr>
                <w:color w:val="000000"/>
              </w:rPr>
              <w:t>Quality-adjusted laws</w:t>
            </w:r>
          </w:p>
        </w:tc>
        <w:tc>
          <w:tcPr>
            <w:tcW w:w="1419" w:type="pct"/>
            <w:gridSpan w:val="2"/>
            <w:tcBorders>
              <w:top w:val="single" w:sz="4" w:space="0" w:color="auto"/>
              <w:left w:val="single" w:sz="4" w:space="0" w:color="auto"/>
              <w:bottom w:val="single" w:sz="4" w:space="0" w:color="auto"/>
              <w:right w:val="nil"/>
            </w:tcBorders>
            <w:shd w:val="clear" w:color="auto" w:fill="auto"/>
            <w:noWrap/>
          </w:tcPr>
          <w:p w14:paraId="45592B71" w14:textId="6AA51843" w:rsidR="005A2B65" w:rsidRPr="00D24168" w:rsidRDefault="005A2B65" w:rsidP="00D24168">
            <w:pPr>
              <w:spacing w:line="360" w:lineRule="auto"/>
              <w:jc w:val="center"/>
              <w:rPr>
                <w:color w:val="000000"/>
              </w:rPr>
            </w:pPr>
            <w:r w:rsidRPr="00D24168">
              <w:rPr>
                <w:color w:val="000000"/>
              </w:rPr>
              <w:t>Lifetime quality-adjusted laws</w:t>
            </w:r>
          </w:p>
        </w:tc>
      </w:tr>
      <w:tr w:rsidR="00994CA2" w:rsidRPr="00D24168" w14:paraId="638E7CD9" w14:textId="77777777" w:rsidTr="00994CA2">
        <w:trPr>
          <w:tblHeader/>
        </w:trPr>
        <w:tc>
          <w:tcPr>
            <w:tcW w:w="591" w:type="pct"/>
            <w:tcBorders>
              <w:left w:val="nil"/>
              <w:bottom w:val="single" w:sz="4" w:space="0" w:color="auto"/>
              <w:right w:val="nil"/>
            </w:tcBorders>
            <w:shd w:val="clear" w:color="auto" w:fill="auto"/>
            <w:noWrap/>
            <w:hideMark/>
          </w:tcPr>
          <w:p w14:paraId="3E5B3D06" w14:textId="77777777" w:rsidR="005A2B65" w:rsidRPr="00D24168" w:rsidRDefault="005A2B65" w:rsidP="00D24168">
            <w:pPr>
              <w:spacing w:line="360" w:lineRule="auto"/>
              <w:jc w:val="center"/>
              <w:rPr>
                <w:color w:val="000000"/>
              </w:rPr>
            </w:pPr>
            <w:r w:rsidRPr="00D24168">
              <w:rPr>
                <w:color w:val="000000"/>
              </w:rPr>
              <w:t>Ranking</w:t>
            </w:r>
          </w:p>
        </w:tc>
        <w:tc>
          <w:tcPr>
            <w:tcW w:w="600" w:type="pct"/>
            <w:tcBorders>
              <w:top w:val="single" w:sz="4" w:space="0" w:color="auto"/>
              <w:left w:val="nil"/>
              <w:bottom w:val="single" w:sz="4" w:space="0" w:color="auto"/>
              <w:right w:val="nil"/>
            </w:tcBorders>
            <w:shd w:val="clear" w:color="auto" w:fill="auto"/>
            <w:noWrap/>
            <w:hideMark/>
          </w:tcPr>
          <w:p w14:paraId="4D40F408" w14:textId="77777777" w:rsidR="005A2B65" w:rsidRPr="00D24168" w:rsidRDefault="005A2B65" w:rsidP="00D24168">
            <w:pPr>
              <w:spacing w:line="360" w:lineRule="auto"/>
              <w:jc w:val="center"/>
              <w:rPr>
                <w:color w:val="000000"/>
              </w:rPr>
            </w:pPr>
            <w:r w:rsidRPr="00D24168">
              <w:rPr>
                <w:color w:val="000000"/>
              </w:rPr>
              <w:t>ISO Code</w:t>
            </w:r>
          </w:p>
        </w:tc>
        <w:tc>
          <w:tcPr>
            <w:tcW w:w="732" w:type="pct"/>
            <w:tcBorders>
              <w:top w:val="single" w:sz="4" w:space="0" w:color="auto"/>
              <w:left w:val="nil"/>
              <w:bottom w:val="single" w:sz="4" w:space="0" w:color="auto"/>
              <w:right w:val="single" w:sz="4" w:space="0" w:color="auto"/>
            </w:tcBorders>
            <w:shd w:val="clear" w:color="auto" w:fill="auto"/>
            <w:noWrap/>
            <w:hideMark/>
          </w:tcPr>
          <w:p w14:paraId="4FDEC37A" w14:textId="77777777" w:rsidR="005A2B65" w:rsidRPr="00D24168" w:rsidRDefault="005A2B65" w:rsidP="00D24168">
            <w:pPr>
              <w:spacing w:line="360" w:lineRule="auto"/>
              <w:jc w:val="center"/>
              <w:rPr>
                <w:color w:val="000000"/>
              </w:rPr>
            </w:pPr>
            <w:r w:rsidRPr="00D24168">
              <w:rPr>
                <w:color w:val="000000"/>
              </w:rPr>
              <w:t>Number</w:t>
            </w:r>
          </w:p>
        </w:tc>
        <w:tc>
          <w:tcPr>
            <w:tcW w:w="815" w:type="pct"/>
            <w:tcBorders>
              <w:top w:val="single" w:sz="4" w:space="0" w:color="auto"/>
              <w:left w:val="single" w:sz="4" w:space="0" w:color="auto"/>
              <w:bottom w:val="single" w:sz="4" w:space="0" w:color="auto"/>
              <w:right w:val="nil"/>
            </w:tcBorders>
            <w:shd w:val="clear" w:color="auto" w:fill="auto"/>
            <w:noWrap/>
            <w:hideMark/>
          </w:tcPr>
          <w:p w14:paraId="3E6EBE81" w14:textId="77777777" w:rsidR="005A2B65" w:rsidRPr="00D24168" w:rsidRDefault="005A2B65" w:rsidP="00D24168">
            <w:pPr>
              <w:spacing w:line="360" w:lineRule="auto"/>
              <w:jc w:val="center"/>
              <w:rPr>
                <w:color w:val="000000"/>
              </w:rPr>
            </w:pPr>
            <w:r w:rsidRPr="00D24168">
              <w:rPr>
                <w:color w:val="000000"/>
              </w:rPr>
              <w:t>ISO Code</w:t>
            </w:r>
          </w:p>
        </w:tc>
        <w:tc>
          <w:tcPr>
            <w:tcW w:w="843" w:type="pct"/>
            <w:tcBorders>
              <w:top w:val="single" w:sz="4" w:space="0" w:color="auto"/>
              <w:left w:val="nil"/>
              <w:bottom w:val="single" w:sz="4" w:space="0" w:color="auto"/>
              <w:right w:val="single" w:sz="4" w:space="0" w:color="auto"/>
            </w:tcBorders>
            <w:shd w:val="clear" w:color="auto" w:fill="auto"/>
            <w:noWrap/>
            <w:hideMark/>
          </w:tcPr>
          <w:p w14:paraId="398F3A06" w14:textId="77777777" w:rsidR="005A2B65" w:rsidRPr="00D24168" w:rsidRDefault="005A2B65" w:rsidP="00D24168">
            <w:pPr>
              <w:spacing w:line="360" w:lineRule="auto"/>
              <w:jc w:val="center"/>
              <w:rPr>
                <w:color w:val="000000"/>
              </w:rPr>
            </w:pPr>
            <w:r w:rsidRPr="00D24168">
              <w:rPr>
                <w:color w:val="000000"/>
              </w:rPr>
              <w:t>Number</w:t>
            </w:r>
          </w:p>
        </w:tc>
        <w:tc>
          <w:tcPr>
            <w:tcW w:w="562" w:type="pct"/>
            <w:tcBorders>
              <w:top w:val="single" w:sz="4" w:space="0" w:color="auto"/>
              <w:left w:val="single" w:sz="4" w:space="0" w:color="auto"/>
              <w:bottom w:val="single" w:sz="4" w:space="0" w:color="auto"/>
              <w:right w:val="nil"/>
            </w:tcBorders>
            <w:shd w:val="clear" w:color="auto" w:fill="auto"/>
            <w:noWrap/>
            <w:hideMark/>
          </w:tcPr>
          <w:p w14:paraId="2D013071" w14:textId="77777777" w:rsidR="005A2B65" w:rsidRPr="00D24168" w:rsidRDefault="005A2B65" w:rsidP="00D24168">
            <w:pPr>
              <w:spacing w:line="360" w:lineRule="auto"/>
              <w:jc w:val="center"/>
              <w:rPr>
                <w:color w:val="000000"/>
              </w:rPr>
            </w:pPr>
            <w:r w:rsidRPr="00D24168">
              <w:rPr>
                <w:color w:val="000000"/>
              </w:rPr>
              <w:t>ISO Code</w:t>
            </w:r>
          </w:p>
        </w:tc>
        <w:tc>
          <w:tcPr>
            <w:tcW w:w="857" w:type="pct"/>
            <w:tcBorders>
              <w:top w:val="single" w:sz="4" w:space="0" w:color="auto"/>
              <w:left w:val="nil"/>
              <w:bottom w:val="single" w:sz="4" w:space="0" w:color="auto"/>
              <w:right w:val="nil"/>
            </w:tcBorders>
            <w:shd w:val="clear" w:color="auto" w:fill="auto"/>
            <w:noWrap/>
            <w:hideMark/>
          </w:tcPr>
          <w:p w14:paraId="21AC2184" w14:textId="77777777" w:rsidR="005A2B65" w:rsidRPr="00D24168" w:rsidRDefault="005A2B65" w:rsidP="00D24168">
            <w:pPr>
              <w:spacing w:line="360" w:lineRule="auto"/>
              <w:jc w:val="center"/>
              <w:rPr>
                <w:color w:val="000000"/>
              </w:rPr>
            </w:pPr>
            <w:r w:rsidRPr="00D24168">
              <w:rPr>
                <w:color w:val="000000"/>
              </w:rPr>
              <w:t>Number</w:t>
            </w:r>
          </w:p>
        </w:tc>
      </w:tr>
      <w:tr w:rsidR="00994CA2" w:rsidRPr="00D24168" w14:paraId="457F8D71" w14:textId="77777777" w:rsidTr="00994CA2">
        <w:trPr>
          <w:tblHeader/>
        </w:trPr>
        <w:tc>
          <w:tcPr>
            <w:tcW w:w="591" w:type="pct"/>
            <w:tcBorders>
              <w:left w:val="nil"/>
              <w:bottom w:val="nil"/>
              <w:right w:val="nil"/>
            </w:tcBorders>
            <w:shd w:val="clear" w:color="auto" w:fill="auto"/>
            <w:noWrap/>
            <w:hideMark/>
          </w:tcPr>
          <w:p w14:paraId="060802F9" w14:textId="77777777" w:rsidR="005A2B65" w:rsidRPr="00D24168" w:rsidRDefault="005A2B65" w:rsidP="00D24168">
            <w:pPr>
              <w:spacing w:line="360" w:lineRule="auto"/>
              <w:jc w:val="center"/>
              <w:rPr>
                <w:color w:val="000000"/>
              </w:rPr>
            </w:pPr>
            <w:r w:rsidRPr="00D24168">
              <w:rPr>
                <w:color w:val="000000"/>
              </w:rPr>
              <w:t>1</w:t>
            </w:r>
          </w:p>
        </w:tc>
        <w:tc>
          <w:tcPr>
            <w:tcW w:w="600" w:type="pct"/>
            <w:tcBorders>
              <w:left w:val="nil"/>
              <w:bottom w:val="nil"/>
              <w:right w:val="nil"/>
            </w:tcBorders>
            <w:shd w:val="clear" w:color="auto" w:fill="auto"/>
            <w:noWrap/>
            <w:vAlign w:val="bottom"/>
            <w:hideMark/>
          </w:tcPr>
          <w:p w14:paraId="7C66B610" w14:textId="77777777" w:rsidR="005A2B65" w:rsidRPr="00D24168" w:rsidRDefault="005A2B65" w:rsidP="00D24168">
            <w:pPr>
              <w:spacing w:line="360" w:lineRule="auto"/>
              <w:jc w:val="center"/>
              <w:rPr>
                <w:color w:val="000000"/>
              </w:rPr>
            </w:pPr>
            <w:r w:rsidRPr="00D24168">
              <w:rPr>
                <w:color w:val="000000"/>
              </w:rPr>
              <w:t>ESP</w:t>
            </w:r>
          </w:p>
        </w:tc>
        <w:tc>
          <w:tcPr>
            <w:tcW w:w="732" w:type="pct"/>
            <w:tcBorders>
              <w:left w:val="nil"/>
              <w:bottom w:val="nil"/>
              <w:right w:val="single" w:sz="4" w:space="0" w:color="auto"/>
            </w:tcBorders>
            <w:shd w:val="clear" w:color="auto" w:fill="auto"/>
            <w:noWrap/>
            <w:vAlign w:val="bottom"/>
            <w:hideMark/>
          </w:tcPr>
          <w:p w14:paraId="0B637914" w14:textId="77777777" w:rsidR="005A2B65" w:rsidRPr="00D24168" w:rsidRDefault="005A2B65" w:rsidP="00D24168">
            <w:pPr>
              <w:tabs>
                <w:tab w:val="decimal" w:pos="824"/>
              </w:tabs>
              <w:spacing w:line="360" w:lineRule="auto"/>
              <w:rPr>
                <w:color w:val="000000"/>
              </w:rPr>
            </w:pPr>
            <w:r w:rsidRPr="00D24168">
              <w:rPr>
                <w:color w:val="000000"/>
              </w:rPr>
              <w:t>38</w:t>
            </w:r>
          </w:p>
        </w:tc>
        <w:tc>
          <w:tcPr>
            <w:tcW w:w="815" w:type="pct"/>
            <w:tcBorders>
              <w:left w:val="single" w:sz="4" w:space="0" w:color="auto"/>
              <w:bottom w:val="nil"/>
              <w:right w:val="nil"/>
            </w:tcBorders>
            <w:shd w:val="clear" w:color="auto" w:fill="auto"/>
            <w:noWrap/>
            <w:vAlign w:val="bottom"/>
            <w:hideMark/>
          </w:tcPr>
          <w:p w14:paraId="6E44A3D9" w14:textId="10BEAD77" w:rsidR="005A2B65" w:rsidRPr="00D24168" w:rsidRDefault="005A2B65" w:rsidP="00D24168">
            <w:pPr>
              <w:spacing w:line="360" w:lineRule="auto"/>
              <w:jc w:val="center"/>
              <w:rPr>
                <w:color w:val="000000"/>
              </w:rPr>
            </w:pPr>
            <w:r w:rsidRPr="00D24168">
              <w:rPr>
                <w:color w:val="000000"/>
              </w:rPr>
              <w:t>ESP</w:t>
            </w:r>
          </w:p>
        </w:tc>
        <w:tc>
          <w:tcPr>
            <w:tcW w:w="843" w:type="pct"/>
            <w:tcBorders>
              <w:left w:val="nil"/>
              <w:bottom w:val="nil"/>
              <w:right w:val="single" w:sz="4" w:space="0" w:color="auto"/>
            </w:tcBorders>
            <w:shd w:val="clear" w:color="auto" w:fill="auto"/>
            <w:noWrap/>
            <w:vAlign w:val="bottom"/>
            <w:hideMark/>
          </w:tcPr>
          <w:p w14:paraId="5A4E9BF7" w14:textId="7B17D759" w:rsidR="005A2B65" w:rsidRPr="00D24168" w:rsidRDefault="005A2B65" w:rsidP="00D24168">
            <w:pPr>
              <w:tabs>
                <w:tab w:val="decimal" w:pos="855"/>
              </w:tabs>
              <w:spacing w:line="360" w:lineRule="auto"/>
              <w:rPr>
                <w:color w:val="000000"/>
              </w:rPr>
            </w:pPr>
            <w:r w:rsidRPr="00D24168">
              <w:rPr>
                <w:color w:val="000000"/>
              </w:rPr>
              <w:t>27.20</w:t>
            </w:r>
          </w:p>
        </w:tc>
        <w:tc>
          <w:tcPr>
            <w:tcW w:w="562" w:type="pct"/>
            <w:tcBorders>
              <w:left w:val="single" w:sz="4" w:space="0" w:color="auto"/>
              <w:bottom w:val="nil"/>
              <w:right w:val="nil"/>
            </w:tcBorders>
            <w:shd w:val="clear" w:color="auto" w:fill="auto"/>
            <w:noWrap/>
            <w:vAlign w:val="bottom"/>
            <w:hideMark/>
          </w:tcPr>
          <w:p w14:paraId="7BE94408" w14:textId="0C3A8147" w:rsidR="005A2B65" w:rsidRPr="00D24168" w:rsidRDefault="005A2B65" w:rsidP="00D24168">
            <w:pPr>
              <w:spacing w:line="360" w:lineRule="auto"/>
              <w:jc w:val="center"/>
              <w:rPr>
                <w:color w:val="000000"/>
              </w:rPr>
            </w:pPr>
            <w:r w:rsidRPr="00D24168">
              <w:rPr>
                <w:color w:val="000000"/>
              </w:rPr>
              <w:t>ESP</w:t>
            </w:r>
          </w:p>
        </w:tc>
        <w:tc>
          <w:tcPr>
            <w:tcW w:w="857" w:type="pct"/>
            <w:tcBorders>
              <w:left w:val="nil"/>
              <w:bottom w:val="nil"/>
              <w:right w:val="nil"/>
            </w:tcBorders>
            <w:shd w:val="clear" w:color="auto" w:fill="auto"/>
            <w:noWrap/>
            <w:vAlign w:val="bottom"/>
            <w:hideMark/>
          </w:tcPr>
          <w:p w14:paraId="3EE3D56D" w14:textId="76D86802" w:rsidR="005A2B65" w:rsidRPr="00D24168" w:rsidRDefault="005A2B65" w:rsidP="00D24168">
            <w:pPr>
              <w:tabs>
                <w:tab w:val="decimal" w:pos="1076"/>
              </w:tabs>
              <w:spacing w:line="360" w:lineRule="auto"/>
              <w:rPr>
                <w:color w:val="000000"/>
              </w:rPr>
            </w:pPr>
            <w:r w:rsidRPr="00D24168">
              <w:rPr>
                <w:color w:val="000000"/>
              </w:rPr>
              <w:t>234.21</w:t>
            </w:r>
          </w:p>
        </w:tc>
      </w:tr>
      <w:tr w:rsidR="00994CA2" w:rsidRPr="00D24168" w14:paraId="33CB9F44" w14:textId="77777777" w:rsidTr="00994CA2">
        <w:trPr>
          <w:tblHeader/>
        </w:trPr>
        <w:tc>
          <w:tcPr>
            <w:tcW w:w="591" w:type="pct"/>
            <w:tcBorders>
              <w:top w:val="nil"/>
              <w:left w:val="nil"/>
              <w:bottom w:val="nil"/>
              <w:right w:val="nil"/>
            </w:tcBorders>
            <w:shd w:val="clear" w:color="auto" w:fill="auto"/>
            <w:noWrap/>
            <w:hideMark/>
          </w:tcPr>
          <w:p w14:paraId="4961EF88" w14:textId="77777777" w:rsidR="005A2B65" w:rsidRPr="00D24168" w:rsidRDefault="005A2B65" w:rsidP="00D24168">
            <w:pPr>
              <w:spacing w:line="360" w:lineRule="auto"/>
              <w:jc w:val="center"/>
              <w:rPr>
                <w:color w:val="000000"/>
              </w:rPr>
            </w:pPr>
            <w:r w:rsidRPr="00D24168">
              <w:rPr>
                <w:color w:val="000000"/>
              </w:rPr>
              <w:t>2</w:t>
            </w:r>
          </w:p>
        </w:tc>
        <w:tc>
          <w:tcPr>
            <w:tcW w:w="600" w:type="pct"/>
            <w:tcBorders>
              <w:top w:val="nil"/>
              <w:left w:val="nil"/>
              <w:bottom w:val="nil"/>
              <w:right w:val="nil"/>
            </w:tcBorders>
            <w:shd w:val="clear" w:color="auto" w:fill="auto"/>
            <w:noWrap/>
            <w:vAlign w:val="bottom"/>
            <w:hideMark/>
          </w:tcPr>
          <w:p w14:paraId="4D2F192F" w14:textId="77777777" w:rsidR="005A2B65" w:rsidRPr="00D24168" w:rsidRDefault="005A2B65" w:rsidP="00D24168">
            <w:pPr>
              <w:spacing w:line="360" w:lineRule="auto"/>
              <w:jc w:val="center"/>
              <w:rPr>
                <w:color w:val="000000"/>
              </w:rPr>
            </w:pPr>
            <w:r w:rsidRPr="00D24168">
              <w:rPr>
                <w:color w:val="000000"/>
              </w:rPr>
              <w:t>ITA</w:t>
            </w:r>
          </w:p>
        </w:tc>
        <w:tc>
          <w:tcPr>
            <w:tcW w:w="732" w:type="pct"/>
            <w:tcBorders>
              <w:top w:val="nil"/>
              <w:left w:val="nil"/>
              <w:bottom w:val="nil"/>
              <w:right w:val="single" w:sz="4" w:space="0" w:color="auto"/>
            </w:tcBorders>
            <w:shd w:val="clear" w:color="auto" w:fill="auto"/>
            <w:noWrap/>
            <w:vAlign w:val="bottom"/>
            <w:hideMark/>
          </w:tcPr>
          <w:p w14:paraId="22E605AE" w14:textId="77777777" w:rsidR="005A2B65" w:rsidRPr="00D24168" w:rsidRDefault="005A2B65" w:rsidP="00D24168">
            <w:pPr>
              <w:tabs>
                <w:tab w:val="decimal" w:pos="824"/>
              </w:tabs>
              <w:spacing w:line="360" w:lineRule="auto"/>
              <w:rPr>
                <w:color w:val="000000"/>
              </w:rPr>
            </w:pPr>
            <w:r w:rsidRPr="00D24168">
              <w:rPr>
                <w:color w:val="000000"/>
              </w:rPr>
              <w:t>24</w:t>
            </w:r>
          </w:p>
        </w:tc>
        <w:tc>
          <w:tcPr>
            <w:tcW w:w="815" w:type="pct"/>
            <w:tcBorders>
              <w:top w:val="nil"/>
              <w:left w:val="single" w:sz="4" w:space="0" w:color="auto"/>
              <w:bottom w:val="nil"/>
              <w:right w:val="nil"/>
            </w:tcBorders>
            <w:shd w:val="clear" w:color="auto" w:fill="auto"/>
            <w:noWrap/>
            <w:vAlign w:val="bottom"/>
            <w:hideMark/>
          </w:tcPr>
          <w:p w14:paraId="2EAC7870" w14:textId="0179CE18" w:rsidR="005A2B65" w:rsidRPr="00D24168" w:rsidRDefault="005A2B65" w:rsidP="00D24168">
            <w:pPr>
              <w:spacing w:line="360" w:lineRule="auto"/>
              <w:jc w:val="center"/>
              <w:rPr>
                <w:color w:val="000000"/>
              </w:rPr>
            </w:pPr>
            <w:r w:rsidRPr="00D24168">
              <w:rPr>
                <w:color w:val="000000"/>
              </w:rPr>
              <w:t>GBR</w:t>
            </w:r>
          </w:p>
        </w:tc>
        <w:tc>
          <w:tcPr>
            <w:tcW w:w="843" w:type="pct"/>
            <w:tcBorders>
              <w:top w:val="nil"/>
              <w:left w:val="nil"/>
              <w:bottom w:val="nil"/>
              <w:right w:val="single" w:sz="4" w:space="0" w:color="auto"/>
            </w:tcBorders>
            <w:shd w:val="clear" w:color="auto" w:fill="auto"/>
            <w:noWrap/>
            <w:vAlign w:val="bottom"/>
            <w:hideMark/>
          </w:tcPr>
          <w:p w14:paraId="29951D28" w14:textId="233D0720" w:rsidR="005A2B65" w:rsidRPr="00D24168" w:rsidRDefault="005A2B65" w:rsidP="00D24168">
            <w:pPr>
              <w:tabs>
                <w:tab w:val="decimal" w:pos="855"/>
              </w:tabs>
              <w:spacing w:line="360" w:lineRule="auto"/>
              <w:rPr>
                <w:color w:val="000000"/>
              </w:rPr>
            </w:pPr>
            <w:r w:rsidRPr="00D24168">
              <w:rPr>
                <w:color w:val="000000"/>
              </w:rPr>
              <w:t>16.85</w:t>
            </w:r>
          </w:p>
        </w:tc>
        <w:tc>
          <w:tcPr>
            <w:tcW w:w="562" w:type="pct"/>
            <w:tcBorders>
              <w:top w:val="nil"/>
              <w:left w:val="single" w:sz="4" w:space="0" w:color="auto"/>
              <w:bottom w:val="nil"/>
              <w:right w:val="nil"/>
            </w:tcBorders>
            <w:shd w:val="clear" w:color="auto" w:fill="auto"/>
            <w:noWrap/>
            <w:vAlign w:val="bottom"/>
            <w:hideMark/>
          </w:tcPr>
          <w:p w14:paraId="1A1C06BC" w14:textId="1202229D" w:rsidR="005A2B65" w:rsidRPr="00D24168" w:rsidRDefault="005A2B65" w:rsidP="00D24168">
            <w:pPr>
              <w:spacing w:line="360" w:lineRule="auto"/>
              <w:jc w:val="center"/>
              <w:rPr>
                <w:color w:val="000000"/>
              </w:rPr>
            </w:pPr>
            <w:r w:rsidRPr="00D24168">
              <w:rPr>
                <w:color w:val="000000"/>
              </w:rPr>
              <w:t>GBR</w:t>
            </w:r>
          </w:p>
        </w:tc>
        <w:tc>
          <w:tcPr>
            <w:tcW w:w="857" w:type="pct"/>
            <w:tcBorders>
              <w:top w:val="nil"/>
              <w:left w:val="nil"/>
              <w:bottom w:val="nil"/>
              <w:right w:val="nil"/>
            </w:tcBorders>
            <w:shd w:val="clear" w:color="auto" w:fill="auto"/>
            <w:noWrap/>
            <w:vAlign w:val="bottom"/>
            <w:hideMark/>
          </w:tcPr>
          <w:p w14:paraId="403B08C1" w14:textId="6B33A833" w:rsidR="005A2B65" w:rsidRPr="00D24168" w:rsidRDefault="005A2B65" w:rsidP="00D24168">
            <w:pPr>
              <w:tabs>
                <w:tab w:val="decimal" w:pos="1076"/>
              </w:tabs>
              <w:spacing w:line="360" w:lineRule="auto"/>
              <w:rPr>
                <w:color w:val="000000"/>
              </w:rPr>
            </w:pPr>
            <w:r w:rsidRPr="00D24168">
              <w:rPr>
                <w:color w:val="000000"/>
              </w:rPr>
              <w:t>209.68</w:t>
            </w:r>
          </w:p>
        </w:tc>
      </w:tr>
      <w:tr w:rsidR="00994CA2" w:rsidRPr="00D24168" w14:paraId="22DC1AB7" w14:textId="77777777" w:rsidTr="00994CA2">
        <w:trPr>
          <w:tblHeader/>
        </w:trPr>
        <w:tc>
          <w:tcPr>
            <w:tcW w:w="591" w:type="pct"/>
            <w:tcBorders>
              <w:top w:val="nil"/>
              <w:left w:val="nil"/>
              <w:bottom w:val="nil"/>
              <w:right w:val="nil"/>
            </w:tcBorders>
            <w:shd w:val="clear" w:color="auto" w:fill="auto"/>
            <w:noWrap/>
            <w:hideMark/>
          </w:tcPr>
          <w:p w14:paraId="25A9D4AA" w14:textId="77777777" w:rsidR="005A2B65" w:rsidRPr="00D24168" w:rsidRDefault="005A2B65" w:rsidP="00D24168">
            <w:pPr>
              <w:spacing w:line="360" w:lineRule="auto"/>
              <w:jc w:val="center"/>
              <w:rPr>
                <w:color w:val="000000"/>
              </w:rPr>
            </w:pPr>
            <w:r w:rsidRPr="00D24168">
              <w:rPr>
                <w:color w:val="000000"/>
              </w:rPr>
              <w:t>3</w:t>
            </w:r>
          </w:p>
        </w:tc>
        <w:tc>
          <w:tcPr>
            <w:tcW w:w="600" w:type="pct"/>
            <w:tcBorders>
              <w:top w:val="nil"/>
              <w:left w:val="nil"/>
              <w:bottom w:val="nil"/>
              <w:right w:val="nil"/>
            </w:tcBorders>
            <w:shd w:val="clear" w:color="auto" w:fill="auto"/>
            <w:noWrap/>
            <w:vAlign w:val="bottom"/>
            <w:hideMark/>
          </w:tcPr>
          <w:p w14:paraId="7F5032E1" w14:textId="77777777" w:rsidR="005A2B65" w:rsidRPr="00D24168" w:rsidRDefault="005A2B65" w:rsidP="00D24168">
            <w:pPr>
              <w:spacing w:line="360" w:lineRule="auto"/>
              <w:jc w:val="center"/>
              <w:rPr>
                <w:color w:val="000000"/>
              </w:rPr>
            </w:pPr>
            <w:r w:rsidRPr="00D24168">
              <w:rPr>
                <w:color w:val="000000"/>
              </w:rPr>
              <w:t>GBR</w:t>
            </w:r>
          </w:p>
        </w:tc>
        <w:tc>
          <w:tcPr>
            <w:tcW w:w="732" w:type="pct"/>
            <w:tcBorders>
              <w:top w:val="nil"/>
              <w:left w:val="nil"/>
              <w:bottom w:val="nil"/>
              <w:right w:val="single" w:sz="4" w:space="0" w:color="auto"/>
            </w:tcBorders>
            <w:shd w:val="clear" w:color="auto" w:fill="auto"/>
            <w:noWrap/>
            <w:vAlign w:val="bottom"/>
            <w:hideMark/>
          </w:tcPr>
          <w:p w14:paraId="42BCD9A0" w14:textId="77777777" w:rsidR="005A2B65" w:rsidRPr="00D24168" w:rsidRDefault="005A2B65" w:rsidP="00D24168">
            <w:pPr>
              <w:tabs>
                <w:tab w:val="decimal" w:pos="824"/>
              </w:tabs>
              <w:spacing w:line="360" w:lineRule="auto"/>
              <w:rPr>
                <w:color w:val="000000"/>
              </w:rPr>
            </w:pPr>
            <w:r w:rsidRPr="00D24168">
              <w:rPr>
                <w:color w:val="000000"/>
              </w:rPr>
              <w:t>20</w:t>
            </w:r>
          </w:p>
        </w:tc>
        <w:tc>
          <w:tcPr>
            <w:tcW w:w="815" w:type="pct"/>
            <w:tcBorders>
              <w:top w:val="nil"/>
              <w:left w:val="single" w:sz="4" w:space="0" w:color="auto"/>
              <w:bottom w:val="nil"/>
              <w:right w:val="nil"/>
            </w:tcBorders>
            <w:shd w:val="clear" w:color="auto" w:fill="auto"/>
            <w:noWrap/>
            <w:vAlign w:val="bottom"/>
            <w:hideMark/>
          </w:tcPr>
          <w:p w14:paraId="2637F63C" w14:textId="7B89570B" w:rsidR="005A2B65" w:rsidRPr="00D24168" w:rsidRDefault="005A2B65" w:rsidP="00D24168">
            <w:pPr>
              <w:spacing w:line="360" w:lineRule="auto"/>
              <w:jc w:val="center"/>
              <w:rPr>
                <w:color w:val="000000"/>
              </w:rPr>
            </w:pPr>
            <w:r w:rsidRPr="00D24168">
              <w:rPr>
                <w:color w:val="000000"/>
              </w:rPr>
              <w:t>DEU</w:t>
            </w:r>
          </w:p>
        </w:tc>
        <w:tc>
          <w:tcPr>
            <w:tcW w:w="843" w:type="pct"/>
            <w:tcBorders>
              <w:top w:val="nil"/>
              <w:left w:val="nil"/>
              <w:bottom w:val="nil"/>
              <w:right w:val="single" w:sz="4" w:space="0" w:color="auto"/>
            </w:tcBorders>
            <w:shd w:val="clear" w:color="auto" w:fill="auto"/>
            <w:noWrap/>
            <w:vAlign w:val="bottom"/>
            <w:hideMark/>
          </w:tcPr>
          <w:p w14:paraId="4BEE26CD" w14:textId="6AAD812B" w:rsidR="005A2B65" w:rsidRPr="00D24168" w:rsidRDefault="005A2B65" w:rsidP="00D24168">
            <w:pPr>
              <w:tabs>
                <w:tab w:val="decimal" w:pos="855"/>
              </w:tabs>
              <w:spacing w:line="360" w:lineRule="auto"/>
              <w:rPr>
                <w:color w:val="000000"/>
              </w:rPr>
            </w:pPr>
            <w:r w:rsidRPr="00D24168">
              <w:rPr>
                <w:color w:val="000000"/>
              </w:rPr>
              <w:t>15.03</w:t>
            </w:r>
          </w:p>
        </w:tc>
        <w:tc>
          <w:tcPr>
            <w:tcW w:w="562" w:type="pct"/>
            <w:tcBorders>
              <w:top w:val="nil"/>
              <w:left w:val="single" w:sz="4" w:space="0" w:color="auto"/>
              <w:bottom w:val="nil"/>
              <w:right w:val="nil"/>
            </w:tcBorders>
            <w:shd w:val="clear" w:color="auto" w:fill="auto"/>
            <w:noWrap/>
            <w:vAlign w:val="bottom"/>
            <w:hideMark/>
          </w:tcPr>
          <w:p w14:paraId="3A9D1A81" w14:textId="28F34F8B" w:rsidR="005A2B65" w:rsidRPr="00D24168" w:rsidRDefault="005A2B65" w:rsidP="00D24168">
            <w:pPr>
              <w:spacing w:line="360" w:lineRule="auto"/>
              <w:jc w:val="center"/>
              <w:rPr>
                <w:color w:val="000000"/>
              </w:rPr>
            </w:pPr>
            <w:r w:rsidRPr="00D24168">
              <w:rPr>
                <w:color w:val="000000"/>
              </w:rPr>
              <w:t>ITA</w:t>
            </w:r>
          </w:p>
        </w:tc>
        <w:tc>
          <w:tcPr>
            <w:tcW w:w="857" w:type="pct"/>
            <w:tcBorders>
              <w:top w:val="nil"/>
              <w:left w:val="nil"/>
              <w:bottom w:val="nil"/>
              <w:right w:val="nil"/>
            </w:tcBorders>
            <w:shd w:val="clear" w:color="auto" w:fill="auto"/>
            <w:noWrap/>
            <w:vAlign w:val="bottom"/>
            <w:hideMark/>
          </w:tcPr>
          <w:p w14:paraId="380E97A3" w14:textId="2DFC23A2" w:rsidR="005A2B65" w:rsidRPr="00D24168" w:rsidRDefault="005A2B65" w:rsidP="00D24168">
            <w:pPr>
              <w:tabs>
                <w:tab w:val="decimal" w:pos="1076"/>
              </w:tabs>
              <w:spacing w:line="360" w:lineRule="auto"/>
              <w:rPr>
                <w:color w:val="000000"/>
              </w:rPr>
            </w:pPr>
            <w:r w:rsidRPr="00D24168">
              <w:rPr>
                <w:color w:val="000000"/>
              </w:rPr>
              <w:t>184.01</w:t>
            </w:r>
          </w:p>
        </w:tc>
      </w:tr>
      <w:tr w:rsidR="00994CA2" w:rsidRPr="00D24168" w14:paraId="31C4ACB7" w14:textId="77777777" w:rsidTr="00994CA2">
        <w:trPr>
          <w:tblHeader/>
        </w:trPr>
        <w:tc>
          <w:tcPr>
            <w:tcW w:w="591" w:type="pct"/>
            <w:tcBorders>
              <w:top w:val="nil"/>
              <w:left w:val="nil"/>
              <w:bottom w:val="nil"/>
              <w:right w:val="nil"/>
            </w:tcBorders>
            <w:shd w:val="clear" w:color="auto" w:fill="auto"/>
            <w:noWrap/>
            <w:hideMark/>
          </w:tcPr>
          <w:p w14:paraId="70F9916E" w14:textId="77777777" w:rsidR="005A2B65" w:rsidRPr="00D24168" w:rsidRDefault="005A2B65" w:rsidP="00D24168">
            <w:pPr>
              <w:spacing w:line="360" w:lineRule="auto"/>
              <w:jc w:val="center"/>
              <w:rPr>
                <w:color w:val="000000"/>
              </w:rPr>
            </w:pPr>
            <w:r w:rsidRPr="00D24168">
              <w:rPr>
                <w:color w:val="000000"/>
              </w:rPr>
              <w:t>4</w:t>
            </w:r>
          </w:p>
        </w:tc>
        <w:tc>
          <w:tcPr>
            <w:tcW w:w="600" w:type="pct"/>
            <w:tcBorders>
              <w:top w:val="nil"/>
              <w:left w:val="nil"/>
              <w:bottom w:val="nil"/>
              <w:right w:val="nil"/>
            </w:tcBorders>
            <w:shd w:val="clear" w:color="auto" w:fill="auto"/>
            <w:noWrap/>
            <w:vAlign w:val="bottom"/>
            <w:hideMark/>
          </w:tcPr>
          <w:p w14:paraId="314D1695" w14:textId="77777777" w:rsidR="005A2B65" w:rsidRPr="00D24168" w:rsidRDefault="005A2B65" w:rsidP="00D24168">
            <w:pPr>
              <w:spacing w:line="360" w:lineRule="auto"/>
              <w:jc w:val="center"/>
              <w:rPr>
                <w:color w:val="000000"/>
              </w:rPr>
            </w:pPr>
            <w:r w:rsidRPr="00D24168">
              <w:rPr>
                <w:color w:val="000000"/>
              </w:rPr>
              <w:t>DEU</w:t>
            </w:r>
          </w:p>
        </w:tc>
        <w:tc>
          <w:tcPr>
            <w:tcW w:w="732" w:type="pct"/>
            <w:tcBorders>
              <w:top w:val="nil"/>
              <w:left w:val="nil"/>
              <w:bottom w:val="nil"/>
              <w:right w:val="single" w:sz="4" w:space="0" w:color="auto"/>
            </w:tcBorders>
            <w:shd w:val="clear" w:color="auto" w:fill="auto"/>
            <w:noWrap/>
            <w:vAlign w:val="bottom"/>
            <w:hideMark/>
          </w:tcPr>
          <w:p w14:paraId="75682213" w14:textId="77777777" w:rsidR="005A2B65" w:rsidRPr="00D24168" w:rsidRDefault="005A2B65" w:rsidP="00D24168">
            <w:pPr>
              <w:tabs>
                <w:tab w:val="decimal" w:pos="824"/>
              </w:tabs>
              <w:spacing w:line="360" w:lineRule="auto"/>
              <w:rPr>
                <w:color w:val="000000"/>
              </w:rPr>
            </w:pPr>
            <w:r w:rsidRPr="00D24168">
              <w:rPr>
                <w:color w:val="000000"/>
              </w:rPr>
              <w:t>18</w:t>
            </w:r>
          </w:p>
        </w:tc>
        <w:tc>
          <w:tcPr>
            <w:tcW w:w="815" w:type="pct"/>
            <w:tcBorders>
              <w:top w:val="nil"/>
              <w:left w:val="single" w:sz="4" w:space="0" w:color="auto"/>
              <w:bottom w:val="nil"/>
              <w:right w:val="nil"/>
            </w:tcBorders>
            <w:shd w:val="clear" w:color="auto" w:fill="auto"/>
            <w:noWrap/>
            <w:vAlign w:val="bottom"/>
            <w:hideMark/>
          </w:tcPr>
          <w:p w14:paraId="36CE912D" w14:textId="687A9FDF" w:rsidR="005A2B65" w:rsidRPr="00D24168" w:rsidRDefault="005A2B65" w:rsidP="00D24168">
            <w:pPr>
              <w:spacing w:line="360" w:lineRule="auto"/>
              <w:jc w:val="center"/>
              <w:rPr>
                <w:color w:val="000000"/>
              </w:rPr>
            </w:pPr>
            <w:r w:rsidRPr="00D24168">
              <w:rPr>
                <w:color w:val="000000"/>
              </w:rPr>
              <w:t>IRL</w:t>
            </w:r>
          </w:p>
        </w:tc>
        <w:tc>
          <w:tcPr>
            <w:tcW w:w="843" w:type="pct"/>
            <w:tcBorders>
              <w:top w:val="nil"/>
              <w:left w:val="nil"/>
              <w:bottom w:val="nil"/>
              <w:right w:val="single" w:sz="4" w:space="0" w:color="auto"/>
            </w:tcBorders>
            <w:shd w:val="clear" w:color="auto" w:fill="auto"/>
            <w:noWrap/>
            <w:vAlign w:val="bottom"/>
            <w:hideMark/>
          </w:tcPr>
          <w:p w14:paraId="2DA43C6C" w14:textId="0E4A337E" w:rsidR="005A2B65" w:rsidRPr="00D24168" w:rsidRDefault="005A2B65" w:rsidP="00D24168">
            <w:pPr>
              <w:tabs>
                <w:tab w:val="decimal" w:pos="855"/>
              </w:tabs>
              <w:spacing w:line="360" w:lineRule="auto"/>
              <w:rPr>
                <w:color w:val="000000"/>
              </w:rPr>
            </w:pPr>
            <w:r w:rsidRPr="00D24168">
              <w:rPr>
                <w:color w:val="000000"/>
              </w:rPr>
              <w:t>14.95</w:t>
            </w:r>
          </w:p>
        </w:tc>
        <w:tc>
          <w:tcPr>
            <w:tcW w:w="562" w:type="pct"/>
            <w:tcBorders>
              <w:top w:val="nil"/>
              <w:left w:val="single" w:sz="4" w:space="0" w:color="auto"/>
              <w:bottom w:val="nil"/>
              <w:right w:val="nil"/>
            </w:tcBorders>
            <w:shd w:val="clear" w:color="auto" w:fill="auto"/>
            <w:noWrap/>
            <w:vAlign w:val="bottom"/>
            <w:hideMark/>
          </w:tcPr>
          <w:p w14:paraId="1B84EA5B" w14:textId="56806680" w:rsidR="005A2B65" w:rsidRPr="00D24168" w:rsidRDefault="005A2B65" w:rsidP="00D24168">
            <w:pPr>
              <w:spacing w:line="360" w:lineRule="auto"/>
              <w:jc w:val="center"/>
              <w:rPr>
                <w:color w:val="000000"/>
              </w:rPr>
            </w:pPr>
            <w:r w:rsidRPr="00D24168">
              <w:rPr>
                <w:color w:val="000000"/>
              </w:rPr>
              <w:t>DEU</w:t>
            </w:r>
          </w:p>
        </w:tc>
        <w:tc>
          <w:tcPr>
            <w:tcW w:w="857" w:type="pct"/>
            <w:tcBorders>
              <w:top w:val="nil"/>
              <w:left w:val="nil"/>
              <w:bottom w:val="nil"/>
              <w:right w:val="nil"/>
            </w:tcBorders>
            <w:shd w:val="clear" w:color="auto" w:fill="auto"/>
            <w:noWrap/>
            <w:vAlign w:val="bottom"/>
            <w:hideMark/>
          </w:tcPr>
          <w:p w14:paraId="551F6DD0" w14:textId="083E6B71" w:rsidR="005A2B65" w:rsidRPr="00D24168" w:rsidRDefault="005A2B65" w:rsidP="00D24168">
            <w:pPr>
              <w:tabs>
                <w:tab w:val="decimal" w:pos="1076"/>
              </w:tabs>
              <w:spacing w:line="360" w:lineRule="auto"/>
              <w:rPr>
                <w:color w:val="000000"/>
              </w:rPr>
            </w:pPr>
            <w:r w:rsidRPr="00D24168">
              <w:rPr>
                <w:color w:val="000000"/>
              </w:rPr>
              <w:t>163.00</w:t>
            </w:r>
          </w:p>
        </w:tc>
      </w:tr>
      <w:tr w:rsidR="00994CA2" w:rsidRPr="00D24168" w14:paraId="5CBC47A0" w14:textId="77777777" w:rsidTr="00994CA2">
        <w:trPr>
          <w:tblHeader/>
        </w:trPr>
        <w:tc>
          <w:tcPr>
            <w:tcW w:w="591" w:type="pct"/>
            <w:tcBorders>
              <w:top w:val="nil"/>
              <w:left w:val="nil"/>
              <w:bottom w:val="nil"/>
              <w:right w:val="nil"/>
            </w:tcBorders>
            <w:shd w:val="clear" w:color="auto" w:fill="auto"/>
            <w:noWrap/>
            <w:hideMark/>
          </w:tcPr>
          <w:p w14:paraId="6122AE63" w14:textId="77777777" w:rsidR="005A2B65" w:rsidRPr="00D24168" w:rsidRDefault="005A2B65" w:rsidP="00D24168">
            <w:pPr>
              <w:spacing w:line="360" w:lineRule="auto"/>
              <w:jc w:val="center"/>
              <w:rPr>
                <w:color w:val="000000"/>
              </w:rPr>
            </w:pPr>
            <w:r w:rsidRPr="00D24168">
              <w:rPr>
                <w:color w:val="000000"/>
              </w:rPr>
              <w:t>5</w:t>
            </w:r>
          </w:p>
        </w:tc>
        <w:tc>
          <w:tcPr>
            <w:tcW w:w="600" w:type="pct"/>
            <w:tcBorders>
              <w:top w:val="nil"/>
              <w:left w:val="nil"/>
              <w:bottom w:val="nil"/>
              <w:right w:val="nil"/>
            </w:tcBorders>
            <w:shd w:val="clear" w:color="auto" w:fill="auto"/>
            <w:noWrap/>
            <w:vAlign w:val="bottom"/>
            <w:hideMark/>
          </w:tcPr>
          <w:p w14:paraId="0A88F7DD" w14:textId="77777777" w:rsidR="005A2B65" w:rsidRPr="00D24168" w:rsidRDefault="005A2B65" w:rsidP="00D24168">
            <w:pPr>
              <w:spacing w:line="360" w:lineRule="auto"/>
              <w:jc w:val="center"/>
              <w:rPr>
                <w:color w:val="000000"/>
              </w:rPr>
            </w:pPr>
            <w:r w:rsidRPr="00D24168">
              <w:rPr>
                <w:color w:val="000000"/>
              </w:rPr>
              <w:t>IRL</w:t>
            </w:r>
          </w:p>
        </w:tc>
        <w:tc>
          <w:tcPr>
            <w:tcW w:w="732" w:type="pct"/>
            <w:tcBorders>
              <w:top w:val="nil"/>
              <w:left w:val="nil"/>
              <w:bottom w:val="nil"/>
              <w:right w:val="single" w:sz="4" w:space="0" w:color="auto"/>
            </w:tcBorders>
            <w:shd w:val="clear" w:color="auto" w:fill="auto"/>
            <w:noWrap/>
            <w:vAlign w:val="bottom"/>
            <w:hideMark/>
          </w:tcPr>
          <w:p w14:paraId="4399A257" w14:textId="77777777" w:rsidR="005A2B65" w:rsidRPr="00D24168" w:rsidRDefault="005A2B65" w:rsidP="00D24168">
            <w:pPr>
              <w:tabs>
                <w:tab w:val="decimal" w:pos="824"/>
              </w:tabs>
              <w:spacing w:line="360" w:lineRule="auto"/>
              <w:rPr>
                <w:color w:val="000000"/>
              </w:rPr>
            </w:pPr>
            <w:r w:rsidRPr="00D24168">
              <w:rPr>
                <w:color w:val="000000"/>
              </w:rPr>
              <w:t>18</w:t>
            </w:r>
          </w:p>
        </w:tc>
        <w:tc>
          <w:tcPr>
            <w:tcW w:w="815" w:type="pct"/>
            <w:tcBorders>
              <w:top w:val="nil"/>
              <w:left w:val="single" w:sz="4" w:space="0" w:color="auto"/>
              <w:bottom w:val="nil"/>
              <w:right w:val="nil"/>
            </w:tcBorders>
            <w:shd w:val="clear" w:color="auto" w:fill="auto"/>
            <w:noWrap/>
            <w:vAlign w:val="bottom"/>
            <w:hideMark/>
          </w:tcPr>
          <w:p w14:paraId="2A04297E" w14:textId="355C94FB" w:rsidR="005A2B65" w:rsidRPr="00D24168" w:rsidRDefault="005A2B65" w:rsidP="00D24168">
            <w:pPr>
              <w:spacing w:line="360" w:lineRule="auto"/>
              <w:jc w:val="center"/>
              <w:rPr>
                <w:color w:val="000000"/>
              </w:rPr>
            </w:pPr>
            <w:r w:rsidRPr="00D24168">
              <w:rPr>
                <w:color w:val="000000"/>
              </w:rPr>
              <w:t>ITA</w:t>
            </w:r>
          </w:p>
        </w:tc>
        <w:tc>
          <w:tcPr>
            <w:tcW w:w="843" w:type="pct"/>
            <w:tcBorders>
              <w:top w:val="nil"/>
              <w:left w:val="nil"/>
              <w:bottom w:val="nil"/>
              <w:right w:val="single" w:sz="4" w:space="0" w:color="auto"/>
            </w:tcBorders>
            <w:shd w:val="clear" w:color="auto" w:fill="auto"/>
            <w:noWrap/>
            <w:vAlign w:val="bottom"/>
            <w:hideMark/>
          </w:tcPr>
          <w:p w14:paraId="7CB88DE1" w14:textId="21DF2AF0" w:rsidR="005A2B65" w:rsidRPr="00D24168" w:rsidRDefault="005A2B65" w:rsidP="00D24168">
            <w:pPr>
              <w:tabs>
                <w:tab w:val="decimal" w:pos="855"/>
              </w:tabs>
              <w:spacing w:line="360" w:lineRule="auto"/>
              <w:rPr>
                <w:color w:val="000000"/>
              </w:rPr>
            </w:pPr>
            <w:r w:rsidRPr="00D24168">
              <w:rPr>
                <w:color w:val="000000"/>
              </w:rPr>
              <w:t>14.57</w:t>
            </w:r>
          </w:p>
        </w:tc>
        <w:tc>
          <w:tcPr>
            <w:tcW w:w="562" w:type="pct"/>
            <w:tcBorders>
              <w:top w:val="nil"/>
              <w:left w:val="single" w:sz="4" w:space="0" w:color="auto"/>
              <w:bottom w:val="nil"/>
              <w:right w:val="nil"/>
            </w:tcBorders>
            <w:shd w:val="clear" w:color="auto" w:fill="auto"/>
            <w:noWrap/>
            <w:vAlign w:val="bottom"/>
            <w:hideMark/>
          </w:tcPr>
          <w:p w14:paraId="46BE287A" w14:textId="40C928FF" w:rsidR="005A2B65" w:rsidRPr="00D24168" w:rsidRDefault="005A2B65" w:rsidP="00D24168">
            <w:pPr>
              <w:spacing w:line="360" w:lineRule="auto"/>
              <w:jc w:val="center"/>
              <w:rPr>
                <w:color w:val="000000"/>
              </w:rPr>
            </w:pPr>
            <w:r w:rsidRPr="00D24168">
              <w:rPr>
                <w:color w:val="000000"/>
              </w:rPr>
              <w:t>DNK</w:t>
            </w:r>
          </w:p>
        </w:tc>
        <w:tc>
          <w:tcPr>
            <w:tcW w:w="857" w:type="pct"/>
            <w:tcBorders>
              <w:top w:val="nil"/>
              <w:left w:val="nil"/>
              <w:bottom w:val="nil"/>
              <w:right w:val="nil"/>
            </w:tcBorders>
            <w:shd w:val="clear" w:color="auto" w:fill="auto"/>
            <w:noWrap/>
            <w:vAlign w:val="bottom"/>
            <w:hideMark/>
          </w:tcPr>
          <w:p w14:paraId="0823B3FB" w14:textId="486D7E89" w:rsidR="005A2B65" w:rsidRPr="00D24168" w:rsidRDefault="005A2B65" w:rsidP="00D24168">
            <w:pPr>
              <w:tabs>
                <w:tab w:val="decimal" w:pos="1076"/>
              </w:tabs>
              <w:spacing w:line="360" w:lineRule="auto"/>
              <w:rPr>
                <w:color w:val="000000"/>
              </w:rPr>
            </w:pPr>
            <w:r w:rsidRPr="00D24168">
              <w:rPr>
                <w:color w:val="000000"/>
              </w:rPr>
              <w:t>139.93</w:t>
            </w:r>
          </w:p>
        </w:tc>
      </w:tr>
      <w:tr w:rsidR="00994CA2" w:rsidRPr="00D24168" w14:paraId="62BE30FD" w14:textId="77777777" w:rsidTr="00994CA2">
        <w:trPr>
          <w:tblHeader/>
        </w:trPr>
        <w:tc>
          <w:tcPr>
            <w:tcW w:w="591" w:type="pct"/>
            <w:tcBorders>
              <w:top w:val="nil"/>
              <w:left w:val="nil"/>
              <w:bottom w:val="nil"/>
              <w:right w:val="nil"/>
            </w:tcBorders>
            <w:shd w:val="clear" w:color="auto" w:fill="auto"/>
            <w:noWrap/>
          </w:tcPr>
          <w:p w14:paraId="3E149BBE" w14:textId="77777777" w:rsidR="005A2B65" w:rsidRPr="00D24168" w:rsidRDefault="005A2B65" w:rsidP="00D24168">
            <w:pPr>
              <w:spacing w:line="360" w:lineRule="auto"/>
              <w:jc w:val="center"/>
              <w:rPr>
                <w:color w:val="000000"/>
              </w:rPr>
            </w:pPr>
          </w:p>
        </w:tc>
        <w:tc>
          <w:tcPr>
            <w:tcW w:w="600" w:type="pct"/>
            <w:tcBorders>
              <w:top w:val="nil"/>
              <w:left w:val="nil"/>
              <w:bottom w:val="nil"/>
              <w:right w:val="nil"/>
            </w:tcBorders>
            <w:shd w:val="clear" w:color="auto" w:fill="auto"/>
            <w:noWrap/>
            <w:vAlign w:val="bottom"/>
          </w:tcPr>
          <w:p w14:paraId="37A7A0F7" w14:textId="77777777" w:rsidR="005A2B65" w:rsidRPr="00D24168" w:rsidRDefault="005A2B65" w:rsidP="00D24168">
            <w:pPr>
              <w:spacing w:line="360" w:lineRule="auto"/>
              <w:jc w:val="center"/>
              <w:rPr>
                <w:color w:val="000000"/>
              </w:rPr>
            </w:pPr>
          </w:p>
        </w:tc>
        <w:tc>
          <w:tcPr>
            <w:tcW w:w="732" w:type="pct"/>
            <w:tcBorders>
              <w:top w:val="nil"/>
              <w:left w:val="nil"/>
              <w:bottom w:val="nil"/>
              <w:right w:val="single" w:sz="4" w:space="0" w:color="auto"/>
            </w:tcBorders>
            <w:shd w:val="clear" w:color="auto" w:fill="auto"/>
            <w:noWrap/>
            <w:vAlign w:val="bottom"/>
          </w:tcPr>
          <w:p w14:paraId="34D6EE83" w14:textId="77777777" w:rsidR="005A2B65" w:rsidRPr="00D24168" w:rsidRDefault="005A2B65" w:rsidP="00D24168">
            <w:pPr>
              <w:tabs>
                <w:tab w:val="decimal" w:pos="824"/>
              </w:tabs>
              <w:spacing w:line="360" w:lineRule="auto"/>
              <w:rPr>
                <w:color w:val="000000"/>
              </w:rPr>
            </w:pPr>
          </w:p>
        </w:tc>
        <w:tc>
          <w:tcPr>
            <w:tcW w:w="815" w:type="pct"/>
            <w:tcBorders>
              <w:top w:val="nil"/>
              <w:left w:val="single" w:sz="4" w:space="0" w:color="auto"/>
              <w:bottom w:val="nil"/>
              <w:right w:val="nil"/>
            </w:tcBorders>
            <w:shd w:val="clear" w:color="auto" w:fill="auto"/>
            <w:noWrap/>
            <w:vAlign w:val="bottom"/>
          </w:tcPr>
          <w:p w14:paraId="007B4A7D" w14:textId="77777777" w:rsidR="005A2B65" w:rsidRPr="00D24168" w:rsidRDefault="005A2B65" w:rsidP="00D24168">
            <w:pPr>
              <w:spacing w:line="360" w:lineRule="auto"/>
              <w:jc w:val="center"/>
              <w:rPr>
                <w:color w:val="000000"/>
              </w:rPr>
            </w:pPr>
          </w:p>
        </w:tc>
        <w:tc>
          <w:tcPr>
            <w:tcW w:w="843" w:type="pct"/>
            <w:tcBorders>
              <w:top w:val="nil"/>
              <w:left w:val="nil"/>
              <w:bottom w:val="nil"/>
              <w:right w:val="single" w:sz="4" w:space="0" w:color="auto"/>
            </w:tcBorders>
            <w:shd w:val="clear" w:color="auto" w:fill="auto"/>
            <w:noWrap/>
            <w:vAlign w:val="bottom"/>
          </w:tcPr>
          <w:p w14:paraId="14E546B3" w14:textId="77777777" w:rsidR="005A2B65" w:rsidRPr="00D24168" w:rsidRDefault="005A2B65" w:rsidP="00D24168">
            <w:pPr>
              <w:tabs>
                <w:tab w:val="decimal" w:pos="855"/>
              </w:tabs>
              <w:spacing w:line="360" w:lineRule="auto"/>
              <w:rPr>
                <w:color w:val="000000"/>
              </w:rPr>
            </w:pPr>
          </w:p>
        </w:tc>
        <w:tc>
          <w:tcPr>
            <w:tcW w:w="562" w:type="pct"/>
            <w:tcBorders>
              <w:top w:val="nil"/>
              <w:left w:val="single" w:sz="4" w:space="0" w:color="auto"/>
              <w:bottom w:val="nil"/>
              <w:right w:val="nil"/>
            </w:tcBorders>
            <w:shd w:val="clear" w:color="auto" w:fill="auto"/>
            <w:noWrap/>
            <w:vAlign w:val="bottom"/>
          </w:tcPr>
          <w:p w14:paraId="3D8D707A" w14:textId="77777777" w:rsidR="005A2B65" w:rsidRPr="00D24168" w:rsidRDefault="005A2B65" w:rsidP="00D24168">
            <w:pPr>
              <w:spacing w:line="360" w:lineRule="auto"/>
              <w:jc w:val="center"/>
              <w:rPr>
                <w:color w:val="000000"/>
              </w:rPr>
            </w:pPr>
          </w:p>
        </w:tc>
        <w:tc>
          <w:tcPr>
            <w:tcW w:w="857" w:type="pct"/>
            <w:tcBorders>
              <w:top w:val="nil"/>
              <w:left w:val="nil"/>
              <w:bottom w:val="nil"/>
              <w:right w:val="nil"/>
            </w:tcBorders>
            <w:shd w:val="clear" w:color="auto" w:fill="auto"/>
            <w:noWrap/>
            <w:vAlign w:val="bottom"/>
          </w:tcPr>
          <w:p w14:paraId="7620C8A4" w14:textId="77777777" w:rsidR="005A2B65" w:rsidRPr="00D24168" w:rsidRDefault="005A2B65" w:rsidP="00D24168">
            <w:pPr>
              <w:tabs>
                <w:tab w:val="decimal" w:pos="1076"/>
              </w:tabs>
              <w:spacing w:line="360" w:lineRule="auto"/>
              <w:rPr>
                <w:color w:val="000000"/>
              </w:rPr>
            </w:pPr>
          </w:p>
        </w:tc>
      </w:tr>
      <w:tr w:rsidR="00994CA2" w:rsidRPr="00D24168" w14:paraId="7D226375" w14:textId="77777777" w:rsidTr="00994CA2">
        <w:trPr>
          <w:tblHeader/>
        </w:trPr>
        <w:tc>
          <w:tcPr>
            <w:tcW w:w="591" w:type="pct"/>
            <w:tcBorders>
              <w:top w:val="nil"/>
              <w:left w:val="nil"/>
              <w:bottom w:val="nil"/>
              <w:right w:val="nil"/>
            </w:tcBorders>
            <w:shd w:val="clear" w:color="auto" w:fill="auto"/>
            <w:noWrap/>
            <w:hideMark/>
          </w:tcPr>
          <w:p w14:paraId="356A4C07" w14:textId="77777777" w:rsidR="005A2B65" w:rsidRPr="00D24168" w:rsidRDefault="005A2B65" w:rsidP="00D24168">
            <w:pPr>
              <w:spacing w:line="360" w:lineRule="auto"/>
              <w:jc w:val="center"/>
              <w:rPr>
                <w:color w:val="000000"/>
              </w:rPr>
            </w:pPr>
            <w:r w:rsidRPr="00D24168">
              <w:rPr>
                <w:color w:val="000000"/>
              </w:rPr>
              <w:t>24</w:t>
            </w:r>
          </w:p>
        </w:tc>
        <w:tc>
          <w:tcPr>
            <w:tcW w:w="600" w:type="pct"/>
            <w:tcBorders>
              <w:top w:val="nil"/>
              <w:left w:val="nil"/>
              <w:bottom w:val="nil"/>
              <w:right w:val="nil"/>
            </w:tcBorders>
            <w:shd w:val="clear" w:color="auto" w:fill="auto"/>
            <w:noWrap/>
            <w:vAlign w:val="bottom"/>
            <w:hideMark/>
          </w:tcPr>
          <w:p w14:paraId="49F37485" w14:textId="77777777" w:rsidR="005A2B65" w:rsidRPr="00D24168" w:rsidRDefault="005A2B65" w:rsidP="00D24168">
            <w:pPr>
              <w:spacing w:line="360" w:lineRule="auto"/>
              <w:jc w:val="center"/>
              <w:rPr>
                <w:color w:val="000000"/>
              </w:rPr>
            </w:pPr>
            <w:r w:rsidRPr="00D24168">
              <w:rPr>
                <w:color w:val="000000"/>
              </w:rPr>
              <w:t>SVN</w:t>
            </w:r>
          </w:p>
        </w:tc>
        <w:tc>
          <w:tcPr>
            <w:tcW w:w="732" w:type="pct"/>
            <w:tcBorders>
              <w:top w:val="nil"/>
              <w:left w:val="nil"/>
              <w:bottom w:val="nil"/>
              <w:right w:val="single" w:sz="4" w:space="0" w:color="auto"/>
            </w:tcBorders>
            <w:shd w:val="clear" w:color="auto" w:fill="auto"/>
            <w:noWrap/>
            <w:vAlign w:val="bottom"/>
            <w:hideMark/>
          </w:tcPr>
          <w:p w14:paraId="1BC9F334" w14:textId="77777777" w:rsidR="005A2B65" w:rsidRPr="00D24168" w:rsidRDefault="005A2B65" w:rsidP="00D24168">
            <w:pPr>
              <w:tabs>
                <w:tab w:val="decimal" w:pos="824"/>
              </w:tabs>
              <w:spacing w:line="360" w:lineRule="auto"/>
              <w:rPr>
                <w:color w:val="000000"/>
              </w:rPr>
            </w:pPr>
            <w:r w:rsidRPr="00D24168">
              <w:rPr>
                <w:color w:val="000000"/>
              </w:rPr>
              <w:t>7</w:t>
            </w:r>
          </w:p>
        </w:tc>
        <w:tc>
          <w:tcPr>
            <w:tcW w:w="815" w:type="pct"/>
            <w:tcBorders>
              <w:top w:val="nil"/>
              <w:left w:val="single" w:sz="4" w:space="0" w:color="auto"/>
              <w:bottom w:val="nil"/>
              <w:right w:val="nil"/>
            </w:tcBorders>
            <w:shd w:val="clear" w:color="auto" w:fill="auto"/>
            <w:noWrap/>
            <w:vAlign w:val="bottom"/>
            <w:hideMark/>
          </w:tcPr>
          <w:p w14:paraId="326B6201" w14:textId="50374B8A" w:rsidR="005A2B65" w:rsidRPr="00D24168" w:rsidRDefault="005A2B65" w:rsidP="00D24168">
            <w:pPr>
              <w:spacing w:line="360" w:lineRule="auto"/>
              <w:jc w:val="center"/>
              <w:rPr>
                <w:color w:val="000000"/>
              </w:rPr>
            </w:pPr>
            <w:r w:rsidRPr="00D24168">
              <w:rPr>
                <w:color w:val="000000"/>
              </w:rPr>
              <w:t>SVN</w:t>
            </w:r>
          </w:p>
        </w:tc>
        <w:tc>
          <w:tcPr>
            <w:tcW w:w="843" w:type="pct"/>
            <w:tcBorders>
              <w:top w:val="nil"/>
              <w:left w:val="nil"/>
              <w:bottom w:val="nil"/>
              <w:right w:val="single" w:sz="4" w:space="0" w:color="auto"/>
            </w:tcBorders>
            <w:shd w:val="clear" w:color="auto" w:fill="auto"/>
            <w:noWrap/>
            <w:vAlign w:val="bottom"/>
            <w:hideMark/>
          </w:tcPr>
          <w:p w14:paraId="5C9B8B71" w14:textId="356C3686" w:rsidR="005A2B65" w:rsidRPr="00D24168" w:rsidRDefault="005A2B65" w:rsidP="00D24168">
            <w:pPr>
              <w:tabs>
                <w:tab w:val="decimal" w:pos="855"/>
              </w:tabs>
              <w:spacing w:line="360" w:lineRule="auto"/>
              <w:rPr>
                <w:color w:val="000000"/>
              </w:rPr>
            </w:pPr>
            <w:r w:rsidRPr="00D24168">
              <w:rPr>
                <w:color w:val="000000"/>
              </w:rPr>
              <w:t>4.92</w:t>
            </w:r>
          </w:p>
        </w:tc>
        <w:tc>
          <w:tcPr>
            <w:tcW w:w="562" w:type="pct"/>
            <w:tcBorders>
              <w:top w:val="nil"/>
              <w:left w:val="single" w:sz="4" w:space="0" w:color="auto"/>
              <w:bottom w:val="nil"/>
              <w:right w:val="nil"/>
            </w:tcBorders>
            <w:shd w:val="clear" w:color="auto" w:fill="auto"/>
            <w:noWrap/>
            <w:vAlign w:val="bottom"/>
            <w:hideMark/>
          </w:tcPr>
          <w:p w14:paraId="2175873E" w14:textId="0A2F2583" w:rsidR="005A2B65" w:rsidRPr="00D24168" w:rsidRDefault="005A2B65" w:rsidP="00D24168">
            <w:pPr>
              <w:spacing w:line="360" w:lineRule="auto"/>
              <w:jc w:val="center"/>
              <w:rPr>
                <w:color w:val="000000"/>
              </w:rPr>
            </w:pPr>
            <w:r w:rsidRPr="00D24168">
              <w:rPr>
                <w:color w:val="000000"/>
              </w:rPr>
              <w:t>SVN</w:t>
            </w:r>
          </w:p>
        </w:tc>
        <w:tc>
          <w:tcPr>
            <w:tcW w:w="857" w:type="pct"/>
            <w:tcBorders>
              <w:top w:val="nil"/>
              <w:left w:val="nil"/>
              <w:bottom w:val="nil"/>
              <w:right w:val="nil"/>
            </w:tcBorders>
            <w:shd w:val="clear" w:color="auto" w:fill="auto"/>
            <w:noWrap/>
            <w:vAlign w:val="bottom"/>
            <w:hideMark/>
          </w:tcPr>
          <w:p w14:paraId="34D226AC" w14:textId="2DF1A71F" w:rsidR="005A2B65" w:rsidRPr="00D24168" w:rsidRDefault="005A2B65" w:rsidP="00D24168">
            <w:pPr>
              <w:tabs>
                <w:tab w:val="decimal" w:pos="1076"/>
              </w:tabs>
              <w:spacing w:line="360" w:lineRule="auto"/>
              <w:rPr>
                <w:color w:val="000000"/>
              </w:rPr>
            </w:pPr>
            <w:r w:rsidRPr="00D24168">
              <w:rPr>
                <w:color w:val="000000"/>
              </w:rPr>
              <w:t>43.58</w:t>
            </w:r>
          </w:p>
        </w:tc>
      </w:tr>
      <w:tr w:rsidR="00994CA2" w:rsidRPr="00D24168" w14:paraId="190DAFA9" w14:textId="77777777" w:rsidTr="00994CA2">
        <w:trPr>
          <w:tblHeader/>
        </w:trPr>
        <w:tc>
          <w:tcPr>
            <w:tcW w:w="591" w:type="pct"/>
            <w:tcBorders>
              <w:top w:val="nil"/>
              <w:left w:val="nil"/>
              <w:bottom w:val="nil"/>
              <w:right w:val="nil"/>
            </w:tcBorders>
            <w:shd w:val="clear" w:color="auto" w:fill="auto"/>
            <w:noWrap/>
            <w:hideMark/>
          </w:tcPr>
          <w:p w14:paraId="2B4E6A94" w14:textId="77777777" w:rsidR="005A2B65" w:rsidRPr="00D24168" w:rsidRDefault="005A2B65" w:rsidP="00D24168">
            <w:pPr>
              <w:spacing w:line="360" w:lineRule="auto"/>
              <w:jc w:val="center"/>
              <w:rPr>
                <w:color w:val="000000"/>
              </w:rPr>
            </w:pPr>
            <w:r w:rsidRPr="00D24168">
              <w:rPr>
                <w:color w:val="000000"/>
              </w:rPr>
              <w:t>25</w:t>
            </w:r>
          </w:p>
        </w:tc>
        <w:tc>
          <w:tcPr>
            <w:tcW w:w="600" w:type="pct"/>
            <w:tcBorders>
              <w:top w:val="nil"/>
              <w:left w:val="nil"/>
              <w:bottom w:val="nil"/>
              <w:right w:val="nil"/>
            </w:tcBorders>
            <w:shd w:val="clear" w:color="auto" w:fill="auto"/>
            <w:noWrap/>
            <w:vAlign w:val="bottom"/>
            <w:hideMark/>
          </w:tcPr>
          <w:p w14:paraId="7A5B78F8" w14:textId="77777777" w:rsidR="005A2B65" w:rsidRPr="00D24168" w:rsidRDefault="005A2B65" w:rsidP="00D24168">
            <w:pPr>
              <w:spacing w:line="360" w:lineRule="auto"/>
              <w:jc w:val="center"/>
              <w:rPr>
                <w:color w:val="000000"/>
              </w:rPr>
            </w:pPr>
            <w:r w:rsidRPr="00D24168">
              <w:rPr>
                <w:color w:val="000000"/>
              </w:rPr>
              <w:t>EST</w:t>
            </w:r>
          </w:p>
        </w:tc>
        <w:tc>
          <w:tcPr>
            <w:tcW w:w="732" w:type="pct"/>
            <w:tcBorders>
              <w:top w:val="nil"/>
              <w:left w:val="nil"/>
              <w:bottom w:val="nil"/>
              <w:right w:val="single" w:sz="4" w:space="0" w:color="auto"/>
            </w:tcBorders>
            <w:shd w:val="clear" w:color="auto" w:fill="auto"/>
            <w:noWrap/>
            <w:vAlign w:val="bottom"/>
            <w:hideMark/>
          </w:tcPr>
          <w:p w14:paraId="223CADB1" w14:textId="77777777" w:rsidR="005A2B65" w:rsidRPr="00D24168" w:rsidRDefault="005A2B65" w:rsidP="00D24168">
            <w:pPr>
              <w:tabs>
                <w:tab w:val="decimal" w:pos="824"/>
              </w:tabs>
              <w:spacing w:line="360" w:lineRule="auto"/>
              <w:rPr>
                <w:color w:val="000000"/>
              </w:rPr>
            </w:pPr>
            <w:r w:rsidRPr="00D24168">
              <w:rPr>
                <w:color w:val="000000"/>
              </w:rPr>
              <w:t>3</w:t>
            </w:r>
          </w:p>
        </w:tc>
        <w:tc>
          <w:tcPr>
            <w:tcW w:w="815" w:type="pct"/>
            <w:tcBorders>
              <w:top w:val="nil"/>
              <w:left w:val="single" w:sz="4" w:space="0" w:color="auto"/>
              <w:bottom w:val="nil"/>
              <w:right w:val="nil"/>
            </w:tcBorders>
            <w:shd w:val="clear" w:color="auto" w:fill="auto"/>
            <w:noWrap/>
            <w:vAlign w:val="bottom"/>
            <w:hideMark/>
          </w:tcPr>
          <w:p w14:paraId="100B769E" w14:textId="77A1AE9C" w:rsidR="005A2B65" w:rsidRPr="00D24168" w:rsidRDefault="005A2B65" w:rsidP="00D24168">
            <w:pPr>
              <w:spacing w:line="360" w:lineRule="auto"/>
              <w:jc w:val="center"/>
              <w:rPr>
                <w:color w:val="000000"/>
              </w:rPr>
            </w:pPr>
            <w:r w:rsidRPr="00D24168">
              <w:rPr>
                <w:color w:val="000000"/>
              </w:rPr>
              <w:t>EST</w:t>
            </w:r>
          </w:p>
        </w:tc>
        <w:tc>
          <w:tcPr>
            <w:tcW w:w="843" w:type="pct"/>
            <w:tcBorders>
              <w:top w:val="nil"/>
              <w:left w:val="nil"/>
              <w:bottom w:val="nil"/>
              <w:right w:val="single" w:sz="4" w:space="0" w:color="auto"/>
            </w:tcBorders>
            <w:shd w:val="clear" w:color="auto" w:fill="auto"/>
            <w:noWrap/>
            <w:vAlign w:val="bottom"/>
            <w:hideMark/>
          </w:tcPr>
          <w:p w14:paraId="22D23F53" w14:textId="77EDC512" w:rsidR="005A2B65" w:rsidRPr="00D24168" w:rsidRDefault="005A2B65" w:rsidP="00D24168">
            <w:pPr>
              <w:tabs>
                <w:tab w:val="decimal" w:pos="855"/>
              </w:tabs>
              <w:spacing w:line="360" w:lineRule="auto"/>
              <w:rPr>
                <w:color w:val="000000"/>
              </w:rPr>
            </w:pPr>
            <w:r w:rsidRPr="00D24168">
              <w:rPr>
                <w:color w:val="000000"/>
              </w:rPr>
              <w:t>2.23</w:t>
            </w:r>
          </w:p>
        </w:tc>
        <w:tc>
          <w:tcPr>
            <w:tcW w:w="562" w:type="pct"/>
            <w:tcBorders>
              <w:top w:val="nil"/>
              <w:left w:val="single" w:sz="4" w:space="0" w:color="auto"/>
              <w:bottom w:val="nil"/>
              <w:right w:val="nil"/>
            </w:tcBorders>
            <w:shd w:val="clear" w:color="auto" w:fill="auto"/>
            <w:noWrap/>
            <w:vAlign w:val="bottom"/>
            <w:hideMark/>
          </w:tcPr>
          <w:p w14:paraId="4419C618" w14:textId="1A505B85" w:rsidR="005A2B65" w:rsidRPr="00D24168" w:rsidRDefault="005A2B65" w:rsidP="00D24168">
            <w:pPr>
              <w:spacing w:line="360" w:lineRule="auto"/>
              <w:jc w:val="center"/>
              <w:rPr>
                <w:color w:val="000000"/>
              </w:rPr>
            </w:pPr>
            <w:r w:rsidRPr="00D24168">
              <w:rPr>
                <w:color w:val="000000"/>
              </w:rPr>
              <w:t>EST</w:t>
            </w:r>
          </w:p>
        </w:tc>
        <w:tc>
          <w:tcPr>
            <w:tcW w:w="857" w:type="pct"/>
            <w:tcBorders>
              <w:top w:val="nil"/>
              <w:left w:val="nil"/>
              <w:bottom w:val="nil"/>
              <w:right w:val="nil"/>
            </w:tcBorders>
            <w:shd w:val="clear" w:color="auto" w:fill="auto"/>
            <w:noWrap/>
            <w:vAlign w:val="bottom"/>
            <w:hideMark/>
          </w:tcPr>
          <w:p w14:paraId="2BD15745" w14:textId="326E082C" w:rsidR="005A2B65" w:rsidRPr="00D24168" w:rsidRDefault="005A2B65" w:rsidP="00D24168">
            <w:pPr>
              <w:tabs>
                <w:tab w:val="decimal" w:pos="1076"/>
              </w:tabs>
              <w:spacing w:line="360" w:lineRule="auto"/>
              <w:rPr>
                <w:color w:val="000000"/>
              </w:rPr>
            </w:pPr>
            <w:r w:rsidRPr="00D24168">
              <w:rPr>
                <w:color w:val="000000"/>
              </w:rPr>
              <w:t>17.81</w:t>
            </w:r>
          </w:p>
        </w:tc>
      </w:tr>
      <w:tr w:rsidR="00994CA2" w:rsidRPr="00D24168" w14:paraId="660FD1FB" w14:textId="77777777" w:rsidTr="00994CA2">
        <w:trPr>
          <w:tblHeader/>
        </w:trPr>
        <w:tc>
          <w:tcPr>
            <w:tcW w:w="591" w:type="pct"/>
            <w:tcBorders>
              <w:top w:val="nil"/>
              <w:left w:val="nil"/>
              <w:bottom w:val="nil"/>
              <w:right w:val="nil"/>
            </w:tcBorders>
            <w:shd w:val="clear" w:color="auto" w:fill="auto"/>
            <w:noWrap/>
            <w:hideMark/>
          </w:tcPr>
          <w:p w14:paraId="3D18A5B6" w14:textId="77777777" w:rsidR="005A2B65" w:rsidRPr="00D24168" w:rsidRDefault="005A2B65" w:rsidP="00D24168">
            <w:pPr>
              <w:spacing w:line="360" w:lineRule="auto"/>
              <w:jc w:val="center"/>
              <w:rPr>
                <w:color w:val="000000"/>
              </w:rPr>
            </w:pPr>
            <w:r w:rsidRPr="00D24168">
              <w:rPr>
                <w:color w:val="000000"/>
              </w:rPr>
              <w:t>26</w:t>
            </w:r>
          </w:p>
        </w:tc>
        <w:tc>
          <w:tcPr>
            <w:tcW w:w="600" w:type="pct"/>
            <w:tcBorders>
              <w:top w:val="nil"/>
              <w:left w:val="nil"/>
              <w:bottom w:val="nil"/>
              <w:right w:val="nil"/>
            </w:tcBorders>
            <w:shd w:val="clear" w:color="auto" w:fill="auto"/>
            <w:noWrap/>
            <w:vAlign w:val="bottom"/>
            <w:hideMark/>
          </w:tcPr>
          <w:p w14:paraId="7599FD3F" w14:textId="77777777" w:rsidR="005A2B65" w:rsidRPr="00D24168" w:rsidRDefault="005A2B65" w:rsidP="00D24168">
            <w:pPr>
              <w:spacing w:line="360" w:lineRule="auto"/>
              <w:jc w:val="center"/>
              <w:rPr>
                <w:color w:val="000000"/>
              </w:rPr>
            </w:pPr>
            <w:r w:rsidRPr="00D24168">
              <w:rPr>
                <w:color w:val="000000"/>
              </w:rPr>
              <w:t>LTU</w:t>
            </w:r>
          </w:p>
        </w:tc>
        <w:tc>
          <w:tcPr>
            <w:tcW w:w="732" w:type="pct"/>
            <w:tcBorders>
              <w:top w:val="nil"/>
              <w:left w:val="nil"/>
              <w:bottom w:val="nil"/>
              <w:right w:val="single" w:sz="4" w:space="0" w:color="auto"/>
            </w:tcBorders>
            <w:shd w:val="clear" w:color="auto" w:fill="auto"/>
            <w:noWrap/>
            <w:vAlign w:val="bottom"/>
            <w:hideMark/>
          </w:tcPr>
          <w:p w14:paraId="2F955AB1" w14:textId="77777777" w:rsidR="005A2B65" w:rsidRPr="00D24168" w:rsidRDefault="005A2B65" w:rsidP="00D24168">
            <w:pPr>
              <w:tabs>
                <w:tab w:val="decimal" w:pos="824"/>
              </w:tabs>
              <w:spacing w:line="360" w:lineRule="auto"/>
              <w:rPr>
                <w:color w:val="000000"/>
              </w:rPr>
            </w:pPr>
            <w:r w:rsidRPr="00D24168">
              <w:rPr>
                <w:color w:val="000000"/>
              </w:rPr>
              <w:t>2</w:t>
            </w:r>
          </w:p>
        </w:tc>
        <w:tc>
          <w:tcPr>
            <w:tcW w:w="815" w:type="pct"/>
            <w:tcBorders>
              <w:top w:val="nil"/>
              <w:left w:val="single" w:sz="4" w:space="0" w:color="auto"/>
              <w:bottom w:val="nil"/>
              <w:right w:val="nil"/>
            </w:tcBorders>
            <w:shd w:val="clear" w:color="auto" w:fill="auto"/>
            <w:noWrap/>
            <w:vAlign w:val="bottom"/>
            <w:hideMark/>
          </w:tcPr>
          <w:p w14:paraId="11FA72EE" w14:textId="739A7F7E" w:rsidR="005A2B65" w:rsidRPr="00D24168" w:rsidRDefault="005A2B65" w:rsidP="00D24168">
            <w:pPr>
              <w:spacing w:line="360" w:lineRule="auto"/>
              <w:jc w:val="center"/>
              <w:rPr>
                <w:color w:val="000000"/>
              </w:rPr>
            </w:pPr>
            <w:r w:rsidRPr="00D24168">
              <w:rPr>
                <w:color w:val="000000"/>
              </w:rPr>
              <w:t>LTU</w:t>
            </w:r>
          </w:p>
        </w:tc>
        <w:tc>
          <w:tcPr>
            <w:tcW w:w="843" w:type="pct"/>
            <w:tcBorders>
              <w:top w:val="nil"/>
              <w:left w:val="nil"/>
              <w:bottom w:val="nil"/>
              <w:right w:val="single" w:sz="4" w:space="0" w:color="auto"/>
            </w:tcBorders>
            <w:shd w:val="clear" w:color="auto" w:fill="auto"/>
            <w:noWrap/>
            <w:vAlign w:val="bottom"/>
            <w:hideMark/>
          </w:tcPr>
          <w:p w14:paraId="5017E190" w14:textId="472F31B4" w:rsidR="005A2B65" w:rsidRPr="00D24168" w:rsidRDefault="005A2B65" w:rsidP="00D24168">
            <w:pPr>
              <w:tabs>
                <w:tab w:val="decimal" w:pos="855"/>
              </w:tabs>
              <w:spacing w:line="360" w:lineRule="auto"/>
              <w:rPr>
                <w:color w:val="000000"/>
              </w:rPr>
            </w:pPr>
            <w:r w:rsidRPr="00D24168">
              <w:rPr>
                <w:color w:val="000000"/>
              </w:rPr>
              <w:t>1.34</w:t>
            </w:r>
          </w:p>
        </w:tc>
        <w:tc>
          <w:tcPr>
            <w:tcW w:w="562" w:type="pct"/>
            <w:tcBorders>
              <w:top w:val="nil"/>
              <w:left w:val="single" w:sz="4" w:space="0" w:color="auto"/>
              <w:bottom w:val="nil"/>
              <w:right w:val="nil"/>
            </w:tcBorders>
            <w:shd w:val="clear" w:color="auto" w:fill="auto"/>
            <w:noWrap/>
            <w:vAlign w:val="bottom"/>
            <w:hideMark/>
          </w:tcPr>
          <w:p w14:paraId="753E2EEA" w14:textId="209981F7" w:rsidR="005A2B65" w:rsidRPr="00D24168" w:rsidRDefault="005A2B65" w:rsidP="00D24168">
            <w:pPr>
              <w:spacing w:line="360" w:lineRule="auto"/>
              <w:jc w:val="center"/>
              <w:rPr>
                <w:color w:val="000000"/>
              </w:rPr>
            </w:pPr>
            <w:r w:rsidRPr="00D24168">
              <w:rPr>
                <w:color w:val="000000"/>
              </w:rPr>
              <w:t>LVA</w:t>
            </w:r>
          </w:p>
        </w:tc>
        <w:tc>
          <w:tcPr>
            <w:tcW w:w="857" w:type="pct"/>
            <w:tcBorders>
              <w:top w:val="nil"/>
              <w:left w:val="nil"/>
              <w:bottom w:val="nil"/>
              <w:right w:val="nil"/>
            </w:tcBorders>
            <w:shd w:val="clear" w:color="auto" w:fill="auto"/>
            <w:noWrap/>
            <w:vAlign w:val="bottom"/>
            <w:hideMark/>
          </w:tcPr>
          <w:p w14:paraId="6D9AC8A2" w14:textId="0A30F9FF" w:rsidR="005A2B65" w:rsidRPr="00D24168" w:rsidRDefault="005A2B65" w:rsidP="00D24168">
            <w:pPr>
              <w:tabs>
                <w:tab w:val="decimal" w:pos="1076"/>
              </w:tabs>
              <w:spacing w:line="360" w:lineRule="auto"/>
              <w:rPr>
                <w:color w:val="000000"/>
              </w:rPr>
            </w:pPr>
            <w:r w:rsidRPr="00D24168">
              <w:rPr>
                <w:color w:val="000000"/>
              </w:rPr>
              <w:t>11.42</w:t>
            </w:r>
          </w:p>
        </w:tc>
      </w:tr>
      <w:tr w:rsidR="00994CA2" w:rsidRPr="00D24168" w14:paraId="056F87AD" w14:textId="77777777" w:rsidTr="00994CA2">
        <w:trPr>
          <w:tblHeader/>
        </w:trPr>
        <w:tc>
          <w:tcPr>
            <w:tcW w:w="591" w:type="pct"/>
            <w:tcBorders>
              <w:top w:val="nil"/>
              <w:left w:val="nil"/>
              <w:right w:val="nil"/>
            </w:tcBorders>
            <w:shd w:val="clear" w:color="auto" w:fill="auto"/>
            <w:noWrap/>
            <w:hideMark/>
          </w:tcPr>
          <w:p w14:paraId="07F77004" w14:textId="77777777" w:rsidR="005A2B65" w:rsidRPr="00D24168" w:rsidRDefault="005A2B65" w:rsidP="00D24168">
            <w:pPr>
              <w:spacing w:line="360" w:lineRule="auto"/>
              <w:jc w:val="center"/>
              <w:rPr>
                <w:color w:val="000000"/>
              </w:rPr>
            </w:pPr>
            <w:r w:rsidRPr="00D24168">
              <w:rPr>
                <w:color w:val="000000"/>
              </w:rPr>
              <w:t>27</w:t>
            </w:r>
          </w:p>
        </w:tc>
        <w:tc>
          <w:tcPr>
            <w:tcW w:w="600" w:type="pct"/>
            <w:tcBorders>
              <w:top w:val="nil"/>
              <w:left w:val="nil"/>
              <w:right w:val="nil"/>
            </w:tcBorders>
            <w:shd w:val="clear" w:color="auto" w:fill="auto"/>
            <w:noWrap/>
            <w:vAlign w:val="bottom"/>
            <w:hideMark/>
          </w:tcPr>
          <w:p w14:paraId="3A90F729" w14:textId="77777777" w:rsidR="005A2B65" w:rsidRPr="00D24168" w:rsidRDefault="005A2B65" w:rsidP="00D24168">
            <w:pPr>
              <w:spacing w:line="360" w:lineRule="auto"/>
              <w:jc w:val="center"/>
              <w:rPr>
                <w:color w:val="000000"/>
              </w:rPr>
            </w:pPr>
            <w:r w:rsidRPr="00D24168">
              <w:rPr>
                <w:color w:val="000000"/>
              </w:rPr>
              <w:t>LVA</w:t>
            </w:r>
          </w:p>
        </w:tc>
        <w:tc>
          <w:tcPr>
            <w:tcW w:w="732" w:type="pct"/>
            <w:tcBorders>
              <w:top w:val="nil"/>
              <w:left w:val="nil"/>
              <w:right w:val="single" w:sz="4" w:space="0" w:color="auto"/>
            </w:tcBorders>
            <w:shd w:val="clear" w:color="auto" w:fill="auto"/>
            <w:noWrap/>
            <w:vAlign w:val="bottom"/>
            <w:hideMark/>
          </w:tcPr>
          <w:p w14:paraId="6666B217" w14:textId="77777777" w:rsidR="005A2B65" w:rsidRPr="00D24168" w:rsidRDefault="005A2B65" w:rsidP="00D24168">
            <w:pPr>
              <w:tabs>
                <w:tab w:val="decimal" w:pos="824"/>
              </w:tabs>
              <w:spacing w:line="360" w:lineRule="auto"/>
              <w:rPr>
                <w:color w:val="000000"/>
              </w:rPr>
            </w:pPr>
            <w:r w:rsidRPr="00D24168">
              <w:rPr>
                <w:color w:val="000000"/>
              </w:rPr>
              <w:t>2</w:t>
            </w:r>
          </w:p>
        </w:tc>
        <w:tc>
          <w:tcPr>
            <w:tcW w:w="815" w:type="pct"/>
            <w:tcBorders>
              <w:top w:val="nil"/>
              <w:left w:val="single" w:sz="4" w:space="0" w:color="auto"/>
              <w:right w:val="nil"/>
            </w:tcBorders>
            <w:shd w:val="clear" w:color="auto" w:fill="auto"/>
            <w:noWrap/>
            <w:vAlign w:val="bottom"/>
            <w:hideMark/>
          </w:tcPr>
          <w:p w14:paraId="62D1FCA2" w14:textId="2CF15F68" w:rsidR="005A2B65" w:rsidRPr="00D24168" w:rsidRDefault="005A2B65" w:rsidP="00D24168">
            <w:pPr>
              <w:spacing w:line="360" w:lineRule="auto"/>
              <w:jc w:val="center"/>
              <w:rPr>
                <w:color w:val="000000"/>
              </w:rPr>
            </w:pPr>
            <w:r w:rsidRPr="00D24168">
              <w:rPr>
                <w:color w:val="000000"/>
              </w:rPr>
              <w:t>LVA</w:t>
            </w:r>
          </w:p>
        </w:tc>
        <w:tc>
          <w:tcPr>
            <w:tcW w:w="843" w:type="pct"/>
            <w:tcBorders>
              <w:top w:val="nil"/>
              <w:left w:val="nil"/>
              <w:right w:val="single" w:sz="4" w:space="0" w:color="auto"/>
            </w:tcBorders>
            <w:shd w:val="clear" w:color="auto" w:fill="auto"/>
            <w:noWrap/>
            <w:vAlign w:val="bottom"/>
            <w:hideMark/>
          </w:tcPr>
          <w:p w14:paraId="2CD5C797" w14:textId="0A37D3D6" w:rsidR="005A2B65" w:rsidRPr="00D24168" w:rsidRDefault="005A2B65" w:rsidP="00D24168">
            <w:pPr>
              <w:tabs>
                <w:tab w:val="decimal" w:pos="855"/>
              </w:tabs>
              <w:spacing w:line="360" w:lineRule="auto"/>
              <w:rPr>
                <w:color w:val="000000"/>
              </w:rPr>
            </w:pPr>
            <w:r w:rsidRPr="00D24168">
              <w:rPr>
                <w:color w:val="000000"/>
              </w:rPr>
              <w:t>1.31</w:t>
            </w:r>
          </w:p>
        </w:tc>
        <w:tc>
          <w:tcPr>
            <w:tcW w:w="562" w:type="pct"/>
            <w:tcBorders>
              <w:top w:val="nil"/>
              <w:left w:val="single" w:sz="4" w:space="0" w:color="auto"/>
              <w:right w:val="nil"/>
            </w:tcBorders>
            <w:shd w:val="clear" w:color="auto" w:fill="auto"/>
            <w:noWrap/>
            <w:vAlign w:val="bottom"/>
            <w:hideMark/>
          </w:tcPr>
          <w:p w14:paraId="3BE54F98" w14:textId="7BFEDCE9" w:rsidR="005A2B65" w:rsidRPr="00D24168" w:rsidRDefault="005A2B65" w:rsidP="00D24168">
            <w:pPr>
              <w:spacing w:line="360" w:lineRule="auto"/>
              <w:jc w:val="center"/>
              <w:rPr>
                <w:color w:val="000000"/>
              </w:rPr>
            </w:pPr>
            <w:r w:rsidRPr="00D24168">
              <w:rPr>
                <w:color w:val="000000"/>
              </w:rPr>
              <w:t>LTU</w:t>
            </w:r>
          </w:p>
        </w:tc>
        <w:tc>
          <w:tcPr>
            <w:tcW w:w="857" w:type="pct"/>
            <w:tcBorders>
              <w:top w:val="nil"/>
              <w:left w:val="nil"/>
              <w:right w:val="nil"/>
            </w:tcBorders>
            <w:shd w:val="clear" w:color="auto" w:fill="auto"/>
            <w:noWrap/>
            <w:vAlign w:val="bottom"/>
            <w:hideMark/>
          </w:tcPr>
          <w:p w14:paraId="672B5BD9" w14:textId="3CB338CA" w:rsidR="005A2B65" w:rsidRPr="00D24168" w:rsidRDefault="005A2B65" w:rsidP="00D24168">
            <w:pPr>
              <w:tabs>
                <w:tab w:val="decimal" w:pos="1076"/>
              </w:tabs>
              <w:spacing w:line="360" w:lineRule="auto"/>
              <w:rPr>
                <w:color w:val="000000"/>
              </w:rPr>
            </w:pPr>
            <w:r w:rsidRPr="00D24168">
              <w:rPr>
                <w:color w:val="000000"/>
              </w:rPr>
              <w:t>10.34</w:t>
            </w:r>
          </w:p>
        </w:tc>
      </w:tr>
      <w:tr w:rsidR="00994CA2" w:rsidRPr="00D24168" w14:paraId="21F7B554" w14:textId="77777777" w:rsidTr="00994CA2">
        <w:trPr>
          <w:tblHeader/>
        </w:trPr>
        <w:tc>
          <w:tcPr>
            <w:tcW w:w="591" w:type="pct"/>
            <w:tcBorders>
              <w:top w:val="nil"/>
              <w:left w:val="nil"/>
              <w:right w:val="nil"/>
            </w:tcBorders>
            <w:shd w:val="clear" w:color="auto" w:fill="auto"/>
            <w:noWrap/>
            <w:hideMark/>
          </w:tcPr>
          <w:p w14:paraId="22B4A448" w14:textId="77777777" w:rsidR="005A2B65" w:rsidRPr="00D24168" w:rsidRDefault="005A2B65" w:rsidP="00D24168">
            <w:pPr>
              <w:spacing w:line="360" w:lineRule="auto"/>
              <w:jc w:val="center"/>
              <w:rPr>
                <w:color w:val="000000"/>
              </w:rPr>
            </w:pPr>
            <w:r w:rsidRPr="00D24168">
              <w:rPr>
                <w:color w:val="000000"/>
              </w:rPr>
              <w:t>28</w:t>
            </w:r>
          </w:p>
        </w:tc>
        <w:tc>
          <w:tcPr>
            <w:tcW w:w="600" w:type="pct"/>
            <w:tcBorders>
              <w:top w:val="nil"/>
              <w:left w:val="nil"/>
              <w:right w:val="nil"/>
            </w:tcBorders>
            <w:shd w:val="clear" w:color="auto" w:fill="auto"/>
            <w:noWrap/>
            <w:vAlign w:val="bottom"/>
            <w:hideMark/>
          </w:tcPr>
          <w:p w14:paraId="070F2CFC" w14:textId="77777777" w:rsidR="005A2B65" w:rsidRPr="00D24168" w:rsidRDefault="005A2B65" w:rsidP="00D24168">
            <w:pPr>
              <w:spacing w:line="360" w:lineRule="auto"/>
              <w:jc w:val="center"/>
              <w:rPr>
                <w:color w:val="000000"/>
              </w:rPr>
            </w:pPr>
            <w:r w:rsidRPr="00D24168">
              <w:rPr>
                <w:color w:val="000000"/>
              </w:rPr>
              <w:t>CYP</w:t>
            </w:r>
          </w:p>
        </w:tc>
        <w:tc>
          <w:tcPr>
            <w:tcW w:w="732" w:type="pct"/>
            <w:tcBorders>
              <w:top w:val="nil"/>
              <w:left w:val="nil"/>
              <w:right w:val="single" w:sz="4" w:space="0" w:color="auto"/>
            </w:tcBorders>
            <w:shd w:val="clear" w:color="auto" w:fill="auto"/>
            <w:noWrap/>
            <w:vAlign w:val="bottom"/>
            <w:hideMark/>
          </w:tcPr>
          <w:p w14:paraId="6C3D7651" w14:textId="77777777" w:rsidR="005A2B65" w:rsidRPr="00D24168" w:rsidRDefault="005A2B65" w:rsidP="00D24168">
            <w:pPr>
              <w:tabs>
                <w:tab w:val="decimal" w:pos="824"/>
              </w:tabs>
              <w:spacing w:line="360" w:lineRule="auto"/>
              <w:rPr>
                <w:color w:val="000000"/>
              </w:rPr>
            </w:pPr>
            <w:r w:rsidRPr="00D24168">
              <w:rPr>
                <w:color w:val="000000"/>
              </w:rPr>
              <w:t>1</w:t>
            </w:r>
          </w:p>
        </w:tc>
        <w:tc>
          <w:tcPr>
            <w:tcW w:w="815" w:type="pct"/>
            <w:tcBorders>
              <w:top w:val="nil"/>
              <w:left w:val="single" w:sz="4" w:space="0" w:color="auto"/>
              <w:right w:val="nil"/>
            </w:tcBorders>
            <w:shd w:val="clear" w:color="auto" w:fill="auto"/>
            <w:noWrap/>
            <w:vAlign w:val="bottom"/>
            <w:hideMark/>
          </w:tcPr>
          <w:p w14:paraId="13937DED" w14:textId="472189D0" w:rsidR="005A2B65" w:rsidRPr="00D24168" w:rsidRDefault="005A2B65" w:rsidP="00D24168">
            <w:pPr>
              <w:spacing w:line="360" w:lineRule="auto"/>
              <w:jc w:val="center"/>
              <w:rPr>
                <w:color w:val="000000"/>
              </w:rPr>
            </w:pPr>
            <w:r w:rsidRPr="00D24168">
              <w:rPr>
                <w:color w:val="000000"/>
              </w:rPr>
              <w:t>CYP</w:t>
            </w:r>
          </w:p>
        </w:tc>
        <w:tc>
          <w:tcPr>
            <w:tcW w:w="843" w:type="pct"/>
            <w:tcBorders>
              <w:top w:val="nil"/>
              <w:left w:val="nil"/>
              <w:right w:val="single" w:sz="4" w:space="0" w:color="auto"/>
            </w:tcBorders>
            <w:shd w:val="clear" w:color="auto" w:fill="auto"/>
            <w:noWrap/>
            <w:vAlign w:val="bottom"/>
            <w:hideMark/>
          </w:tcPr>
          <w:p w14:paraId="1C52B362" w14:textId="53E77362" w:rsidR="005A2B65" w:rsidRPr="00D24168" w:rsidRDefault="005A2B65" w:rsidP="00D24168">
            <w:pPr>
              <w:tabs>
                <w:tab w:val="decimal" w:pos="855"/>
              </w:tabs>
              <w:spacing w:line="360" w:lineRule="auto"/>
              <w:rPr>
                <w:color w:val="000000"/>
              </w:rPr>
            </w:pPr>
            <w:r w:rsidRPr="00D24168">
              <w:rPr>
                <w:color w:val="000000"/>
              </w:rPr>
              <w:t>0.71</w:t>
            </w:r>
          </w:p>
        </w:tc>
        <w:tc>
          <w:tcPr>
            <w:tcW w:w="562" w:type="pct"/>
            <w:tcBorders>
              <w:top w:val="nil"/>
              <w:left w:val="single" w:sz="4" w:space="0" w:color="auto"/>
              <w:right w:val="nil"/>
            </w:tcBorders>
            <w:shd w:val="clear" w:color="auto" w:fill="auto"/>
            <w:noWrap/>
            <w:vAlign w:val="bottom"/>
            <w:hideMark/>
          </w:tcPr>
          <w:p w14:paraId="5EF7F9D9" w14:textId="22D886D4" w:rsidR="005A2B65" w:rsidRPr="00D24168" w:rsidRDefault="005A2B65" w:rsidP="00D24168">
            <w:pPr>
              <w:spacing w:line="360" w:lineRule="auto"/>
              <w:jc w:val="center"/>
              <w:rPr>
                <w:color w:val="000000"/>
              </w:rPr>
            </w:pPr>
            <w:r w:rsidRPr="00D24168">
              <w:rPr>
                <w:color w:val="000000"/>
              </w:rPr>
              <w:t>CYP</w:t>
            </w:r>
          </w:p>
        </w:tc>
        <w:tc>
          <w:tcPr>
            <w:tcW w:w="857" w:type="pct"/>
            <w:tcBorders>
              <w:top w:val="nil"/>
              <w:left w:val="nil"/>
              <w:right w:val="nil"/>
            </w:tcBorders>
            <w:shd w:val="clear" w:color="auto" w:fill="auto"/>
            <w:noWrap/>
            <w:vAlign w:val="bottom"/>
            <w:hideMark/>
          </w:tcPr>
          <w:p w14:paraId="6A38D95D" w14:textId="466531AB" w:rsidR="005A2B65" w:rsidRPr="00D24168" w:rsidRDefault="005A2B65" w:rsidP="00D24168">
            <w:pPr>
              <w:tabs>
                <w:tab w:val="decimal" w:pos="1076"/>
              </w:tabs>
              <w:spacing w:line="360" w:lineRule="auto"/>
              <w:rPr>
                <w:color w:val="000000"/>
              </w:rPr>
            </w:pPr>
            <w:r w:rsidRPr="00D24168">
              <w:rPr>
                <w:color w:val="000000"/>
              </w:rPr>
              <w:t>4.92</w:t>
            </w:r>
          </w:p>
        </w:tc>
      </w:tr>
    </w:tbl>
    <w:p w14:paraId="1F2951BE" w14:textId="77777777" w:rsidR="005A2B65" w:rsidRPr="00D24168" w:rsidRDefault="005A2B65" w:rsidP="00D24168">
      <w:pPr>
        <w:spacing w:line="360" w:lineRule="auto"/>
        <w:jc w:val="both"/>
        <w:rPr>
          <w:i/>
          <w:iCs/>
        </w:rPr>
      </w:pPr>
    </w:p>
    <w:p w14:paraId="0F319F6C" w14:textId="77777777" w:rsidR="005A2B65" w:rsidRDefault="005A2B65" w:rsidP="0007082F">
      <w:pPr>
        <w:spacing w:before="120" w:line="360" w:lineRule="auto"/>
        <w:jc w:val="both"/>
        <w:rPr>
          <w:i/>
          <w:iCs/>
          <w:sz w:val="20"/>
          <w:szCs w:val="20"/>
        </w:rPr>
      </w:pPr>
    </w:p>
    <w:p w14:paraId="1ADB7D36" w14:textId="14B1B326" w:rsidR="00C07FB9" w:rsidRPr="00436BB1" w:rsidRDefault="00D24168" w:rsidP="0040568A">
      <w:pPr>
        <w:spacing w:line="480" w:lineRule="auto"/>
        <w:rPr>
          <w:b/>
          <w:bCs/>
        </w:rPr>
      </w:pPr>
      <w:r>
        <w:rPr>
          <w:iCs/>
          <w:szCs w:val="20"/>
        </w:rPr>
        <w:t xml:space="preserve">Table 4 </w:t>
      </w:r>
      <w:r w:rsidR="00AE5404" w:rsidRPr="005A2B65">
        <w:rPr>
          <w:iCs/>
          <w:szCs w:val="20"/>
        </w:rPr>
        <w:t>Notes</w:t>
      </w:r>
      <w:r>
        <w:rPr>
          <w:iCs/>
          <w:szCs w:val="20"/>
        </w:rPr>
        <w:t>:</w:t>
      </w:r>
      <w:r w:rsidR="00AE5404" w:rsidRPr="005A2B65">
        <w:rPr>
          <w:szCs w:val="20"/>
        </w:rPr>
        <w:t xml:space="preserve"> Data on climate laws and policies come from Climate Change Laws of the World. See Appendix Table A.1 for the full list of countries and detail</w:t>
      </w:r>
      <w:r w:rsidR="000F61B4" w:rsidRPr="005A2B65">
        <w:rPr>
          <w:szCs w:val="20"/>
        </w:rPr>
        <w:t>ed</w:t>
      </w:r>
      <w:r w:rsidR="00AE5404" w:rsidRPr="005A2B65">
        <w:rPr>
          <w:szCs w:val="20"/>
        </w:rPr>
        <w:t xml:space="preserve"> statistics.</w:t>
      </w:r>
      <w:r w:rsidR="00DF496C" w:rsidRPr="005A2B65">
        <w:rPr>
          <w:szCs w:val="20"/>
        </w:rPr>
        <w:t xml:space="preserve"> Q</w:t>
      </w:r>
      <w:r w:rsidR="00AE5404" w:rsidRPr="005A2B65">
        <w:rPr>
          <w:szCs w:val="20"/>
        </w:rPr>
        <w:t>uality-adjust</w:t>
      </w:r>
      <w:r w:rsidR="00DF496C" w:rsidRPr="005A2B65">
        <w:rPr>
          <w:szCs w:val="20"/>
        </w:rPr>
        <w:t>ed laws are derived by</w:t>
      </w:r>
      <w:r w:rsidR="00AE5404" w:rsidRPr="005A2B65">
        <w:rPr>
          <w:szCs w:val="20"/>
        </w:rPr>
        <w:t xml:space="preserve"> multiplying </w:t>
      </w:r>
      <w:r w:rsidR="008A4260" w:rsidRPr="005A2B65">
        <w:rPr>
          <w:szCs w:val="20"/>
        </w:rPr>
        <w:t xml:space="preserve">each </w:t>
      </w:r>
      <w:r w:rsidR="00AE5404" w:rsidRPr="005A2B65">
        <w:rPr>
          <w:szCs w:val="20"/>
        </w:rPr>
        <w:t>law by the</w:t>
      </w:r>
      <w:r w:rsidR="00DF496C" w:rsidRPr="005A2B65">
        <w:rPr>
          <w:szCs w:val="20"/>
        </w:rPr>
        <w:t xml:space="preserve"> </w:t>
      </w:r>
      <w:r w:rsidR="001F31A1" w:rsidRPr="005A2B65">
        <w:rPr>
          <w:szCs w:val="20"/>
        </w:rPr>
        <w:t xml:space="preserve">Rule of Law </w:t>
      </w:r>
      <w:r w:rsidR="00DF496C" w:rsidRPr="005A2B65">
        <w:rPr>
          <w:szCs w:val="20"/>
        </w:rPr>
        <w:t>score</w:t>
      </w:r>
      <w:r w:rsidR="001F31A1" w:rsidRPr="005A2B65">
        <w:rPr>
          <w:szCs w:val="20"/>
        </w:rPr>
        <w:t xml:space="preserve"> of </w:t>
      </w:r>
      <w:r w:rsidR="008A4260" w:rsidRPr="005A2B65">
        <w:rPr>
          <w:szCs w:val="20"/>
        </w:rPr>
        <w:t xml:space="preserve">Kaufman </w:t>
      </w:r>
      <w:r w:rsidR="008A4260" w:rsidRPr="005A2B65">
        <w:rPr>
          <w:i/>
          <w:iCs/>
          <w:szCs w:val="20"/>
        </w:rPr>
        <w:t>et al</w:t>
      </w:r>
      <w:r w:rsidR="00177A8B" w:rsidRPr="005A2B65">
        <w:rPr>
          <w:i/>
          <w:iCs/>
          <w:szCs w:val="20"/>
        </w:rPr>
        <w:t>.</w:t>
      </w:r>
      <w:r w:rsidR="008A4260" w:rsidRPr="005A2B65">
        <w:rPr>
          <w:szCs w:val="20"/>
        </w:rPr>
        <w:t xml:space="preserve"> </w:t>
      </w:r>
      <w:r w:rsidR="001F31A1" w:rsidRPr="005A2B65">
        <w:rPr>
          <w:szCs w:val="20"/>
        </w:rPr>
        <w:t>(</w:t>
      </w:r>
      <w:r w:rsidR="008A4260" w:rsidRPr="005A2B65">
        <w:rPr>
          <w:szCs w:val="20"/>
        </w:rPr>
        <w:t xml:space="preserve">2010) </w:t>
      </w:r>
      <w:r w:rsidR="00DF496C" w:rsidRPr="005A2B65">
        <w:rPr>
          <w:szCs w:val="20"/>
        </w:rPr>
        <w:t>i</w:t>
      </w:r>
      <w:r w:rsidR="00AE5404" w:rsidRPr="005A2B65">
        <w:rPr>
          <w:szCs w:val="20"/>
        </w:rPr>
        <w:t xml:space="preserve">n the year </w:t>
      </w:r>
      <w:r w:rsidR="008A4260" w:rsidRPr="005A2B65">
        <w:rPr>
          <w:szCs w:val="20"/>
        </w:rPr>
        <w:t>it</w:t>
      </w:r>
      <w:r w:rsidR="00AE5404" w:rsidRPr="005A2B65">
        <w:rPr>
          <w:szCs w:val="20"/>
        </w:rPr>
        <w:t xml:space="preserve"> was passed. </w:t>
      </w:r>
      <w:r w:rsidR="00DF496C" w:rsidRPr="005A2B65">
        <w:rPr>
          <w:szCs w:val="20"/>
        </w:rPr>
        <w:t xml:space="preserve">Life-time quality adjusted laws are calculated as the number of years a law </w:t>
      </w:r>
      <w:r w:rsidR="002C5F4A" w:rsidRPr="005A2B65">
        <w:rPr>
          <w:szCs w:val="20"/>
        </w:rPr>
        <w:t>has been in force</w:t>
      </w:r>
      <w:r w:rsidR="00DF496C" w:rsidRPr="005A2B65">
        <w:rPr>
          <w:szCs w:val="20"/>
        </w:rPr>
        <w:t>,</w:t>
      </w:r>
      <w:r w:rsidR="002C5F4A" w:rsidRPr="005A2B65">
        <w:rPr>
          <w:szCs w:val="20"/>
        </w:rPr>
        <w:t xml:space="preserve"> </w:t>
      </w:r>
      <w:r w:rsidR="00DF496C" w:rsidRPr="005A2B65">
        <w:rPr>
          <w:szCs w:val="20"/>
        </w:rPr>
        <w:t xml:space="preserve">multiplied by the </w:t>
      </w:r>
      <w:r w:rsidR="001F31A1" w:rsidRPr="005A2B65">
        <w:rPr>
          <w:szCs w:val="20"/>
        </w:rPr>
        <w:t xml:space="preserve">rule-of-law </w:t>
      </w:r>
      <w:r w:rsidR="00DF496C" w:rsidRPr="005A2B65">
        <w:rPr>
          <w:szCs w:val="20"/>
        </w:rPr>
        <w:t>score in each year.</w:t>
      </w:r>
      <w:r w:rsidR="003825E6" w:rsidRPr="005A2B65">
        <w:rPr>
          <w:szCs w:val="20"/>
        </w:rPr>
        <w:t xml:space="preserve">  All calculations are done over the period 1990-2019.</w:t>
      </w:r>
    </w:p>
    <w:p w14:paraId="65D19EE6" w14:textId="4E080E0D" w:rsidR="00D107E5" w:rsidRDefault="00D107E5">
      <w:pPr>
        <w:spacing w:after="200" w:line="2" w:lineRule="auto"/>
        <w:rPr>
          <w:b/>
        </w:rPr>
      </w:pPr>
    </w:p>
    <w:p w14:paraId="212CC19E" w14:textId="4A008528" w:rsidR="00B031AF" w:rsidRDefault="00B031AF" w:rsidP="004F45BD">
      <w:pPr>
        <w:pStyle w:val="Heading2"/>
        <w:keepNext/>
        <w:keepLines/>
        <w:spacing w:after="0" w:line="276" w:lineRule="auto"/>
        <w:rPr>
          <w:b w:val="0"/>
        </w:rPr>
      </w:pPr>
      <w:r w:rsidRPr="004F45BD">
        <w:rPr>
          <w:b w:val="0"/>
        </w:rPr>
        <w:t xml:space="preserve">Table </w:t>
      </w:r>
      <w:r w:rsidR="00B7063F" w:rsidRPr="004F45BD">
        <w:rPr>
          <w:b w:val="0"/>
        </w:rPr>
        <w:t>5</w:t>
      </w:r>
      <w:r w:rsidRPr="004F45BD">
        <w:rPr>
          <w:b w:val="0"/>
        </w:rPr>
        <w:t>: Statistical tests of political orientation</w:t>
      </w:r>
    </w:p>
    <w:p w14:paraId="30D24472" w14:textId="77777777" w:rsidR="004F45BD" w:rsidRPr="004F45BD" w:rsidRDefault="004F45BD" w:rsidP="004F45BD"/>
    <w:tbl>
      <w:tblPr>
        <w:tblStyle w:val="TableGrid"/>
        <w:tblW w:w="537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1111"/>
        <w:gridCol w:w="1429"/>
        <w:gridCol w:w="1497"/>
        <w:gridCol w:w="1482"/>
        <w:gridCol w:w="1485"/>
        <w:gridCol w:w="1553"/>
        <w:gridCol w:w="1553"/>
      </w:tblGrid>
      <w:tr w:rsidR="004F45BD" w:rsidRPr="004F45BD" w14:paraId="30480851" w14:textId="77777777" w:rsidTr="00994CA2">
        <w:trPr>
          <w:jc w:val="center"/>
        </w:trPr>
        <w:tc>
          <w:tcPr>
            <w:tcW w:w="1433" w:type="pct"/>
          </w:tcPr>
          <w:p w14:paraId="6A6A1C1B" w14:textId="77777777" w:rsidR="004F45BD" w:rsidRPr="004F45BD" w:rsidRDefault="004F45BD" w:rsidP="004F45BD">
            <w:pPr>
              <w:spacing w:line="276" w:lineRule="auto"/>
              <w:rPr>
                <w:sz w:val="22"/>
                <w:szCs w:val="22"/>
              </w:rPr>
            </w:pPr>
          </w:p>
        </w:tc>
        <w:tc>
          <w:tcPr>
            <w:tcW w:w="392" w:type="pct"/>
          </w:tcPr>
          <w:p w14:paraId="03C524C2" w14:textId="77777777" w:rsidR="004F45BD" w:rsidRPr="004F45BD" w:rsidRDefault="004F45BD" w:rsidP="004F45BD">
            <w:pPr>
              <w:spacing w:line="276" w:lineRule="auto"/>
              <w:jc w:val="center"/>
              <w:rPr>
                <w:sz w:val="22"/>
                <w:szCs w:val="22"/>
              </w:rPr>
            </w:pPr>
          </w:p>
        </w:tc>
        <w:tc>
          <w:tcPr>
            <w:tcW w:w="1555" w:type="pct"/>
            <w:gridSpan w:val="3"/>
            <w:tcBorders>
              <w:bottom w:val="single" w:sz="4" w:space="0" w:color="auto"/>
              <w:right w:val="single" w:sz="4" w:space="0" w:color="auto"/>
            </w:tcBorders>
          </w:tcPr>
          <w:p w14:paraId="3D1FDE00" w14:textId="2ED0C5D8" w:rsidR="004F45BD" w:rsidRPr="004F45BD" w:rsidRDefault="004F45BD" w:rsidP="004F45BD">
            <w:pPr>
              <w:spacing w:line="276" w:lineRule="auto"/>
              <w:jc w:val="center"/>
              <w:rPr>
                <w:sz w:val="22"/>
                <w:szCs w:val="22"/>
              </w:rPr>
            </w:pPr>
            <w:r w:rsidRPr="004F45BD">
              <w:rPr>
                <w:sz w:val="22"/>
                <w:szCs w:val="22"/>
              </w:rPr>
              <w:t>Legislative Acts</w:t>
            </w:r>
          </w:p>
        </w:tc>
        <w:tc>
          <w:tcPr>
            <w:tcW w:w="1620" w:type="pct"/>
            <w:gridSpan w:val="3"/>
            <w:tcBorders>
              <w:left w:val="single" w:sz="4" w:space="0" w:color="auto"/>
              <w:bottom w:val="single" w:sz="4" w:space="0" w:color="auto"/>
            </w:tcBorders>
          </w:tcPr>
          <w:p w14:paraId="7BA6278B" w14:textId="77777777" w:rsidR="004F45BD" w:rsidRPr="004F45BD" w:rsidRDefault="004F45BD" w:rsidP="004F45BD">
            <w:pPr>
              <w:spacing w:line="276" w:lineRule="auto"/>
              <w:jc w:val="center"/>
              <w:rPr>
                <w:sz w:val="22"/>
                <w:szCs w:val="22"/>
              </w:rPr>
            </w:pPr>
            <w:r w:rsidRPr="004F45BD">
              <w:rPr>
                <w:sz w:val="22"/>
                <w:szCs w:val="22"/>
              </w:rPr>
              <w:t>Executive Orders</w:t>
            </w:r>
          </w:p>
        </w:tc>
      </w:tr>
      <w:tr w:rsidR="004F45BD" w:rsidRPr="004F45BD" w14:paraId="2CF2A8EA" w14:textId="77777777" w:rsidTr="00994CA2">
        <w:trPr>
          <w:jc w:val="center"/>
        </w:trPr>
        <w:tc>
          <w:tcPr>
            <w:tcW w:w="1433" w:type="pct"/>
            <w:tcBorders>
              <w:bottom w:val="single" w:sz="4" w:space="0" w:color="auto"/>
            </w:tcBorders>
          </w:tcPr>
          <w:p w14:paraId="5673D8FA" w14:textId="04EE5094" w:rsidR="004F45BD" w:rsidRPr="004F45BD" w:rsidRDefault="004F45BD" w:rsidP="004F45BD">
            <w:pPr>
              <w:spacing w:line="276" w:lineRule="auto"/>
              <w:rPr>
                <w:sz w:val="22"/>
                <w:szCs w:val="22"/>
              </w:rPr>
            </w:pPr>
            <w:r w:rsidRPr="004F45BD">
              <w:rPr>
                <w:sz w:val="22"/>
                <w:szCs w:val="22"/>
              </w:rPr>
              <w:t>Null Hypothesis</w:t>
            </w:r>
          </w:p>
        </w:tc>
        <w:tc>
          <w:tcPr>
            <w:tcW w:w="392" w:type="pct"/>
            <w:tcBorders>
              <w:bottom w:val="single" w:sz="4" w:space="0" w:color="auto"/>
            </w:tcBorders>
            <w:vAlign w:val="center"/>
          </w:tcPr>
          <w:p w14:paraId="3557C896" w14:textId="77777777" w:rsidR="004F45BD" w:rsidRPr="004F45BD" w:rsidRDefault="004F45BD" w:rsidP="004F45BD">
            <w:pPr>
              <w:spacing w:line="276" w:lineRule="auto"/>
              <w:jc w:val="center"/>
              <w:rPr>
                <w:sz w:val="22"/>
                <w:szCs w:val="22"/>
              </w:rPr>
            </w:pPr>
            <w:r w:rsidRPr="004F45BD">
              <w:rPr>
                <w:sz w:val="22"/>
                <w:szCs w:val="22"/>
              </w:rPr>
              <w:t>Alt. Hypo.</w:t>
            </w:r>
          </w:p>
        </w:tc>
        <w:tc>
          <w:tcPr>
            <w:tcW w:w="504" w:type="pct"/>
            <w:tcBorders>
              <w:top w:val="single" w:sz="4" w:space="0" w:color="auto"/>
              <w:bottom w:val="single" w:sz="4" w:space="0" w:color="auto"/>
            </w:tcBorders>
            <w:vAlign w:val="center"/>
          </w:tcPr>
          <w:p w14:paraId="03B6ED33" w14:textId="77777777" w:rsidR="004F45BD" w:rsidRPr="004F45BD" w:rsidRDefault="004F45BD" w:rsidP="004F45BD">
            <w:pPr>
              <w:spacing w:line="276" w:lineRule="auto"/>
              <w:jc w:val="center"/>
              <w:rPr>
                <w:sz w:val="22"/>
                <w:szCs w:val="22"/>
              </w:rPr>
            </w:pPr>
            <w:r w:rsidRPr="004F45BD">
              <w:rPr>
                <w:sz w:val="22"/>
                <w:szCs w:val="22"/>
              </w:rPr>
              <w:t>All countries</w:t>
            </w:r>
          </w:p>
        </w:tc>
        <w:tc>
          <w:tcPr>
            <w:tcW w:w="528" w:type="pct"/>
            <w:tcBorders>
              <w:top w:val="single" w:sz="4" w:space="0" w:color="auto"/>
              <w:bottom w:val="single" w:sz="4" w:space="0" w:color="auto"/>
            </w:tcBorders>
            <w:vAlign w:val="center"/>
          </w:tcPr>
          <w:p w14:paraId="1BB674AD" w14:textId="77777777" w:rsidR="004F45BD" w:rsidRPr="004F45BD" w:rsidRDefault="004F45BD" w:rsidP="004F45BD">
            <w:pPr>
              <w:spacing w:line="276" w:lineRule="auto"/>
              <w:jc w:val="center"/>
              <w:rPr>
                <w:sz w:val="22"/>
                <w:szCs w:val="22"/>
              </w:rPr>
            </w:pPr>
            <w:r w:rsidRPr="004F45BD">
              <w:rPr>
                <w:sz w:val="22"/>
                <w:szCs w:val="22"/>
              </w:rPr>
              <w:t>OECD-EU countries</w:t>
            </w:r>
          </w:p>
        </w:tc>
        <w:tc>
          <w:tcPr>
            <w:tcW w:w="522" w:type="pct"/>
            <w:tcBorders>
              <w:top w:val="single" w:sz="4" w:space="0" w:color="auto"/>
              <w:bottom w:val="single" w:sz="4" w:space="0" w:color="auto"/>
              <w:right w:val="single" w:sz="4" w:space="0" w:color="auto"/>
            </w:tcBorders>
            <w:vAlign w:val="center"/>
          </w:tcPr>
          <w:p w14:paraId="41A6DEB3" w14:textId="77777777" w:rsidR="004F45BD" w:rsidRPr="004F45BD" w:rsidRDefault="004F45BD" w:rsidP="004F45BD">
            <w:pPr>
              <w:spacing w:line="276" w:lineRule="auto"/>
              <w:jc w:val="center"/>
              <w:rPr>
                <w:sz w:val="22"/>
                <w:szCs w:val="22"/>
              </w:rPr>
            </w:pPr>
            <w:r w:rsidRPr="004F45BD">
              <w:rPr>
                <w:sz w:val="22"/>
                <w:szCs w:val="22"/>
              </w:rPr>
              <w:t>Other countries</w:t>
            </w:r>
          </w:p>
        </w:tc>
        <w:tc>
          <w:tcPr>
            <w:tcW w:w="524" w:type="pct"/>
            <w:tcBorders>
              <w:top w:val="single" w:sz="4" w:space="0" w:color="auto"/>
              <w:left w:val="single" w:sz="4" w:space="0" w:color="auto"/>
              <w:bottom w:val="single" w:sz="4" w:space="0" w:color="auto"/>
            </w:tcBorders>
            <w:vAlign w:val="center"/>
          </w:tcPr>
          <w:p w14:paraId="3A74928E" w14:textId="77777777" w:rsidR="004F45BD" w:rsidRPr="004F45BD" w:rsidRDefault="004F45BD" w:rsidP="004F45BD">
            <w:pPr>
              <w:spacing w:line="276" w:lineRule="auto"/>
              <w:jc w:val="center"/>
              <w:rPr>
                <w:sz w:val="22"/>
                <w:szCs w:val="22"/>
              </w:rPr>
            </w:pPr>
            <w:r w:rsidRPr="004F45BD">
              <w:rPr>
                <w:sz w:val="22"/>
                <w:szCs w:val="22"/>
              </w:rPr>
              <w:t>All countries</w:t>
            </w:r>
          </w:p>
        </w:tc>
        <w:tc>
          <w:tcPr>
            <w:tcW w:w="548" w:type="pct"/>
            <w:tcBorders>
              <w:top w:val="single" w:sz="4" w:space="0" w:color="auto"/>
              <w:bottom w:val="single" w:sz="4" w:space="0" w:color="auto"/>
            </w:tcBorders>
            <w:vAlign w:val="center"/>
          </w:tcPr>
          <w:p w14:paraId="25273099" w14:textId="77777777" w:rsidR="004F45BD" w:rsidRPr="004F45BD" w:rsidRDefault="004F45BD" w:rsidP="004F45BD">
            <w:pPr>
              <w:spacing w:line="276" w:lineRule="auto"/>
              <w:jc w:val="center"/>
              <w:rPr>
                <w:sz w:val="22"/>
                <w:szCs w:val="22"/>
              </w:rPr>
            </w:pPr>
            <w:r w:rsidRPr="004F45BD">
              <w:rPr>
                <w:sz w:val="22"/>
                <w:szCs w:val="22"/>
              </w:rPr>
              <w:t>OECD-EU countries</w:t>
            </w:r>
          </w:p>
        </w:tc>
        <w:tc>
          <w:tcPr>
            <w:tcW w:w="549" w:type="pct"/>
            <w:tcBorders>
              <w:top w:val="single" w:sz="4" w:space="0" w:color="auto"/>
              <w:bottom w:val="single" w:sz="4" w:space="0" w:color="auto"/>
            </w:tcBorders>
            <w:vAlign w:val="center"/>
          </w:tcPr>
          <w:p w14:paraId="6B801D58" w14:textId="77777777" w:rsidR="004F45BD" w:rsidRPr="004F45BD" w:rsidRDefault="004F45BD" w:rsidP="004F45BD">
            <w:pPr>
              <w:spacing w:line="276" w:lineRule="auto"/>
              <w:jc w:val="center"/>
              <w:rPr>
                <w:sz w:val="22"/>
                <w:szCs w:val="22"/>
              </w:rPr>
            </w:pPr>
            <w:r w:rsidRPr="004F45BD">
              <w:rPr>
                <w:sz w:val="22"/>
                <w:szCs w:val="22"/>
              </w:rPr>
              <w:t>Other countries</w:t>
            </w:r>
          </w:p>
        </w:tc>
      </w:tr>
      <w:tr w:rsidR="004F45BD" w:rsidRPr="004F45BD" w14:paraId="07480A97" w14:textId="77777777" w:rsidTr="00994CA2">
        <w:trPr>
          <w:jc w:val="center"/>
        </w:trPr>
        <w:tc>
          <w:tcPr>
            <w:tcW w:w="5000" w:type="pct"/>
            <w:gridSpan w:val="8"/>
            <w:tcBorders>
              <w:left w:val="single" w:sz="4" w:space="0" w:color="auto"/>
            </w:tcBorders>
          </w:tcPr>
          <w:p w14:paraId="498ED32C" w14:textId="7C5D1CD6" w:rsidR="004F45BD" w:rsidRPr="004F45BD" w:rsidRDefault="004F45BD" w:rsidP="004F45BD">
            <w:pPr>
              <w:spacing w:line="360" w:lineRule="auto"/>
              <w:rPr>
                <w:sz w:val="22"/>
                <w:szCs w:val="22"/>
              </w:rPr>
            </w:pPr>
            <w:r w:rsidRPr="004F45BD">
              <w:rPr>
                <w:b/>
                <w:bCs/>
                <w:sz w:val="22"/>
                <w:szCs w:val="22"/>
              </w:rPr>
              <w:t>One-sample t test</w:t>
            </w:r>
          </w:p>
        </w:tc>
      </w:tr>
      <w:tr w:rsidR="004F45BD" w:rsidRPr="004F45BD" w14:paraId="14A23782" w14:textId="77777777" w:rsidTr="00994CA2">
        <w:trPr>
          <w:jc w:val="center"/>
        </w:trPr>
        <w:tc>
          <w:tcPr>
            <w:tcW w:w="1433" w:type="pct"/>
          </w:tcPr>
          <w:p w14:paraId="71CB00E5" w14:textId="77777777" w:rsidR="004F45BD" w:rsidRPr="004F45BD" w:rsidRDefault="004F45BD" w:rsidP="004F45BD">
            <w:pPr>
              <w:spacing w:line="360" w:lineRule="auto"/>
              <w:ind w:firstLine="314"/>
              <w:rPr>
                <w:sz w:val="22"/>
                <w:szCs w:val="22"/>
              </w:rPr>
            </w:pPr>
            <w:r w:rsidRPr="004F45BD">
              <w:rPr>
                <w:sz w:val="22"/>
                <w:szCs w:val="22"/>
              </w:rPr>
              <w:t>Left-wing score = 1</w:t>
            </w:r>
          </w:p>
        </w:tc>
        <w:tc>
          <w:tcPr>
            <w:tcW w:w="392" w:type="pct"/>
            <w:vAlign w:val="center"/>
          </w:tcPr>
          <w:p w14:paraId="13EE3A52" w14:textId="77777777" w:rsidR="004F45BD" w:rsidRPr="004F45BD" w:rsidRDefault="004F45BD" w:rsidP="00CB2D6D">
            <w:pPr>
              <w:spacing w:line="360" w:lineRule="auto"/>
              <w:jc w:val="center"/>
              <w:rPr>
                <w:sz w:val="22"/>
                <w:szCs w:val="22"/>
              </w:rPr>
            </w:pPr>
            <w:r w:rsidRPr="004F45BD">
              <w:rPr>
                <w:sz w:val="22"/>
                <w:szCs w:val="22"/>
              </w:rPr>
              <w:t>&lt; 1</w:t>
            </w:r>
          </w:p>
        </w:tc>
        <w:tc>
          <w:tcPr>
            <w:tcW w:w="504" w:type="pct"/>
            <w:vAlign w:val="center"/>
          </w:tcPr>
          <w:p w14:paraId="35400946"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74B07FB8"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3220A603"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3804B391"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27698856" w14:textId="77777777" w:rsidR="004F45BD" w:rsidRPr="004F45BD" w:rsidRDefault="004F45BD" w:rsidP="00CB2D6D">
            <w:pPr>
              <w:spacing w:line="360" w:lineRule="auto"/>
              <w:rPr>
                <w:sz w:val="22"/>
                <w:szCs w:val="22"/>
              </w:rPr>
            </w:pPr>
            <w:r w:rsidRPr="004F45BD">
              <w:rPr>
                <w:sz w:val="22"/>
                <w:szCs w:val="22"/>
              </w:rPr>
              <w:t>Rejected</w:t>
            </w:r>
          </w:p>
        </w:tc>
        <w:tc>
          <w:tcPr>
            <w:tcW w:w="549" w:type="pct"/>
            <w:vAlign w:val="center"/>
          </w:tcPr>
          <w:p w14:paraId="16A009BC" w14:textId="77777777" w:rsidR="004F45BD" w:rsidRPr="004F45BD" w:rsidRDefault="004F45BD" w:rsidP="00CB2D6D">
            <w:pPr>
              <w:spacing w:line="360" w:lineRule="auto"/>
              <w:rPr>
                <w:sz w:val="22"/>
                <w:szCs w:val="22"/>
              </w:rPr>
            </w:pPr>
            <w:r w:rsidRPr="004F45BD">
              <w:rPr>
                <w:sz w:val="22"/>
                <w:szCs w:val="22"/>
              </w:rPr>
              <w:t>Not rejected</w:t>
            </w:r>
          </w:p>
        </w:tc>
      </w:tr>
      <w:tr w:rsidR="004F45BD" w:rsidRPr="004F45BD" w14:paraId="1B53092B" w14:textId="77777777" w:rsidTr="00994CA2">
        <w:trPr>
          <w:jc w:val="center"/>
        </w:trPr>
        <w:tc>
          <w:tcPr>
            <w:tcW w:w="1433" w:type="pct"/>
          </w:tcPr>
          <w:p w14:paraId="2E383145" w14:textId="77777777" w:rsidR="004F45BD" w:rsidRPr="004F45BD" w:rsidRDefault="004F45BD" w:rsidP="004F45BD">
            <w:pPr>
              <w:spacing w:line="360" w:lineRule="auto"/>
              <w:ind w:firstLine="314"/>
              <w:rPr>
                <w:sz w:val="22"/>
                <w:szCs w:val="22"/>
              </w:rPr>
            </w:pPr>
          </w:p>
        </w:tc>
        <w:tc>
          <w:tcPr>
            <w:tcW w:w="392" w:type="pct"/>
            <w:vAlign w:val="center"/>
          </w:tcPr>
          <w:p w14:paraId="3CC70300" w14:textId="77777777" w:rsidR="004F45BD" w:rsidRPr="004F45BD" w:rsidRDefault="004F45BD" w:rsidP="00CB2D6D">
            <w:pPr>
              <w:spacing w:line="360" w:lineRule="auto"/>
              <w:jc w:val="center"/>
              <w:rPr>
                <w:sz w:val="22"/>
                <w:szCs w:val="22"/>
              </w:rPr>
            </w:pPr>
            <w:r w:rsidRPr="004F45BD">
              <w:rPr>
                <w:sz w:val="22"/>
                <w:szCs w:val="22"/>
              </w:rPr>
              <w:t>≠ 1</w:t>
            </w:r>
          </w:p>
        </w:tc>
        <w:tc>
          <w:tcPr>
            <w:tcW w:w="504" w:type="pct"/>
            <w:vAlign w:val="center"/>
          </w:tcPr>
          <w:p w14:paraId="39CAF629"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3A525099"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02EABEEC"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7AE52A6C"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44997567" w14:textId="77777777" w:rsidR="004F45BD" w:rsidRPr="004F45BD" w:rsidRDefault="004F45BD" w:rsidP="00CB2D6D">
            <w:pPr>
              <w:spacing w:line="360" w:lineRule="auto"/>
              <w:rPr>
                <w:sz w:val="22"/>
                <w:szCs w:val="22"/>
              </w:rPr>
            </w:pPr>
            <w:r w:rsidRPr="004F45BD">
              <w:rPr>
                <w:sz w:val="22"/>
                <w:szCs w:val="22"/>
              </w:rPr>
              <w:t>Rejected</w:t>
            </w:r>
          </w:p>
        </w:tc>
        <w:tc>
          <w:tcPr>
            <w:tcW w:w="549" w:type="pct"/>
            <w:vAlign w:val="center"/>
          </w:tcPr>
          <w:p w14:paraId="4E39D2A6" w14:textId="77777777" w:rsidR="004F45BD" w:rsidRPr="004F45BD" w:rsidRDefault="004F45BD" w:rsidP="00CB2D6D">
            <w:pPr>
              <w:spacing w:line="360" w:lineRule="auto"/>
              <w:rPr>
                <w:sz w:val="22"/>
                <w:szCs w:val="22"/>
              </w:rPr>
            </w:pPr>
            <w:r w:rsidRPr="004F45BD">
              <w:rPr>
                <w:sz w:val="22"/>
                <w:szCs w:val="22"/>
              </w:rPr>
              <w:t>Rejected</w:t>
            </w:r>
          </w:p>
        </w:tc>
      </w:tr>
      <w:tr w:rsidR="004F45BD" w:rsidRPr="004F45BD" w14:paraId="0A076881" w14:textId="77777777" w:rsidTr="00994CA2">
        <w:trPr>
          <w:jc w:val="center"/>
        </w:trPr>
        <w:tc>
          <w:tcPr>
            <w:tcW w:w="1433" w:type="pct"/>
          </w:tcPr>
          <w:p w14:paraId="5B936872" w14:textId="77777777" w:rsidR="004F45BD" w:rsidRPr="004F45BD" w:rsidRDefault="004F45BD" w:rsidP="004F45BD">
            <w:pPr>
              <w:spacing w:line="360" w:lineRule="auto"/>
              <w:ind w:firstLine="314"/>
              <w:rPr>
                <w:sz w:val="22"/>
                <w:szCs w:val="22"/>
              </w:rPr>
            </w:pPr>
          </w:p>
        </w:tc>
        <w:tc>
          <w:tcPr>
            <w:tcW w:w="392" w:type="pct"/>
            <w:vAlign w:val="center"/>
          </w:tcPr>
          <w:p w14:paraId="411AD599" w14:textId="77777777" w:rsidR="004F45BD" w:rsidRPr="004F45BD" w:rsidRDefault="004F45BD" w:rsidP="00CB2D6D">
            <w:pPr>
              <w:spacing w:line="360" w:lineRule="auto"/>
              <w:jc w:val="center"/>
              <w:rPr>
                <w:sz w:val="22"/>
                <w:szCs w:val="22"/>
              </w:rPr>
            </w:pPr>
            <w:r w:rsidRPr="004F45BD">
              <w:rPr>
                <w:sz w:val="22"/>
                <w:szCs w:val="22"/>
              </w:rPr>
              <w:t>&gt; 1</w:t>
            </w:r>
          </w:p>
        </w:tc>
        <w:tc>
          <w:tcPr>
            <w:tcW w:w="504" w:type="pct"/>
            <w:vAlign w:val="center"/>
          </w:tcPr>
          <w:p w14:paraId="3D8135E9"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20FDF1A1"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492B79FD"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5AA1314A"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74ECBC25"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38FAD698" w14:textId="77777777" w:rsidR="004F45BD" w:rsidRPr="004F45BD" w:rsidRDefault="004F45BD" w:rsidP="00CB2D6D">
            <w:pPr>
              <w:spacing w:line="360" w:lineRule="auto"/>
              <w:rPr>
                <w:sz w:val="22"/>
                <w:szCs w:val="22"/>
              </w:rPr>
            </w:pPr>
            <w:r w:rsidRPr="004F45BD">
              <w:rPr>
                <w:sz w:val="22"/>
                <w:szCs w:val="22"/>
              </w:rPr>
              <w:t>Rejected</w:t>
            </w:r>
          </w:p>
        </w:tc>
      </w:tr>
      <w:tr w:rsidR="004F45BD" w:rsidRPr="004F45BD" w14:paraId="6A727BD8" w14:textId="77777777" w:rsidTr="00994CA2">
        <w:trPr>
          <w:jc w:val="center"/>
        </w:trPr>
        <w:tc>
          <w:tcPr>
            <w:tcW w:w="1433" w:type="pct"/>
          </w:tcPr>
          <w:p w14:paraId="4B3903A6" w14:textId="77777777" w:rsidR="004F45BD" w:rsidRPr="004F45BD" w:rsidRDefault="004F45BD" w:rsidP="004F45BD">
            <w:pPr>
              <w:spacing w:line="360" w:lineRule="auto"/>
              <w:ind w:firstLine="314"/>
              <w:rPr>
                <w:sz w:val="22"/>
                <w:szCs w:val="22"/>
              </w:rPr>
            </w:pPr>
            <w:r w:rsidRPr="004F45BD">
              <w:rPr>
                <w:sz w:val="22"/>
                <w:szCs w:val="22"/>
              </w:rPr>
              <w:t>Center score = 1</w:t>
            </w:r>
          </w:p>
        </w:tc>
        <w:tc>
          <w:tcPr>
            <w:tcW w:w="392" w:type="pct"/>
            <w:vAlign w:val="center"/>
          </w:tcPr>
          <w:p w14:paraId="654DD5DD" w14:textId="77777777" w:rsidR="004F45BD" w:rsidRPr="004F45BD" w:rsidRDefault="004F45BD" w:rsidP="00CB2D6D">
            <w:pPr>
              <w:spacing w:line="360" w:lineRule="auto"/>
              <w:jc w:val="center"/>
              <w:rPr>
                <w:sz w:val="22"/>
                <w:szCs w:val="22"/>
              </w:rPr>
            </w:pPr>
            <w:r w:rsidRPr="004F45BD">
              <w:rPr>
                <w:sz w:val="22"/>
                <w:szCs w:val="22"/>
              </w:rPr>
              <w:t>&lt; 1</w:t>
            </w:r>
          </w:p>
        </w:tc>
        <w:tc>
          <w:tcPr>
            <w:tcW w:w="504" w:type="pct"/>
            <w:vAlign w:val="center"/>
          </w:tcPr>
          <w:p w14:paraId="761261F6"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3A452309"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095DF61A"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294E375E"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38AECEAA"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253B2E78" w14:textId="77777777" w:rsidR="004F45BD" w:rsidRPr="004F45BD" w:rsidRDefault="004F45BD" w:rsidP="00CB2D6D">
            <w:pPr>
              <w:spacing w:line="360" w:lineRule="auto"/>
              <w:rPr>
                <w:sz w:val="22"/>
                <w:szCs w:val="22"/>
              </w:rPr>
            </w:pPr>
            <w:r w:rsidRPr="004F45BD">
              <w:rPr>
                <w:sz w:val="22"/>
                <w:szCs w:val="22"/>
              </w:rPr>
              <w:t>Not rejected</w:t>
            </w:r>
          </w:p>
        </w:tc>
      </w:tr>
      <w:tr w:rsidR="004F45BD" w:rsidRPr="004F45BD" w14:paraId="092B66F6" w14:textId="77777777" w:rsidTr="00994CA2">
        <w:trPr>
          <w:jc w:val="center"/>
        </w:trPr>
        <w:tc>
          <w:tcPr>
            <w:tcW w:w="1433" w:type="pct"/>
          </w:tcPr>
          <w:p w14:paraId="45060DE5" w14:textId="77777777" w:rsidR="004F45BD" w:rsidRPr="004F45BD" w:rsidRDefault="004F45BD" w:rsidP="004F45BD">
            <w:pPr>
              <w:spacing w:line="360" w:lineRule="auto"/>
              <w:ind w:firstLine="314"/>
              <w:rPr>
                <w:sz w:val="22"/>
                <w:szCs w:val="22"/>
              </w:rPr>
            </w:pPr>
          </w:p>
        </w:tc>
        <w:tc>
          <w:tcPr>
            <w:tcW w:w="392" w:type="pct"/>
            <w:vAlign w:val="center"/>
          </w:tcPr>
          <w:p w14:paraId="144FF0C5" w14:textId="77777777" w:rsidR="004F45BD" w:rsidRPr="004F45BD" w:rsidRDefault="004F45BD" w:rsidP="00CB2D6D">
            <w:pPr>
              <w:spacing w:line="360" w:lineRule="auto"/>
              <w:jc w:val="center"/>
              <w:rPr>
                <w:sz w:val="22"/>
                <w:szCs w:val="22"/>
              </w:rPr>
            </w:pPr>
            <w:r w:rsidRPr="004F45BD">
              <w:rPr>
                <w:sz w:val="22"/>
                <w:szCs w:val="22"/>
              </w:rPr>
              <w:t>≠ 1</w:t>
            </w:r>
          </w:p>
        </w:tc>
        <w:tc>
          <w:tcPr>
            <w:tcW w:w="504" w:type="pct"/>
            <w:vAlign w:val="center"/>
          </w:tcPr>
          <w:p w14:paraId="59D48297"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48A2D091"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2928323A"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70205E81"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24D66749"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50452F10" w14:textId="77777777" w:rsidR="004F45BD" w:rsidRPr="004F45BD" w:rsidRDefault="004F45BD" w:rsidP="00CB2D6D">
            <w:pPr>
              <w:spacing w:line="360" w:lineRule="auto"/>
              <w:rPr>
                <w:sz w:val="22"/>
                <w:szCs w:val="22"/>
              </w:rPr>
            </w:pPr>
            <w:r w:rsidRPr="004F45BD">
              <w:rPr>
                <w:sz w:val="22"/>
                <w:szCs w:val="22"/>
              </w:rPr>
              <w:t>Not rejected</w:t>
            </w:r>
          </w:p>
        </w:tc>
      </w:tr>
      <w:tr w:rsidR="004F45BD" w:rsidRPr="004F45BD" w14:paraId="325FFA9D" w14:textId="77777777" w:rsidTr="00994CA2">
        <w:trPr>
          <w:jc w:val="center"/>
        </w:trPr>
        <w:tc>
          <w:tcPr>
            <w:tcW w:w="1433" w:type="pct"/>
          </w:tcPr>
          <w:p w14:paraId="61199F4A" w14:textId="77777777" w:rsidR="004F45BD" w:rsidRPr="004F45BD" w:rsidRDefault="004F45BD" w:rsidP="004F45BD">
            <w:pPr>
              <w:spacing w:line="360" w:lineRule="auto"/>
              <w:ind w:firstLine="314"/>
              <w:rPr>
                <w:sz w:val="22"/>
                <w:szCs w:val="22"/>
              </w:rPr>
            </w:pPr>
          </w:p>
        </w:tc>
        <w:tc>
          <w:tcPr>
            <w:tcW w:w="392" w:type="pct"/>
            <w:vAlign w:val="center"/>
          </w:tcPr>
          <w:p w14:paraId="2F00D55E" w14:textId="77777777" w:rsidR="004F45BD" w:rsidRPr="004F45BD" w:rsidRDefault="004F45BD" w:rsidP="00CB2D6D">
            <w:pPr>
              <w:spacing w:line="360" w:lineRule="auto"/>
              <w:jc w:val="center"/>
              <w:rPr>
                <w:sz w:val="22"/>
                <w:szCs w:val="22"/>
              </w:rPr>
            </w:pPr>
            <w:r w:rsidRPr="004F45BD">
              <w:rPr>
                <w:sz w:val="22"/>
                <w:szCs w:val="22"/>
              </w:rPr>
              <w:t>&gt; 1</w:t>
            </w:r>
          </w:p>
        </w:tc>
        <w:tc>
          <w:tcPr>
            <w:tcW w:w="504" w:type="pct"/>
            <w:vAlign w:val="center"/>
          </w:tcPr>
          <w:p w14:paraId="4E0637D0"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5F97F709"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63ECF141"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01178C45" w14:textId="77777777" w:rsidR="004F45BD" w:rsidRPr="004F45BD" w:rsidRDefault="004F45BD" w:rsidP="00CB2D6D">
            <w:pPr>
              <w:spacing w:line="360" w:lineRule="auto"/>
              <w:rPr>
                <w:sz w:val="22"/>
                <w:szCs w:val="22"/>
              </w:rPr>
            </w:pPr>
            <w:r w:rsidRPr="004F45BD">
              <w:rPr>
                <w:sz w:val="22"/>
                <w:szCs w:val="22"/>
              </w:rPr>
              <w:t>Rejected</w:t>
            </w:r>
          </w:p>
        </w:tc>
        <w:tc>
          <w:tcPr>
            <w:tcW w:w="548" w:type="pct"/>
            <w:vAlign w:val="center"/>
          </w:tcPr>
          <w:p w14:paraId="7F6CEAA9"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10734D0F" w14:textId="77777777" w:rsidR="004F45BD" w:rsidRPr="004F45BD" w:rsidRDefault="004F45BD" w:rsidP="00CB2D6D">
            <w:pPr>
              <w:spacing w:line="360" w:lineRule="auto"/>
              <w:rPr>
                <w:sz w:val="22"/>
                <w:szCs w:val="22"/>
              </w:rPr>
            </w:pPr>
            <w:r w:rsidRPr="004F45BD">
              <w:rPr>
                <w:sz w:val="22"/>
                <w:szCs w:val="22"/>
              </w:rPr>
              <w:t>Not rejected</w:t>
            </w:r>
          </w:p>
        </w:tc>
      </w:tr>
      <w:tr w:rsidR="004F45BD" w:rsidRPr="004F45BD" w14:paraId="2FCB161A" w14:textId="77777777" w:rsidTr="00994CA2">
        <w:trPr>
          <w:jc w:val="center"/>
        </w:trPr>
        <w:tc>
          <w:tcPr>
            <w:tcW w:w="1433" w:type="pct"/>
          </w:tcPr>
          <w:p w14:paraId="67D23F8C" w14:textId="77777777" w:rsidR="004F45BD" w:rsidRPr="004F45BD" w:rsidRDefault="004F45BD" w:rsidP="004F45BD">
            <w:pPr>
              <w:spacing w:line="360" w:lineRule="auto"/>
              <w:ind w:firstLine="314"/>
              <w:rPr>
                <w:sz w:val="22"/>
                <w:szCs w:val="22"/>
              </w:rPr>
            </w:pPr>
            <w:r w:rsidRPr="004F45BD">
              <w:rPr>
                <w:sz w:val="22"/>
                <w:szCs w:val="22"/>
              </w:rPr>
              <w:t>Right-wing score = 1</w:t>
            </w:r>
          </w:p>
        </w:tc>
        <w:tc>
          <w:tcPr>
            <w:tcW w:w="392" w:type="pct"/>
            <w:vAlign w:val="center"/>
          </w:tcPr>
          <w:p w14:paraId="07DCDB85" w14:textId="77777777" w:rsidR="004F45BD" w:rsidRPr="004F45BD" w:rsidRDefault="004F45BD" w:rsidP="00CB2D6D">
            <w:pPr>
              <w:spacing w:line="360" w:lineRule="auto"/>
              <w:jc w:val="center"/>
              <w:rPr>
                <w:sz w:val="22"/>
                <w:szCs w:val="22"/>
              </w:rPr>
            </w:pPr>
            <w:r w:rsidRPr="004F45BD">
              <w:rPr>
                <w:sz w:val="22"/>
                <w:szCs w:val="22"/>
              </w:rPr>
              <w:t>&lt; 1</w:t>
            </w:r>
          </w:p>
        </w:tc>
        <w:tc>
          <w:tcPr>
            <w:tcW w:w="504" w:type="pct"/>
            <w:vAlign w:val="center"/>
          </w:tcPr>
          <w:p w14:paraId="3EDE21E2"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6AC6A727"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62076B04"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393A26BE" w14:textId="77777777" w:rsidR="004F45BD" w:rsidRPr="004F45BD" w:rsidRDefault="004F45BD" w:rsidP="00CB2D6D">
            <w:pPr>
              <w:spacing w:line="360" w:lineRule="auto"/>
              <w:rPr>
                <w:sz w:val="22"/>
                <w:szCs w:val="22"/>
              </w:rPr>
            </w:pPr>
            <w:r w:rsidRPr="004F45BD">
              <w:rPr>
                <w:sz w:val="22"/>
                <w:szCs w:val="22"/>
              </w:rPr>
              <w:t>Rejected</w:t>
            </w:r>
          </w:p>
        </w:tc>
        <w:tc>
          <w:tcPr>
            <w:tcW w:w="548" w:type="pct"/>
            <w:vAlign w:val="center"/>
          </w:tcPr>
          <w:p w14:paraId="06ED0657"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4E18FDBD" w14:textId="77777777" w:rsidR="004F45BD" w:rsidRPr="004F45BD" w:rsidRDefault="004F45BD" w:rsidP="00CB2D6D">
            <w:pPr>
              <w:spacing w:line="360" w:lineRule="auto"/>
              <w:rPr>
                <w:sz w:val="22"/>
                <w:szCs w:val="22"/>
              </w:rPr>
            </w:pPr>
            <w:r w:rsidRPr="004F45BD">
              <w:rPr>
                <w:sz w:val="22"/>
                <w:szCs w:val="22"/>
              </w:rPr>
              <w:t>Rejected</w:t>
            </w:r>
          </w:p>
        </w:tc>
      </w:tr>
      <w:tr w:rsidR="004F45BD" w:rsidRPr="004F45BD" w14:paraId="47341320" w14:textId="77777777" w:rsidTr="00994CA2">
        <w:trPr>
          <w:jc w:val="center"/>
        </w:trPr>
        <w:tc>
          <w:tcPr>
            <w:tcW w:w="1433" w:type="pct"/>
          </w:tcPr>
          <w:p w14:paraId="1D1BA024" w14:textId="77777777" w:rsidR="004F45BD" w:rsidRPr="004F45BD" w:rsidRDefault="004F45BD" w:rsidP="004F45BD">
            <w:pPr>
              <w:spacing w:line="360" w:lineRule="auto"/>
              <w:rPr>
                <w:sz w:val="22"/>
                <w:szCs w:val="22"/>
              </w:rPr>
            </w:pPr>
          </w:p>
        </w:tc>
        <w:tc>
          <w:tcPr>
            <w:tcW w:w="392" w:type="pct"/>
            <w:vAlign w:val="center"/>
          </w:tcPr>
          <w:p w14:paraId="47DB3D80" w14:textId="77777777" w:rsidR="004F45BD" w:rsidRPr="004F45BD" w:rsidRDefault="004F45BD" w:rsidP="00CB2D6D">
            <w:pPr>
              <w:spacing w:line="360" w:lineRule="auto"/>
              <w:jc w:val="center"/>
              <w:rPr>
                <w:sz w:val="22"/>
                <w:szCs w:val="22"/>
              </w:rPr>
            </w:pPr>
            <w:r w:rsidRPr="004F45BD">
              <w:rPr>
                <w:sz w:val="22"/>
                <w:szCs w:val="22"/>
              </w:rPr>
              <w:t>≠ 1</w:t>
            </w:r>
          </w:p>
        </w:tc>
        <w:tc>
          <w:tcPr>
            <w:tcW w:w="504" w:type="pct"/>
            <w:vAlign w:val="center"/>
          </w:tcPr>
          <w:p w14:paraId="40D328B9"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7FCE1725"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205AF3C2"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09BE9809" w14:textId="77777777" w:rsidR="004F45BD" w:rsidRPr="004F45BD" w:rsidRDefault="004F45BD" w:rsidP="00CB2D6D">
            <w:pPr>
              <w:spacing w:line="360" w:lineRule="auto"/>
              <w:rPr>
                <w:sz w:val="22"/>
                <w:szCs w:val="22"/>
              </w:rPr>
            </w:pPr>
            <w:r w:rsidRPr="004F45BD">
              <w:rPr>
                <w:sz w:val="22"/>
                <w:szCs w:val="22"/>
              </w:rPr>
              <w:t>Rejected</w:t>
            </w:r>
          </w:p>
        </w:tc>
        <w:tc>
          <w:tcPr>
            <w:tcW w:w="548" w:type="pct"/>
            <w:vAlign w:val="center"/>
          </w:tcPr>
          <w:p w14:paraId="6FDB4C16"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4B02D862" w14:textId="77777777" w:rsidR="004F45BD" w:rsidRPr="004F45BD" w:rsidRDefault="004F45BD" w:rsidP="00CB2D6D">
            <w:pPr>
              <w:spacing w:line="360" w:lineRule="auto"/>
              <w:rPr>
                <w:sz w:val="22"/>
                <w:szCs w:val="22"/>
              </w:rPr>
            </w:pPr>
            <w:r w:rsidRPr="004F45BD">
              <w:rPr>
                <w:sz w:val="22"/>
                <w:szCs w:val="22"/>
              </w:rPr>
              <w:t>Rejected</w:t>
            </w:r>
          </w:p>
        </w:tc>
      </w:tr>
      <w:tr w:rsidR="004F45BD" w:rsidRPr="004F45BD" w14:paraId="33C432A2" w14:textId="77777777" w:rsidTr="00994CA2">
        <w:trPr>
          <w:jc w:val="center"/>
        </w:trPr>
        <w:tc>
          <w:tcPr>
            <w:tcW w:w="1433" w:type="pct"/>
          </w:tcPr>
          <w:p w14:paraId="33CE7F34" w14:textId="77777777" w:rsidR="004F45BD" w:rsidRPr="004F45BD" w:rsidRDefault="004F45BD" w:rsidP="004F45BD">
            <w:pPr>
              <w:spacing w:line="360" w:lineRule="auto"/>
              <w:rPr>
                <w:sz w:val="22"/>
                <w:szCs w:val="22"/>
              </w:rPr>
            </w:pPr>
          </w:p>
        </w:tc>
        <w:tc>
          <w:tcPr>
            <w:tcW w:w="392" w:type="pct"/>
            <w:vAlign w:val="center"/>
          </w:tcPr>
          <w:p w14:paraId="13F2B9CC" w14:textId="77777777" w:rsidR="004F45BD" w:rsidRPr="004F45BD" w:rsidRDefault="004F45BD" w:rsidP="00CB2D6D">
            <w:pPr>
              <w:spacing w:line="360" w:lineRule="auto"/>
              <w:jc w:val="center"/>
              <w:rPr>
                <w:sz w:val="22"/>
                <w:szCs w:val="22"/>
              </w:rPr>
            </w:pPr>
            <w:r w:rsidRPr="004F45BD">
              <w:rPr>
                <w:sz w:val="22"/>
                <w:szCs w:val="22"/>
              </w:rPr>
              <w:t>&gt; 1</w:t>
            </w:r>
          </w:p>
        </w:tc>
        <w:tc>
          <w:tcPr>
            <w:tcW w:w="504" w:type="pct"/>
            <w:vAlign w:val="center"/>
          </w:tcPr>
          <w:p w14:paraId="61CE7AA9"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49447E09" w14:textId="77777777" w:rsidR="004F45BD" w:rsidRPr="004F45BD" w:rsidRDefault="004F45BD" w:rsidP="00CB2D6D">
            <w:pPr>
              <w:spacing w:line="360" w:lineRule="auto"/>
              <w:rPr>
                <w:sz w:val="22"/>
                <w:szCs w:val="22"/>
              </w:rPr>
            </w:pPr>
            <w:r w:rsidRPr="004F45BD">
              <w:rPr>
                <w:sz w:val="22"/>
                <w:szCs w:val="22"/>
              </w:rPr>
              <w:t>Not rejected</w:t>
            </w:r>
          </w:p>
        </w:tc>
        <w:tc>
          <w:tcPr>
            <w:tcW w:w="522" w:type="pct"/>
            <w:tcBorders>
              <w:right w:val="single" w:sz="4" w:space="0" w:color="auto"/>
            </w:tcBorders>
            <w:vAlign w:val="center"/>
          </w:tcPr>
          <w:p w14:paraId="63A3F489" w14:textId="77777777" w:rsidR="004F45BD" w:rsidRPr="004F45BD" w:rsidRDefault="004F45BD" w:rsidP="00CB2D6D">
            <w:pPr>
              <w:spacing w:line="360" w:lineRule="auto"/>
              <w:rPr>
                <w:sz w:val="22"/>
                <w:szCs w:val="22"/>
              </w:rPr>
            </w:pPr>
            <w:r w:rsidRPr="004F45BD">
              <w:rPr>
                <w:sz w:val="22"/>
                <w:szCs w:val="22"/>
              </w:rPr>
              <w:t>Not rejected</w:t>
            </w:r>
          </w:p>
        </w:tc>
        <w:tc>
          <w:tcPr>
            <w:tcW w:w="524" w:type="pct"/>
            <w:tcBorders>
              <w:left w:val="single" w:sz="4" w:space="0" w:color="auto"/>
            </w:tcBorders>
            <w:vAlign w:val="center"/>
          </w:tcPr>
          <w:p w14:paraId="41999487" w14:textId="77777777" w:rsidR="004F45BD" w:rsidRPr="004F45BD" w:rsidRDefault="004F45BD" w:rsidP="00CB2D6D">
            <w:pPr>
              <w:spacing w:line="360" w:lineRule="auto"/>
              <w:rPr>
                <w:sz w:val="22"/>
                <w:szCs w:val="22"/>
              </w:rPr>
            </w:pPr>
            <w:r w:rsidRPr="004F45BD">
              <w:rPr>
                <w:sz w:val="22"/>
                <w:szCs w:val="22"/>
              </w:rPr>
              <w:t>Not rejected</w:t>
            </w:r>
          </w:p>
        </w:tc>
        <w:tc>
          <w:tcPr>
            <w:tcW w:w="548" w:type="pct"/>
            <w:vAlign w:val="center"/>
          </w:tcPr>
          <w:p w14:paraId="3BE3DCC7" w14:textId="77777777" w:rsidR="004F45BD" w:rsidRPr="004F45BD" w:rsidRDefault="004F45BD" w:rsidP="00CB2D6D">
            <w:pPr>
              <w:spacing w:line="360" w:lineRule="auto"/>
              <w:rPr>
                <w:sz w:val="22"/>
                <w:szCs w:val="22"/>
              </w:rPr>
            </w:pPr>
            <w:r w:rsidRPr="004F45BD">
              <w:rPr>
                <w:sz w:val="22"/>
                <w:szCs w:val="22"/>
              </w:rPr>
              <w:t>Not rejected</w:t>
            </w:r>
          </w:p>
        </w:tc>
        <w:tc>
          <w:tcPr>
            <w:tcW w:w="549" w:type="pct"/>
            <w:vAlign w:val="center"/>
          </w:tcPr>
          <w:p w14:paraId="2F99A10D" w14:textId="77777777" w:rsidR="004F45BD" w:rsidRPr="004F45BD" w:rsidRDefault="004F45BD" w:rsidP="00CB2D6D">
            <w:pPr>
              <w:spacing w:line="360" w:lineRule="auto"/>
              <w:rPr>
                <w:sz w:val="22"/>
                <w:szCs w:val="22"/>
              </w:rPr>
            </w:pPr>
            <w:r w:rsidRPr="004F45BD">
              <w:rPr>
                <w:sz w:val="22"/>
                <w:szCs w:val="22"/>
              </w:rPr>
              <w:t>Not rejected</w:t>
            </w:r>
          </w:p>
        </w:tc>
      </w:tr>
      <w:tr w:rsidR="004F45BD" w:rsidRPr="004F45BD" w14:paraId="1322C3CA" w14:textId="77777777" w:rsidTr="00994CA2">
        <w:trPr>
          <w:jc w:val="center"/>
        </w:trPr>
        <w:tc>
          <w:tcPr>
            <w:tcW w:w="5000" w:type="pct"/>
            <w:gridSpan w:val="8"/>
            <w:tcBorders>
              <w:left w:val="single" w:sz="4" w:space="0" w:color="auto"/>
            </w:tcBorders>
          </w:tcPr>
          <w:p w14:paraId="39FF5313" w14:textId="55EE6E08" w:rsidR="004F45BD" w:rsidRPr="004F45BD" w:rsidRDefault="004F45BD" w:rsidP="004F45BD">
            <w:pPr>
              <w:spacing w:line="360" w:lineRule="auto"/>
              <w:rPr>
                <w:sz w:val="22"/>
                <w:szCs w:val="22"/>
              </w:rPr>
            </w:pPr>
            <w:r w:rsidRPr="004F45BD">
              <w:rPr>
                <w:b/>
                <w:bCs/>
                <w:sz w:val="22"/>
                <w:szCs w:val="22"/>
              </w:rPr>
              <w:t>Two-sample Wilcoxon rank-sum (Mann-Whitney) test</w:t>
            </w:r>
          </w:p>
        </w:tc>
      </w:tr>
      <w:tr w:rsidR="004F45BD" w:rsidRPr="004F45BD" w14:paraId="7C9633D9" w14:textId="77777777" w:rsidTr="00994CA2">
        <w:trPr>
          <w:jc w:val="center"/>
        </w:trPr>
        <w:tc>
          <w:tcPr>
            <w:tcW w:w="1433" w:type="pct"/>
          </w:tcPr>
          <w:p w14:paraId="37BDE597" w14:textId="77777777" w:rsidR="004F45BD" w:rsidRPr="004F45BD" w:rsidRDefault="004F45BD" w:rsidP="004F45BD">
            <w:pPr>
              <w:spacing w:line="360" w:lineRule="auto"/>
              <w:rPr>
                <w:sz w:val="22"/>
                <w:szCs w:val="22"/>
              </w:rPr>
            </w:pPr>
            <w:r w:rsidRPr="004F45BD">
              <w:rPr>
                <w:sz w:val="22"/>
                <w:szCs w:val="22"/>
              </w:rPr>
              <w:t xml:space="preserve">Left-wing score: </w:t>
            </w:r>
          </w:p>
          <w:p w14:paraId="0B1D9718" w14:textId="77777777" w:rsidR="004F45BD" w:rsidRPr="004F45BD" w:rsidRDefault="004F45BD" w:rsidP="004F45BD">
            <w:pPr>
              <w:spacing w:line="360" w:lineRule="auto"/>
              <w:rPr>
                <w:sz w:val="22"/>
                <w:szCs w:val="22"/>
              </w:rPr>
            </w:pPr>
            <w:r w:rsidRPr="004F45BD">
              <w:rPr>
                <w:sz w:val="22"/>
                <w:szCs w:val="22"/>
              </w:rPr>
              <w:t xml:space="preserve">OECD-EU countries = Other countries </w:t>
            </w:r>
          </w:p>
        </w:tc>
        <w:tc>
          <w:tcPr>
            <w:tcW w:w="392" w:type="pct"/>
            <w:vAlign w:val="center"/>
          </w:tcPr>
          <w:p w14:paraId="093A20E7" w14:textId="77777777" w:rsidR="004F45BD" w:rsidRPr="004F45BD" w:rsidRDefault="004F45BD" w:rsidP="00CB2D6D">
            <w:pPr>
              <w:spacing w:line="360" w:lineRule="auto"/>
              <w:jc w:val="center"/>
              <w:rPr>
                <w:sz w:val="22"/>
                <w:szCs w:val="22"/>
              </w:rPr>
            </w:pPr>
            <w:r w:rsidRPr="004F45BD">
              <w:rPr>
                <w:sz w:val="22"/>
                <w:szCs w:val="22"/>
              </w:rPr>
              <w:t>≠</w:t>
            </w:r>
          </w:p>
        </w:tc>
        <w:tc>
          <w:tcPr>
            <w:tcW w:w="504" w:type="pct"/>
            <w:vAlign w:val="center"/>
          </w:tcPr>
          <w:p w14:paraId="160D05B4"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0CA07E52" w14:textId="77777777" w:rsidR="004F45BD" w:rsidRPr="004F45BD" w:rsidRDefault="004F45BD" w:rsidP="00CB2D6D">
            <w:pPr>
              <w:spacing w:line="360" w:lineRule="auto"/>
              <w:rPr>
                <w:sz w:val="22"/>
                <w:szCs w:val="22"/>
              </w:rPr>
            </w:pPr>
          </w:p>
        </w:tc>
        <w:tc>
          <w:tcPr>
            <w:tcW w:w="522" w:type="pct"/>
            <w:tcBorders>
              <w:right w:val="single" w:sz="4" w:space="0" w:color="auto"/>
            </w:tcBorders>
            <w:vAlign w:val="center"/>
          </w:tcPr>
          <w:p w14:paraId="041ABE8C" w14:textId="77777777" w:rsidR="004F45BD" w:rsidRPr="004F45BD" w:rsidRDefault="004F45BD" w:rsidP="00CB2D6D">
            <w:pPr>
              <w:spacing w:line="360" w:lineRule="auto"/>
              <w:rPr>
                <w:sz w:val="22"/>
                <w:szCs w:val="22"/>
              </w:rPr>
            </w:pPr>
          </w:p>
        </w:tc>
        <w:tc>
          <w:tcPr>
            <w:tcW w:w="524" w:type="pct"/>
            <w:tcBorders>
              <w:left w:val="single" w:sz="4" w:space="0" w:color="auto"/>
            </w:tcBorders>
            <w:vAlign w:val="center"/>
          </w:tcPr>
          <w:p w14:paraId="31690227" w14:textId="77777777" w:rsidR="004F45BD" w:rsidRPr="004F45BD" w:rsidRDefault="004F45BD" w:rsidP="00CB2D6D">
            <w:pPr>
              <w:spacing w:line="360" w:lineRule="auto"/>
              <w:rPr>
                <w:sz w:val="22"/>
                <w:szCs w:val="22"/>
              </w:rPr>
            </w:pPr>
            <w:r w:rsidRPr="004F45BD">
              <w:rPr>
                <w:sz w:val="22"/>
                <w:szCs w:val="22"/>
              </w:rPr>
              <w:t>Rejected</w:t>
            </w:r>
          </w:p>
        </w:tc>
        <w:tc>
          <w:tcPr>
            <w:tcW w:w="548" w:type="pct"/>
          </w:tcPr>
          <w:p w14:paraId="24846F28" w14:textId="77777777" w:rsidR="004F45BD" w:rsidRPr="004F45BD" w:rsidRDefault="004F45BD" w:rsidP="004F45BD">
            <w:pPr>
              <w:spacing w:line="360" w:lineRule="auto"/>
              <w:rPr>
                <w:sz w:val="22"/>
                <w:szCs w:val="22"/>
              </w:rPr>
            </w:pPr>
          </w:p>
        </w:tc>
        <w:tc>
          <w:tcPr>
            <w:tcW w:w="549" w:type="pct"/>
          </w:tcPr>
          <w:p w14:paraId="07A914F8" w14:textId="77777777" w:rsidR="004F45BD" w:rsidRPr="004F45BD" w:rsidRDefault="004F45BD" w:rsidP="004F45BD">
            <w:pPr>
              <w:spacing w:line="360" w:lineRule="auto"/>
              <w:rPr>
                <w:sz w:val="22"/>
                <w:szCs w:val="22"/>
              </w:rPr>
            </w:pPr>
          </w:p>
        </w:tc>
      </w:tr>
      <w:tr w:rsidR="004F45BD" w:rsidRPr="004F45BD" w14:paraId="043EAE7D" w14:textId="77777777" w:rsidTr="00994CA2">
        <w:trPr>
          <w:jc w:val="center"/>
        </w:trPr>
        <w:tc>
          <w:tcPr>
            <w:tcW w:w="1433" w:type="pct"/>
          </w:tcPr>
          <w:p w14:paraId="281BD7AA" w14:textId="77777777" w:rsidR="004F45BD" w:rsidRPr="004F45BD" w:rsidRDefault="004F45BD" w:rsidP="004F45BD">
            <w:pPr>
              <w:spacing w:line="360" w:lineRule="auto"/>
              <w:rPr>
                <w:sz w:val="22"/>
                <w:szCs w:val="22"/>
              </w:rPr>
            </w:pPr>
            <w:r w:rsidRPr="004F45BD">
              <w:rPr>
                <w:sz w:val="22"/>
                <w:szCs w:val="22"/>
              </w:rPr>
              <w:t xml:space="preserve">Center score: </w:t>
            </w:r>
          </w:p>
          <w:p w14:paraId="4F2D61B5" w14:textId="77777777" w:rsidR="004F45BD" w:rsidRPr="004F45BD" w:rsidRDefault="004F45BD" w:rsidP="004F45BD">
            <w:pPr>
              <w:spacing w:line="360" w:lineRule="auto"/>
              <w:rPr>
                <w:sz w:val="22"/>
                <w:szCs w:val="22"/>
              </w:rPr>
            </w:pPr>
            <w:r w:rsidRPr="004F45BD">
              <w:rPr>
                <w:sz w:val="22"/>
                <w:szCs w:val="22"/>
              </w:rPr>
              <w:t>OECD-EU countries = Other countries</w:t>
            </w:r>
          </w:p>
        </w:tc>
        <w:tc>
          <w:tcPr>
            <w:tcW w:w="392" w:type="pct"/>
            <w:vAlign w:val="center"/>
          </w:tcPr>
          <w:p w14:paraId="1B0A4B80" w14:textId="77777777" w:rsidR="004F45BD" w:rsidRPr="004F45BD" w:rsidRDefault="004F45BD" w:rsidP="00CB2D6D">
            <w:pPr>
              <w:spacing w:line="360" w:lineRule="auto"/>
              <w:jc w:val="center"/>
              <w:rPr>
                <w:sz w:val="22"/>
                <w:szCs w:val="22"/>
              </w:rPr>
            </w:pPr>
            <w:r w:rsidRPr="004F45BD">
              <w:rPr>
                <w:sz w:val="22"/>
                <w:szCs w:val="22"/>
              </w:rPr>
              <w:t>≠</w:t>
            </w:r>
          </w:p>
        </w:tc>
        <w:tc>
          <w:tcPr>
            <w:tcW w:w="504" w:type="pct"/>
            <w:vAlign w:val="center"/>
          </w:tcPr>
          <w:p w14:paraId="74FF32CE"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7D4D09B6" w14:textId="77777777" w:rsidR="004F45BD" w:rsidRPr="004F45BD" w:rsidRDefault="004F45BD" w:rsidP="00CB2D6D">
            <w:pPr>
              <w:spacing w:line="360" w:lineRule="auto"/>
              <w:rPr>
                <w:sz w:val="22"/>
                <w:szCs w:val="22"/>
              </w:rPr>
            </w:pPr>
          </w:p>
        </w:tc>
        <w:tc>
          <w:tcPr>
            <w:tcW w:w="522" w:type="pct"/>
            <w:tcBorders>
              <w:right w:val="single" w:sz="4" w:space="0" w:color="auto"/>
            </w:tcBorders>
            <w:vAlign w:val="center"/>
          </w:tcPr>
          <w:p w14:paraId="0F7A7525" w14:textId="77777777" w:rsidR="004F45BD" w:rsidRPr="004F45BD" w:rsidRDefault="004F45BD" w:rsidP="00CB2D6D">
            <w:pPr>
              <w:spacing w:line="360" w:lineRule="auto"/>
              <w:rPr>
                <w:sz w:val="22"/>
                <w:szCs w:val="22"/>
              </w:rPr>
            </w:pPr>
          </w:p>
        </w:tc>
        <w:tc>
          <w:tcPr>
            <w:tcW w:w="524" w:type="pct"/>
            <w:tcBorders>
              <w:left w:val="single" w:sz="4" w:space="0" w:color="auto"/>
            </w:tcBorders>
            <w:vAlign w:val="center"/>
          </w:tcPr>
          <w:p w14:paraId="00ADEA7F" w14:textId="77777777" w:rsidR="004F45BD" w:rsidRPr="004F45BD" w:rsidRDefault="004F45BD" w:rsidP="00CB2D6D">
            <w:pPr>
              <w:spacing w:line="360" w:lineRule="auto"/>
              <w:rPr>
                <w:sz w:val="22"/>
                <w:szCs w:val="22"/>
              </w:rPr>
            </w:pPr>
            <w:r w:rsidRPr="004F45BD">
              <w:rPr>
                <w:sz w:val="22"/>
                <w:szCs w:val="22"/>
              </w:rPr>
              <w:t>Not rejected</w:t>
            </w:r>
          </w:p>
        </w:tc>
        <w:tc>
          <w:tcPr>
            <w:tcW w:w="548" w:type="pct"/>
          </w:tcPr>
          <w:p w14:paraId="2B09B213" w14:textId="77777777" w:rsidR="004F45BD" w:rsidRPr="004F45BD" w:rsidRDefault="004F45BD" w:rsidP="004F45BD">
            <w:pPr>
              <w:spacing w:line="360" w:lineRule="auto"/>
              <w:rPr>
                <w:sz w:val="22"/>
                <w:szCs w:val="22"/>
              </w:rPr>
            </w:pPr>
          </w:p>
        </w:tc>
        <w:tc>
          <w:tcPr>
            <w:tcW w:w="549" w:type="pct"/>
          </w:tcPr>
          <w:p w14:paraId="2E0155A0" w14:textId="77777777" w:rsidR="004F45BD" w:rsidRPr="004F45BD" w:rsidRDefault="004F45BD" w:rsidP="004F45BD">
            <w:pPr>
              <w:spacing w:line="360" w:lineRule="auto"/>
              <w:rPr>
                <w:sz w:val="22"/>
                <w:szCs w:val="22"/>
              </w:rPr>
            </w:pPr>
          </w:p>
        </w:tc>
      </w:tr>
      <w:tr w:rsidR="004F45BD" w:rsidRPr="004F45BD" w14:paraId="7C623F92" w14:textId="77777777" w:rsidTr="00994CA2">
        <w:trPr>
          <w:jc w:val="center"/>
        </w:trPr>
        <w:tc>
          <w:tcPr>
            <w:tcW w:w="1433" w:type="pct"/>
          </w:tcPr>
          <w:p w14:paraId="1A159ECE" w14:textId="77777777" w:rsidR="004F45BD" w:rsidRPr="004F45BD" w:rsidRDefault="004F45BD" w:rsidP="004F45BD">
            <w:pPr>
              <w:spacing w:line="360" w:lineRule="auto"/>
              <w:rPr>
                <w:sz w:val="22"/>
                <w:szCs w:val="22"/>
              </w:rPr>
            </w:pPr>
            <w:r w:rsidRPr="004F45BD">
              <w:rPr>
                <w:sz w:val="22"/>
                <w:szCs w:val="22"/>
              </w:rPr>
              <w:t xml:space="preserve">Right-wing score: </w:t>
            </w:r>
          </w:p>
          <w:p w14:paraId="4A7A0D5E" w14:textId="77777777" w:rsidR="004F45BD" w:rsidRPr="004F45BD" w:rsidRDefault="004F45BD" w:rsidP="004F45BD">
            <w:pPr>
              <w:spacing w:line="360" w:lineRule="auto"/>
              <w:rPr>
                <w:sz w:val="22"/>
                <w:szCs w:val="22"/>
              </w:rPr>
            </w:pPr>
            <w:r w:rsidRPr="004F45BD">
              <w:rPr>
                <w:sz w:val="22"/>
                <w:szCs w:val="22"/>
              </w:rPr>
              <w:t>OECD-EU countries = Other countries</w:t>
            </w:r>
          </w:p>
        </w:tc>
        <w:tc>
          <w:tcPr>
            <w:tcW w:w="392" w:type="pct"/>
            <w:vAlign w:val="center"/>
          </w:tcPr>
          <w:p w14:paraId="475FA265" w14:textId="77777777" w:rsidR="004F45BD" w:rsidRPr="004F45BD" w:rsidRDefault="004F45BD" w:rsidP="00CB2D6D">
            <w:pPr>
              <w:spacing w:line="360" w:lineRule="auto"/>
              <w:jc w:val="center"/>
              <w:rPr>
                <w:sz w:val="22"/>
                <w:szCs w:val="22"/>
              </w:rPr>
            </w:pPr>
            <w:r w:rsidRPr="004F45BD">
              <w:rPr>
                <w:sz w:val="22"/>
                <w:szCs w:val="22"/>
              </w:rPr>
              <w:t>≠</w:t>
            </w:r>
          </w:p>
        </w:tc>
        <w:tc>
          <w:tcPr>
            <w:tcW w:w="504" w:type="pct"/>
            <w:vAlign w:val="center"/>
          </w:tcPr>
          <w:p w14:paraId="3AE5CEF7" w14:textId="77777777" w:rsidR="004F45BD" w:rsidRPr="004F45BD" w:rsidRDefault="004F45BD" w:rsidP="00CB2D6D">
            <w:pPr>
              <w:spacing w:line="360" w:lineRule="auto"/>
              <w:rPr>
                <w:sz w:val="22"/>
                <w:szCs w:val="22"/>
              </w:rPr>
            </w:pPr>
            <w:r w:rsidRPr="004F45BD">
              <w:rPr>
                <w:sz w:val="22"/>
                <w:szCs w:val="22"/>
              </w:rPr>
              <w:t>Not rejected</w:t>
            </w:r>
          </w:p>
        </w:tc>
        <w:tc>
          <w:tcPr>
            <w:tcW w:w="528" w:type="pct"/>
            <w:vAlign w:val="center"/>
          </w:tcPr>
          <w:p w14:paraId="1D419E24" w14:textId="77777777" w:rsidR="004F45BD" w:rsidRPr="004F45BD" w:rsidRDefault="004F45BD" w:rsidP="00CB2D6D">
            <w:pPr>
              <w:spacing w:line="360" w:lineRule="auto"/>
              <w:rPr>
                <w:sz w:val="22"/>
                <w:szCs w:val="22"/>
              </w:rPr>
            </w:pPr>
          </w:p>
        </w:tc>
        <w:tc>
          <w:tcPr>
            <w:tcW w:w="522" w:type="pct"/>
            <w:tcBorders>
              <w:right w:val="single" w:sz="4" w:space="0" w:color="auto"/>
            </w:tcBorders>
            <w:vAlign w:val="center"/>
          </w:tcPr>
          <w:p w14:paraId="795C9EB2" w14:textId="77777777" w:rsidR="004F45BD" w:rsidRPr="004F45BD" w:rsidRDefault="004F45BD" w:rsidP="00CB2D6D">
            <w:pPr>
              <w:spacing w:line="360" w:lineRule="auto"/>
              <w:rPr>
                <w:sz w:val="22"/>
                <w:szCs w:val="22"/>
              </w:rPr>
            </w:pPr>
          </w:p>
        </w:tc>
        <w:tc>
          <w:tcPr>
            <w:tcW w:w="524" w:type="pct"/>
            <w:tcBorders>
              <w:left w:val="single" w:sz="4" w:space="0" w:color="auto"/>
            </w:tcBorders>
            <w:vAlign w:val="center"/>
          </w:tcPr>
          <w:p w14:paraId="66D43389" w14:textId="77777777" w:rsidR="004F45BD" w:rsidRPr="004F45BD" w:rsidRDefault="004F45BD" w:rsidP="00CB2D6D">
            <w:pPr>
              <w:spacing w:line="360" w:lineRule="auto"/>
              <w:rPr>
                <w:sz w:val="22"/>
                <w:szCs w:val="22"/>
              </w:rPr>
            </w:pPr>
            <w:r w:rsidRPr="004F45BD">
              <w:rPr>
                <w:sz w:val="22"/>
                <w:szCs w:val="22"/>
              </w:rPr>
              <w:t>Rejected</w:t>
            </w:r>
          </w:p>
        </w:tc>
        <w:tc>
          <w:tcPr>
            <w:tcW w:w="548" w:type="pct"/>
          </w:tcPr>
          <w:p w14:paraId="75C9EB4E" w14:textId="77777777" w:rsidR="004F45BD" w:rsidRPr="004F45BD" w:rsidRDefault="004F45BD" w:rsidP="004F45BD">
            <w:pPr>
              <w:spacing w:line="360" w:lineRule="auto"/>
              <w:rPr>
                <w:sz w:val="22"/>
                <w:szCs w:val="22"/>
              </w:rPr>
            </w:pPr>
          </w:p>
        </w:tc>
        <w:tc>
          <w:tcPr>
            <w:tcW w:w="549" w:type="pct"/>
          </w:tcPr>
          <w:p w14:paraId="5E54F5B0" w14:textId="77777777" w:rsidR="004F45BD" w:rsidRPr="004F45BD" w:rsidRDefault="004F45BD" w:rsidP="004F45BD">
            <w:pPr>
              <w:spacing w:line="360" w:lineRule="auto"/>
              <w:rPr>
                <w:sz w:val="22"/>
                <w:szCs w:val="22"/>
              </w:rPr>
            </w:pPr>
          </w:p>
        </w:tc>
      </w:tr>
    </w:tbl>
    <w:p w14:paraId="7A051A7F" w14:textId="77777777" w:rsidR="004F45BD" w:rsidRDefault="004F45BD" w:rsidP="00910E5E">
      <w:pPr>
        <w:spacing w:before="120" w:line="360" w:lineRule="auto"/>
        <w:jc w:val="both"/>
        <w:rPr>
          <w:i/>
          <w:iCs/>
          <w:sz w:val="20"/>
          <w:szCs w:val="20"/>
        </w:rPr>
      </w:pPr>
    </w:p>
    <w:p w14:paraId="66D5DAF6" w14:textId="3B421CF6" w:rsidR="00435E4D" w:rsidRPr="00436BB1" w:rsidRDefault="00AE5404" w:rsidP="0040568A">
      <w:pPr>
        <w:spacing w:line="360" w:lineRule="auto"/>
        <w:rPr>
          <w:b/>
          <w:bCs/>
        </w:rPr>
      </w:pPr>
      <w:r w:rsidRPr="004F45BD">
        <w:rPr>
          <w:iCs/>
          <w:szCs w:val="20"/>
        </w:rPr>
        <w:t>Notes</w:t>
      </w:r>
      <w:r w:rsidR="004672AF" w:rsidRPr="004F45BD">
        <w:rPr>
          <w:iCs/>
          <w:szCs w:val="20"/>
        </w:rPr>
        <w:t>.</w:t>
      </w:r>
      <w:r w:rsidRPr="004F45BD">
        <w:rPr>
          <w:szCs w:val="20"/>
        </w:rPr>
        <w:t xml:space="preserve"> Data on climate laws and policies come from </w:t>
      </w:r>
      <w:r w:rsidRPr="004F45BD">
        <w:rPr>
          <w:i/>
          <w:iCs/>
          <w:szCs w:val="20"/>
        </w:rPr>
        <w:t>Climate Change Laws of the World</w:t>
      </w:r>
      <w:r w:rsidRPr="004F45BD">
        <w:rPr>
          <w:szCs w:val="20"/>
        </w:rPr>
        <w:t xml:space="preserve">. Data on political orientation come from the World Bank’s </w:t>
      </w:r>
      <w:r w:rsidRPr="004F45BD">
        <w:rPr>
          <w:i/>
          <w:iCs/>
          <w:szCs w:val="20"/>
        </w:rPr>
        <w:t>Database of Political Institutions</w:t>
      </w:r>
      <w:r w:rsidRPr="004F45BD">
        <w:rPr>
          <w:szCs w:val="20"/>
        </w:rPr>
        <w:t>. All calculations are done over the period 1990-2017.</w:t>
      </w:r>
      <w:r w:rsidR="00910E5E" w:rsidRPr="004F45BD">
        <w:rPr>
          <w:szCs w:val="20"/>
        </w:rPr>
        <w:t xml:space="preserve"> </w:t>
      </w:r>
    </w:p>
    <w:p w14:paraId="49528A43" w14:textId="7640A04D" w:rsidR="00AE5404" w:rsidRDefault="00AE5404" w:rsidP="008718E1">
      <w:pPr>
        <w:pStyle w:val="Heading2"/>
        <w:keepNext/>
        <w:keepLines/>
        <w:spacing w:after="0" w:line="276" w:lineRule="auto"/>
        <w:rPr>
          <w:b w:val="0"/>
        </w:rPr>
      </w:pPr>
      <w:r w:rsidRPr="008718E1">
        <w:rPr>
          <w:b w:val="0"/>
        </w:rPr>
        <w:lastRenderedPageBreak/>
        <w:t xml:space="preserve">Table </w:t>
      </w:r>
      <w:r w:rsidR="00B7063F" w:rsidRPr="008718E1">
        <w:rPr>
          <w:b w:val="0"/>
        </w:rPr>
        <w:t>6</w:t>
      </w:r>
      <w:r w:rsidRPr="008718E1">
        <w:rPr>
          <w:b w:val="0"/>
        </w:rPr>
        <w:t xml:space="preserve">: </w:t>
      </w:r>
      <w:r w:rsidR="00B031AF" w:rsidRPr="008718E1">
        <w:rPr>
          <w:b w:val="0"/>
        </w:rPr>
        <w:t xml:space="preserve">Statistical tests of </w:t>
      </w:r>
      <w:r w:rsidR="00A24EE0" w:rsidRPr="008718E1">
        <w:rPr>
          <w:b w:val="0"/>
        </w:rPr>
        <w:t>b</w:t>
      </w:r>
      <w:r w:rsidRPr="008718E1">
        <w:rPr>
          <w:b w:val="0"/>
        </w:rPr>
        <w:t>usiness cycle</w:t>
      </w:r>
      <w:r w:rsidR="00A24EE0" w:rsidRPr="008718E1">
        <w:rPr>
          <w:b w:val="0"/>
        </w:rPr>
        <w:t xml:space="preserve"> effects</w:t>
      </w:r>
    </w:p>
    <w:p w14:paraId="60B0FE6F" w14:textId="77777777" w:rsidR="008718E1" w:rsidRDefault="008718E1" w:rsidP="008718E1"/>
    <w:p w14:paraId="011DD606" w14:textId="77777777" w:rsidR="008718E1" w:rsidRPr="008718E1" w:rsidRDefault="008718E1" w:rsidP="008718E1"/>
    <w:tbl>
      <w:tblPr>
        <w:tblStyle w:val="TableGrid"/>
        <w:tblW w:w="50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9"/>
        <w:gridCol w:w="1710"/>
        <w:gridCol w:w="1710"/>
        <w:gridCol w:w="2243"/>
        <w:gridCol w:w="1985"/>
      </w:tblGrid>
      <w:tr w:rsidR="00AE5404" w:rsidRPr="008718E1" w14:paraId="326EBFC5" w14:textId="77777777" w:rsidTr="00DD5F3E">
        <w:tc>
          <w:tcPr>
            <w:tcW w:w="2133" w:type="pct"/>
            <w:tcBorders>
              <w:top w:val="single" w:sz="4" w:space="0" w:color="auto"/>
            </w:tcBorders>
          </w:tcPr>
          <w:p w14:paraId="7E8F19F5" w14:textId="77777777" w:rsidR="00AE5404" w:rsidRPr="008718E1" w:rsidRDefault="00AE5404" w:rsidP="008718E1">
            <w:pPr>
              <w:spacing w:line="480" w:lineRule="auto"/>
              <w:jc w:val="center"/>
            </w:pPr>
          </w:p>
        </w:tc>
        <w:tc>
          <w:tcPr>
            <w:tcW w:w="641" w:type="pct"/>
            <w:tcBorders>
              <w:top w:val="single" w:sz="4" w:space="0" w:color="auto"/>
            </w:tcBorders>
          </w:tcPr>
          <w:p w14:paraId="52E3C23D" w14:textId="77777777" w:rsidR="00AE5404" w:rsidRPr="008718E1" w:rsidRDefault="00AE5404" w:rsidP="008718E1">
            <w:pPr>
              <w:spacing w:line="480" w:lineRule="auto"/>
              <w:jc w:val="center"/>
            </w:pPr>
          </w:p>
        </w:tc>
        <w:tc>
          <w:tcPr>
            <w:tcW w:w="2227" w:type="pct"/>
            <w:gridSpan w:val="3"/>
            <w:tcBorders>
              <w:top w:val="single" w:sz="4" w:space="0" w:color="auto"/>
              <w:bottom w:val="single" w:sz="4" w:space="0" w:color="auto"/>
            </w:tcBorders>
          </w:tcPr>
          <w:p w14:paraId="069F9048" w14:textId="77777777" w:rsidR="00AE5404" w:rsidRPr="008718E1" w:rsidRDefault="00AE5404" w:rsidP="008718E1">
            <w:pPr>
              <w:spacing w:line="480" w:lineRule="auto"/>
              <w:jc w:val="center"/>
            </w:pPr>
            <w:r w:rsidRPr="008718E1">
              <w:t>Decision</w:t>
            </w:r>
          </w:p>
        </w:tc>
      </w:tr>
      <w:tr w:rsidR="00AE5404" w:rsidRPr="008718E1" w14:paraId="1AE3E07E" w14:textId="77777777" w:rsidTr="00DD5F3E">
        <w:tc>
          <w:tcPr>
            <w:tcW w:w="2133" w:type="pct"/>
            <w:tcBorders>
              <w:bottom w:val="single" w:sz="4" w:space="0" w:color="auto"/>
            </w:tcBorders>
          </w:tcPr>
          <w:p w14:paraId="5DBFC972" w14:textId="77777777" w:rsidR="00AE5404" w:rsidRPr="008718E1" w:rsidRDefault="00AE5404" w:rsidP="008718E1">
            <w:pPr>
              <w:spacing w:line="276" w:lineRule="auto"/>
            </w:pPr>
            <w:r w:rsidRPr="008718E1">
              <w:t>Null Hypothesis</w:t>
            </w:r>
          </w:p>
        </w:tc>
        <w:tc>
          <w:tcPr>
            <w:tcW w:w="641" w:type="pct"/>
            <w:tcBorders>
              <w:bottom w:val="single" w:sz="4" w:space="0" w:color="auto"/>
            </w:tcBorders>
            <w:vAlign w:val="center"/>
          </w:tcPr>
          <w:p w14:paraId="21A0154C" w14:textId="77777777" w:rsidR="00AE5404" w:rsidRPr="008718E1" w:rsidRDefault="00AE5404" w:rsidP="008718E1">
            <w:pPr>
              <w:spacing w:line="276" w:lineRule="auto"/>
              <w:jc w:val="center"/>
            </w:pPr>
            <w:r w:rsidRPr="008718E1">
              <w:t>Alternative Hypothesis</w:t>
            </w:r>
          </w:p>
        </w:tc>
        <w:tc>
          <w:tcPr>
            <w:tcW w:w="641" w:type="pct"/>
            <w:tcBorders>
              <w:top w:val="single" w:sz="4" w:space="0" w:color="auto"/>
              <w:bottom w:val="single" w:sz="4" w:space="0" w:color="auto"/>
            </w:tcBorders>
            <w:vAlign w:val="center"/>
          </w:tcPr>
          <w:p w14:paraId="155DDA41" w14:textId="77777777" w:rsidR="00AE5404" w:rsidRPr="008718E1" w:rsidRDefault="00AE5404" w:rsidP="008718E1">
            <w:pPr>
              <w:spacing w:line="276" w:lineRule="auto"/>
              <w:jc w:val="center"/>
            </w:pPr>
            <w:r w:rsidRPr="008718E1">
              <w:t>All countries</w:t>
            </w:r>
          </w:p>
        </w:tc>
        <w:tc>
          <w:tcPr>
            <w:tcW w:w="841" w:type="pct"/>
            <w:tcBorders>
              <w:top w:val="single" w:sz="4" w:space="0" w:color="auto"/>
              <w:bottom w:val="single" w:sz="4" w:space="0" w:color="auto"/>
            </w:tcBorders>
            <w:vAlign w:val="center"/>
          </w:tcPr>
          <w:p w14:paraId="4C8ABAB1" w14:textId="77777777" w:rsidR="00AE5404" w:rsidRPr="008718E1" w:rsidRDefault="00AE5404" w:rsidP="008718E1">
            <w:pPr>
              <w:spacing w:line="276" w:lineRule="auto"/>
              <w:jc w:val="center"/>
            </w:pPr>
            <w:r w:rsidRPr="008718E1">
              <w:t>OECD-EU countries</w:t>
            </w:r>
          </w:p>
        </w:tc>
        <w:tc>
          <w:tcPr>
            <w:tcW w:w="744" w:type="pct"/>
            <w:tcBorders>
              <w:top w:val="single" w:sz="4" w:space="0" w:color="auto"/>
              <w:bottom w:val="single" w:sz="4" w:space="0" w:color="auto"/>
            </w:tcBorders>
            <w:vAlign w:val="center"/>
          </w:tcPr>
          <w:p w14:paraId="0128F24B" w14:textId="77777777" w:rsidR="00AE5404" w:rsidRPr="008718E1" w:rsidRDefault="00AE5404" w:rsidP="008718E1">
            <w:pPr>
              <w:spacing w:line="276" w:lineRule="auto"/>
              <w:jc w:val="center"/>
            </w:pPr>
            <w:r w:rsidRPr="008718E1">
              <w:t>Other countries</w:t>
            </w:r>
          </w:p>
        </w:tc>
      </w:tr>
      <w:tr w:rsidR="00BA7029" w:rsidRPr="008718E1" w14:paraId="7F577574" w14:textId="77777777" w:rsidTr="00DD5F3E">
        <w:tc>
          <w:tcPr>
            <w:tcW w:w="2133" w:type="pct"/>
          </w:tcPr>
          <w:p w14:paraId="7F53782F" w14:textId="1D4B5ED9" w:rsidR="00BA7029" w:rsidRPr="008718E1" w:rsidRDefault="00BA7029" w:rsidP="008718E1">
            <w:pPr>
              <w:spacing w:line="480" w:lineRule="auto"/>
              <w:rPr>
                <w:b/>
                <w:bCs/>
              </w:rPr>
            </w:pPr>
            <w:r w:rsidRPr="008718E1">
              <w:rPr>
                <w:b/>
                <w:bCs/>
              </w:rPr>
              <w:t>One-sample t test</w:t>
            </w:r>
          </w:p>
        </w:tc>
        <w:tc>
          <w:tcPr>
            <w:tcW w:w="641" w:type="pct"/>
          </w:tcPr>
          <w:p w14:paraId="4036AF91" w14:textId="340E1737" w:rsidR="00BA7029" w:rsidRPr="008718E1" w:rsidRDefault="00BA7029" w:rsidP="008718E1">
            <w:pPr>
              <w:spacing w:line="480" w:lineRule="auto"/>
            </w:pPr>
          </w:p>
        </w:tc>
        <w:tc>
          <w:tcPr>
            <w:tcW w:w="641" w:type="pct"/>
          </w:tcPr>
          <w:p w14:paraId="0CFA1755" w14:textId="11BA52FB" w:rsidR="00BA7029" w:rsidRPr="008718E1" w:rsidRDefault="00BA7029" w:rsidP="008718E1">
            <w:pPr>
              <w:spacing w:line="480" w:lineRule="auto"/>
            </w:pPr>
          </w:p>
        </w:tc>
        <w:tc>
          <w:tcPr>
            <w:tcW w:w="841" w:type="pct"/>
          </w:tcPr>
          <w:p w14:paraId="715DE08F" w14:textId="4DAD704F" w:rsidR="00BA7029" w:rsidRPr="008718E1" w:rsidRDefault="00BA7029" w:rsidP="008718E1">
            <w:pPr>
              <w:spacing w:line="480" w:lineRule="auto"/>
            </w:pPr>
          </w:p>
        </w:tc>
        <w:tc>
          <w:tcPr>
            <w:tcW w:w="744" w:type="pct"/>
          </w:tcPr>
          <w:p w14:paraId="397CAF22" w14:textId="5941D5A1" w:rsidR="00BA7029" w:rsidRPr="008718E1" w:rsidRDefault="00BA7029" w:rsidP="008718E1">
            <w:pPr>
              <w:spacing w:line="480" w:lineRule="auto"/>
            </w:pPr>
          </w:p>
        </w:tc>
      </w:tr>
      <w:tr w:rsidR="008956BA" w:rsidRPr="008718E1" w14:paraId="251FD739" w14:textId="77777777" w:rsidTr="00DD5F3E">
        <w:tc>
          <w:tcPr>
            <w:tcW w:w="2133" w:type="pct"/>
          </w:tcPr>
          <w:p w14:paraId="228521DB" w14:textId="77777777" w:rsidR="008956BA" w:rsidRPr="008718E1" w:rsidRDefault="008956BA" w:rsidP="008718E1">
            <w:pPr>
              <w:spacing w:line="480" w:lineRule="auto"/>
              <w:ind w:firstLine="360"/>
            </w:pPr>
            <w:r w:rsidRPr="008718E1">
              <w:t>Economic crisis = 1</w:t>
            </w:r>
          </w:p>
        </w:tc>
        <w:tc>
          <w:tcPr>
            <w:tcW w:w="641" w:type="pct"/>
          </w:tcPr>
          <w:p w14:paraId="687098CF" w14:textId="77777777" w:rsidR="008956BA" w:rsidRPr="008718E1" w:rsidRDefault="008956BA" w:rsidP="008718E1">
            <w:pPr>
              <w:spacing w:line="480" w:lineRule="auto"/>
              <w:jc w:val="center"/>
            </w:pPr>
            <w:r w:rsidRPr="008718E1">
              <w:t>&lt; 1</w:t>
            </w:r>
          </w:p>
        </w:tc>
        <w:tc>
          <w:tcPr>
            <w:tcW w:w="641" w:type="pct"/>
          </w:tcPr>
          <w:p w14:paraId="42A33DA0" w14:textId="40C50414" w:rsidR="008956BA" w:rsidRPr="008718E1" w:rsidRDefault="008956BA" w:rsidP="008718E1">
            <w:pPr>
              <w:spacing w:line="480" w:lineRule="auto"/>
            </w:pPr>
            <w:r w:rsidRPr="008718E1">
              <w:t>Rejected</w:t>
            </w:r>
          </w:p>
        </w:tc>
        <w:tc>
          <w:tcPr>
            <w:tcW w:w="841" w:type="pct"/>
          </w:tcPr>
          <w:p w14:paraId="0B8009B5" w14:textId="4C8275FC" w:rsidR="008956BA" w:rsidRPr="008718E1" w:rsidRDefault="008956BA" w:rsidP="008718E1">
            <w:pPr>
              <w:spacing w:line="480" w:lineRule="auto"/>
            </w:pPr>
            <w:r w:rsidRPr="008718E1">
              <w:t>Rejected</w:t>
            </w:r>
          </w:p>
        </w:tc>
        <w:tc>
          <w:tcPr>
            <w:tcW w:w="744" w:type="pct"/>
          </w:tcPr>
          <w:p w14:paraId="4A010B6B" w14:textId="2DBEC79B" w:rsidR="008956BA" w:rsidRPr="008718E1" w:rsidRDefault="008956BA" w:rsidP="008718E1">
            <w:pPr>
              <w:spacing w:line="480" w:lineRule="auto"/>
            </w:pPr>
            <w:r w:rsidRPr="008718E1">
              <w:t>Rejected</w:t>
            </w:r>
          </w:p>
        </w:tc>
      </w:tr>
      <w:tr w:rsidR="008956BA" w:rsidRPr="008718E1" w14:paraId="2F88DD65" w14:textId="77777777" w:rsidTr="00DD5F3E">
        <w:tc>
          <w:tcPr>
            <w:tcW w:w="2133" w:type="pct"/>
          </w:tcPr>
          <w:p w14:paraId="519066E5" w14:textId="77777777" w:rsidR="008956BA" w:rsidRPr="008718E1" w:rsidRDefault="008956BA" w:rsidP="008718E1">
            <w:pPr>
              <w:spacing w:line="480" w:lineRule="auto"/>
            </w:pPr>
          </w:p>
        </w:tc>
        <w:tc>
          <w:tcPr>
            <w:tcW w:w="641" w:type="pct"/>
          </w:tcPr>
          <w:p w14:paraId="2BC83A15" w14:textId="77777777" w:rsidR="008956BA" w:rsidRPr="008718E1" w:rsidRDefault="008956BA" w:rsidP="008718E1">
            <w:pPr>
              <w:spacing w:line="480" w:lineRule="auto"/>
              <w:jc w:val="center"/>
            </w:pPr>
            <w:r w:rsidRPr="008718E1">
              <w:t>≠ 1</w:t>
            </w:r>
          </w:p>
        </w:tc>
        <w:tc>
          <w:tcPr>
            <w:tcW w:w="641" w:type="pct"/>
          </w:tcPr>
          <w:p w14:paraId="3B68F7C5" w14:textId="11B318C1" w:rsidR="008956BA" w:rsidRPr="008718E1" w:rsidRDefault="008956BA" w:rsidP="008718E1">
            <w:pPr>
              <w:spacing w:line="480" w:lineRule="auto"/>
            </w:pPr>
            <w:r w:rsidRPr="008718E1">
              <w:t>Rejected</w:t>
            </w:r>
          </w:p>
        </w:tc>
        <w:tc>
          <w:tcPr>
            <w:tcW w:w="841" w:type="pct"/>
          </w:tcPr>
          <w:p w14:paraId="44F606A0" w14:textId="2D5690BE" w:rsidR="008956BA" w:rsidRPr="008718E1" w:rsidRDefault="008956BA" w:rsidP="008718E1">
            <w:pPr>
              <w:spacing w:line="480" w:lineRule="auto"/>
            </w:pPr>
            <w:r w:rsidRPr="008718E1">
              <w:t>Rejected</w:t>
            </w:r>
          </w:p>
        </w:tc>
        <w:tc>
          <w:tcPr>
            <w:tcW w:w="744" w:type="pct"/>
          </w:tcPr>
          <w:p w14:paraId="2D68FB99" w14:textId="0F53C10C" w:rsidR="008956BA" w:rsidRPr="008718E1" w:rsidRDefault="008956BA" w:rsidP="008718E1">
            <w:pPr>
              <w:spacing w:line="480" w:lineRule="auto"/>
            </w:pPr>
            <w:r w:rsidRPr="008718E1">
              <w:t>Rejected</w:t>
            </w:r>
          </w:p>
        </w:tc>
      </w:tr>
      <w:tr w:rsidR="008956BA" w:rsidRPr="008718E1" w14:paraId="19742535" w14:textId="77777777" w:rsidTr="00DD5F3E">
        <w:tc>
          <w:tcPr>
            <w:tcW w:w="2133" w:type="pct"/>
          </w:tcPr>
          <w:p w14:paraId="30A24A1A" w14:textId="77777777" w:rsidR="008956BA" w:rsidRPr="008718E1" w:rsidRDefault="008956BA" w:rsidP="008718E1">
            <w:pPr>
              <w:spacing w:line="480" w:lineRule="auto"/>
            </w:pPr>
          </w:p>
        </w:tc>
        <w:tc>
          <w:tcPr>
            <w:tcW w:w="641" w:type="pct"/>
          </w:tcPr>
          <w:p w14:paraId="5D019C30" w14:textId="77777777" w:rsidR="008956BA" w:rsidRPr="008718E1" w:rsidRDefault="008956BA" w:rsidP="008718E1">
            <w:pPr>
              <w:spacing w:line="480" w:lineRule="auto"/>
              <w:jc w:val="center"/>
            </w:pPr>
            <w:r w:rsidRPr="008718E1">
              <w:t>&gt; 1</w:t>
            </w:r>
          </w:p>
        </w:tc>
        <w:tc>
          <w:tcPr>
            <w:tcW w:w="641" w:type="pct"/>
          </w:tcPr>
          <w:p w14:paraId="21D1C7FD" w14:textId="77777777" w:rsidR="008956BA" w:rsidRPr="008718E1" w:rsidRDefault="008956BA" w:rsidP="008718E1">
            <w:pPr>
              <w:spacing w:line="480" w:lineRule="auto"/>
            </w:pPr>
            <w:r w:rsidRPr="008718E1">
              <w:t>Not rejected</w:t>
            </w:r>
          </w:p>
        </w:tc>
        <w:tc>
          <w:tcPr>
            <w:tcW w:w="841" w:type="pct"/>
          </w:tcPr>
          <w:p w14:paraId="07F1F3A1" w14:textId="0A25A6AC" w:rsidR="008956BA" w:rsidRPr="008718E1" w:rsidRDefault="008956BA" w:rsidP="008718E1">
            <w:pPr>
              <w:spacing w:line="480" w:lineRule="auto"/>
            </w:pPr>
            <w:r w:rsidRPr="008718E1">
              <w:t>Not rejected</w:t>
            </w:r>
          </w:p>
        </w:tc>
        <w:tc>
          <w:tcPr>
            <w:tcW w:w="744" w:type="pct"/>
          </w:tcPr>
          <w:p w14:paraId="681C1C3C" w14:textId="7647EFDB" w:rsidR="008956BA" w:rsidRPr="008718E1" w:rsidRDefault="008956BA" w:rsidP="008718E1">
            <w:pPr>
              <w:spacing w:line="480" w:lineRule="auto"/>
            </w:pPr>
            <w:r w:rsidRPr="008718E1">
              <w:t>Not rejected</w:t>
            </w:r>
          </w:p>
        </w:tc>
      </w:tr>
      <w:tr w:rsidR="008718E1" w:rsidRPr="008718E1" w14:paraId="1F86D9C8" w14:textId="77777777" w:rsidTr="00DD5F3E">
        <w:tc>
          <w:tcPr>
            <w:tcW w:w="2773" w:type="pct"/>
            <w:gridSpan w:val="2"/>
          </w:tcPr>
          <w:p w14:paraId="5E270118" w14:textId="2B428342" w:rsidR="008718E1" w:rsidRPr="008718E1" w:rsidRDefault="008718E1" w:rsidP="008718E1">
            <w:pPr>
              <w:spacing w:line="480" w:lineRule="auto"/>
            </w:pPr>
            <w:r w:rsidRPr="008718E1">
              <w:rPr>
                <w:b/>
                <w:bCs/>
              </w:rPr>
              <w:t>Two-sample Wilcoxon rank-sum (Mann-Whitney) test</w:t>
            </w:r>
          </w:p>
        </w:tc>
        <w:tc>
          <w:tcPr>
            <w:tcW w:w="641" w:type="pct"/>
          </w:tcPr>
          <w:p w14:paraId="1961EA4F" w14:textId="77777777" w:rsidR="008718E1" w:rsidRPr="008718E1" w:rsidRDefault="008718E1" w:rsidP="008718E1">
            <w:pPr>
              <w:spacing w:line="480" w:lineRule="auto"/>
            </w:pPr>
          </w:p>
        </w:tc>
        <w:tc>
          <w:tcPr>
            <w:tcW w:w="841" w:type="pct"/>
          </w:tcPr>
          <w:p w14:paraId="5C66A473" w14:textId="77777777" w:rsidR="008718E1" w:rsidRPr="008718E1" w:rsidRDefault="008718E1" w:rsidP="008718E1">
            <w:pPr>
              <w:spacing w:line="480" w:lineRule="auto"/>
            </w:pPr>
          </w:p>
        </w:tc>
        <w:tc>
          <w:tcPr>
            <w:tcW w:w="744" w:type="pct"/>
          </w:tcPr>
          <w:p w14:paraId="68BFC21E" w14:textId="77777777" w:rsidR="008718E1" w:rsidRPr="008718E1" w:rsidRDefault="008718E1" w:rsidP="008718E1">
            <w:pPr>
              <w:spacing w:line="480" w:lineRule="auto"/>
            </w:pPr>
          </w:p>
        </w:tc>
      </w:tr>
      <w:tr w:rsidR="00BA7029" w:rsidRPr="008718E1" w14:paraId="1506BB39" w14:textId="77777777" w:rsidTr="00DD5F3E">
        <w:tc>
          <w:tcPr>
            <w:tcW w:w="2133" w:type="pct"/>
          </w:tcPr>
          <w:p w14:paraId="135DA22E" w14:textId="6CF6E880" w:rsidR="00BA7029" w:rsidRPr="008718E1" w:rsidRDefault="00BA7029" w:rsidP="008718E1">
            <w:pPr>
              <w:spacing w:line="480" w:lineRule="auto"/>
              <w:ind w:firstLine="360"/>
            </w:pPr>
            <w:r w:rsidRPr="008718E1">
              <w:t>OECD-EU countries= Other countries</w:t>
            </w:r>
          </w:p>
        </w:tc>
        <w:tc>
          <w:tcPr>
            <w:tcW w:w="641" w:type="pct"/>
          </w:tcPr>
          <w:p w14:paraId="0A236DFF" w14:textId="77777777" w:rsidR="00BA7029" w:rsidRPr="008718E1" w:rsidRDefault="00BA7029" w:rsidP="008718E1">
            <w:pPr>
              <w:spacing w:line="480" w:lineRule="auto"/>
              <w:jc w:val="center"/>
            </w:pPr>
            <w:r w:rsidRPr="008718E1">
              <w:t>≠</w:t>
            </w:r>
          </w:p>
        </w:tc>
        <w:tc>
          <w:tcPr>
            <w:tcW w:w="641" w:type="pct"/>
          </w:tcPr>
          <w:p w14:paraId="0C3F745B" w14:textId="77777777" w:rsidR="00BA7029" w:rsidRPr="008718E1" w:rsidRDefault="00BA7029" w:rsidP="008718E1">
            <w:pPr>
              <w:spacing w:line="480" w:lineRule="auto"/>
            </w:pPr>
          </w:p>
        </w:tc>
        <w:tc>
          <w:tcPr>
            <w:tcW w:w="841" w:type="pct"/>
          </w:tcPr>
          <w:p w14:paraId="795F7AAE" w14:textId="77777777" w:rsidR="00BA7029" w:rsidRPr="008718E1" w:rsidRDefault="00BA7029" w:rsidP="008718E1">
            <w:pPr>
              <w:spacing w:line="480" w:lineRule="auto"/>
            </w:pPr>
            <w:r w:rsidRPr="008718E1">
              <w:t>Rejected</w:t>
            </w:r>
          </w:p>
        </w:tc>
        <w:tc>
          <w:tcPr>
            <w:tcW w:w="744" w:type="pct"/>
          </w:tcPr>
          <w:p w14:paraId="5EF26B2E" w14:textId="77777777" w:rsidR="00BA7029" w:rsidRPr="008718E1" w:rsidRDefault="00BA7029" w:rsidP="008718E1">
            <w:pPr>
              <w:spacing w:line="480" w:lineRule="auto"/>
            </w:pPr>
          </w:p>
        </w:tc>
      </w:tr>
    </w:tbl>
    <w:p w14:paraId="0FBB9693" w14:textId="77777777" w:rsidR="008718E1" w:rsidRDefault="008718E1" w:rsidP="008718E1">
      <w:pPr>
        <w:spacing w:line="360" w:lineRule="auto"/>
        <w:jc w:val="both"/>
        <w:rPr>
          <w:iCs/>
        </w:rPr>
      </w:pPr>
    </w:p>
    <w:p w14:paraId="2A8C3A9A" w14:textId="77777777" w:rsidR="008718E1" w:rsidRDefault="008718E1" w:rsidP="008718E1">
      <w:pPr>
        <w:spacing w:line="360" w:lineRule="auto"/>
        <w:jc w:val="both"/>
        <w:rPr>
          <w:iCs/>
        </w:rPr>
      </w:pPr>
    </w:p>
    <w:p w14:paraId="30FFC3FA" w14:textId="5E4B47EC" w:rsidR="008E5C4D" w:rsidRPr="008718E1" w:rsidRDefault="00AE5404" w:rsidP="0040568A">
      <w:pPr>
        <w:spacing w:line="480" w:lineRule="auto"/>
      </w:pPr>
      <w:r w:rsidRPr="008718E1">
        <w:rPr>
          <w:iCs/>
        </w:rPr>
        <w:t>Notes</w:t>
      </w:r>
      <w:r w:rsidR="0040568A">
        <w:rPr>
          <w:iCs/>
        </w:rPr>
        <w:t>:</w:t>
      </w:r>
      <w:r w:rsidRPr="008718E1">
        <w:t xml:space="preserve"> Data on climate laws and policies come from </w:t>
      </w:r>
      <w:r w:rsidRPr="008718E1">
        <w:rPr>
          <w:i/>
          <w:iCs/>
        </w:rPr>
        <w:t>Climate Change Laws of the World</w:t>
      </w:r>
      <w:r w:rsidRPr="008718E1">
        <w:t xml:space="preserve"> database. Data on business cycles are calculated from real GDP data from the World Development Indicators database. All calculations are done over the period 1990-2017</w:t>
      </w:r>
      <w:r w:rsidR="000C20A9" w:rsidRPr="008718E1">
        <w:t xml:space="preserve"> for 169 countries</w:t>
      </w:r>
      <w:r w:rsidRPr="008718E1">
        <w:t>.</w:t>
      </w:r>
      <w:r w:rsidR="000C20A9" w:rsidRPr="008718E1">
        <w:t xml:space="preserve"> </w:t>
      </w:r>
    </w:p>
    <w:p w14:paraId="5849D0C9" w14:textId="77777777" w:rsidR="00E8382C" w:rsidRPr="008718E1" w:rsidRDefault="00E8382C" w:rsidP="008718E1">
      <w:pPr>
        <w:spacing w:line="360" w:lineRule="auto"/>
        <w:jc w:val="both"/>
        <w:rPr>
          <w:b/>
        </w:rPr>
      </w:pPr>
    </w:p>
    <w:p w14:paraId="27234931" w14:textId="77777777" w:rsidR="008718E1" w:rsidRPr="008718E1" w:rsidRDefault="008718E1" w:rsidP="008718E1">
      <w:pPr>
        <w:spacing w:line="2" w:lineRule="auto"/>
        <w:rPr>
          <w:b/>
        </w:rPr>
      </w:pPr>
      <w:r w:rsidRPr="008718E1">
        <w:br w:type="page"/>
      </w:r>
    </w:p>
    <w:p w14:paraId="0F71D652" w14:textId="2A700958" w:rsidR="002A3D30" w:rsidRPr="0040568A" w:rsidRDefault="00B367ED" w:rsidP="0040568A">
      <w:pPr>
        <w:pStyle w:val="Heading2"/>
        <w:keepNext/>
        <w:keepLines/>
        <w:spacing w:after="0" w:line="480" w:lineRule="auto"/>
        <w:rPr>
          <w:b w:val="0"/>
        </w:rPr>
      </w:pPr>
      <w:r w:rsidRPr="0040568A">
        <w:rPr>
          <w:b w:val="0"/>
        </w:rPr>
        <w:lastRenderedPageBreak/>
        <w:t xml:space="preserve">Table </w:t>
      </w:r>
      <w:r w:rsidR="00B7063F" w:rsidRPr="0040568A">
        <w:rPr>
          <w:b w:val="0"/>
        </w:rPr>
        <w:t>7</w:t>
      </w:r>
      <w:r w:rsidRPr="0040568A">
        <w:rPr>
          <w:b w:val="0"/>
        </w:rPr>
        <w:t xml:space="preserve">:  </w:t>
      </w:r>
      <w:r w:rsidR="00006FAA" w:rsidRPr="0040568A">
        <w:rPr>
          <w:b w:val="0"/>
        </w:rPr>
        <w:t>Pro-climate rulings by the judiciary</w:t>
      </w:r>
      <w:r w:rsidR="002A3D30" w:rsidRPr="0040568A">
        <w:rPr>
          <w:b w:val="0"/>
        </w:rPr>
        <w:t xml:space="preserve">  </w:t>
      </w:r>
    </w:p>
    <w:tbl>
      <w:tblPr>
        <w:tblW w:w="4866" w:type="pct"/>
        <w:tblLook w:val="04A0" w:firstRow="1" w:lastRow="0" w:firstColumn="1" w:lastColumn="0" w:noHBand="0" w:noVBand="1"/>
      </w:tblPr>
      <w:tblGrid>
        <w:gridCol w:w="5175"/>
        <w:gridCol w:w="1823"/>
        <w:gridCol w:w="1744"/>
        <w:gridCol w:w="2383"/>
        <w:gridCol w:w="1698"/>
      </w:tblGrid>
      <w:tr w:rsidR="0040568A" w:rsidRPr="0040568A" w14:paraId="364AF5E5" w14:textId="77777777" w:rsidTr="0040568A">
        <w:tc>
          <w:tcPr>
            <w:tcW w:w="2018" w:type="pct"/>
            <w:tcBorders>
              <w:left w:val="nil"/>
              <w:right w:val="nil"/>
            </w:tcBorders>
            <w:shd w:val="clear" w:color="auto" w:fill="auto"/>
            <w:noWrap/>
          </w:tcPr>
          <w:p w14:paraId="6248D1EF" w14:textId="77777777" w:rsidR="0040568A" w:rsidRPr="0040568A" w:rsidRDefault="0040568A" w:rsidP="0040568A">
            <w:pPr>
              <w:spacing w:line="276" w:lineRule="auto"/>
              <w:ind w:firstLine="463"/>
              <w:rPr>
                <w:b/>
                <w:bCs/>
              </w:rPr>
            </w:pPr>
          </w:p>
        </w:tc>
        <w:tc>
          <w:tcPr>
            <w:tcW w:w="2320" w:type="pct"/>
            <w:gridSpan w:val="3"/>
            <w:tcBorders>
              <w:left w:val="nil"/>
              <w:bottom w:val="single" w:sz="4" w:space="0" w:color="auto"/>
              <w:right w:val="single" w:sz="4" w:space="0" w:color="auto"/>
            </w:tcBorders>
          </w:tcPr>
          <w:p w14:paraId="6C66D41D" w14:textId="79CC10C2" w:rsidR="0040568A" w:rsidRPr="0040568A" w:rsidRDefault="0040568A" w:rsidP="0040568A">
            <w:pPr>
              <w:spacing w:line="276" w:lineRule="auto"/>
              <w:jc w:val="center"/>
              <w:rPr>
                <w:color w:val="000000"/>
              </w:rPr>
            </w:pPr>
            <w:r w:rsidRPr="0040568A">
              <w:rPr>
                <w:color w:val="000000"/>
              </w:rPr>
              <w:t>Non-US cases</w:t>
            </w:r>
          </w:p>
        </w:tc>
        <w:tc>
          <w:tcPr>
            <w:tcW w:w="662" w:type="pct"/>
            <w:tcBorders>
              <w:left w:val="single" w:sz="4" w:space="0" w:color="auto"/>
              <w:bottom w:val="single" w:sz="4" w:space="0" w:color="auto"/>
              <w:right w:val="nil"/>
            </w:tcBorders>
          </w:tcPr>
          <w:p w14:paraId="3FE45984" w14:textId="5E4B2986" w:rsidR="0040568A" w:rsidRPr="0040568A" w:rsidRDefault="0040568A" w:rsidP="0040568A">
            <w:pPr>
              <w:spacing w:line="276" w:lineRule="auto"/>
              <w:jc w:val="center"/>
              <w:rPr>
                <w:color w:val="000000"/>
              </w:rPr>
            </w:pPr>
            <w:r w:rsidRPr="0040568A">
              <w:rPr>
                <w:color w:val="000000"/>
              </w:rPr>
              <w:t>US cases</w:t>
            </w:r>
          </w:p>
        </w:tc>
      </w:tr>
      <w:tr w:rsidR="0040568A" w:rsidRPr="0040568A" w14:paraId="213A91EE" w14:textId="77777777" w:rsidTr="0040568A">
        <w:tc>
          <w:tcPr>
            <w:tcW w:w="2018" w:type="pct"/>
            <w:tcBorders>
              <w:left w:val="nil"/>
              <w:bottom w:val="single" w:sz="4" w:space="0" w:color="auto"/>
              <w:right w:val="nil"/>
            </w:tcBorders>
            <w:shd w:val="clear" w:color="auto" w:fill="auto"/>
            <w:noWrap/>
            <w:vAlign w:val="center"/>
            <w:hideMark/>
          </w:tcPr>
          <w:p w14:paraId="58285719" w14:textId="77777777" w:rsidR="0040568A" w:rsidRPr="0040568A" w:rsidRDefault="0040568A" w:rsidP="0040568A">
            <w:pPr>
              <w:spacing w:line="276" w:lineRule="auto"/>
              <w:rPr>
                <w:b/>
                <w:bCs/>
              </w:rPr>
            </w:pPr>
            <w:r w:rsidRPr="0040568A">
              <w:rPr>
                <w:b/>
                <w:bCs/>
              </w:rPr>
              <w:t>Time period</w:t>
            </w:r>
          </w:p>
        </w:tc>
        <w:tc>
          <w:tcPr>
            <w:tcW w:w="711" w:type="pct"/>
            <w:tcBorders>
              <w:top w:val="single" w:sz="4" w:space="0" w:color="auto"/>
              <w:left w:val="nil"/>
              <w:bottom w:val="single" w:sz="4" w:space="0" w:color="auto"/>
              <w:right w:val="nil"/>
            </w:tcBorders>
          </w:tcPr>
          <w:p w14:paraId="1EA25006" w14:textId="6C5158C0" w:rsidR="0040568A" w:rsidRPr="0040568A" w:rsidRDefault="0040568A" w:rsidP="0040568A">
            <w:pPr>
              <w:spacing w:line="276" w:lineRule="auto"/>
              <w:jc w:val="center"/>
              <w:rPr>
                <w:color w:val="000000"/>
              </w:rPr>
            </w:pPr>
            <w:r w:rsidRPr="0040568A">
              <w:rPr>
                <w:color w:val="000000"/>
              </w:rPr>
              <w:t>All non-US</w:t>
            </w:r>
          </w:p>
          <w:p w14:paraId="53E4A5E8" w14:textId="10286545" w:rsidR="0040568A" w:rsidRPr="0040568A" w:rsidRDefault="0040568A" w:rsidP="0040568A">
            <w:pPr>
              <w:spacing w:line="276" w:lineRule="auto"/>
              <w:jc w:val="center"/>
              <w:rPr>
                <w:color w:val="000000"/>
              </w:rPr>
            </w:pPr>
            <w:r w:rsidRPr="0040568A">
              <w:rPr>
                <w:color w:val="000000"/>
              </w:rPr>
              <w:t>[N=36]</w:t>
            </w:r>
          </w:p>
        </w:tc>
        <w:tc>
          <w:tcPr>
            <w:tcW w:w="680" w:type="pct"/>
            <w:tcBorders>
              <w:top w:val="single" w:sz="4" w:space="0" w:color="auto"/>
              <w:left w:val="nil"/>
              <w:bottom w:val="single" w:sz="4" w:space="0" w:color="auto"/>
              <w:right w:val="nil"/>
            </w:tcBorders>
          </w:tcPr>
          <w:p w14:paraId="05BDAA2C" w14:textId="77777777" w:rsidR="0040568A" w:rsidRPr="0040568A" w:rsidRDefault="0040568A" w:rsidP="0040568A">
            <w:pPr>
              <w:spacing w:line="276" w:lineRule="auto"/>
              <w:jc w:val="center"/>
              <w:rPr>
                <w:color w:val="000000"/>
              </w:rPr>
            </w:pPr>
            <w:r w:rsidRPr="0040568A">
              <w:rPr>
                <w:color w:val="000000"/>
              </w:rPr>
              <w:t>OECD-EU</w:t>
            </w:r>
            <w:r w:rsidRPr="0040568A">
              <w:rPr>
                <w:color w:val="FF0000"/>
              </w:rPr>
              <w:t xml:space="preserve"> </w:t>
            </w:r>
          </w:p>
          <w:p w14:paraId="58361B3F" w14:textId="77777777" w:rsidR="0040568A" w:rsidRPr="0040568A" w:rsidRDefault="0040568A" w:rsidP="0040568A">
            <w:pPr>
              <w:spacing w:line="276" w:lineRule="auto"/>
              <w:jc w:val="center"/>
              <w:rPr>
                <w:color w:val="000000"/>
              </w:rPr>
            </w:pPr>
            <w:r w:rsidRPr="0040568A">
              <w:rPr>
                <w:color w:val="000000"/>
              </w:rPr>
              <w:t xml:space="preserve">[N=21] </w:t>
            </w:r>
          </w:p>
        </w:tc>
        <w:tc>
          <w:tcPr>
            <w:tcW w:w="929" w:type="pct"/>
            <w:tcBorders>
              <w:top w:val="single" w:sz="4" w:space="0" w:color="auto"/>
              <w:left w:val="nil"/>
              <w:bottom w:val="single" w:sz="4" w:space="0" w:color="auto"/>
              <w:right w:val="single" w:sz="4" w:space="0" w:color="auto"/>
            </w:tcBorders>
          </w:tcPr>
          <w:p w14:paraId="2EC021BF" w14:textId="77777777" w:rsidR="0040568A" w:rsidRPr="0040568A" w:rsidRDefault="0040568A" w:rsidP="0040568A">
            <w:pPr>
              <w:spacing w:line="276" w:lineRule="auto"/>
              <w:jc w:val="center"/>
              <w:rPr>
                <w:color w:val="000000"/>
              </w:rPr>
            </w:pPr>
            <w:r w:rsidRPr="0040568A">
              <w:rPr>
                <w:color w:val="000000"/>
              </w:rPr>
              <w:t xml:space="preserve">Non-OECD/EU </w:t>
            </w:r>
          </w:p>
          <w:p w14:paraId="1BDB5868" w14:textId="77777777" w:rsidR="0040568A" w:rsidRPr="0040568A" w:rsidRDefault="0040568A" w:rsidP="0040568A">
            <w:pPr>
              <w:spacing w:line="276" w:lineRule="auto"/>
              <w:jc w:val="center"/>
              <w:rPr>
                <w:color w:val="000000"/>
              </w:rPr>
            </w:pPr>
            <w:r w:rsidRPr="0040568A">
              <w:rPr>
                <w:color w:val="000000"/>
              </w:rPr>
              <w:t>[N=15]</w:t>
            </w:r>
          </w:p>
        </w:tc>
        <w:tc>
          <w:tcPr>
            <w:tcW w:w="662" w:type="pct"/>
            <w:tcBorders>
              <w:top w:val="single" w:sz="4" w:space="0" w:color="auto"/>
              <w:left w:val="single" w:sz="4" w:space="0" w:color="auto"/>
              <w:bottom w:val="single" w:sz="4" w:space="0" w:color="auto"/>
              <w:right w:val="nil"/>
            </w:tcBorders>
          </w:tcPr>
          <w:p w14:paraId="48DB5437" w14:textId="776E3E94" w:rsidR="0040568A" w:rsidRPr="0040568A" w:rsidRDefault="0040568A" w:rsidP="0040568A">
            <w:pPr>
              <w:spacing w:line="276" w:lineRule="auto"/>
              <w:jc w:val="center"/>
              <w:rPr>
                <w:color w:val="000000"/>
              </w:rPr>
            </w:pPr>
          </w:p>
        </w:tc>
      </w:tr>
      <w:tr w:rsidR="0040568A" w:rsidRPr="0040568A" w14:paraId="566D6A03" w14:textId="77777777" w:rsidTr="0040568A">
        <w:tc>
          <w:tcPr>
            <w:tcW w:w="2018" w:type="pct"/>
            <w:tcBorders>
              <w:top w:val="nil"/>
              <w:left w:val="nil"/>
              <w:bottom w:val="nil"/>
              <w:right w:val="nil"/>
            </w:tcBorders>
            <w:shd w:val="clear" w:color="auto" w:fill="auto"/>
            <w:noWrap/>
            <w:vAlign w:val="center"/>
          </w:tcPr>
          <w:p w14:paraId="48FA7F4C" w14:textId="1EC52885" w:rsidR="0040568A" w:rsidRPr="0040568A" w:rsidRDefault="0040568A" w:rsidP="0040568A">
            <w:pPr>
              <w:spacing w:line="480" w:lineRule="auto"/>
              <w:ind w:firstLineChars="260" w:firstLine="624"/>
              <w:rPr>
                <w:color w:val="000000"/>
              </w:rPr>
            </w:pPr>
            <w:r w:rsidRPr="0040568A">
              <w:rPr>
                <w:color w:val="000000"/>
              </w:rPr>
              <w:t xml:space="preserve">Total cases with a ruling </w:t>
            </w:r>
          </w:p>
        </w:tc>
        <w:tc>
          <w:tcPr>
            <w:tcW w:w="711" w:type="pct"/>
            <w:tcBorders>
              <w:top w:val="nil"/>
              <w:left w:val="nil"/>
              <w:bottom w:val="nil"/>
              <w:right w:val="nil"/>
            </w:tcBorders>
          </w:tcPr>
          <w:p w14:paraId="4CF26159" w14:textId="7BF1FCEC" w:rsidR="0040568A" w:rsidRPr="0040568A" w:rsidRDefault="0040568A" w:rsidP="0040568A">
            <w:pPr>
              <w:spacing w:line="480" w:lineRule="auto"/>
              <w:jc w:val="center"/>
              <w:rPr>
                <w:color w:val="000000"/>
              </w:rPr>
            </w:pPr>
            <w:r w:rsidRPr="0040568A">
              <w:rPr>
                <w:color w:val="000000"/>
              </w:rPr>
              <w:t>355</w:t>
            </w:r>
          </w:p>
        </w:tc>
        <w:tc>
          <w:tcPr>
            <w:tcW w:w="680" w:type="pct"/>
            <w:tcBorders>
              <w:top w:val="nil"/>
              <w:left w:val="nil"/>
              <w:bottom w:val="nil"/>
              <w:right w:val="nil"/>
            </w:tcBorders>
          </w:tcPr>
          <w:p w14:paraId="098D6BE7" w14:textId="5E568E40" w:rsidR="0040568A" w:rsidRPr="0040568A" w:rsidRDefault="0040568A" w:rsidP="0040568A">
            <w:pPr>
              <w:spacing w:line="480" w:lineRule="auto"/>
              <w:jc w:val="center"/>
              <w:rPr>
                <w:color w:val="000000"/>
              </w:rPr>
            </w:pPr>
            <w:r w:rsidRPr="0040568A">
              <w:rPr>
                <w:color w:val="000000"/>
              </w:rPr>
              <w:t>300</w:t>
            </w:r>
          </w:p>
        </w:tc>
        <w:tc>
          <w:tcPr>
            <w:tcW w:w="929" w:type="pct"/>
            <w:tcBorders>
              <w:top w:val="nil"/>
              <w:left w:val="nil"/>
              <w:bottom w:val="nil"/>
              <w:right w:val="single" w:sz="4" w:space="0" w:color="auto"/>
            </w:tcBorders>
          </w:tcPr>
          <w:p w14:paraId="117124DC" w14:textId="34948ED4" w:rsidR="0040568A" w:rsidRPr="0040568A" w:rsidRDefault="0040568A" w:rsidP="0040568A">
            <w:pPr>
              <w:spacing w:line="480" w:lineRule="auto"/>
              <w:jc w:val="center"/>
              <w:rPr>
                <w:color w:val="000000"/>
              </w:rPr>
            </w:pPr>
            <w:r w:rsidRPr="0040568A">
              <w:rPr>
                <w:color w:val="000000"/>
              </w:rPr>
              <w:t>55</w:t>
            </w:r>
          </w:p>
        </w:tc>
        <w:tc>
          <w:tcPr>
            <w:tcW w:w="662" w:type="pct"/>
            <w:tcBorders>
              <w:top w:val="nil"/>
              <w:left w:val="single" w:sz="4" w:space="0" w:color="auto"/>
              <w:bottom w:val="nil"/>
              <w:right w:val="nil"/>
            </w:tcBorders>
          </w:tcPr>
          <w:p w14:paraId="3C9FB848" w14:textId="5F9343D5" w:rsidR="0040568A" w:rsidRPr="0040568A" w:rsidRDefault="0040568A" w:rsidP="0040568A">
            <w:pPr>
              <w:spacing w:line="480" w:lineRule="auto"/>
              <w:jc w:val="center"/>
              <w:rPr>
                <w:color w:val="000000"/>
              </w:rPr>
            </w:pPr>
            <w:r w:rsidRPr="0040568A">
              <w:rPr>
                <w:color w:val="000000"/>
              </w:rPr>
              <w:t>534</w:t>
            </w:r>
          </w:p>
        </w:tc>
      </w:tr>
      <w:tr w:rsidR="0040568A" w:rsidRPr="0040568A" w14:paraId="0C9EC93C" w14:textId="77777777" w:rsidTr="0040568A">
        <w:tc>
          <w:tcPr>
            <w:tcW w:w="2018" w:type="pct"/>
            <w:tcBorders>
              <w:top w:val="nil"/>
              <w:left w:val="nil"/>
              <w:bottom w:val="nil"/>
              <w:right w:val="nil"/>
            </w:tcBorders>
            <w:shd w:val="clear" w:color="auto" w:fill="auto"/>
            <w:noWrap/>
            <w:vAlign w:val="center"/>
            <w:hideMark/>
          </w:tcPr>
          <w:p w14:paraId="00C55987" w14:textId="3E3F0FB2" w:rsidR="0040568A" w:rsidRPr="0040568A" w:rsidRDefault="0040568A" w:rsidP="0040568A">
            <w:pPr>
              <w:spacing w:line="480" w:lineRule="auto"/>
              <w:ind w:firstLineChars="260" w:firstLine="624"/>
              <w:rPr>
                <w:color w:val="000000"/>
              </w:rPr>
            </w:pPr>
            <w:r w:rsidRPr="0040568A">
              <w:rPr>
                <w:color w:val="000000"/>
              </w:rPr>
              <w:t>Cases with a pro-climate ruling</w:t>
            </w:r>
          </w:p>
        </w:tc>
        <w:tc>
          <w:tcPr>
            <w:tcW w:w="711" w:type="pct"/>
            <w:tcBorders>
              <w:top w:val="nil"/>
              <w:left w:val="nil"/>
              <w:bottom w:val="nil"/>
              <w:right w:val="nil"/>
            </w:tcBorders>
          </w:tcPr>
          <w:p w14:paraId="2E0849F7" w14:textId="76AEED03" w:rsidR="0040568A" w:rsidRPr="0040568A" w:rsidRDefault="0040568A" w:rsidP="0040568A">
            <w:pPr>
              <w:spacing w:line="480" w:lineRule="auto"/>
              <w:jc w:val="center"/>
              <w:rPr>
                <w:color w:val="000000"/>
              </w:rPr>
            </w:pPr>
            <w:r w:rsidRPr="0040568A">
              <w:rPr>
                <w:color w:val="000000"/>
              </w:rPr>
              <w:t>187 (53%)</w:t>
            </w:r>
          </w:p>
        </w:tc>
        <w:tc>
          <w:tcPr>
            <w:tcW w:w="680" w:type="pct"/>
            <w:tcBorders>
              <w:top w:val="nil"/>
              <w:left w:val="nil"/>
              <w:bottom w:val="nil"/>
              <w:right w:val="nil"/>
            </w:tcBorders>
          </w:tcPr>
          <w:p w14:paraId="0F0A4BDF" w14:textId="7181BBE0" w:rsidR="0040568A" w:rsidRPr="0040568A" w:rsidRDefault="0040568A" w:rsidP="0040568A">
            <w:pPr>
              <w:spacing w:line="480" w:lineRule="auto"/>
              <w:jc w:val="center"/>
              <w:rPr>
                <w:color w:val="000000"/>
              </w:rPr>
            </w:pPr>
            <w:r w:rsidRPr="0040568A">
              <w:rPr>
                <w:color w:val="000000"/>
              </w:rPr>
              <w:t>153 (51%)</w:t>
            </w:r>
          </w:p>
        </w:tc>
        <w:tc>
          <w:tcPr>
            <w:tcW w:w="929" w:type="pct"/>
            <w:tcBorders>
              <w:top w:val="nil"/>
              <w:left w:val="nil"/>
              <w:bottom w:val="nil"/>
              <w:right w:val="single" w:sz="4" w:space="0" w:color="auto"/>
            </w:tcBorders>
          </w:tcPr>
          <w:p w14:paraId="190D5F67" w14:textId="0FAD0B65" w:rsidR="0040568A" w:rsidRPr="0040568A" w:rsidRDefault="0040568A" w:rsidP="0040568A">
            <w:pPr>
              <w:spacing w:line="480" w:lineRule="auto"/>
              <w:jc w:val="center"/>
              <w:rPr>
                <w:color w:val="000000"/>
              </w:rPr>
            </w:pPr>
            <w:r w:rsidRPr="0040568A">
              <w:rPr>
                <w:color w:val="000000"/>
              </w:rPr>
              <w:t>34 (62%)</w:t>
            </w:r>
          </w:p>
        </w:tc>
        <w:tc>
          <w:tcPr>
            <w:tcW w:w="662" w:type="pct"/>
            <w:tcBorders>
              <w:top w:val="nil"/>
              <w:left w:val="single" w:sz="4" w:space="0" w:color="auto"/>
              <w:bottom w:val="nil"/>
              <w:right w:val="nil"/>
            </w:tcBorders>
          </w:tcPr>
          <w:p w14:paraId="3111A2C9" w14:textId="61D8290E" w:rsidR="0040568A" w:rsidRPr="0040568A" w:rsidRDefault="0040568A" w:rsidP="0040568A">
            <w:pPr>
              <w:spacing w:line="480" w:lineRule="auto"/>
              <w:jc w:val="center"/>
              <w:rPr>
                <w:color w:val="000000"/>
              </w:rPr>
            </w:pPr>
            <w:r w:rsidRPr="0040568A">
              <w:rPr>
                <w:color w:val="000000"/>
              </w:rPr>
              <w:t>225 (42%)</w:t>
            </w:r>
          </w:p>
        </w:tc>
      </w:tr>
      <w:tr w:rsidR="0040568A" w:rsidRPr="0040568A" w14:paraId="1E827731" w14:textId="77777777" w:rsidTr="0040568A">
        <w:tc>
          <w:tcPr>
            <w:tcW w:w="2018" w:type="pct"/>
            <w:tcBorders>
              <w:top w:val="nil"/>
              <w:left w:val="nil"/>
              <w:bottom w:val="nil"/>
              <w:right w:val="nil"/>
            </w:tcBorders>
            <w:shd w:val="clear" w:color="auto" w:fill="auto"/>
            <w:noWrap/>
            <w:vAlign w:val="center"/>
          </w:tcPr>
          <w:p w14:paraId="18B6E273" w14:textId="77777777" w:rsidR="0040568A" w:rsidRPr="0040568A" w:rsidRDefault="0040568A" w:rsidP="0040568A">
            <w:pPr>
              <w:spacing w:line="480" w:lineRule="auto"/>
              <w:ind w:firstLineChars="260" w:firstLine="624"/>
              <w:rPr>
                <w:color w:val="000000"/>
              </w:rPr>
            </w:pPr>
          </w:p>
        </w:tc>
        <w:tc>
          <w:tcPr>
            <w:tcW w:w="711" w:type="pct"/>
            <w:tcBorders>
              <w:top w:val="nil"/>
              <w:left w:val="nil"/>
              <w:bottom w:val="nil"/>
              <w:right w:val="nil"/>
            </w:tcBorders>
          </w:tcPr>
          <w:p w14:paraId="3B1A2188" w14:textId="77777777" w:rsidR="0040568A" w:rsidRPr="0040568A" w:rsidRDefault="0040568A" w:rsidP="0040568A">
            <w:pPr>
              <w:spacing w:line="480" w:lineRule="auto"/>
              <w:jc w:val="center"/>
              <w:rPr>
                <w:color w:val="000000"/>
              </w:rPr>
            </w:pPr>
          </w:p>
        </w:tc>
        <w:tc>
          <w:tcPr>
            <w:tcW w:w="680" w:type="pct"/>
            <w:tcBorders>
              <w:top w:val="nil"/>
              <w:left w:val="nil"/>
              <w:bottom w:val="nil"/>
              <w:right w:val="nil"/>
            </w:tcBorders>
          </w:tcPr>
          <w:p w14:paraId="74852A61" w14:textId="77777777" w:rsidR="0040568A" w:rsidRPr="0040568A" w:rsidRDefault="0040568A" w:rsidP="0040568A">
            <w:pPr>
              <w:spacing w:line="480" w:lineRule="auto"/>
              <w:jc w:val="center"/>
              <w:rPr>
                <w:color w:val="000000"/>
              </w:rPr>
            </w:pPr>
          </w:p>
        </w:tc>
        <w:tc>
          <w:tcPr>
            <w:tcW w:w="929" w:type="pct"/>
            <w:tcBorders>
              <w:top w:val="nil"/>
              <w:left w:val="nil"/>
              <w:bottom w:val="nil"/>
              <w:right w:val="single" w:sz="4" w:space="0" w:color="auto"/>
            </w:tcBorders>
          </w:tcPr>
          <w:p w14:paraId="33B7D27C" w14:textId="77777777" w:rsidR="0040568A" w:rsidRPr="0040568A" w:rsidRDefault="0040568A" w:rsidP="0040568A">
            <w:pPr>
              <w:spacing w:line="480" w:lineRule="auto"/>
              <w:jc w:val="center"/>
              <w:rPr>
                <w:color w:val="000000"/>
              </w:rPr>
            </w:pPr>
          </w:p>
        </w:tc>
        <w:tc>
          <w:tcPr>
            <w:tcW w:w="662" w:type="pct"/>
            <w:tcBorders>
              <w:top w:val="nil"/>
              <w:left w:val="single" w:sz="4" w:space="0" w:color="auto"/>
              <w:bottom w:val="nil"/>
              <w:right w:val="nil"/>
            </w:tcBorders>
          </w:tcPr>
          <w:p w14:paraId="2E12B3A4" w14:textId="28FFFFD4" w:rsidR="0040568A" w:rsidRPr="0040568A" w:rsidRDefault="0040568A" w:rsidP="0040568A">
            <w:pPr>
              <w:spacing w:line="480" w:lineRule="auto"/>
              <w:jc w:val="center"/>
              <w:rPr>
                <w:color w:val="000000"/>
              </w:rPr>
            </w:pPr>
          </w:p>
        </w:tc>
      </w:tr>
      <w:tr w:rsidR="0040568A" w:rsidRPr="0040568A" w14:paraId="4731B6FD" w14:textId="77777777" w:rsidTr="0040568A">
        <w:tc>
          <w:tcPr>
            <w:tcW w:w="2018" w:type="pct"/>
            <w:tcBorders>
              <w:top w:val="nil"/>
              <w:left w:val="nil"/>
              <w:bottom w:val="nil"/>
              <w:right w:val="nil"/>
            </w:tcBorders>
            <w:shd w:val="clear" w:color="auto" w:fill="auto"/>
            <w:noWrap/>
            <w:vAlign w:val="center"/>
          </w:tcPr>
          <w:p w14:paraId="6A413630" w14:textId="0DF4E28C" w:rsidR="0040568A" w:rsidRPr="0040568A" w:rsidRDefault="0040568A" w:rsidP="0040568A">
            <w:pPr>
              <w:spacing w:line="480" w:lineRule="auto"/>
              <w:ind w:firstLineChars="260" w:firstLine="624"/>
              <w:rPr>
                <w:color w:val="000000"/>
              </w:rPr>
            </w:pPr>
            <w:r w:rsidRPr="0040568A">
              <w:rPr>
                <w:color w:val="000000"/>
              </w:rPr>
              <w:t>Pro-climate cases over time</w:t>
            </w:r>
          </w:p>
        </w:tc>
        <w:tc>
          <w:tcPr>
            <w:tcW w:w="711" w:type="pct"/>
            <w:tcBorders>
              <w:top w:val="nil"/>
              <w:left w:val="nil"/>
              <w:bottom w:val="nil"/>
              <w:right w:val="nil"/>
            </w:tcBorders>
          </w:tcPr>
          <w:p w14:paraId="62C8CA05" w14:textId="77777777" w:rsidR="0040568A" w:rsidRPr="0040568A" w:rsidRDefault="0040568A" w:rsidP="0040568A">
            <w:pPr>
              <w:spacing w:line="480" w:lineRule="auto"/>
              <w:jc w:val="center"/>
              <w:rPr>
                <w:color w:val="000000"/>
              </w:rPr>
            </w:pPr>
          </w:p>
        </w:tc>
        <w:tc>
          <w:tcPr>
            <w:tcW w:w="680" w:type="pct"/>
            <w:tcBorders>
              <w:top w:val="nil"/>
              <w:left w:val="nil"/>
              <w:bottom w:val="nil"/>
              <w:right w:val="nil"/>
            </w:tcBorders>
          </w:tcPr>
          <w:p w14:paraId="4BFB01F3" w14:textId="77777777" w:rsidR="0040568A" w:rsidRPr="0040568A" w:rsidRDefault="0040568A" w:rsidP="0040568A">
            <w:pPr>
              <w:spacing w:line="480" w:lineRule="auto"/>
              <w:jc w:val="center"/>
              <w:rPr>
                <w:color w:val="000000"/>
              </w:rPr>
            </w:pPr>
          </w:p>
        </w:tc>
        <w:tc>
          <w:tcPr>
            <w:tcW w:w="929" w:type="pct"/>
            <w:tcBorders>
              <w:top w:val="nil"/>
              <w:left w:val="nil"/>
              <w:bottom w:val="nil"/>
              <w:right w:val="single" w:sz="4" w:space="0" w:color="auto"/>
            </w:tcBorders>
          </w:tcPr>
          <w:p w14:paraId="7786A2D6" w14:textId="77777777" w:rsidR="0040568A" w:rsidRPr="0040568A" w:rsidRDefault="0040568A" w:rsidP="0040568A">
            <w:pPr>
              <w:spacing w:line="480" w:lineRule="auto"/>
              <w:jc w:val="center"/>
              <w:rPr>
                <w:color w:val="000000"/>
              </w:rPr>
            </w:pPr>
          </w:p>
        </w:tc>
        <w:tc>
          <w:tcPr>
            <w:tcW w:w="662" w:type="pct"/>
            <w:tcBorders>
              <w:top w:val="nil"/>
              <w:left w:val="single" w:sz="4" w:space="0" w:color="auto"/>
              <w:bottom w:val="nil"/>
              <w:right w:val="nil"/>
            </w:tcBorders>
          </w:tcPr>
          <w:p w14:paraId="0321EA9A" w14:textId="0A9DA5CC" w:rsidR="0040568A" w:rsidRPr="0040568A" w:rsidRDefault="0040568A" w:rsidP="0040568A">
            <w:pPr>
              <w:spacing w:line="480" w:lineRule="auto"/>
              <w:jc w:val="center"/>
              <w:rPr>
                <w:color w:val="000000"/>
              </w:rPr>
            </w:pPr>
          </w:p>
        </w:tc>
      </w:tr>
      <w:tr w:rsidR="0040568A" w:rsidRPr="0040568A" w14:paraId="48B013FC" w14:textId="77777777" w:rsidTr="0040568A">
        <w:tc>
          <w:tcPr>
            <w:tcW w:w="2018" w:type="pct"/>
            <w:tcBorders>
              <w:top w:val="nil"/>
              <w:left w:val="nil"/>
              <w:bottom w:val="nil"/>
              <w:right w:val="nil"/>
            </w:tcBorders>
            <w:shd w:val="clear" w:color="auto" w:fill="auto"/>
            <w:noWrap/>
            <w:vAlign w:val="center"/>
            <w:hideMark/>
          </w:tcPr>
          <w:p w14:paraId="429AB436" w14:textId="77777777" w:rsidR="0040568A" w:rsidRPr="0040568A" w:rsidRDefault="0040568A" w:rsidP="00641A01">
            <w:pPr>
              <w:spacing w:line="480" w:lineRule="auto"/>
              <w:ind w:firstLineChars="487" w:firstLine="1169"/>
              <w:rPr>
                <w:color w:val="000000"/>
              </w:rPr>
            </w:pPr>
            <w:r w:rsidRPr="0040568A">
              <w:rPr>
                <w:color w:val="000000"/>
              </w:rPr>
              <w:t>1990-1999</w:t>
            </w:r>
          </w:p>
        </w:tc>
        <w:tc>
          <w:tcPr>
            <w:tcW w:w="711" w:type="pct"/>
            <w:tcBorders>
              <w:top w:val="nil"/>
              <w:left w:val="nil"/>
              <w:bottom w:val="nil"/>
              <w:right w:val="nil"/>
            </w:tcBorders>
          </w:tcPr>
          <w:p w14:paraId="440060A8" w14:textId="77777777" w:rsidR="0040568A" w:rsidRPr="0040568A" w:rsidRDefault="0040568A" w:rsidP="0040568A">
            <w:pPr>
              <w:spacing w:line="480" w:lineRule="auto"/>
              <w:jc w:val="center"/>
              <w:rPr>
                <w:color w:val="000000"/>
              </w:rPr>
            </w:pPr>
            <w:r w:rsidRPr="0040568A">
              <w:rPr>
                <w:color w:val="000000"/>
              </w:rPr>
              <w:t>0</w:t>
            </w:r>
          </w:p>
        </w:tc>
        <w:tc>
          <w:tcPr>
            <w:tcW w:w="680" w:type="pct"/>
            <w:tcBorders>
              <w:top w:val="nil"/>
              <w:left w:val="nil"/>
              <w:bottom w:val="nil"/>
              <w:right w:val="nil"/>
            </w:tcBorders>
          </w:tcPr>
          <w:p w14:paraId="5D88F7E1" w14:textId="77777777" w:rsidR="0040568A" w:rsidRPr="0040568A" w:rsidRDefault="0040568A" w:rsidP="0040568A">
            <w:pPr>
              <w:spacing w:line="480" w:lineRule="auto"/>
              <w:jc w:val="center"/>
              <w:rPr>
                <w:color w:val="000000"/>
              </w:rPr>
            </w:pPr>
            <w:r w:rsidRPr="0040568A">
              <w:rPr>
                <w:color w:val="000000"/>
              </w:rPr>
              <w:t>0</w:t>
            </w:r>
          </w:p>
        </w:tc>
        <w:tc>
          <w:tcPr>
            <w:tcW w:w="929" w:type="pct"/>
            <w:tcBorders>
              <w:top w:val="nil"/>
              <w:left w:val="nil"/>
              <w:bottom w:val="nil"/>
              <w:right w:val="single" w:sz="4" w:space="0" w:color="auto"/>
            </w:tcBorders>
          </w:tcPr>
          <w:p w14:paraId="6A9A4D53" w14:textId="77777777" w:rsidR="0040568A" w:rsidRPr="0040568A" w:rsidRDefault="0040568A" w:rsidP="0040568A">
            <w:pPr>
              <w:spacing w:line="480" w:lineRule="auto"/>
              <w:jc w:val="center"/>
              <w:rPr>
                <w:color w:val="000000"/>
              </w:rPr>
            </w:pPr>
            <w:r w:rsidRPr="0040568A">
              <w:rPr>
                <w:color w:val="000000"/>
              </w:rPr>
              <w:t>0</w:t>
            </w:r>
          </w:p>
        </w:tc>
        <w:tc>
          <w:tcPr>
            <w:tcW w:w="662" w:type="pct"/>
            <w:tcBorders>
              <w:top w:val="nil"/>
              <w:left w:val="single" w:sz="4" w:space="0" w:color="auto"/>
              <w:bottom w:val="nil"/>
              <w:right w:val="nil"/>
            </w:tcBorders>
          </w:tcPr>
          <w:p w14:paraId="3C955A25" w14:textId="376F31D1" w:rsidR="0040568A" w:rsidRPr="0040568A" w:rsidRDefault="0040568A" w:rsidP="0040568A">
            <w:pPr>
              <w:spacing w:line="480" w:lineRule="auto"/>
              <w:jc w:val="center"/>
              <w:rPr>
                <w:color w:val="000000"/>
              </w:rPr>
            </w:pPr>
          </w:p>
        </w:tc>
      </w:tr>
      <w:tr w:rsidR="0040568A" w:rsidRPr="0040568A" w14:paraId="28C6C7A2" w14:textId="77777777" w:rsidTr="0040568A">
        <w:tc>
          <w:tcPr>
            <w:tcW w:w="2018" w:type="pct"/>
            <w:tcBorders>
              <w:top w:val="nil"/>
              <w:left w:val="nil"/>
              <w:bottom w:val="nil"/>
              <w:right w:val="nil"/>
            </w:tcBorders>
            <w:shd w:val="clear" w:color="auto" w:fill="auto"/>
            <w:noWrap/>
            <w:vAlign w:val="center"/>
            <w:hideMark/>
          </w:tcPr>
          <w:p w14:paraId="25FB7C85" w14:textId="77777777" w:rsidR="0040568A" w:rsidRPr="0040568A" w:rsidRDefault="0040568A" w:rsidP="00641A01">
            <w:pPr>
              <w:spacing w:line="480" w:lineRule="auto"/>
              <w:ind w:firstLineChars="487" w:firstLine="1169"/>
              <w:rPr>
                <w:color w:val="000000"/>
              </w:rPr>
            </w:pPr>
            <w:r w:rsidRPr="0040568A">
              <w:rPr>
                <w:color w:val="000000"/>
              </w:rPr>
              <w:t>2000-2009</w:t>
            </w:r>
          </w:p>
        </w:tc>
        <w:tc>
          <w:tcPr>
            <w:tcW w:w="711" w:type="pct"/>
            <w:tcBorders>
              <w:top w:val="nil"/>
              <w:left w:val="nil"/>
              <w:bottom w:val="nil"/>
              <w:right w:val="nil"/>
            </w:tcBorders>
          </w:tcPr>
          <w:p w14:paraId="3BE4C937" w14:textId="77777777" w:rsidR="0040568A" w:rsidRPr="0040568A" w:rsidRDefault="0040568A" w:rsidP="0040568A">
            <w:pPr>
              <w:spacing w:line="480" w:lineRule="auto"/>
              <w:jc w:val="center"/>
              <w:rPr>
                <w:color w:val="000000"/>
              </w:rPr>
            </w:pPr>
            <w:r w:rsidRPr="0040568A">
              <w:rPr>
                <w:color w:val="000000"/>
              </w:rPr>
              <w:t>68</w:t>
            </w:r>
          </w:p>
        </w:tc>
        <w:tc>
          <w:tcPr>
            <w:tcW w:w="680" w:type="pct"/>
            <w:tcBorders>
              <w:top w:val="nil"/>
              <w:left w:val="nil"/>
              <w:bottom w:val="nil"/>
              <w:right w:val="nil"/>
            </w:tcBorders>
          </w:tcPr>
          <w:p w14:paraId="53082715" w14:textId="77777777" w:rsidR="0040568A" w:rsidRPr="0040568A" w:rsidRDefault="0040568A" w:rsidP="0040568A">
            <w:pPr>
              <w:spacing w:line="480" w:lineRule="auto"/>
              <w:jc w:val="center"/>
              <w:rPr>
                <w:color w:val="000000"/>
              </w:rPr>
            </w:pPr>
            <w:r w:rsidRPr="0040568A">
              <w:rPr>
                <w:color w:val="000000"/>
              </w:rPr>
              <w:t>62</w:t>
            </w:r>
          </w:p>
        </w:tc>
        <w:tc>
          <w:tcPr>
            <w:tcW w:w="929" w:type="pct"/>
            <w:tcBorders>
              <w:top w:val="nil"/>
              <w:left w:val="nil"/>
              <w:bottom w:val="nil"/>
              <w:right w:val="single" w:sz="4" w:space="0" w:color="auto"/>
            </w:tcBorders>
          </w:tcPr>
          <w:p w14:paraId="7AD0443D" w14:textId="77777777" w:rsidR="0040568A" w:rsidRPr="0040568A" w:rsidRDefault="0040568A" w:rsidP="0040568A">
            <w:pPr>
              <w:spacing w:line="480" w:lineRule="auto"/>
              <w:jc w:val="center"/>
              <w:rPr>
                <w:color w:val="000000"/>
              </w:rPr>
            </w:pPr>
            <w:r w:rsidRPr="0040568A">
              <w:rPr>
                <w:color w:val="000000"/>
              </w:rPr>
              <w:t>6</w:t>
            </w:r>
          </w:p>
        </w:tc>
        <w:tc>
          <w:tcPr>
            <w:tcW w:w="662" w:type="pct"/>
            <w:tcBorders>
              <w:top w:val="nil"/>
              <w:left w:val="single" w:sz="4" w:space="0" w:color="auto"/>
              <w:bottom w:val="nil"/>
              <w:right w:val="nil"/>
            </w:tcBorders>
          </w:tcPr>
          <w:p w14:paraId="22D6E2C8" w14:textId="31D0AE61" w:rsidR="0040568A" w:rsidRPr="0040568A" w:rsidRDefault="0040568A" w:rsidP="0040568A">
            <w:pPr>
              <w:spacing w:line="480" w:lineRule="auto"/>
              <w:jc w:val="center"/>
              <w:rPr>
                <w:color w:val="000000"/>
              </w:rPr>
            </w:pPr>
          </w:p>
        </w:tc>
      </w:tr>
      <w:tr w:rsidR="0040568A" w:rsidRPr="0040568A" w14:paraId="50CD54EF" w14:textId="77777777" w:rsidTr="0040568A">
        <w:tc>
          <w:tcPr>
            <w:tcW w:w="2018" w:type="pct"/>
            <w:tcBorders>
              <w:top w:val="nil"/>
              <w:left w:val="nil"/>
              <w:right w:val="nil"/>
            </w:tcBorders>
            <w:shd w:val="clear" w:color="auto" w:fill="auto"/>
            <w:noWrap/>
            <w:vAlign w:val="center"/>
            <w:hideMark/>
          </w:tcPr>
          <w:p w14:paraId="6CE5556F" w14:textId="77777777" w:rsidR="0040568A" w:rsidRPr="0040568A" w:rsidRDefault="0040568A" w:rsidP="00641A01">
            <w:pPr>
              <w:spacing w:line="480" w:lineRule="auto"/>
              <w:ind w:firstLineChars="487" w:firstLine="1169"/>
              <w:rPr>
                <w:color w:val="000000"/>
              </w:rPr>
            </w:pPr>
            <w:r w:rsidRPr="0040568A">
              <w:rPr>
                <w:color w:val="000000"/>
              </w:rPr>
              <w:t>2010-2019</w:t>
            </w:r>
          </w:p>
        </w:tc>
        <w:tc>
          <w:tcPr>
            <w:tcW w:w="711" w:type="pct"/>
            <w:tcBorders>
              <w:top w:val="nil"/>
              <w:left w:val="nil"/>
              <w:right w:val="nil"/>
            </w:tcBorders>
          </w:tcPr>
          <w:p w14:paraId="350B7D62" w14:textId="77777777" w:rsidR="0040568A" w:rsidRPr="0040568A" w:rsidRDefault="0040568A" w:rsidP="0040568A">
            <w:pPr>
              <w:spacing w:line="480" w:lineRule="auto"/>
              <w:jc w:val="center"/>
              <w:rPr>
                <w:color w:val="000000"/>
              </w:rPr>
            </w:pPr>
            <w:r w:rsidRPr="0040568A">
              <w:rPr>
                <w:color w:val="000000"/>
              </w:rPr>
              <w:t>119</w:t>
            </w:r>
          </w:p>
        </w:tc>
        <w:tc>
          <w:tcPr>
            <w:tcW w:w="680" w:type="pct"/>
            <w:tcBorders>
              <w:top w:val="nil"/>
              <w:left w:val="nil"/>
              <w:right w:val="nil"/>
            </w:tcBorders>
          </w:tcPr>
          <w:p w14:paraId="14D5EE66" w14:textId="77777777" w:rsidR="0040568A" w:rsidRPr="0040568A" w:rsidRDefault="0040568A" w:rsidP="0040568A">
            <w:pPr>
              <w:spacing w:line="480" w:lineRule="auto"/>
              <w:jc w:val="center"/>
              <w:rPr>
                <w:color w:val="000000"/>
              </w:rPr>
            </w:pPr>
            <w:r w:rsidRPr="0040568A">
              <w:rPr>
                <w:color w:val="000000"/>
              </w:rPr>
              <w:t>91</w:t>
            </w:r>
          </w:p>
        </w:tc>
        <w:tc>
          <w:tcPr>
            <w:tcW w:w="929" w:type="pct"/>
            <w:tcBorders>
              <w:top w:val="nil"/>
              <w:left w:val="nil"/>
              <w:right w:val="single" w:sz="4" w:space="0" w:color="auto"/>
            </w:tcBorders>
          </w:tcPr>
          <w:p w14:paraId="6E2771B4" w14:textId="77777777" w:rsidR="0040568A" w:rsidRPr="0040568A" w:rsidRDefault="0040568A" w:rsidP="0040568A">
            <w:pPr>
              <w:spacing w:line="480" w:lineRule="auto"/>
              <w:jc w:val="center"/>
              <w:rPr>
                <w:color w:val="000000"/>
              </w:rPr>
            </w:pPr>
            <w:r w:rsidRPr="0040568A">
              <w:rPr>
                <w:color w:val="000000"/>
              </w:rPr>
              <w:t>28</w:t>
            </w:r>
          </w:p>
        </w:tc>
        <w:tc>
          <w:tcPr>
            <w:tcW w:w="662" w:type="pct"/>
            <w:tcBorders>
              <w:top w:val="nil"/>
              <w:left w:val="single" w:sz="4" w:space="0" w:color="auto"/>
              <w:right w:val="nil"/>
            </w:tcBorders>
          </w:tcPr>
          <w:p w14:paraId="7A41FE7F" w14:textId="04D25CA1" w:rsidR="0040568A" w:rsidRPr="0040568A" w:rsidRDefault="0040568A" w:rsidP="0040568A">
            <w:pPr>
              <w:spacing w:line="480" w:lineRule="auto"/>
              <w:jc w:val="center"/>
              <w:rPr>
                <w:color w:val="000000"/>
              </w:rPr>
            </w:pPr>
          </w:p>
        </w:tc>
      </w:tr>
    </w:tbl>
    <w:p w14:paraId="003269E3" w14:textId="77777777" w:rsidR="0040568A" w:rsidRDefault="0040568A" w:rsidP="0040568A">
      <w:pPr>
        <w:spacing w:line="480" w:lineRule="auto"/>
        <w:jc w:val="both"/>
        <w:rPr>
          <w:i/>
          <w:iCs/>
        </w:rPr>
      </w:pPr>
    </w:p>
    <w:p w14:paraId="714D382A" w14:textId="20477CE8" w:rsidR="00DD710B" w:rsidRPr="0040568A" w:rsidRDefault="002A3D30" w:rsidP="0040568A">
      <w:pPr>
        <w:spacing w:line="480" w:lineRule="auto"/>
        <w:jc w:val="both"/>
      </w:pPr>
      <w:r w:rsidRPr="0040568A">
        <w:rPr>
          <w:iCs/>
        </w:rPr>
        <w:t>Notes</w:t>
      </w:r>
      <w:r w:rsidR="0040568A">
        <w:rPr>
          <w:iCs/>
        </w:rPr>
        <w:t>:</w:t>
      </w:r>
      <w:r w:rsidRPr="0040568A">
        <w:t xml:space="preserve"> </w:t>
      </w:r>
      <w:r w:rsidR="00641161" w:rsidRPr="0040568A">
        <w:t xml:space="preserve">Outside the US, a court ruling has been issued in </w:t>
      </w:r>
      <w:r w:rsidR="002804A1" w:rsidRPr="0040568A">
        <w:t>355</w:t>
      </w:r>
      <w:r w:rsidR="00641161" w:rsidRPr="0040568A">
        <w:t xml:space="preserve"> cases </w:t>
      </w:r>
      <w:r w:rsidR="00DD710B" w:rsidRPr="0040568A">
        <w:t xml:space="preserve">between 1990 and 2019. </w:t>
      </w:r>
      <w:r w:rsidR="00153A45" w:rsidRPr="0040568A">
        <w:t xml:space="preserve">These </w:t>
      </w:r>
      <w:r w:rsidR="007170AF" w:rsidRPr="0040568A">
        <w:t xml:space="preserve">are contained in </w:t>
      </w:r>
      <w:r w:rsidR="007170AF" w:rsidRPr="0040568A">
        <w:rPr>
          <w:i/>
          <w:iCs/>
        </w:rPr>
        <w:t>Climate Change Laws of the World</w:t>
      </w:r>
      <w:r w:rsidR="00153A45" w:rsidRPr="0040568A">
        <w:t xml:space="preserve">. </w:t>
      </w:r>
      <w:r w:rsidR="00641161" w:rsidRPr="0040568A">
        <w:t>For the US we re-examined</w:t>
      </w:r>
      <w:r w:rsidR="00DD710B" w:rsidRPr="0040568A">
        <w:t xml:space="preserve"> 534 court rulings during 1990-2016 from McCormick </w:t>
      </w:r>
      <w:r w:rsidR="00DD710B" w:rsidRPr="0040568A">
        <w:rPr>
          <w:i/>
          <w:iCs/>
        </w:rPr>
        <w:t>et al</w:t>
      </w:r>
      <w:r w:rsidR="00DD710B" w:rsidRPr="0040568A">
        <w:t xml:space="preserve"> (2018); </w:t>
      </w:r>
      <w:r w:rsidR="00153A45" w:rsidRPr="0040568A">
        <w:t xml:space="preserve">here a ruling is </w:t>
      </w:r>
      <w:r w:rsidR="00DD710B" w:rsidRPr="0040568A">
        <w:t xml:space="preserve">pro-climate </w:t>
      </w:r>
      <w:r w:rsidR="00153A45" w:rsidRPr="0040568A">
        <w:t xml:space="preserve">if </w:t>
      </w:r>
      <w:r w:rsidR="00DD710B" w:rsidRPr="0040568A">
        <w:t>judge</w:t>
      </w:r>
      <w:r w:rsidR="00153A45" w:rsidRPr="0040568A">
        <w:t>s</w:t>
      </w:r>
      <w:r w:rsidR="00DD710B" w:rsidRPr="0040568A">
        <w:t xml:space="preserve"> supported</w:t>
      </w:r>
      <w:r w:rsidR="00153A45" w:rsidRPr="0040568A">
        <w:t xml:space="preserve"> a</w:t>
      </w:r>
      <w:r w:rsidR="00DD710B" w:rsidRPr="0040568A">
        <w:t xml:space="preserve"> “pro-regulation” plaintiff or ruled against</w:t>
      </w:r>
      <w:r w:rsidR="00153A45" w:rsidRPr="0040568A">
        <w:t xml:space="preserve"> an</w:t>
      </w:r>
      <w:r w:rsidR="00DD710B" w:rsidRPr="0040568A">
        <w:t xml:space="preserve"> “anti-regulation” plaintiff. </w:t>
      </w:r>
      <w:r w:rsidR="00641161" w:rsidRPr="0040568A">
        <w:t xml:space="preserve"> </w:t>
      </w:r>
    </w:p>
    <w:p w14:paraId="3812CFEB" w14:textId="48026967" w:rsidR="0007082F" w:rsidRPr="0040568A" w:rsidRDefault="0007082F" w:rsidP="0040568A">
      <w:pPr>
        <w:spacing w:line="480" w:lineRule="auto"/>
        <w:jc w:val="both"/>
      </w:pPr>
      <w:r w:rsidRPr="0040568A">
        <w:rPr>
          <w:i/>
          <w:iCs/>
        </w:rPr>
        <w:t xml:space="preserve">Source: </w:t>
      </w:r>
      <w:r w:rsidRPr="0040568A">
        <w:t>Authors based on</w:t>
      </w:r>
      <w:r w:rsidRPr="0040568A">
        <w:rPr>
          <w:i/>
          <w:iCs/>
        </w:rPr>
        <w:t xml:space="preserve"> Climate Change Laws of the World</w:t>
      </w:r>
      <w:r w:rsidR="005623A7" w:rsidRPr="0040568A">
        <w:t xml:space="preserve"> </w:t>
      </w:r>
      <w:r w:rsidR="00DD710B" w:rsidRPr="0040568A">
        <w:t xml:space="preserve">and McCormick </w:t>
      </w:r>
      <w:r w:rsidR="00DD710B" w:rsidRPr="0040568A">
        <w:rPr>
          <w:i/>
          <w:iCs/>
        </w:rPr>
        <w:t>et al.</w:t>
      </w:r>
      <w:r w:rsidR="00DD710B" w:rsidRPr="0040568A">
        <w:t xml:space="preserve"> (2018). </w:t>
      </w:r>
      <w:r w:rsidR="005623A7" w:rsidRPr="0040568A">
        <w:t>For results by country see A</w:t>
      </w:r>
      <w:r w:rsidR="00670EA8" w:rsidRPr="0040568A">
        <w:t xml:space="preserve">ppendix </w:t>
      </w:r>
      <w:r w:rsidR="005623A7" w:rsidRPr="0040568A">
        <w:t>Table A4.</w:t>
      </w:r>
    </w:p>
    <w:p w14:paraId="118EF520" w14:textId="77777777" w:rsidR="0007082F" w:rsidRPr="0040568A" w:rsidRDefault="0007082F" w:rsidP="0040568A">
      <w:pPr>
        <w:spacing w:line="480" w:lineRule="auto"/>
        <w:rPr>
          <w:bCs/>
          <w:i/>
          <w:iCs/>
        </w:rPr>
      </w:pPr>
    </w:p>
    <w:p w14:paraId="56D47F2F" w14:textId="61E38241" w:rsidR="00170188" w:rsidRDefault="00641A01" w:rsidP="00641A01">
      <w:pPr>
        <w:pStyle w:val="Heading1"/>
        <w:keepNext/>
        <w:keepLines/>
        <w:pageBreakBefore w:val="0"/>
        <w:autoSpaceDE/>
        <w:autoSpaceDN/>
        <w:adjustRightInd/>
        <w:spacing w:after="0" w:line="360" w:lineRule="auto"/>
        <w:rPr>
          <w:rFonts w:eastAsiaTheme="majorEastAsia" w:cs="Times New Roman"/>
          <w:b/>
          <w:bCs/>
          <w:sz w:val="24"/>
          <w:szCs w:val="24"/>
        </w:rPr>
      </w:pPr>
      <w:r w:rsidRPr="00641A01">
        <w:rPr>
          <w:rFonts w:eastAsiaTheme="majorEastAsia" w:cs="Times New Roman"/>
          <w:b/>
          <w:bCs/>
          <w:sz w:val="24"/>
          <w:szCs w:val="24"/>
        </w:rPr>
        <w:lastRenderedPageBreak/>
        <w:t>Ap</w:t>
      </w:r>
      <w:r w:rsidR="00170188" w:rsidRPr="00641A01">
        <w:rPr>
          <w:rFonts w:eastAsiaTheme="majorEastAsia" w:cs="Times New Roman"/>
          <w:b/>
          <w:bCs/>
          <w:sz w:val="24"/>
          <w:szCs w:val="24"/>
        </w:rPr>
        <w:t>pendix</w:t>
      </w:r>
      <w:r w:rsidR="00290AF4" w:rsidRPr="00641A01">
        <w:rPr>
          <w:rFonts w:eastAsiaTheme="majorEastAsia" w:cs="Times New Roman"/>
          <w:b/>
          <w:bCs/>
          <w:sz w:val="24"/>
          <w:szCs w:val="24"/>
        </w:rPr>
        <w:t xml:space="preserve"> tables</w:t>
      </w:r>
    </w:p>
    <w:p w14:paraId="7008DB1E" w14:textId="77777777" w:rsidR="00641A01" w:rsidRDefault="00641A01" w:rsidP="00641A01">
      <w:pPr>
        <w:rPr>
          <w:rFonts w:eastAsiaTheme="majorEastAsia"/>
        </w:rPr>
      </w:pPr>
    </w:p>
    <w:p w14:paraId="1ECAF022" w14:textId="77777777" w:rsidR="00641A01" w:rsidRPr="00641A01" w:rsidRDefault="00641A01" w:rsidP="00641A01">
      <w:pPr>
        <w:rPr>
          <w:rFonts w:eastAsiaTheme="majorEastAsia"/>
        </w:rPr>
      </w:pPr>
    </w:p>
    <w:p w14:paraId="037C2138" w14:textId="21184D31" w:rsidR="006220F7" w:rsidRPr="00641A01" w:rsidRDefault="006220F7" w:rsidP="00641A01">
      <w:pPr>
        <w:spacing w:line="2" w:lineRule="auto"/>
        <w:rPr>
          <w:b/>
        </w:rPr>
      </w:pPr>
    </w:p>
    <w:p w14:paraId="20710D54" w14:textId="3729BF3D" w:rsidR="004325ED" w:rsidRDefault="004325ED" w:rsidP="00641A01">
      <w:pPr>
        <w:pStyle w:val="Heading2"/>
        <w:keepNext/>
        <w:keepLines/>
        <w:spacing w:after="0" w:line="276" w:lineRule="auto"/>
        <w:rPr>
          <w:b w:val="0"/>
        </w:rPr>
      </w:pPr>
      <w:r w:rsidRPr="00641A01">
        <w:rPr>
          <w:b w:val="0"/>
        </w:rPr>
        <w:t>Table A1: Legislative activity by countries</w:t>
      </w:r>
    </w:p>
    <w:p w14:paraId="7A05BDDF" w14:textId="77777777" w:rsidR="00641A01" w:rsidRPr="00641A01" w:rsidRDefault="00641A01" w:rsidP="00641A01"/>
    <w:tbl>
      <w:tblPr>
        <w:tblW w:w="5054" w:type="pct"/>
        <w:tblLayout w:type="fixed"/>
        <w:tblLook w:val="04A0" w:firstRow="1" w:lastRow="0" w:firstColumn="1" w:lastColumn="0" w:noHBand="0" w:noVBand="1"/>
      </w:tblPr>
      <w:tblGrid>
        <w:gridCol w:w="3258"/>
        <w:gridCol w:w="1011"/>
        <w:gridCol w:w="1011"/>
        <w:gridCol w:w="1011"/>
        <w:gridCol w:w="1011"/>
        <w:gridCol w:w="1550"/>
        <w:gridCol w:w="2233"/>
        <w:gridCol w:w="2233"/>
      </w:tblGrid>
      <w:tr w:rsidR="00641A01" w:rsidRPr="00641A01" w14:paraId="33440A86" w14:textId="77777777" w:rsidTr="00A637D6">
        <w:trPr>
          <w:tblHeader/>
        </w:trPr>
        <w:tc>
          <w:tcPr>
            <w:tcW w:w="3258" w:type="dxa"/>
            <w:vMerge w:val="restart"/>
            <w:tcBorders>
              <w:top w:val="single" w:sz="8" w:space="0" w:color="auto"/>
              <w:left w:val="nil"/>
              <w:right w:val="nil"/>
            </w:tcBorders>
            <w:shd w:val="clear" w:color="auto" w:fill="auto"/>
            <w:vAlign w:val="center"/>
          </w:tcPr>
          <w:p w14:paraId="57FBE8C4" w14:textId="5533960A" w:rsidR="00641A01" w:rsidRPr="00641A01" w:rsidRDefault="00641A01" w:rsidP="00641A01">
            <w:pPr>
              <w:spacing w:line="276" w:lineRule="auto"/>
              <w:jc w:val="center"/>
              <w:rPr>
                <w:color w:val="000000"/>
              </w:rPr>
            </w:pPr>
            <w:r w:rsidRPr="00641A01">
              <w:rPr>
                <w:color w:val="000000"/>
              </w:rPr>
              <w:t>Country Name</w:t>
            </w:r>
          </w:p>
        </w:tc>
        <w:tc>
          <w:tcPr>
            <w:tcW w:w="1011" w:type="dxa"/>
            <w:vMerge w:val="restart"/>
            <w:tcBorders>
              <w:top w:val="single" w:sz="8" w:space="0" w:color="auto"/>
              <w:left w:val="nil"/>
              <w:right w:val="nil"/>
            </w:tcBorders>
            <w:shd w:val="clear" w:color="auto" w:fill="auto"/>
            <w:noWrap/>
            <w:vAlign w:val="center"/>
          </w:tcPr>
          <w:p w14:paraId="761D920C" w14:textId="27EDBEB5" w:rsidR="00641A01" w:rsidRPr="00641A01" w:rsidRDefault="00641A01" w:rsidP="00641A01">
            <w:pPr>
              <w:spacing w:line="276" w:lineRule="auto"/>
              <w:jc w:val="center"/>
              <w:rPr>
                <w:color w:val="000000"/>
              </w:rPr>
            </w:pPr>
            <w:r w:rsidRPr="00641A01">
              <w:rPr>
                <w:color w:val="000000"/>
              </w:rPr>
              <w:t>ISO Code</w:t>
            </w:r>
          </w:p>
        </w:tc>
        <w:tc>
          <w:tcPr>
            <w:tcW w:w="1011" w:type="dxa"/>
            <w:vMerge w:val="restart"/>
            <w:tcBorders>
              <w:top w:val="single" w:sz="8" w:space="0" w:color="auto"/>
              <w:left w:val="nil"/>
              <w:right w:val="nil"/>
            </w:tcBorders>
            <w:shd w:val="clear" w:color="auto" w:fill="auto"/>
            <w:noWrap/>
            <w:vAlign w:val="center"/>
          </w:tcPr>
          <w:p w14:paraId="6778D74F" w14:textId="4AB31932" w:rsidR="00641A01" w:rsidRPr="00641A01" w:rsidRDefault="00641A01" w:rsidP="00641A01">
            <w:pPr>
              <w:spacing w:line="276" w:lineRule="auto"/>
              <w:jc w:val="center"/>
              <w:rPr>
                <w:color w:val="000000"/>
              </w:rPr>
            </w:pPr>
            <w:r w:rsidRPr="00641A01">
              <w:rPr>
                <w:color w:val="000000"/>
              </w:rPr>
              <w:t>G20</w:t>
            </w:r>
          </w:p>
        </w:tc>
        <w:tc>
          <w:tcPr>
            <w:tcW w:w="1011" w:type="dxa"/>
            <w:vMerge w:val="restart"/>
            <w:tcBorders>
              <w:top w:val="single" w:sz="8" w:space="0" w:color="auto"/>
              <w:left w:val="nil"/>
              <w:right w:val="nil"/>
            </w:tcBorders>
            <w:shd w:val="clear" w:color="auto" w:fill="auto"/>
            <w:noWrap/>
            <w:vAlign w:val="center"/>
          </w:tcPr>
          <w:p w14:paraId="21E8E2C5" w14:textId="2502CEC3" w:rsidR="00641A01" w:rsidRPr="00641A01" w:rsidRDefault="00641A01" w:rsidP="00641A01">
            <w:pPr>
              <w:spacing w:line="276" w:lineRule="auto"/>
              <w:jc w:val="center"/>
              <w:rPr>
                <w:color w:val="000000"/>
              </w:rPr>
            </w:pPr>
            <w:r w:rsidRPr="00641A01">
              <w:rPr>
                <w:color w:val="000000"/>
              </w:rPr>
              <w:t>OECD</w:t>
            </w:r>
          </w:p>
        </w:tc>
        <w:tc>
          <w:tcPr>
            <w:tcW w:w="1011" w:type="dxa"/>
            <w:vMerge w:val="restart"/>
            <w:tcBorders>
              <w:top w:val="single" w:sz="8" w:space="0" w:color="auto"/>
              <w:left w:val="nil"/>
              <w:right w:val="nil"/>
            </w:tcBorders>
            <w:shd w:val="clear" w:color="auto" w:fill="auto"/>
            <w:noWrap/>
            <w:vAlign w:val="center"/>
          </w:tcPr>
          <w:p w14:paraId="7E5056B6" w14:textId="7388EA73" w:rsidR="00641A01" w:rsidRPr="00641A01" w:rsidRDefault="00641A01" w:rsidP="00641A01">
            <w:pPr>
              <w:spacing w:line="276" w:lineRule="auto"/>
              <w:jc w:val="center"/>
              <w:rPr>
                <w:color w:val="000000"/>
              </w:rPr>
            </w:pPr>
            <w:r w:rsidRPr="00641A01">
              <w:rPr>
                <w:color w:val="000000"/>
              </w:rPr>
              <w:t>EU</w:t>
            </w:r>
          </w:p>
        </w:tc>
        <w:tc>
          <w:tcPr>
            <w:tcW w:w="6016" w:type="dxa"/>
            <w:gridSpan w:val="3"/>
            <w:tcBorders>
              <w:top w:val="single" w:sz="8" w:space="0" w:color="auto"/>
              <w:left w:val="nil"/>
              <w:bottom w:val="single" w:sz="8" w:space="0" w:color="auto"/>
              <w:right w:val="nil"/>
            </w:tcBorders>
            <w:shd w:val="clear" w:color="auto" w:fill="auto"/>
            <w:noWrap/>
          </w:tcPr>
          <w:p w14:paraId="264EACB3" w14:textId="730D240D" w:rsidR="00641A01" w:rsidRPr="00641A01" w:rsidRDefault="00641A01" w:rsidP="00641A01">
            <w:pPr>
              <w:spacing w:line="276" w:lineRule="auto"/>
              <w:jc w:val="center"/>
              <w:rPr>
                <w:color w:val="000000"/>
              </w:rPr>
            </w:pPr>
            <w:r w:rsidRPr="00641A01">
              <w:rPr>
                <w:color w:val="000000"/>
              </w:rPr>
              <w:t>Number of climate laws</w:t>
            </w:r>
          </w:p>
        </w:tc>
      </w:tr>
      <w:tr w:rsidR="00641A01" w:rsidRPr="00641A01" w14:paraId="05E21C96" w14:textId="77777777" w:rsidTr="00A637D6">
        <w:trPr>
          <w:tblHeader/>
        </w:trPr>
        <w:tc>
          <w:tcPr>
            <w:tcW w:w="3258" w:type="dxa"/>
            <w:vMerge/>
            <w:tcBorders>
              <w:left w:val="nil"/>
              <w:bottom w:val="single" w:sz="8" w:space="0" w:color="auto"/>
              <w:right w:val="nil"/>
            </w:tcBorders>
            <w:shd w:val="clear" w:color="auto" w:fill="auto"/>
            <w:hideMark/>
          </w:tcPr>
          <w:p w14:paraId="4724BD8E" w14:textId="4AFC897E" w:rsidR="00641A01" w:rsidRPr="00641A01" w:rsidRDefault="00641A01" w:rsidP="00641A01">
            <w:pPr>
              <w:spacing w:line="276" w:lineRule="auto"/>
              <w:jc w:val="center"/>
              <w:rPr>
                <w:color w:val="000000"/>
              </w:rPr>
            </w:pPr>
          </w:p>
        </w:tc>
        <w:tc>
          <w:tcPr>
            <w:tcW w:w="1011" w:type="dxa"/>
            <w:vMerge/>
            <w:tcBorders>
              <w:left w:val="nil"/>
              <w:bottom w:val="single" w:sz="8" w:space="0" w:color="auto"/>
              <w:right w:val="nil"/>
            </w:tcBorders>
            <w:shd w:val="clear" w:color="auto" w:fill="auto"/>
            <w:noWrap/>
            <w:hideMark/>
          </w:tcPr>
          <w:p w14:paraId="6788D8CF" w14:textId="3BEA55E3" w:rsidR="00641A01" w:rsidRPr="00641A01" w:rsidRDefault="00641A01" w:rsidP="00641A01">
            <w:pPr>
              <w:spacing w:line="276" w:lineRule="auto"/>
              <w:jc w:val="center"/>
              <w:rPr>
                <w:color w:val="000000"/>
              </w:rPr>
            </w:pPr>
          </w:p>
        </w:tc>
        <w:tc>
          <w:tcPr>
            <w:tcW w:w="1011" w:type="dxa"/>
            <w:vMerge/>
            <w:tcBorders>
              <w:left w:val="nil"/>
              <w:bottom w:val="single" w:sz="8" w:space="0" w:color="auto"/>
              <w:right w:val="nil"/>
            </w:tcBorders>
            <w:shd w:val="clear" w:color="auto" w:fill="auto"/>
            <w:noWrap/>
            <w:hideMark/>
          </w:tcPr>
          <w:p w14:paraId="07F27071" w14:textId="327B9941" w:rsidR="00641A01" w:rsidRPr="00641A01" w:rsidRDefault="00641A01" w:rsidP="00641A01">
            <w:pPr>
              <w:spacing w:line="276" w:lineRule="auto"/>
              <w:jc w:val="center"/>
              <w:rPr>
                <w:color w:val="000000"/>
              </w:rPr>
            </w:pPr>
          </w:p>
        </w:tc>
        <w:tc>
          <w:tcPr>
            <w:tcW w:w="1011" w:type="dxa"/>
            <w:vMerge/>
            <w:tcBorders>
              <w:left w:val="nil"/>
              <w:bottom w:val="single" w:sz="8" w:space="0" w:color="auto"/>
              <w:right w:val="nil"/>
            </w:tcBorders>
            <w:shd w:val="clear" w:color="auto" w:fill="auto"/>
            <w:noWrap/>
            <w:hideMark/>
          </w:tcPr>
          <w:p w14:paraId="7AD06076" w14:textId="3AD8AA1C" w:rsidR="00641A01" w:rsidRPr="00641A01" w:rsidRDefault="00641A01" w:rsidP="00641A01">
            <w:pPr>
              <w:spacing w:line="276" w:lineRule="auto"/>
              <w:jc w:val="center"/>
              <w:rPr>
                <w:color w:val="000000"/>
              </w:rPr>
            </w:pPr>
          </w:p>
        </w:tc>
        <w:tc>
          <w:tcPr>
            <w:tcW w:w="1011" w:type="dxa"/>
            <w:vMerge/>
            <w:tcBorders>
              <w:left w:val="nil"/>
              <w:bottom w:val="single" w:sz="8" w:space="0" w:color="auto"/>
              <w:right w:val="nil"/>
            </w:tcBorders>
            <w:shd w:val="clear" w:color="auto" w:fill="auto"/>
            <w:noWrap/>
            <w:hideMark/>
          </w:tcPr>
          <w:p w14:paraId="27117EA9" w14:textId="2C988DE9" w:rsidR="00641A01" w:rsidRPr="00641A01" w:rsidRDefault="00641A01" w:rsidP="00641A01">
            <w:pPr>
              <w:spacing w:line="276" w:lineRule="auto"/>
              <w:jc w:val="center"/>
              <w:rPr>
                <w:color w:val="000000"/>
              </w:rPr>
            </w:pPr>
          </w:p>
        </w:tc>
        <w:tc>
          <w:tcPr>
            <w:tcW w:w="1550" w:type="dxa"/>
            <w:tcBorders>
              <w:top w:val="single" w:sz="8" w:space="0" w:color="auto"/>
              <w:left w:val="nil"/>
              <w:bottom w:val="single" w:sz="8" w:space="0" w:color="auto"/>
              <w:right w:val="nil"/>
            </w:tcBorders>
            <w:shd w:val="clear" w:color="auto" w:fill="auto"/>
            <w:noWrap/>
            <w:hideMark/>
          </w:tcPr>
          <w:p w14:paraId="6534F388" w14:textId="172097F1" w:rsidR="00641A01" w:rsidRPr="00641A01" w:rsidRDefault="00641A01" w:rsidP="00641A01">
            <w:pPr>
              <w:spacing w:line="276" w:lineRule="auto"/>
              <w:jc w:val="center"/>
              <w:rPr>
                <w:color w:val="000000"/>
              </w:rPr>
            </w:pPr>
            <w:r w:rsidRPr="00641A01">
              <w:rPr>
                <w:color w:val="000000"/>
              </w:rPr>
              <w:t xml:space="preserve">Number </w:t>
            </w:r>
          </w:p>
        </w:tc>
        <w:tc>
          <w:tcPr>
            <w:tcW w:w="2233" w:type="dxa"/>
            <w:tcBorders>
              <w:top w:val="single" w:sz="8" w:space="0" w:color="auto"/>
              <w:left w:val="nil"/>
              <w:bottom w:val="single" w:sz="8" w:space="0" w:color="auto"/>
              <w:right w:val="nil"/>
            </w:tcBorders>
            <w:shd w:val="clear" w:color="auto" w:fill="auto"/>
            <w:noWrap/>
            <w:hideMark/>
          </w:tcPr>
          <w:p w14:paraId="3B6F95F4" w14:textId="1EB8997F" w:rsidR="00641A01" w:rsidRPr="00641A01" w:rsidRDefault="00641A01" w:rsidP="00641A01">
            <w:pPr>
              <w:spacing w:line="276" w:lineRule="auto"/>
              <w:jc w:val="center"/>
              <w:rPr>
                <w:color w:val="000000"/>
              </w:rPr>
            </w:pPr>
            <w:r w:rsidRPr="00641A01">
              <w:rPr>
                <w:color w:val="000000"/>
              </w:rPr>
              <w:t xml:space="preserve">Quality-adjusted number </w:t>
            </w:r>
          </w:p>
        </w:tc>
        <w:tc>
          <w:tcPr>
            <w:tcW w:w="2233" w:type="dxa"/>
            <w:tcBorders>
              <w:top w:val="single" w:sz="8" w:space="0" w:color="auto"/>
              <w:left w:val="nil"/>
              <w:bottom w:val="single" w:sz="8" w:space="0" w:color="auto"/>
              <w:right w:val="nil"/>
            </w:tcBorders>
            <w:shd w:val="clear" w:color="auto" w:fill="auto"/>
            <w:noWrap/>
            <w:hideMark/>
          </w:tcPr>
          <w:p w14:paraId="42D87A8C" w14:textId="3EFB530A" w:rsidR="00641A01" w:rsidRPr="00641A01" w:rsidRDefault="00641A01" w:rsidP="00641A01">
            <w:pPr>
              <w:spacing w:line="276" w:lineRule="auto"/>
              <w:jc w:val="center"/>
              <w:rPr>
                <w:color w:val="000000"/>
              </w:rPr>
            </w:pPr>
            <w:r w:rsidRPr="00641A01">
              <w:rPr>
                <w:color w:val="000000"/>
              </w:rPr>
              <w:t xml:space="preserve">Lifetime Quality-adjusted number </w:t>
            </w:r>
          </w:p>
        </w:tc>
      </w:tr>
      <w:tr w:rsidR="005B434B" w:rsidRPr="00641A01" w14:paraId="0CD0E360" w14:textId="77777777" w:rsidTr="00A637D6">
        <w:trPr>
          <w:tblHeader/>
        </w:trPr>
        <w:tc>
          <w:tcPr>
            <w:tcW w:w="3258" w:type="dxa"/>
            <w:tcBorders>
              <w:top w:val="nil"/>
              <w:left w:val="nil"/>
              <w:bottom w:val="nil"/>
              <w:right w:val="nil"/>
            </w:tcBorders>
            <w:shd w:val="clear" w:color="auto" w:fill="auto"/>
            <w:noWrap/>
          </w:tcPr>
          <w:p w14:paraId="73494272" w14:textId="161F2F04" w:rsidR="00EE6446" w:rsidRPr="00641A01" w:rsidRDefault="00EE6446" w:rsidP="00641A01">
            <w:pPr>
              <w:spacing w:line="360" w:lineRule="auto"/>
              <w:jc w:val="center"/>
              <w:rPr>
                <w:color w:val="000000"/>
              </w:rPr>
            </w:pPr>
          </w:p>
        </w:tc>
        <w:tc>
          <w:tcPr>
            <w:tcW w:w="1011" w:type="dxa"/>
            <w:tcBorders>
              <w:top w:val="nil"/>
              <w:left w:val="nil"/>
              <w:bottom w:val="nil"/>
              <w:right w:val="nil"/>
            </w:tcBorders>
            <w:shd w:val="clear" w:color="auto" w:fill="auto"/>
            <w:noWrap/>
          </w:tcPr>
          <w:p w14:paraId="5C8716BC" w14:textId="302BA9D5" w:rsidR="00EE6446" w:rsidRPr="00641A01" w:rsidRDefault="00EE6446" w:rsidP="00641A01">
            <w:pPr>
              <w:spacing w:line="360" w:lineRule="auto"/>
              <w:jc w:val="center"/>
              <w:rPr>
                <w:color w:val="000000"/>
              </w:rPr>
            </w:pPr>
          </w:p>
        </w:tc>
        <w:tc>
          <w:tcPr>
            <w:tcW w:w="1011" w:type="dxa"/>
            <w:tcBorders>
              <w:top w:val="nil"/>
              <w:left w:val="nil"/>
              <w:bottom w:val="nil"/>
              <w:right w:val="nil"/>
            </w:tcBorders>
            <w:shd w:val="clear" w:color="auto" w:fill="auto"/>
            <w:noWrap/>
          </w:tcPr>
          <w:p w14:paraId="458005EF" w14:textId="754D43B7" w:rsidR="00EE6446" w:rsidRPr="00641A01" w:rsidRDefault="00EE6446" w:rsidP="00641A01">
            <w:pPr>
              <w:spacing w:line="360" w:lineRule="auto"/>
              <w:jc w:val="center"/>
              <w:rPr>
                <w:color w:val="000000"/>
              </w:rPr>
            </w:pPr>
          </w:p>
        </w:tc>
        <w:tc>
          <w:tcPr>
            <w:tcW w:w="1011" w:type="dxa"/>
            <w:tcBorders>
              <w:top w:val="nil"/>
              <w:left w:val="nil"/>
              <w:bottom w:val="nil"/>
              <w:right w:val="nil"/>
            </w:tcBorders>
            <w:shd w:val="clear" w:color="auto" w:fill="auto"/>
            <w:noWrap/>
          </w:tcPr>
          <w:p w14:paraId="5B708148" w14:textId="12237507" w:rsidR="00EE6446" w:rsidRPr="00641A01" w:rsidRDefault="00EE6446" w:rsidP="00641A01">
            <w:pPr>
              <w:spacing w:line="360" w:lineRule="auto"/>
              <w:jc w:val="center"/>
              <w:rPr>
                <w:color w:val="000000"/>
              </w:rPr>
            </w:pPr>
          </w:p>
        </w:tc>
        <w:tc>
          <w:tcPr>
            <w:tcW w:w="1011" w:type="dxa"/>
            <w:tcBorders>
              <w:top w:val="nil"/>
              <w:left w:val="nil"/>
              <w:bottom w:val="nil"/>
              <w:right w:val="nil"/>
            </w:tcBorders>
            <w:shd w:val="clear" w:color="auto" w:fill="auto"/>
            <w:noWrap/>
          </w:tcPr>
          <w:p w14:paraId="061C90BC" w14:textId="08AA8E58" w:rsidR="00EE6446" w:rsidRPr="00641A01" w:rsidRDefault="00EE6446" w:rsidP="00641A01">
            <w:pPr>
              <w:spacing w:line="360" w:lineRule="auto"/>
              <w:jc w:val="center"/>
              <w:rPr>
                <w:color w:val="000000"/>
              </w:rPr>
            </w:pPr>
          </w:p>
        </w:tc>
        <w:tc>
          <w:tcPr>
            <w:tcW w:w="1550" w:type="dxa"/>
            <w:tcBorders>
              <w:top w:val="nil"/>
              <w:left w:val="nil"/>
              <w:bottom w:val="nil"/>
              <w:right w:val="nil"/>
            </w:tcBorders>
            <w:shd w:val="clear" w:color="auto" w:fill="auto"/>
            <w:noWrap/>
          </w:tcPr>
          <w:p w14:paraId="10E92D27" w14:textId="0F714D2E" w:rsidR="00EE6446" w:rsidRPr="00641A01" w:rsidRDefault="00EE6446" w:rsidP="00641A01">
            <w:pPr>
              <w:spacing w:line="360" w:lineRule="auto"/>
              <w:jc w:val="center"/>
              <w:rPr>
                <w:color w:val="000000"/>
              </w:rPr>
            </w:pPr>
          </w:p>
        </w:tc>
        <w:tc>
          <w:tcPr>
            <w:tcW w:w="2233" w:type="dxa"/>
            <w:tcBorders>
              <w:top w:val="nil"/>
              <w:left w:val="nil"/>
              <w:bottom w:val="nil"/>
              <w:right w:val="nil"/>
            </w:tcBorders>
            <w:shd w:val="clear" w:color="auto" w:fill="auto"/>
            <w:noWrap/>
          </w:tcPr>
          <w:p w14:paraId="5C75F520" w14:textId="1CEB7196" w:rsidR="00EE6446" w:rsidRPr="00641A01" w:rsidRDefault="00EE6446" w:rsidP="00641A01">
            <w:pPr>
              <w:spacing w:line="360" w:lineRule="auto"/>
              <w:jc w:val="center"/>
              <w:rPr>
                <w:color w:val="000000"/>
              </w:rPr>
            </w:pPr>
          </w:p>
        </w:tc>
        <w:tc>
          <w:tcPr>
            <w:tcW w:w="2233" w:type="dxa"/>
            <w:tcBorders>
              <w:top w:val="nil"/>
              <w:left w:val="nil"/>
              <w:bottom w:val="nil"/>
              <w:right w:val="nil"/>
            </w:tcBorders>
            <w:shd w:val="clear" w:color="auto" w:fill="auto"/>
            <w:noWrap/>
          </w:tcPr>
          <w:p w14:paraId="3449C32A" w14:textId="44AF876E" w:rsidR="00EE6446" w:rsidRPr="00641A01" w:rsidRDefault="00EE6446" w:rsidP="00641A01">
            <w:pPr>
              <w:spacing w:line="360" w:lineRule="auto"/>
              <w:jc w:val="center"/>
              <w:rPr>
                <w:color w:val="000000"/>
              </w:rPr>
            </w:pPr>
          </w:p>
        </w:tc>
      </w:tr>
      <w:tr w:rsidR="005B434B" w:rsidRPr="00641A01" w14:paraId="531A81AE" w14:textId="77777777" w:rsidTr="00A637D6">
        <w:tc>
          <w:tcPr>
            <w:tcW w:w="3258" w:type="dxa"/>
            <w:tcBorders>
              <w:top w:val="nil"/>
              <w:left w:val="nil"/>
              <w:bottom w:val="nil"/>
              <w:right w:val="nil"/>
            </w:tcBorders>
            <w:shd w:val="clear" w:color="auto" w:fill="auto"/>
            <w:noWrap/>
            <w:hideMark/>
          </w:tcPr>
          <w:p w14:paraId="4E6F6428" w14:textId="77777777" w:rsidR="00EE6446" w:rsidRPr="00641A01" w:rsidRDefault="00EE6446" w:rsidP="00641A01">
            <w:pPr>
              <w:spacing w:line="360" w:lineRule="auto"/>
              <w:jc w:val="center"/>
              <w:rPr>
                <w:color w:val="000000"/>
              </w:rPr>
            </w:pPr>
            <w:r w:rsidRPr="00641A01">
              <w:rPr>
                <w:color w:val="000000"/>
              </w:rPr>
              <w:t>Afghanistan</w:t>
            </w:r>
          </w:p>
        </w:tc>
        <w:tc>
          <w:tcPr>
            <w:tcW w:w="1011" w:type="dxa"/>
            <w:tcBorders>
              <w:top w:val="nil"/>
              <w:left w:val="nil"/>
              <w:bottom w:val="nil"/>
              <w:right w:val="nil"/>
            </w:tcBorders>
            <w:shd w:val="clear" w:color="auto" w:fill="auto"/>
            <w:noWrap/>
            <w:hideMark/>
          </w:tcPr>
          <w:p w14:paraId="22623F2E" w14:textId="77777777" w:rsidR="00EE6446" w:rsidRPr="00641A01" w:rsidRDefault="00EE6446" w:rsidP="00641A01">
            <w:pPr>
              <w:spacing w:line="360" w:lineRule="auto"/>
              <w:jc w:val="center"/>
              <w:rPr>
                <w:color w:val="000000"/>
              </w:rPr>
            </w:pPr>
            <w:r w:rsidRPr="00641A01">
              <w:rPr>
                <w:color w:val="000000"/>
              </w:rPr>
              <w:t>AFG</w:t>
            </w:r>
          </w:p>
        </w:tc>
        <w:tc>
          <w:tcPr>
            <w:tcW w:w="1011" w:type="dxa"/>
            <w:tcBorders>
              <w:top w:val="nil"/>
              <w:left w:val="nil"/>
              <w:bottom w:val="nil"/>
              <w:right w:val="nil"/>
            </w:tcBorders>
            <w:shd w:val="clear" w:color="auto" w:fill="auto"/>
            <w:noWrap/>
            <w:hideMark/>
          </w:tcPr>
          <w:p w14:paraId="2E1E89B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496590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6E1F45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567EAE0"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0EAA66A0" w14:textId="77777777" w:rsidR="00EE6446" w:rsidRPr="00641A01" w:rsidRDefault="00EE6446" w:rsidP="00641A01">
            <w:pPr>
              <w:tabs>
                <w:tab w:val="decimal" w:pos="943"/>
              </w:tabs>
              <w:spacing w:line="360" w:lineRule="auto"/>
              <w:rPr>
                <w:color w:val="000000"/>
              </w:rPr>
            </w:pPr>
            <w:r w:rsidRPr="00641A01">
              <w:rPr>
                <w:color w:val="000000"/>
              </w:rPr>
              <w:t>1.47</w:t>
            </w:r>
          </w:p>
        </w:tc>
        <w:tc>
          <w:tcPr>
            <w:tcW w:w="2233" w:type="dxa"/>
            <w:tcBorders>
              <w:top w:val="nil"/>
              <w:left w:val="nil"/>
              <w:bottom w:val="nil"/>
              <w:right w:val="nil"/>
            </w:tcBorders>
            <w:shd w:val="clear" w:color="auto" w:fill="auto"/>
            <w:noWrap/>
            <w:hideMark/>
          </w:tcPr>
          <w:p w14:paraId="3A2FB409" w14:textId="77777777" w:rsidR="00EE6446" w:rsidRPr="00641A01" w:rsidRDefault="00EE6446" w:rsidP="00641A01">
            <w:pPr>
              <w:tabs>
                <w:tab w:val="decimal" w:pos="943"/>
              </w:tabs>
              <w:spacing w:line="360" w:lineRule="auto"/>
              <w:rPr>
                <w:color w:val="000000"/>
              </w:rPr>
            </w:pPr>
            <w:r w:rsidRPr="00641A01">
              <w:rPr>
                <w:color w:val="000000"/>
              </w:rPr>
              <w:t>12.03</w:t>
            </w:r>
          </w:p>
        </w:tc>
      </w:tr>
      <w:tr w:rsidR="005B434B" w:rsidRPr="00641A01" w14:paraId="0B784D62" w14:textId="77777777" w:rsidTr="00A637D6">
        <w:tc>
          <w:tcPr>
            <w:tcW w:w="3258" w:type="dxa"/>
            <w:tcBorders>
              <w:top w:val="nil"/>
              <w:left w:val="nil"/>
              <w:bottom w:val="nil"/>
              <w:right w:val="nil"/>
            </w:tcBorders>
            <w:shd w:val="clear" w:color="auto" w:fill="auto"/>
            <w:noWrap/>
            <w:hideMark/>
          </w:tcPr>
          <w:p w14:paraId="3AEDC3D5" w14:textId="77777777" w:rsidR="00EE6446" w:rsidRPr="00641A01" w:rsidRDefault="00EE6446" w:rsidP="00641A01">
            <w:pPr>
              <w:spacing w:line="360" w:lineRule="auto"/>
              <w:jc w:val="center"/>
              <w:rPr>
                <w:color w:val="000000"/>
              </w:rPr>
            </w:pPr>
            <w:r w:rsidRPr="00641A01">
              <w:rPr>
                <w:color w:val="000000"/>
              </w:rPr>
              <w:t>Angola</w:t>
            </w:r>
          </w:p>
        </w:tc>
        <w:tc>
          <w:tcPr>
            <w:tcW w:w="1011" w:type="dxa"/>
            <w:tcBorders>
              <w:top w:val="nil"/>
              <w:left w:val="nil"/>
              <w:bottom w:val="nil"/>
              <w:right w:val="nil"/>
            </w:tcBorders>
            <w:shd w:val="clear" w:color="auto" w:fill="auto"/>
            <w:noWrap/>
            <w:hideMark/>
          </w:tcPr>
          <w:p w14:paraId="4E7E9121" w14:textId="77777777" w:rsidR="00EE6446" w:rsidRPr="00641A01" w:rsidRDefault="00EE6446" w:rsidP="00641A01">
            <w:pPr>
              <w:spacing w:line="360" w:lineRule="auto"/>
              <w:jc w:val="center"/>
              <w:rPr>
                <w:color w:val="000000"/>
              </w:rPr>
            </w:pPr>
            <w:r w:rsidRPr="00641A01">
              <w:rPr>
                <w:color w:val="000000"/>
              </w:rPr>
              <w:t>AGO</w:t>
            </w:r>
          </w:p>
        </w:tc>
        <w:tc>
          <w:tcPr>
            <w:tcW w:w="1011" w:type="dxa"/>
            <w:tcBorders>
              <w:top w:val="nil"/>
              <w:left w:val="nil"/>
              <w:bottom w:val="nil"/>
              <w:right w:val="nil"/>
            </w:tcBorders>
            <w:shd w:val="clear" w:color="auto" w:fill="auto"/>
            <w:noWrap/>
            <w:hideMark/>
          </w:tcPr>
          <w:p w14:paraId="6892752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5A5550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2BBAAA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48FDDCE" w14:textId="77777777" w:rsidR="00EE6446" w:rsidRPr="00641A01" w:rsidRDefault="00EE6446" w:rsidP="00641A01">
            <w:pPr>
              <w:spacing w:line="360" w:lineRule="auto"/>
              <w:jc w:val="center"/>
              <w:rPr>
                <w:color w:val="000000"/>
              </w:rPr>
            </w:pPr>
            <w:r w:rsidRPr="00641A01">
              <w:rPr>
                <w:color w:val="000000"/>
              </w:rPr>
              <w:t>21</w:t>
            </w:r>
          </w:p>
        </w:tc>
        <w:tc>
          <w:tcPr>
            <w:tcW w:w="2233" w:type="dxa"/>
            <w:tcBorders>
              <w:top w:val="nil"/>
              <w:left w:val="nil"/>
              <w:bottom w:val="nil"/>
              <w:right w:val="nil"/>
            </w:tcBorders>
            <w:shd w:val="clear" w:color="auto" w:fill="auto"/>
            <w:noWrap/>
            <w:hideMark/>
          </w:tcPr>
          <w:p w14:paraId="0E3D06B3" w14:textId="77777777" w:rsidR="00EE6446" w:rsidRPr="00641A01" w:rsidRDefault="00EE6446" w:rsidP="00641A01">
            <w:pPr>
              <w:tabs>
                <w:tab w:val="decimal" w:pos="943"/>
              </w:tabs>
              <w:spacing w:line="360" w:lineRule="auto"/>
              <w:rPr>
                <w:color w:val="000000"/>
              </w:rPr>
            </w:pPr>
            <w:r w:rsidRPr="00641A01">
              <w:rPr>
                <w:color w:val="000000"/>
              </w:rPr>
              <w:t>5.55</w:t>
            </w:r>
          </w:p>
        </w:tc>
        <w:tc>
          <w:tcPr>
            <w:tcW w:w="2233" w:type="dxa"/>
            <w:tcBorders>
              <w:top w:val="nil"/>
              <w:left w:val="nil"/>
              <w:bottom w:val="nil"/>
              <w:right w:val="nil"/>
            </w:tcBorders>
            <w:shd w:val="clear" w:color="auto" w:fill="auto"/>
            <w:noWrap/>
            <w:hideMark/>
          </w:tcPr>
          <w:p w14:paraId="5636B2DB" w14:textId="77777777" w:rsidR="00EE6446" w:rsidRPr="00641A01" w:rsidRDefault="00EE6446" w:rsidP="00641A01">
            <w:pPr>
              <w:tabs>
                <w:tab w:val="decimal" w:pos="943"/>
              </w:tabs>
              <w:spacing w:line="360" w:lineRule="auto"/>
              <w:rPr>
                <w:color w:val="000000"/>
              </w:rPr>
            </w:pPr>
            <w:r w:rsidRPr="00641A01">
              <w:rPr>
                <w:color w:val="000000"/>
              </w:rPr>
              <w:t>31.98</w:t>
            </w:r>
          </w:p>
        </w:tc>
      </w:tr>
      <w:tr w:rsidR="005B434B" w:rsidRPr="00641A01" w14:paraId="2B98209D" w14:textId="77777777" w:rsidTr="00A637D6">
        <w:tc>
          <w:tcPr>
            <w:tcW w:w="3258" w:type="dxa"/>
            <w:tcBorders>
              <w:top w:val="nil"/>
              <w:left w:val="nil"/>
              <w:bottom w:val="nil"/>
              <w:right w:val="nil"/>
            </w:tcBorders>
            <w:shd w:val="clear" w:color="auto" w:fill="auto"/>
            <w:noWrap/>
            <w:hideMark/>
          </w:tcPr>
          <w:p w14:paraId="213D6991" w14:textId="77777777" w:rsidR="00EE6446" w:rsidRPr="00641A01" w:rsidRDefault="00EE6446" w:rsidP="00641A01">
            <w:pPr>
              <w:spacing w:line="360" w:lineRule="auto"/>
              <w:jc w:val="center"/>
              <w:rPr>
                <w:color w:val="000000"/>
              </w:rPr>
            </w:pPr>
            <w:r w:rsidRPr="00641A01">
              <w:rPr>
                <w:color w:val="000000"/>
              </w:rPr>
              <w:t>Albania</w:t>
            </w:r>
          </w:p>
        </w:tc>
        <w:tc>
          <w:tcPr>
            <w:tcW w:w="1011" w:type="dxa"/>
            <w:tcBorders>
              <w:top w:val="nil"/>
              <w:left w:val="nil"/>
              <w:bottom w:val="nil"/>
              <w:right w:val="nil"/>
            </w:tcBorders>
            <w:shd w:val="clear" w:color="auto" w:fill="auto"/>
            <w:noWrap/>
            <w:hideMark/>
          </w:tcPr>
          <w:p w14:paraId="4C07A5A9" w14:textId="77777777" w:rsidR="00EE6446" w:rsidRPr="00641A01" w:rsidRDefault="00EE6446" w:rsidP="00641A01">
            <w:pPr>
              <w:spacing w:line="360" w:lineRule="auto"/>
              <w:jc w:val="center"/>
              <w:rPr>
                <w:color w:val="000000"/>
              </w:rPr>
            </w:pPr>
            <w:r w:rsidRPr="00641A01">
              <w:rPr>
                <w:color w:val="000000"/>
              </w:rPr>
              <w:t>ALB</w:t>
            </w:r>
          </w:p>
        </w:tc>
        <w:tc>
          <w:tcPr>
            <w:tcW w:w="1011" w:type="dxa"/>
            <w:tcBorders>
              <w:top w:val="nil"/>
              <w:left w:val="nil"/>
              <w:bottom w:val="nil"/>
              <w:right w:val="nil"/>
            </w:tcBorders>
            <w:shd w:val="clear" w:color="auto" w:fill="auto"/>
            <w:noWrap/>
            <w:hideMark/>
          </w:tcPr>
          <w:p w14:paraId="5C6B10E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2740C7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90FF57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447EEAE"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169C6201" w14:textId="77777777" w:rsidR="00EE6446" w:rsidRPr="00641A01" w:rsidRDefault="00EE6446" w:rsidP="00641A01">
            <w:pPr>
              <w:tabs>
                <w:tab w:val="decimal" w:pos="943"/>
              </w:tabs>
              <w:spacing w:line="360" w:lineRule="auto"/>
              <w:rPr>
                <w:color w:val="000000"/>
              </w:rPr>
            </w:pPr>
            <w:r w:rsidRPr="00641A01">
              <w:rPr>
                <w:color w:val="000000"/>
              </w:rPr>
              <w:t>1.17</w:t>
            </w:r>
          </w:p>
        </w:tc>
        <w:tc>
          <w:tcPr>
            <w:tcW w:w="2233" w:type="dxa"/>
            <w:tcBorders>
              <w:top w:val="nil"/>
              <w:left w:val="nil"/>
              <w:bottom w:val="nil"/>
              <w:right w:val="nil"/>
            </w:tcBorders>
            <w:shd w:val="clear" w:color="auto" w:fill="auto"/>
            <w:noWrap/>
            <w:hideMark/>
          </w:tcPr>
          <w:p w14:paraId="08687D35" w14:textId="77777777" w:rsidR="00EE6446" w:rsidRPr="00641A01" w:rsidRDefault="00EE6446" w:rsidP="00641A01">
            <w:pPr>
              <w:tabs>
                <w:tab w:val="decimal" w:pos="943"/>
              </w:tabs>
              <w:spacing w:line="360" w:lineRule="auto"/>
              <w:rPr>
                <w:color w:val="000000"/>
              </w:rPr>
            </w:pPr>
            <w:r w:rsidRPr="00641A01">
              <w:rPr>
                <w:color w:val="000000"/>
              </w:rPr>
              <w:t>10.36</w:t>
            </w:r>
          </w:p>
        </w:tc>
      </w:tr>
      <w:tr w:rsidR="005B434B" w:rsidRPr="00641A01" w14:paraId="0070C2AF" w14:textId="77777777" w:rsidTr="00A637D6">
        <w:tc>
          <w:tcPr>
            <w:tcW w:w="3258" w:type="dxa"/>
            <w:tcBorders>
              <w:top w:val="nil"/>
              <w:left w:val="nil"/>
              <w:bottom w:val="nil"/>
              <w:right w:val="nil"/>
            </w:tcBorders>
            <w:shd w:val="clear" w:color="auto" w:fill="auto"/>
            <w:noWrap/>
            <w:hideMark/>
          </w:tcPr>
          <w:p w14:paraId="0627F005" w14:textId="77777777" w:rsidR="00EE6446" w:rsidRPr="00641A01" w:rsidRDefault="00EE6446" w:rsidP="00641A01">
            <w:pPr>
              <w:spacing w:line="360" w:lineRule="auto"/>
              <w:jc w:val="center"/>
              <w:rPr>
                <w:color w:val="000000"/>
              </w:rPr>
            </w:pPr>
            <w:r w:rsidRPr="00641A01">
              <w:rPr>
                <w:color w:val="000000"/>
              </w:rPr>
              <w:t>United Arab Emirates</w:t>
            </w:r>
          </w:p>
        </w:tc>
        <w:tc>
          <w:tcPr>
            <w:tcW w:w="1011" w:type="dxa"/>
            <w:tcBorders>
              <w:top w:val="nil"/>
              <w:left w:val="nil"/>
              <w:bottom w:val="nil"/>
              <w:right w:val="nil"/>
            </w:tcBorders>
            <w:shd w:val="clear" w:color="auto" w:fill="auto"/>
            <w:noWrap/>
            <w:hideMark/>
          </w:tcPr>
          <w:p w14:paraId="452FA025" w14:textId="77777777" w:rsidR="00EE6446" w:rsidRPr="00641A01" w:rsidRDefault="00EE6446" w:rsidP="00641A01">
            <w:pPr>
              <w:spacing w:line="360" w:lineRule="auto"/>
              <w:jc w:val="center"/>
              <w:rPr>
                <w:color w:val="000000"/>
              </w:rPr>
            </w:pPr>
            <w:r w:rsidRPr="00641A01">
              <w:rPr>
                <w:color w:val="000000"/>
              </w:rPr>
              <w:t>ARE</w:t>
            </w:r>
          </w:p>
        </w:tc>
        <w:tc>
          <w:tcPr>
            <w:tcW w:w="1011" w:type="dxa"/>
            <w:tcBorders>
              <w:top w:val="nil"/>
              <w:left w:val="nil"/>
              <w:bottom w:val="nil"/>
              <w:right w:val="nil"/>
            </w:tcBorders>
            <w:shd w:val="clear" w:color="auto" w:fill="auto"/>
            <w:noWrap/>
            <w:hideMark/>
          </w:tcPr>
          <w:p w14:paraId="4F1F8B5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831C25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7F9DB8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768766E"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D943B72" w14:textId="77777777" w:rsidR="00EE6446" w:rsidRPr="00641A01" w:rsidRDefault="00EE6446" w:rsidP="00641A01">
            <w:pPr>
              <w:tabs>
                <w:tab w:val="decimal" w:pos="943"/>
              </w:tabs>
              <w:spacing w:line="360" w:lineRule="auto"/>
              <w:rPr>
                <w:color w:val="000000"/>
              </w:rPr>
            </w:pPr>
            <w:r w:rsidRPr="00641A01">
              <w:rPr>
                <w:color w:val="000000"/>
              </w:rPr>
              <w:t>3.78</w:t>
            </w:r>
          </w:p>
        </w:tc>
        <w:tc>
          <w:tcPr>
            <w:tcW w:w="2233" w:type="dxa"/>
            <w:tcBorders>
              <w:top w:val="nil"/>
              <w:left w:val="nil"/>
              <w:bottom w:val="nil"/>
              <w:right w:val="nil"/>
            </w:tcBorders>
            <w:shd w:val="clear" w:color="auto" w:fill="auto"/>
            <w:noWrap/>
            <w:hideMark/>
          </w:tcPr>
          <w:p w14:paraId="0AB943F5" w14:textId="77777777" w:rsidR="00EE6446" w:rsidRPr="00641A01" w:rsidRDefault="00EE6446" w:rsidP="00641A01">
            <w:pPr>
              <w:tabs>
                <w:tab w:val="decimal" w:pos="943"/>
              </w:tabs>
              <w:spacing w:line="360" w:lineRule="auto"/>
              <w:rPr>
                <w:color w:val="000000"/>
              </w:rPr>
            </w:pPr>
            <w:r w:rsidRPr="00641A01">
              <w:rPr>
                <w:color w:val="000000"/>
              </w:rPr>
              <w:t>20.88</w:t>
            </w:r>
          </w:p>
        </w:tc>
      </w:tr>
      <w:tr w:rsidR="005B434B" w:rsidRPr="00641A01" w14:paraId="4A9896FB" w14:textId="77777777" w:rsidTr="00A637D6">
        <w:tc>
          <w:tcPr>
            <w:tcW w:w="3258" w:type="dxa"/>
            <w:tcBorders>
              <w:top w:val="nil"/>
              <w:left w:val="nil"/>
              <w:bottom w:val="nil"/>
              <w:right w:val="nil"/>
            </w:tcBorders>
            <w:shd w:val="clear" w:color="auto" w:fill="auto"/>
            <w:noWrap/>
            <w:hideMark/>
          </w:tcPr>
          <w:p w14:paraId="00E95B4A" w14:textId="77777777" w:rsidR="00EE6446" w:rsidRPr="00641A01" w:rsidRDefault="00EE6446" w:rsidP="00641A01">
            <w:pPr>
              <w:spacing w:line="360" w:lineRule="auto"/>
              <w:jc w:val="center"/>
              <w:rPr>
                <w:color w:val="000000"/>
              </w:rPr>
            </w:pPr>
            <w:r w:rsidRPr="00641A01">
              <w:rPr>
                <w:color w:val="000000"/>
              </w:rPr>
              <w:t>Argentina</w:t>
            </w:r>
          </w:p>
        </w:tc>
        <w:tc>
          <w:tcPr>
            <w:tcW w:w="1011" w:type="dxa"/>
            <w:tcBorders>
              <w:top w:val="nil"/>
              <w:left w:val="nil"/>
              <w:bottom w:val="nil"/>
              <w:right w:val="nil"/>
            </w:tcBorders>
            <w:shd w:val="clear" w:color="auto" w:fill="auto"/>
            <w:noWrap/>
            <w:hideMark/>
          </w:tcPr>
          <w:p w14:paraId="135FE3B4" w14:textId="77777777" w:rsidR="00EE6446" w:rsidRPr="00641A01" w:rsidRDefault="00EE6446" w:rsidP="00641A01">
            <w:pPr>
              <w:spacing w:line="360" w:lineRule="auto"/>
              <w:jc w:val="center"/>
              <w:rPr>
                <w:color w:val="000000"/>
              </w:rPr>
            </w:pPr>
            <w:r w:rsidRPr="00641A01">
              <w:rPr>
                <w:color w:val="000000"/>
              </w:rPr>
              <w:t>ARG</w:t>
            </w:r>
          </w:p>
        </w:tc>
        <w:tc>
          <w:tcPr>
            <w:tcW w:w="1011" w:type="dxa"/>
            <w:tcBorders>
              <w:top w:val="nil"/>
              <w:left w:val="nil"/>
              <w:bottom w:val="nil"/>
              <w:right w:val="nil"/>
            </w:tcBorders>
            <w:shd w:val="clear" w:color="auto" w:fill="auto"/>
            <w:noWrap/>
            <w:hideMark/>
          </w:tcPr>
          <w:p w14:paraId="60AF29B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3AE15C2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2999C4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A0C8A7D"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1E29904A" w14:textId="77777777" w:rsidR="00EE6446" w:rsidRPr="00641A01" w:rsidRDefault="00EE6446" w:rsidP="00641A01">
            <w:pPr>
              <w:tabs>
                <w:tab w:val="decimal" w:pos="943"/>
              </w:tabs>
              <w:spacing w:line="360" w:lineRule="auto"/>
              <w:rPr>
                <w:color w:val="000000"/>
              </w:rPr>
            </w:pPr>
            <w:r w:rsidRPr="00641A01">
              <w:rPr>
                <w:color w:val="000000"/>
              </w:rPr>
              <w:t>7.09</w:t>
            </w:r>
          </w:p>
        </w:tc>
        <w:tc>
          <w:tcPr>
            <w:tcW w:w="2233" w:type="dxa"/>
            <w:tcBorders>
              <w:top w:val="nil"/>
              <w:left w:val="nil"/>
              <w:bottom w:val="nil"/>
              <w:right w:val="nil"/>
            </w:tcBorders>
            <w:shd w:val="clear" w:color="auto" w:fill="auto"/>
            <w:noWrap/>
            <w:hideMark/>
          </w:tcPr>
          <w:p w14:paraId="3B91272C" w14:textId="77777777" w:rsidR="00EE6446" w:rsidRPr="00641A01" w:rsidRDefault="00EE6446" w:rsidP="00641A01">
            <w:pPr>
              <w:tabs>
                <w:tab w:val="decimal" w:pos="943"/>
              </w:tabs>
              <w:spacing w:line="360" w:lineRule="auto"/>
              <w:rPr>
                <w:color w:val="000000"/>
              </w:rPr>
            </w:pPr>
            <w:r w:rsidRPr="00641A01">
              <w:rPr>
                <w:color w:val="000000"/>
              </w:rPr>
              <w:t>72.17</w:t>
            </w:r>
          </w:p>
        </w:tc>
      </w:tr>
      <w:tr w:rsidR="005B434B" w:rsidRPr="00641A01" w14:paraId="2118E2A0" w14:textId="77777777" w:rsidTr="00A637D6">
        <w:tc>
          <w:tcPr>
            <w:tcW w:w="3258" w:type="dxa"/>
            <w:tcBorders>
              <w:top w:val="nil"/>
              <w:left w:val="nil"/>
              <w:bottom w:val="nil"/>
              <w:right w:val="nil"/>
            </w:tcBorders>
            <w:shd w:val="clear" w:color="auto" w:fill="auto"/>
            <w:noWrap/>
            <w:hideMark/>
          </w:tcPr>
          <w:p w14:paraId="5AE4E669" w14:textId="77777777" w:rsidR="00EE6446" w:rsidRPr="00641A01" w:rsidRDefault="00EE6446" w:rsidP="00641A01">
            <w:pPr>
              <w:spacing w:line="360" w:lineRule="auto"/>
              <w:jc w:val="center"/>
              <w:rPr>
                <w:color w:val="000000"/>
              </w:rPr>
            </w:pPr>
            <w:r w:rsidRPr="00641A01">
              <w:rPr>
                <w:color w:val="000000"/>
              </w:rPr>
              <w:t>Armenia</w:t>
            </w:r>
          </w:p>
        </w:tc>
        <w:tc>
          <w:tcPr>
            <w:tcW w:w="1011" w:type="dxa"/>
            <w:tcBorders>
              <w:top w:val="nil"/>
              <w:left w:val="nil"/>
              <w:bottom w:val="nil"/>
              <w:right w:val="nil"/>
            </w:tcBorders>
            <w:shd w:val="clear" w:color="auto" w:fill="auto"/>
            <w:noWrap/>
            <w:hideMark/>
          </w:tcPr>
          <w:p w14:paraId="1A683213" w14:textId="77777777" w:rsidR="00EE6446" w:rsidRPr="00641A01" w:rsidRDefault="00EE6446" w:rsidP="00641A01">
            <w:pPr>
              <w:spacing w:line="360" w:lineRule="auto"/>
              <w:jc w:val="center"/>
              <w:rPr>
                <w:color w:val="000000"/>
              </w:rPr>
            </w:pPr>
            <w:r w:rsidRPr="00641A01">
              <w:rPr>
                <w:color w:val="000000"/>
              </w:rPr>
              <w:t>ARM</w:t>
            </w:r>
          </w:p>
        </w:tc>
        <w:tc>
          <w:tcPr>
            <w:tcW w:w="1011" w:type="dxa"/>
            <w:tcBorders>
              <w:top w:val="nil"/>
              <w:left w:val="nil"/>
              <w:bottom w:val="nil"/>
              <w:right w:val="nil"/>
            </w:tcBorders>
            <w:shd w:val="clear" w:color="auto" w:fill="auto"/>
            <w:noWrap/>
            <w:hideMark/>
          </w:tcPr>
          <w:p w14:paraId="2A55B3E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E39D2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11B5A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1723CCE"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669377B6" w14:textId="77777777" w:rsidR="00EE6446" w:rsidRPr="00641A01" w:rsidRDefault="00EE6446" w:rsidP="00641A01">
            <w:pPr>
              <w:tabs>
                <w:tab w:val="decimal" w:pos="943"/>
              </w:tabs>
              <w:spacing w:line="360" w:lineRule="auto"/>
              <w:rPr>
                <w:color w:val="000000"/>
              </w:rPr>
            </w:pPr>
            <w:r w:rsidRPr="00641A01">
              <w:rPr>
                <w:color w:val="000000"/>
              </w:rPr>
              <w:t>3.33</w:t>
            </w:r>
          </w:p>
        </w:tc>
        <w:tc>
          <w:tcPr>
            <w:tcW w:w="2233" w:type="dxa"/>
            <w:tcBorders>
              <w:top w:val="nil"/>
              <w:left w:val="nil"/>
              <w:bottom w:val="nil"/>
              <w:right w:val="nil"/>
            </w:tcBorders>
            <w:shd w:val="clear" w:color="auto" w:fill="auto"/>
            <w:noWrap/>
            <w:hideMark/>
          </w:tcPr>
          <w:p w14:paraId="426468E5" w14:textId="77777777" w:rsidR="00EE6446" w:rsidRPr="00641A01" w:rsidRDefault="00EE6446" w:rsidP="00641A01">
            <w:pPr>
              <w:tabs>
                <w:tab w:val="decimal" w:pos="943"/>
              </w:tabs>
              <w:spacing w:line="360" w:lineRule="auto"/>
              <w:rPr>
                <w:color w:val="000000"/>
              </w:rPr>
            </w:pPr>
            <w:r w:rsidRPr="00641A01">
              <w:rPr>
                <w:color w:val="000000"/>
              </w:rPr>
              <w:t>47.92</w:t>
            </w:r>
          </w:p>
        </w:tc>
      </w:tr>
      <w:tr w:rsidR="005B434B" w:rsidRPr="00641A01" w14:paraId="79E9D377" w14:textId="77777777" w:rsidTr="00A637D6">
        <w:tc>
          <w:tcPr>
            <w:tcW w:w="3258" w:type="dxa"/>
            <w:tcBorders>
              <w:top w:val="nil"/>
              <w:left w:val="nil"/>
              <w:bottom w:val="nil"/>
              <w:right w:val="nil"/>
            </w:tcBorders>
            <w:shd w:val="clear" w:color="auto" w:fill="auto"/>
            <w:noWrap/>
            <w:hideMark/>
          </w:tcPr>
          <w:p w14:paraId="52BAC7E6" w14:textId="77777777" w:rsidR="00EE6446" w:rsidRPr="00641A01" w:rsidRDefault="00EE6446" w:rsidP="00641A01">
            <w:pPr>
              <w:spacing w:line="360" w:lineRule="auto"/>
              <w:jc w:val="center"/>
              <w:rPr>
                <w:color w:val="000000"/>
              </w:rPr>
            </w:pPr>
            <w:r w:rsidRPr="00641A01">
              <w:rPr>
                <w:color w:val="000000"/>
              </w:rPr>
              <w:t>Antigua and Barbuda</w:t>
            </w:r>
          </w:p>
        </w:tc>
        <w:tc>
          <w:tcPr>
            <w:tcW w:w="1011" w:type="dxa"/>
            <w:tcBorders>
              <w:top w:val="nil"/>
              <w:left w:val="nil"/>
              <w:bottom w:val="nil"/>
              <w:right w:val="nil"/>
            </w:tcBorders>
            <w:shd w:val="clear" w:color="auto" w:fill="auto"/>
            <w:noWrap/>
            <w:hideMark/>
          </w:tcPr>
          <w:p w14:paraId="6293B019" w14:textId="77777777" w:rsidR="00EE6446" w:rsidRPr="00641A01" w:rsidRDefault="00EE6446" w:rsidP="00641A01">
            <w:pPr>
              <w:spacing w:line="360" w:lineRule="auto"/>
              <w:jc w:val="center"/>
              <w:rPr>
                <w:color w:val="000000"/>
              </w:rPr>
            </w:pPr>
            <w:r w:rsidRPr="00641A01">
              <w:rPr>
                <w:color w:val="000000"/>
              </w:rPr>
              <w:t>ATG</w:t>
            </w:r>
          </w:p>
        </w:tc>
        <w:tc>
          <w:tcPr>
            <w:tcW w:w="1011" w:type="dxa"/>
            <w:tcBorders>
              <w:top w:val="nil"/>
              <w:left w:val="nil"/>
              <w:bottom w:val="nil"/>
              <w:right w:val="nil"/>
            </w:tcBorders>
            <w:shd w:val="clear" w:color="auto" w:fill="auto"/>
            <w:noWrap/>
            <w:hideMark/>
          </w:tcPr>
          <w:p w14:paraId="56D79E5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8E2B26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E396E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520E234"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5992A6E7" w14:textId="77777777" w:rsidR="00EE6446" w:rsidRPr="00641A01" w:rsidRDefault="00EE6446" w:rsidP="00641A01">
            <w:pPr>
              <w:tabs>
                <w:tab w:val="decimal" w:pos="943"/>
              </w:tabs>
              <w:spacing w:line="360" w:lineRule="auto"/>
              <w:rPr>
                <w:color w:val="000000"/>
              </w:rPr>
            </w:pPr>
            <w:r w:rsidRPr="00641A01">
              <w:rPr>
                <w:color w:val="000000"/>
              </w:rPr>
              <w:t>3.23</w:t>
            </w:r>
          </w:p>
        </w:tc>
        <w:tc>
          <w:tcPr>
            <w:tcW w:w="2233" w:type="dxa"/>
            <w:tcBorders>
              <w:top w:val="nil"/>
              <w:left w:val="nil"/>
              <w:bottom w:val="nil"/>
              <w:right w:val="nil"/>
            </w:tcBorders>
            <w:shd w:val="clear" w:color="auto" w:fill="auto"/>
            <w:noWrap/>
            <w:hideMark/>
          </w:tcPr>
          <w:p w14:paraId="6A19C6BB" w14:textId="77777777" w:rsidR="00EE6446" w:rsidRPr="00641A01" w:rsidRDefault="00EE6446" w:rsidP="00641A01">
            <w:pPr>
              <w:tabs>
                <w:tab w:val="decimal" w:pos="943"/>
              </w:tabs>
              <w:spacing w:line="360" w:lineRule="auto"/>
              <w:rPr>
                <w:color w:val="000000"/>
              </w:rPr>
            </w:pPr>
            <w:r w:rsidRPr="00641A01">
              <w:rPr>
                <w:color w:val="000000"/>
              </w:rPr>
              <w:t>21.16</w:t>
            </w:r>
          </w:p>
        </w:tc>
      </w:tr>
      <w:tr w:rsidR="005B434B" w:rsidRPr="00641A01" w14:paraId="04D76C69" w14:textId="77777777" w:rsidTr="00A637D6">
        <w:tc>
          <w:tcPr>
            <w:tcW w:w="3258" w:type="dxa"/>
            <w:tcBorders>
              <w:top w:val="nil"/>
              <w:left w:val="nil"/>
              <w:bottom w:val="nil"/>
              <w:right w:val="nil"/>
            </w:tcBorders>
            <w:shd w:val="clear" w:color="auto" w:fill="auto"/>
            <w:noWrap/>
            <w:hideMark/>
          </w:tcPr>
          <w:p w14:paraId="1A626CC7" w14:textId="77777777" w:rsidR="00EE6446" w:rsidRPr="00641A01" w:rsidRDefault="00EE6446" w:rsidP="00641A01">
            <w:pPr>
              <w:spacing w:line="360" w:lineRule="auto"/>
              <w:jc w:val="center"/>
              <w:rPr>
                <w:color w:val="000000"/>
              </w:rPr>
            </w:pPr>
            <w:r w:rsidRPr="00641A01">
              <w:rPr>
                <w:color w:val="000000"/>
              </w:rPr>
              <w:t>Australia</w:t>
            </w:r>
          </w:p>
        </w:tc>
        <w:tc>
          <w:tcPr>
            <w:tcW w:w="1011" w:type="dxa"/>
            <w:tcBorders>
              <w:top w:val="nil"/>
              <w:left w:val="nil"/>
              <w:bottom w:val="nil"/>
              <w:right w:val="nil"/>
            </w:tcBorders>
            <w:shd w:val="clear" w:color="auto" w:fill="auto"/>
            <w:noWrap/>
            <w:hideMark/>
          </w:tcPr>
          <w:p w14:paraId="4CF3BB2D" w14:textId="77777777" w:rsidR="00EE6446" w:rsidRPr="00641A01" w:rsidRDefault="00EE6446" w:rsidP="00641A01">
            <w:pPr>
              <w:spacing w:line="360" w:lineRule="auto"/>
              <w:jc w:val="center"/>
              <w:rPr>
                <w:color w:val="000000"/>
              </w:rPr>
            </w:pPr>
            <w:r w:rsidRPr="00641A01">
              <w:rPr>
                <w:color w:val="000000"/>
              </w:rPr>
              <w:t>AUS</w:t>
            </w:r>
          </w:p>
        </w:tc>
        <w:tc>
          <w:tcPr>
            <w:tcW w:w="1011" w:type="dxa"/>
            <w:tcBorders>
              <w:top w:val="nil"/>
              <w:left w:val="nil"/>
              <w:bottom w:val="nil"/>
              <w:right w:val="nil"/>
            </w:tcBorders>
            <w:shd w:val="clear" w:color="auto" w:fill="auto"/>
            <w:noWrap/>
            <w:hideMark/>
          </w:tcPr>
          <w:p w14:paraId="3D607F9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3A0CBB2C"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5755A9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221BB0F" w14:textId="77777777" w:rsidR="00EE6446" w:rsidRPr="00641A01" w:rsidRDefault="00EE6446" w:rsidP="00641A01">
            <w:pPr>
              <w:spacing w:line="360" w:lineRule="auto"/>
              <w:jc w:val="center"/>
              <w:rPr>
                <w:color w:val="000000"/>
              </w:rPr>
            </w:pPr>
            <w:r w:rsidRPr="00641A01">
              <w:rPr>
                <w:color w:val="000000"/>
              </w:rPr>
              <w:t>18</w:t>
            </w:r>
          </w:p>
        </w:tc>
        <w:tc>
          <w:tcPr>
            <w:tcW w:w="2233" w:type="dxa"/>
            <w:tcBorders>
              <w:top w:val="nil"/>
              <w:left w:val="nil"/>
              <w:bottom w:val="nil"/>
              <w:right w:val="nil"/>
            </w:tcBorders>
            <w:shd w:val="clear" w:color="auto" w:fill="auto"/>
            <w:noWrap/>
            <w:hideMark/>
          </w:tcPr>
          <w:p w14:paraId="7312049D" w14:textId="77777777" w:rsidR="00EE6446" w:rsidRPr="00641A01" w:rsidRDefault="00EE6446" w:rsidP="00641A01">
            <w:pPr>
              <w:tabs>
                <w:tab w:val="decimal" w:pos="943"/>
              </w:tabs>
              <w:spacing w:line="360" w:lineRule="auto"/>
              <w:rPr>
                <w:color w:val="000000"/>
              </w:rPr>
            </w:pPr>
            <w:r w:rsidRPr="00641A01">
              <w:rPr>
                <w:color w:val="000000"/>
              </w:rPr>
              <w:t>15.41</w:t>
            </w:r>
          </w:p>
        </w:tc>
        <w:tc>
          <w:tcPr>
            <w:tcW w:w="2233" w:type="dxa"/>
            <w:tcBorders>
              <w:top w:val="nil"/>
              <w:left w:val="nil"/>
              <w:bottom w:val="nil"/>
              <w:right w:val="nil"/>
            </w:tcBorders>
            <w:shd w:val="clear" w:color="auto" w:fill="auto"/>
            <w:noWrap/>
            <w:hideMark/>
          </w:tcPr>
          <w:p w14:paraId="1547F6E5" w14:textId="77777777" w:rsidR="00EE6446" w:rsidRPr="00641A01" w:rsidRDefault="00EE6446" w:rsidP="00641A01">
            <w:pPr>
              <w:tabs>
                <w:tab w:val="decimal" w:pos="943"/>
              </w:tabs>
              <w:spacing w:line="360" w:lineRule="auto"/>
              <w:rPr>
                <w:color w:val="000000"/>
              </w:rPr>
            </w:pPr>
            <w:r w:rsidRPr="00641A01">
              <w:rPr>
                <w:color w:val="000000"/>
              </w:rPr>
              <w:t>138.48</w:t>
            </w:r>
          </w:p>
        </w:tc>
      </w:tr>
      <w:tr w:rsidR="005B434B" w:rsidRPr="00641A01" w14:paraId="7415DFF9" w14:textId="77777777" w:rsidTr="00A637D6">
        <w:tc>
          <w:tcPr>
            <w:tcW w:w="3258" w:type="dxa"/>
            <w:tcBorders>
              <w:top w:val="nil"/>
              <w:left w:val="nil"/>
              <w:bottom w:val="nil"/>
              <w:right w:val="nil"/>
            </w:tcBorders>
            <w:shd w:val="clear" w:color="auto" w:fill="auto"/>
            <w:noWrap/>
            <w:hideMark/>
          </w:tcPr>
          <w:p w14:paraId="5766BAFB" w14:textId="77777777" w:rsidR="00EE6446" w:rsidRPr="00641A01" w:rsidRDefault="00EE6446" w:rsidP="00641A01">
            <w:pPr>
              <w:spacing w:line="360" w:lineRule="auto"/>
              <w:jc w:val="center"/>
              <w:rPr>
                <w:color w:val="000000"/>
              </w:rPr>
            </w:pPr>
            <w:r w:rsidRPr="00641A01">
              <w:rPr>
                <w:color w:val="000000"/>
              </w:rPr>
              <w:t>Austria</w:t>
            </w:r>
          </w:p>
        </w:tc>
        <w:tc>
          <w:tcPr>
            <w:tcW w:w="1011" w:type="dxa"/>
            <w:tcBorders>
              <w:top w:val="nil"/>
              <w:left w:val="nil"/>
              <w:bottom w:val="nil"/>
              <w:right w:val="nil"/>
            </w:tcBorders>
            <w:shd w:val="clear" w:color="auto" w:fill="auto"/>
            <w:noWrap/>
            <w:hideMark/>
          </w:tcPr>
          <w:p w14:paraId="1B2009ED" w14:textId="77777777" w:rsidR="00EE6446" w:rsidRPr="00641A01" w:rsidRDefault="00EE6446" w:rsidP="00641A01">
            <w:pPr>
              <w:spacing w:line="360" w:lineRule="auto"/>
              <w:jc w:val="center"/>
              <w:rPr>
                <w:color w:val="000000"/>
              </w:rPr>
            </w:pPr>
            <w:r w:rsidRPr="00641A01">
              <w:rPr>
                <w:color w:val="000000"/>
              </w:rPr>
              <w:t>AUT</w:t>
            </w:r>
          </w:p>
        </w:tc>
        <w:tc>
          <w:tcPr>
            <w:tcW w:w="1011" w:type="dxa"/>
            <w:tcBorders>
              <w:top w:val="nil"/>
              <w:left w:val="nil"/>
              <w:bottom w:val="nil"/>
              <w:right w:val="nil"/>
            </w:tcBorders>
            <w:shd w:val="clear" w:color="auto" w:fill="auto"/>
            <w:noWrap/>
            <w:hideMark/>
          </w:tcPr>
          <w:p w14:paraId="37297B4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D6C0746"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45FDB27"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2C672F07"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0D83DA71" w14:textId="77777777" w:rsidR="00EE6446" w:rsidRPr="00641A01" w:rsidRDefault="00EE6446" w:rsidP="00641A01">
            <w:pPr>
              <w:tabs>
                <w:tab w:val="decimal" w:pos="943"/>
              </w:tabs>
              <w:spacing w:line="360" w:lineRule="auto"/>
              <w:rPr>
                <w:color w:val="000000"/>
              </w:rPr>
            </w:pPr>
            <w:r w:rsidRPr="00641A01">
              <w:rPr>
                <w:color w:val="000000"/>
              </w:rPr>
              <w:t>7.87</w:t>
            </w:r>
          </w:p>
        </w:tc>
        <w:tc>
          <w:tcPr>
            <w:tcW w:w="2233" w:type="dxa"/>
            <w:tcBorders>
              <w:top w:val="nil"/>
              <w:left w:val="nil"/>
              <w:bottom w:val="nil"/>
              <w:right w:val="nil"/>
            </w:tcBorders>
            <w:shd w:val="clear" w:color="auto" w:fill="auto"/>
            <w:noWrap/>
            <w:hideMark/>
          </w:tcPr>
          <w:p w14:paraId="165FCBB0" w14:textId="77777777" w:rsidR="00EE6446" w:rsidRPr="00641A01" w:rsidRDefault="00EE6446" w:rsidP="00641A01">
            <w:pPr>
              <w:tabs>
                <w:tab w:val="decimal" w:pos="943"/>
              </w:tabs>
              <w:spacing w:line="360" w:lineRule="auto"/>
              <w:rPr>
                <w:color w:val="000000"/>
              </w:rPr>
            </w:pPr>
            <w:r w:rsidRPr="00641A01">
              <w:rPr>
                <w:color w:val="000000"/>
              </w:rPr>
              <w:t>99.38</w:t>
            </w:r>
          </w:p>
        </w:tc>
      </w:tr>
      <w:tr w:rsidR="005B434B" w:rsidRPr="00641A01" w14:paraId="5980AB4C" w14:textId="77777777" w:rsidTr="00A637D6">
        <w:tc>
          <w:tcPr>
            <w:tcW w:w="3258" w:type="dxa"/>
            <w:tcBorders>
              <w:top w:val="nil"/>
              <w:left w:val="nil"/>
              <w:bottom w:val="nil"/>
              <w:right w:val="nil"/>
            </w:tcBorders>
            <w:shd w:val="clear" w:color="auto" w:fill="auto"/>
            <w:noWrap/>
            <w:hideMark/>
          </w:tcPr>
          <w:p w14:paraId="063E46C7" w14:textId="77777777" w:rsidR="00EE6446" w:rsidRPr="00641A01" w:rsidRDefault="00EE6446" w:rsidP="00641A01">
            <w:pPr>
              <w:spacing w:line="360" w:lineRule="auto"/>
              <w:jc w:val="center"/>
              <w:rPr>
                <w:color w:val="000000"/>
              </w:rPr>
            </w:pPr>
            <w:r w:rsidRPr="00641A01">
              <w:rPr>
                <w:color w:val="000000"/>
              </w:rPr>
              <w:t>Azerbaijan</w:t>
            </w:r>
          </w:p>
        </w:tc>
        <w:tc>
          <w:tcPr>
            <w:tcW w:w="1011" w:type="dxa"/>
            <w:tcBorders>
              <w:top w:val="nil"/>
              <w:left w:val="nil"/>
              <w:bottom w:val="nil"/>
              <w:right w:val="nil"/>
            </w:tcBorders>
            <w:shd w:val="clear" w:color="auto" w:fill="auto"/>
            <w:noWrap/>
            <w:hideMark/>
          </w:tcPr>
          <w:p w14:paraId="1E2DE263" w14:textId="77777777" w:rsidR="00EE6446" w:rsidRPr="00641A01" w:rsidRDefault="00EE6446" w:rsidP="00641A01">
            <w:pPr>
              <w:spacing w:line="360" w:lineRule="auto"/>
              <w:jc w:val="center"/>
              <w:rPr>
                <w:color w:val="000000"/>
              </w:rPr>
            </w:pPr>
            <w:r w:rsidRPr="00641A01">
              <w:rPr>
                <w:color w:val="000000"/>
              </w:rPr>
              <w:t>AZE</w:t>
            </w:r>
          </w:p>
        </w:tc>
        <w:tc>
          <w:tcPr>
            <w:tcW w:w="1011" w:type="dxa"/>
            <w:tcBorders>
              <w:top w:val="nil"/>
              <w:left w:val="nil"/>
              <w:bottom w:val="nil"/>
              <w:right w:val="nil"/>
            </w:tcBorders>
            <w:shd w:val="clear" w:color="auto" w:fill="auto"/>
            <w:noWrap/>
            <w:hideMark/>
          </w:tcPr>
          <w:p w14:paraId="6152BC3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E0C6CE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DBB376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24967ED"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2524AC2B" w14:textId="77777777" w:rsidR="00EE6446" w:rsidRPr="00641A01" w:rsidRDefault="00EE6446" w:rsidP="00641A01">
            <w:pPr>
              <w:tabs>
                <w:tab w:val="decimal" w:pos="943"/>
              </w:tabs>
              <w:spacing w:line="360" w:lineRule="auto"/>
              <w:rPr>
                <w:color w:val="000000"/>
              </w:rPr>
            </w:pPr>
            <w:r w:rsidRPr="00641A01">
              <w:rPr>
                <w:color w:val="000000"/>
              </w:rPr>
              <w:t>1.39</w:t>
            </w:r>
          </w:p>
        </w:tc>
        <w:tc>
          <w:tcPr>
            <w:tcW w:w="2233" w:type="dxa"/>
            <w:tcBorders>
              <w:top w:val="nil"/>
              <w:left w:val="nil"/>
              <w:bottom w:val="nil"/>
              <w:right w:val="nil"/>
            </w:tcBorders>
            <w:shd w:val="clear" w:color="auto" w:fill="auto"/>
            <w:noWrap/>
            <w:hideMark/>
          </w:tcPr>
          <w:p w14:paraId="0AEDA286" w14:textId="77777777" w:rsidR="00EE6446" w:rsidRPr="00641A01" w:rsidRDefault="00EE6446" w:rsidP="00641A01">
            <w:pPr>
              <w:tabs>
                <w:tab w:val="decimal" w:pos="943"/>
              </w:tabs>
              <w:spacing w:line="360" w:lineRule="auto"/>
              <w:rPr>
                <w:color w:val="000000"/>
              </w:rPr>
            </w:pPr>
            <w:r w:rsidRPr="00641A01">
              <w:rPr>
                <w:color w:val="000000"/>
              </w:rPr>
              <w:t>13.97</w:t>
            </w:r>
          </w:p>
        </w:tc>
      </w:tr>
      <w:tr w:rsidR="005B434B" w:rsidRPr="00641A01" w14:paraId="56ACB435" w14:textId="77777777" w:rsidTr="00A637D6">
        <w:tc>
          <w:tcPr>
            <w:tcW w:w="3258" w:type="dxa"/>
            <w:tcBorders>
              <w:top w:val="nil"/>
              <w:left w:val="nil"/>
              <w:bottom w:val="nil"/>
              <w:right w:val="nil"/>
            </w:tcBorders>
            <w:shd w:val="clear" w:color="auto" w:fill="auto"/>
            <w:noWrap/>
            <w:hideMark/>
          </w:tcPr>
          <w:p w14:paraId="38385A6D" w14:textId="77777777" w:rsidR="00EE6446" w:rsidRPr="00641A01" w:rsidRDefault="00EE6446" w:rsidP="00641A01">
            <w:pPr>
              <w:spacing w:line="360" w:lineRule="auto"/>
              <w:jc w:val="center"/>
              <w:rPr>
                <w:color w:val="000000"/>
              </w:rPr>
            </w:pPr>
            <w:r w:rsidRPr="00641A01">
              <w:rPr>
                <w:color w:val="000000"/>
              </w:rPr>
              <w:t>Burundi</w:t>
            </w:r>
          </w:p>
        </w:tc>
        <w:tc>
          <w:tcPr>
            <w:tcW w:w="1011" w:type="dxa"/>
            <w:tcBorders>
              <w:top w:val="nil"/>
              <w:left w:val="nil"/>
              <w:bottom w:val="nil"/>
              <w:right w:val="nil"/>
            </w:tcBorders>
            <w:shd w:val="clear" w:color="auto" w:fill="auto"/>
            <w:noWrap/>
            <w:hideMark/>
          </w:tcPr>
          <w:p w14:paraId="64F1DCF0" w14:textId="77777777" w:rsidR="00EE6446" w:rsidRPr="00641A01" w:rsidRDefault="00EE6446" w:rsidP="00641A01">
            <w:pPr>
              <w:spacing w:line="360" w:lineRule="auto"/>
              <w:jc w:val="center"/>
              <w:rPr>
                <w:color w:val="000000"/>
              </w:rPr>
            </w:pPr>
            <w:r w:rsidRPr="00641A01">
              <w:rPr>
                <w:color w:val="000000"/>
              </w:rPr>
              <w:t>BDI</w:t>
            </w:r>
          </w:p>
        </w:tc>
        <w:tc>
          <w:tcPr>
            <w:tcW w:w="1011" w:type="dxa"/>
            <w:tcBorders>
              <w:top w:val="nil"/>
              <w:left w:val="nil"/>
              <w:bottom w:val="nil"/>
              <w:right w:val="nil"/>
            </w:tcBorders>
            <w:shd w:val="clear" w:color="auto" w:fill="auto"/>
            <w:noWrap/>
            <w:hideMark/>
          </w:tcPr>
          <w:p w14:paraId="2DB5DF1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53D6C5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07356A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3CEF0FF"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25003B4F" w14:textId="77777777" w:rsidR="00EE6446" w:rsidRPr="00641A01" w:rsidRDefault="00EE6446" w:rsidP="00641A01">
            <w:pPr>
              <w:tabs>
                <w:tab w:val="decimal" w:pos="943"/>
              </w:tabs>
              <w:spacing w:line="360" w:lineRule="auto"/>
              <w:rPr>
                <w:color w:val="000000"/>
              </w:rPr>
            </w:pPr>
            <w:r w:rsidRPr="00641A01">
              <w:rPr>
                <w:color w:val="000000"/>
              </w:rPr>
              <w:t>1.08</w:t>
            </w:r>
          </w:p>
        </w:tc>
        <w:tc>
          <w:tcPr>
            <w:tcW w:w="2233" w:type="dxa"/>
            <w:tcBorders>
              <w:top w:val="nil"/>
              <w:left w:val="nil"/>
              <w:bottom w:val="nil"/>
              <w:right w:val="nil"/>
            </w:tcBorders>
            <w:shd w:val="clear" w:color="auto" w:fill="auto"/>
            <w:noWrap/>
            <w:hideMark/>
          </w:tcPr>
          <w:p w14:paraId="14F002EB" w14:textId="77777777" w:rsidR="00EE6446" w:rsidRPr="00641A01" w:rsidRDefault="00EE6446" w:rsidP="00641A01">
            <w:pPr>
              <w:tabs>
                <w:tab w:val="decimal" w:pos="943"/>
              </w:tabs>
              <w:spacing w:line="360" w:lineRule="auto"/>
              <w:rPr>
                <w:color w:val="000000"/>
              </w:rPr>
            </w:pPr>
            <w:r w:rsidRPr="00641A01">
              <w:rPr>
                <w:color w:val="000000"/>
              </w:rPr>
              <w:t>8.16</w:t>
            </w:r>
          </w:p>
        </w:tc>
      </w:tr>
      <w:tr w:rsidR="005B434B" w:rsidRPr="00641A01" w14:paraId="45D38468" w14:textId="77777777" w:rsidTr="00A637D6">
        <w:tc>
          <w:tcPr>
            <w:tcW w:w="3258" w:type="dxa"/>
            <w:tcBorders>
              <w:top w:val="nil"/>
              <w:left w:val="nil"/>
              <w:bottom w:val="nil"/>
              <w:right w:val="nil"/>
            </w:tcBorders>
            <w:shd w:val="clear" w:color="auto" w:fill="auto"/>
            <w:noWrap/>
            <w:hideMark/>
          </w:tcPr>
          <w:p w14:paraId="3A8A2FFE" w14:textId="77777777" w:rsidR="00EE6446" w:rsidRPr="00641A01" w:rsidRDefault="00EE6446" w:rsidP="00641A01">
            <w:pPr>
              <w:spacing w:line="360" w:lineRule="auto"/>
              <w:jc w:val="center"/>
              <w:rPr>
                <w:color w:val="000000"/>
              </w:rPr>
            </w:pPr>
            <w:r w:rsidRPr="00641A01">
              <w:rPr>
                <w:color w:val="000000"/>
              </w:rPr>
              <w:t>Belgium</w:t>
            </w:r>
          </w:p>
        </w:tc>
        <w:tc>
          <w:tcPr>
            <w:tcW w:w="1011" w:type="dxa"/>
            <w:tcBorders>
              <w:top w:val="nil"/>
              <w:left w:val="nil"/>
              <w:bottom w:val="nil"/>
              <w:right w:val="nil"/>
            </w:tcBorders>
            <w:shd w:val="clear" w:color="auto" w:fill="auto"/>
            <w:noWrap/>
            <w:hideMark/>
          </w:tcPr>
          <w:p w14:paraId="625FFBD6" w14:textId="77777777" w:rsidR="00EE6446" w:rsidRPr="00641A01" w:rsidRDefault="00EE6446" w:rsidP="00641A01">
            <w:pPr>
              <w:spacing w:line="360" w:lineRule="auto"/>
              <w:jc w:val="center"/>
              <w:rPr>
                <w:color w:val="000000"/>
              </w:rPr>
            </w:pPr>
            <w:r w:rsidRPr="00641A01">
              <w:rPr>
                <w:color w:val="000000"/>
              </w:rPr>
              <w:t>BEL</w:t>
            </w:r>
          </w:p>
        </w:tc>
        <w:tc>
          <w:tcPr>
            <w:tcW w:w="1011" w:type="dxa"/>
            <w:tcBorders>
              <w:top w:val="nil"/>
              <w:left w:val="nil"/>
              <w:bottom w:val="nil"/>
              <w:right w:val="nil"/>
            </w:tcBorders>
            <w:shd w:val="clear" w:color="auto" w:fill="auto"/>
            <w:noWrap/>
            <w:hideMark/>
          </w:tcPr>
          <w:p w14:paraId="174D356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806A981"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2A181B9"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08FA511B"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06062373" w14:textId="77777777" w:rsidR="00EE6446" w:rsidRPr="00641A01" w:rsidRDefault="00EE6446" w:rsidP="00641A01">
            <w:pPr>
              <w:tabs>
                <w:tab w:val="decimal" w:pos="943"/>
              </w:tabs>
              <w:spacing w:line="360" w:lineRule="auto"/>
              <w:rPr>
                <w:color w:val="000000"/>
              </w:rPr>
            </w:pPr>
            <w:r w:rsidRPr="00641A01">
              <w:rPr>
                <w:color w:val="000000"/>
              </w:rPr>
              <w:t>8.53</w:t>
            </w:r>
          </w:p>
        </w:tc>
        <w:tc>
          <w:tcPr>
            <w:tcW w:w="2233" w:type="dxa"/>
            <w:tcBorders>
              <w:top w:val="nil"/>
              <w:left w:val="nil"/>
              <w:bottom w:val="nil"/>
              <w:right w:val="nil"/>
            </w:tcBorders>
            <w:shd w:val="clear" w:color="auto" w:fill="auto"/>
            <w:noWrap/>
            <w:hideMark/>
          </w:tcPr>
          <w:p w14:paraId="348AA472" w14:textId="77777777" w:rsidR="00EE6446" w:rsidRPr="00641A01" w:rsidRDefault="00EE6446" w:rsidP="00641A01">
            <w:pPr>
              <w:tabs>
                <w:tab w:val="decimal" w:pos="943"/>
              </w:tabs>
              <w:spacing w:line="360" w:lineRule="auto"/>
              <w:rPr>
                <w:color w:val="000000"/>
              </w:rPr>
            </w:pPr>
            <w:r w:rsidRPr="00641A01">
              <w:rPr>
                <w:color w:val="000000"/>
              </w:rPr>
              <w:t>105.21</w:t>
            </w:r>
          </w:p>
        </w:tc>
      </w:tr>
      <w:tr w:rsidR="005B434B" w:rsidRPr="00641A01" w14:paraId="043E07F4" w14:textId="77777777" w:rsidTr="00A637D6">
        <w:tc>
          <w:tcPr>
            <w:tcW w:w="3258" w:type="dxa"/>
            <w:tcBorders>
              <w:top w:val="nil"/>
              <w:left w:val="nil"/>
              <w:bottom w:val="nil"/>
              <w:right w:val="nil"/>
            </w:tcBorders>
            <w:shd w:val="clear" w:color="auto" w:fill="auto"/>
            <w:noWrap/>
            <w:hideMark/>
          </w:tcPr>
          <w:p w14:paraId="5E8B584E" w14:textId="77777777" w:rsidR="00EE6446" w:rsidRPr="00641A01" w:rsidRDefault="00EE6446" w:rsidP="00641A01">
            <w:pPr>
              <w:spacing w:line="360" w:lineRule="auto"/>
              <w:jc w:val="center"/>
              <w:rPr>
                <w:color w:val="000000"/>
              </w:rPr>
            </w:pPr>
            <w:r w:rsidRPr="00641A01">
              <w:rPr>
                <w:color w:val="000000"/>
              </w:rPr>
              <w:t>Benin</w:t>
            </w:r>
          </w:p>
        </w:tc>
        <w:tc>
          <w:tcPr>
            <w:tcW w:w="1011" w:type="dxa"/>
            <w:tcBorders>
              <w:top w:val="nil"/>
              <w:left w:val="nil"/>
              <w:bottom w:val="nil"/>
              <w:right w:val="nil"/>
            </w:tcBorders>
            <w:shd w:val="clear" w:color="auto" w:fill="auto"/>
            <w:noWrap/>
            <w:hideMark/>
          </w:tcPr>
          <w:p w14:paraId="22C78FF7" w14:textId="77777777" w:rsidR="00EE6446" w:rsidRPr="00641A01" w:rsidRDefault="00EE6446" w:rsidP="00641A01">
            <w:pPr>
              <w:spacing w:line="360" w:lineRule="auto"/>
              <w:jc w:val="center"/>
              <w:rPr>
                <w:color w:val="000000"/>
              </w:rPr>
            </w:pPr>
            <w:r w:rsidRPr="00641A01">
              <w:rPr>
                <w:color w:val="000000"/>
              </w:rPr>
              <w:t>BEN</w:t>
            </w:r>
          </w:p>
        </w:tc>
        <w:tc>
          <w:tcPr>
            <w:tcW w:w="1011" w:type="dxa"/>
            <w:tcBorders>
              <w:top w:val="nil"/>
              <w:left w:val="nil"/>
              <w:bottom w:val="nil"/>
              <w:right w:val="nil"/>
            </w:tcBorders>
            <w:shd w:val="clear" w:color="auto" w:fill="auto"/>
            <w:noWrap/>
            <w:hideMark/>
          </w:tcPr>
          <w:p w14:paraId="5CEAB23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2C4171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7B693C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2507C55"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04BE9B74" w14:textId="77777777" w:rsidR="00EE6446" w:rsidRPr="00641A01" w:rsidRDefault="00EE6446" w:rsidP="00641A01">
            <w:pPr>
              <w:tabs>
                <w:tab w:val="decimal" w:pos="943"/>
              </w:tabs>
              <w:spacing w:line="360" w:lineRule="auto"/>
              <w:rPr>
                <w:color w:val="000000"/>
              </w:rPr>
            </w:pPr>
            <w:r w:rsidRPr="00641A01">
              <w:rPr>
                <w:color w:val="000000"/>
              </w:rPr>
              <w:t>1.17</w:t>
            </w:r>
          </w:p>
        </w:tc>
        <w:tc>
          <w:tcPr>
            <w:tcW w:w="2233" w:type="dxa"/>
            <w:tcBorders>
              <w:top w:val="nil"/>
              <w:left w:val="nil"/>
              <w:bottom w:val="nil"/>
              <w:right w:val="nil"/>
            </w:tcBorders>
            <w:shd w:val="clear" w:color="auto" w:fill="auto"/>
            <w:noWrap/>
            <w:hideMark/>
          </w:tcPr>
          <w:p w14:paraId="1F5E6B10" w14:textId="77777777" w:rsidR="00EE6446" w:rsidRPr="00641A01" w:rsidRDefault="00EE6446" w:rsidP="00641A01">
            <w:pPr>
              <w:tabs>
                <w:tab w:val="decimal" w:pos="943"/>
              </w:tabs>
              <w:spacing w:line="360" w:lineRule="auto"/>
              <w:rPr>
                <w:color w:val="000000"/>
              </w:rPr>
            </w:pPr>
            <w:r w:rsidRPr="00641A01">
              <w:rPr>
                <w:color w:val="000000"/>
              </w:rPr>
              <w:t>9.34</w:t>
            </w:r>
          </w:p>
        </w:tc>
      </w:tr>
      <w:tr w:rsidR="005B434B" w:rsidRPr="00641A01" w14:paraId="0B7943F4" w14:textId="77777777" w:rsidTr="00A637D6">
        <w:tc>
          <w:tcPr>
            <w:tcW w:w="3258" w:type="dxa"/>
            <w:tcBorders>
              <w:top w:val="nil"/>
              <w:left w:val="nil"/>
              <w:bottom w:val="nil"/>
              <w:right w:val="nil"/>
            </w:tcBorders>
            <w:shd w:val="clear" w:color="auto" w:fill="auto"/>
            <w:noWrap/>
            <w:hideMark/>
          </w:tcPr>
          <w:p w14:paraId="5AC3C586" w14:textId="77777777" w:rsidR="00EE6446" w:rsidRPr="00641A01" w:rsidRDefault="00EE6446" w:rsidP="00641A01">
            <w:pPr>
              <w:spacing w:line="360" w:lineRule="auto"/>
              <w:jc w:val="center"/>
              <w:rPr>
                <w:color w:val="000000"/>
              </w:rPr>
            </w:pPr>
            <w:r w:rsidRPr="00641A01">
              <w:rPr>
                <w:color w:val="000000"/>
              </w:rPr>
              <w:t>Burkina Faso</w:t>
            </w:r>
          </w:p>
        </w:tc>
        <w:tc>
          <w:tcPr>
            <w:tcW w:w="1011" w:type="dxa"/>
            <w:tcBorders>
              <w:top w:val="nil"/>
              <w:left w:val="nil"/>
              <w:bottom w:val="nil"/>
              <w:right w:val="nil"/>
            </w:tcBorders>
            <w:shd w:val="clear" w:color="auto" w:fill="auto"/>
            <w:noWrap/>
            <w:hideMark/>
          </w:tcPr>
          <w:p w14:paraId="237D9420" w14:textId="77777777" w:rsidR="00EE6446" w:rsidRPr="00641A01" w:rsidRDefault="00EE6446" w:rsidP="00641A01">
            <w:pPr>
              <w:spacing w:line="360" w:lineRule="auto"/>
              <w:jc w:val="center"/>
              <w:rPr>
                <w:color w:val="000000"/>
              </w:rPr>
            </w:pPr>
            <w:r w:rsidRPr="00641A01">
              <w:rPr>
                <w:color w:val="000000"/>
              </w:rPr>
              <w:t>BFA</w:t>
            </w:r>
          </w:p>
        </w:tc>
        <w:tc>
          <w:tcPr>
            <w:tcW w:w="1011" w:type="dxa"/>
            <w:tcBorders>
              <w:top w:val="nil"/>
              <w:left w:val="nil"/>
              <w:bottom w:val="nil"/>
              <w:right w:val="nil"/>
            </w:tcBorders>
            <w:shd w:val="clear" w:color="auto" w:fill="auto"/>
            <w:noWrap/>
            <w:hideMark/>
          </w:tcPr>
          <w:p w14:paraId="23A85F6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D619D3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4D9C8F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1FF47C0"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19708E8F" w14:textId="77777777" w:rsidR="00EE6446" w:rsidRPr="00641A01" w:rsidRDefault="00EE6446" w:rsidP="00641A01">
            <w:pPr>
              <w:tabs>
                <w:tab w:val="decimal" w:pos="943"/>
              </w:tabs>
              <w:spacing w:line="360" w:lineRule="auto"/>
              <w:rPr>
                <w:color w:val="000000"/>
              </w:rPr>
            </w:pPr>
            <w:r w:rsidRPr="00641A01">
              <w:rPr>
                <w:color w:val="000000"/>
              </w:rPr>
              <w:t>4.82</w:t>
            </w:r>
          </w:p>
        </w:tc>
        <w:tc>
          <w:tcPr>
            <w:tcW w:w="2233" w:type="dxa"/>
            <w:tcBorders>
              <w:top w:val="nil"/>
              <w:left w:val="nil"/>
              <w:bottom w:val="nil"/>
              <w:right w:val="nil"/>
            </w:tcBorders>
            <w:shd w:val="clear" w:color="auto" w:fill="auto"/>
            <w:noWrap/>
            <w:hideMark/>
          </w:tcPr>
          <w:p w14:paraId="0E19B674" w14:textId="77777777" w:rsidR="00EE6446" w:rsidRPr="00641A01" w:rsidRDefault="00EE6446" w:rsidP="00641A01">
            <w:pPr>
              <w:tabs>
                <w:tab w:val="decimal" w:pos="943"/>
              </w:tabs>
              <w:spacing w:line="360" w:lineRule="auto"/>
              <w:rPr>
                <w:color w:val="000000"/>
              </w:rPr>
            </w:pPr>
            <w:r w:rsidRPr="00641A01">
              <w:rPr>
                <w:color w:val="000000"/>
              </w:rPr>
              <w:t>35.74</w:t>
            </w:r>
          </w:p>
        </w:tc>
      </w:tr>
      <w:tr w:rsidR="005B434B" w:rsidRPr="00641A01" w14:paraId="5C38F6EA" w14:textId="77777777" w:rsidTr="00A637D6">
        <w:tc>
          <w:tcPr>
            <w:tcW w:w="3258" w:type="dxa"/>
            <w:tcBorders>
              <w:top w:val="nil"/>
              <w:left w:val="nil"/>
              <w:bottom w:val="nil"/>
              <w:right w:val="nil"/>
            </w:tcBorders>
            <w:shd w:val="clear" w:color="auto" w:fill="auto"/>
            <w:noWrap/>
            <w:hideMark/>
          </w:tcPr>
          <w:p w14:paraId="4630A9E1" w14:textId="77777777" w:rsidR="00EE6446" w:rsidRPr="00641A01" w:rsidRDefault="00EE6446" w:rsidP="00641A01">
            <w:pPr>
              <w:spacing w:line="360" w:lineRule="auto"/>
              <w:jc w:val="center"/>
              <w:rPr>
                <w:color w:val="000000"/>
              </w:rPr>
            </w:pPr>
            <w:r w:rsidRPr="00641A01">
              <w:rPr>
                <w:color w:val="000000"/>
              </w:rPr>
              <w:t>Bangladesh</w:t>
            </w:r>
          </w:p>
        </w:tc>
        <w:tc>
          <w:tcPr>
            <w:tcW w:w="1011" w:type="dxa"/>
            <w:tcBorders>
              <w:top w:val="nil"/>
              <w:left w:val="nil"/>
              <w:bottom w:val="nil"/>
              <w:right w:val="nil"/>
            </w:tcBorders>
            <w:shd w:val="clear" w:color="auto" w:fill="auto"/>
            <w:noWrap/>
            <w:hideMark/>
          </w:tcPr>
          <w:p w14:paraId="53F1E618" w14:textId="77777777" w:rsidR="00EE6446" w:rsidRPr="00641A01" w:rsidRDefault="00EE6446" w:rsidP="00641A01">
            <w:pPr>
              <w:spacing w:line="360" w:lineRule="auto"/>
              <w:jc w:val="center"/>
              <w:rPr>
                <w:color w:val="000000"/>
              </w:rPr>
            </w:pPr>
            <w:r w:rsidRPr="00641A01">
              <w:rPr>
                <w:color w:val="000000"/>
              </w:rPr>
              <w:t>BGD</w:t>
            </w:r>
          </w:p>
        </w:tc>
        <w:tc>
          <w:tcPr>
            <w:tcW w:w="1011" w:type="dxa"/>
            <w:tcBorders>
              <w:top w:val="nil"/>
              <w:left w:val="nil"/>
              <w:bottom w:val="nil"/>
              <w:right w:val="nil"/>
            </w:tcBorders>
            <w:shd w:val="clear" w:color="auto" w:fill="auto"/>
            <w:noWrap/>
            <w:hideMark/>
          </w:tcPr>
          <w:p w14:paraId="0214F9E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9C36B2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8F1BFE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D5B2B6D"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3D9DC4C5" w14:textId="77777777" w:rsidR="00EE6446" w:rsidRPr="00641A01" w:rsidRDefault="00EE6446" w:rsidP="00641A01">
            <w:pPr>
              <w:tabs>
                <w:tab w:val="decimal" w:pos="943"/>
              </w:tabs>
              <w:spacing w:line="360" w:lineRule="auto"/>
              <w:rPr>
                <w:color w:val="000000"/>
              </w:rPr>
            </w:pPr>
            <w:r w:rsidRPr="00641A01">
              <w:rPr>
                <w:color w:val="000000"/>
              </w:rPr>
              <w:t>3.30</w:t>
            </w:r>
          </w:p>
        </w:tc>
        <w:tc>
          <w:tcPr>
            <w:tcW w:w="2233" w:type="dxa"/>
            <w:tcBorders>
              <w:top w:val="nil"/>
              <w:left w:val="nil"/>
              <w:bottom w:val="nil"/>
              <w:right w:val="nil"/>
            </w:tcBorders>
            <w:shd w:val="clear" w:color="auto" w:fill="auto"/>
            <w:noWrap/>
            <w:hideMark/>
          </w:tcPr>
          <w:p w14:paraId="6892A10A" w14:textId="77777777" w:rsidR="00EE6446" w:rsidRPr="00641A01" w:rsidRDefault="00EE6446" w:rsidP="00641A01">
            <w:pPr>
              <w:tabs>
                <w:tab w:val="decimal" w:pos="943"/>
              </w:tabs>
              <w:spacing w:line="360" w:lineRule="auto"/>
              <w:rPr>
                <w:color w:val="000000"/>
              </w:rPr>
            </w:pPr>
            <w:r w:rsidRPr="00641A01">
              <w:rPr>
                <w:color w:val="000000"/>
              </w:rPr>
              <w:t>31.55</w:t>
            </w:r>
          </w:p>
        </w:tc>
      </w:tr>
      <w:tr w:rsidR="005B434B" w:rsidRPr="00641A01" w14:paraId="7B7B9363" w14:textId="77777777" w:rsidTr="00A637D6">
        <w:tc>
          <w:tcPr>
            <w:tcW w:w="3258" w:type="dxa"/>
            <w:tcBorders>
              <w:top w:val="nil"/>
              <w:left w:val="nil"/>
              <w:bottom w:val="nil"/>
              <w:right w:val="nil"/>
            </w:tcBorders>
            <w:shd w:val="clear" w:color="auto" w:fill="auto"/>
            <w:noWrap/>
            <w:hideMark/>
          </w:tcPr>
          <w:p w14:paraId="106559A2" w14:textId="77777777" w:rsidR="00EE6446" w:rsidRPr="00641A01" w:rsidRDefault="00EE6446" w:rsidP="00641A01">
            <w:pPr>
              <w:spacing w:line="360" w:lineRule="auto"/>
              <w:jc w:val="center"/>
              <w:rPr>
                <w:color w:val="000000"/>
              </w:rPr>
            </w:pPr>
            <w:r w:rsidRPr="00641A01">
              <w:rPr>
                <w:color w:val="000000"/>
              </w:rPr>
              <w:lastRenderedPageBreak/>
              <w:t>Bulgaria</w:t>
            </w:r>
          </w:p>
        </w:tc>
        <w:tc>
          <w:tcPr>
            <w:tcW w:w="1011" w:type="dxa"/>
            <w:tcBorders>
              <w:top w:val="nil"/>
              <w:left w:val="nil"/>
              <w:bottom w:val="nil"/>
              <w:right w:val="nil"/>
            </w:tcBorders>
            <w:shd w:val="clear" w:color="auto" w:fill="auto"/>
            <w:noWrap/>
            <w:hideMark/>
          </w:tcPr>
          <w:p w14:paraId="1B2C618A" w14:textId="77777777" w:rsidR="00EE6446" w:rsidRPr="00641A01" w:rsidRDefault="00EE6446" w:rsidP="00641A01">
            <w:pPr>
              <w:spacing w:line="360" w:lineRule="auto"/>
              <w:jc w:val="center"/>
              <w:rPr>
                <w:color w:val="000000"/>
              </w:rPr>
            </w:pPr>
            <w:r w:rsidRPr="00641A01">
              <w:rPr>
                <w:color w:val="000000"/>
              </w:rPr>
              <w:t>BGR</w:t>
            </w:r>
          </w:p>
        </w:tc>
        <w:tc>
          <w:tcPr>
            <w:tcW w:w="1011" w:type="dxa"/>
            <w:tcBorders>
              <w:top w:val="nil"/>
              <w:left w:val="nil"/>
              <w:bottom w:val="nil"/>
              <w:right w:val="nil"/>
            </w:tcBorders>
            <w:shd w:val="clear" w:color="auto" w:fill="auto"/>
            <w:noWrap/>
            <w:hideMark/>
          </w:tcPr>
          <w:p w14:paraId="10A69BC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2B25D4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FB08983"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62984CF1"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07CC9830" w14:textId="77777777" w:rsidR="00EE6446" w:rsidRPr="00641A01" w:rsidRDefault="00EE6446" w:rsidP="00641A01">
            <w:pPr>
              <w:tabs>
                <w:tab w:val="decimal" w:pos="943"/>
              </w:tabs>
              <w:spacing w:line="360" w:lineRule="auto"/>
              <w:rPr>
                <w:color w:val="000000"/>
              </w:rPr>
            </w:pPr>
            <w:r w:rsidRPr="00641A01">
              <w:rPr>
                <w:color w:val="000000"/>
              </w:rPr>
              <w:t>5.24</w:t>
            </w:r>
          </w:p>
        </w:tc>
        <w:tc>
          <w:tcPr>
            <w:tcW w:w="2233" w:type="dxa"/>
            <w:tcBorders>
              <w:top w:val="nil"/>
              <w:left w:val="nil"/>
              <w:bottom w:val="nil"/>
              <w:right w:val="nil"/>
            </w:tcBorders>
            <w:shd w:val="clear" w:color="auto" w:fill="auto"/>
            <w:noWrap/>
            <w:hideMark/>
          </w:tcPr>
          <w:p w14:paraId="4EF72CB9" w14:textId="77777777" w:rsidR="00EE6446" w:rsidRPr="00641A01" w:rsidRDefault="00EE6446" w:rsidP="00641A01">
            <w:pPr>
              <w:tabs>
                <w:tab w:val="decimal" w:pos="943"/>
              </w:tabs>
              <w:spacing w:line="360" w:lineRule="auto"/>
              <w:rPr>
                <w:color w:val="000000"/>
              </w:rPr>
            </w:pPr>
            <w:r w:rsidRPr="00641A01">
              <w:rPr>
                <w:color w:val="000000"/>
              </w:rPr>
              <w:t>66.73</w:t>
            </w:r>
          </w:p>
        </w:tc>
      </w:tr>
      <w:tr w:rsidR="005B434B" w:rsidRPr="00641A01" w14:paraId="281FFE4B" w14:textId="77777777" w:rsidTr="00A637D6">
        <w:tc>
          <w:tcPr>
            <w:tcW w:w="3258" w:type="dxa"/>
            <w:tcBorders>
              <w:top w:val="nil"/>
              <w:left w:val="nil"/>
              <w:bottom w:val="nil"/>
              <w:right w:val="nil"/>
            </w:tcBorders>
            <w:shd w:val="clear" w:color="auto" w:fill="auto"/>
            <w:noWrap/>
            <w:hideMark/>
          </w:tcPr>
          <w:p w14:paraId="4ED24988" w14:textId="77777777" w:rsidR="00EE6446" w:rsidRPr="00641A01" w:rsidRDefault="00EE6446" w:rsidP="00641A01">
            <w:pPr>
              <w:spacing w:line="360" w:lineRule="auto"/>
              <w:jc w:val="center"/>
              <w:rPr>
                <w:color w:val="000000"/>
              </w:rPr>
            </w:pPr>
            <w:r w:rsidRPr="00641A01">
              <w:rPr>
                <w:color w:val="000000"/>
              </w:rPr>
              <w:t>Bahrain</w:t>
            </w:r>
          </w:p>
        </w:tc>
        <w:tc>
          <w:tcPr>
            <w:tcW w:w="1011" w:type="dxa"/>
            <w:tcBorders>
              <w:top w:val="nil"/>
              <w:left w:val="nil"/>
              <w:bottom w:val="nil"/>
              <w:right w:val="nil"/>
            </w:tcBorders>
            <w:shd w:val="clear" w:color="auto" w:fill="auto"/>
            <w:noWrap/>
            <w:hideMark/>
          </w:tcPr>
          <w:p w14:paraId="745BB6F4" w14:textId="77777777" w:rsidR="00EE6446" w:rsidRPr="00641A01" w:rsidRDefault="00EE6446" w:rsidP="00641A01">
            <w:pPr>
              <w:spacing w:line="360" w:lineRule="auto"/>
              <w:jc w:val="center"/>
              <w:rPr>
                <w:color w:val="000000"/>
              </w:rPr>
            </w:pPr>
            <w:r w:rsidRPr="00641A01">
              <w:rPr>
                <w:color w:val="000000"/>
              </w:rPr>
              <w:t>BHR</w:t>
            </w:r>
          </w:p>
        </w:tc>
        <w:tc>
          <w:tcPr>
            <w:tcW w:w="1011" w:type="dxa"/>
            <w:tcBorders>
              <w:top w:val="nil"/>
              <w:left w:val="nil"/>
              <w:bottom w:val="nil"/>
              <w:right w:val="nil"/>
            </w:tcBorders>
            <w:shd w:val="clear" w:color="auto" w:fill="auto"/>
            <w:noWrap/>
            <w:hideMark/>
          </w:tcPr>
          <w:p w14:paraId="7D86929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EB2B70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9251B8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F9CFD07"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04A3D53B" w14:textId="77777777" w:rsidR="00EE6446" w:rsidRPr="00641A01" w:rsidRDefault="00EE6446" w:rsidP="00641A01">
            <w:pPr>
              <w:tabs>
                <w:tab w:val="decimal" w:pos="943"/>
              </w:tabs>
              <w:spacing w:line="360" w:lineRule="auto"/>
              <w:rPr>
                <w:color w:val="000000"/>
              </w:rPr>
            </w:pPr>
            <w:r w:rsidRPr="00641A01">
              <w:rPr>
                <w:color w:val="000000"/>
              </w:rPr>
              <w:t>1.18</w:t>
            </w:r>
          </w:p>
        </w:tc>
        <w:tc>
          <w:tcPr>
            <w:tcW w:w="2233" w:type="dxa"/>
            <w:tcBorders>
              <w:top w:val="nil"/>
              <w:left w:val="nil"/>
              <w:bottom w:val="nil"/>
              <w:right w:val="nil"/>
            </w:tcBorders>
            <w:shd w:val="clear" w:color="auto" w:fill="auto"/>
            <w:noWrap/>
            <w:hideMark/>
          </w:tcPr>
          <w:p w14:paraId="1C37EA30" w14:textId="77777777" w:rsidR="00EE6446" w:rsidRPr="00641A01" w:rsidRDefault="00EE6446" w:rsidP="00641A01">
            <w:pPr>
              <w:tabs>
                <w:tab w:val="decimal" w:pos="943"/>
              </w:tabs>
              <w:spacing w:line="360" w:lineRule="auto"/>
              <w:rPr>
                <w:color w:val="000000"/>
              </w:rPr>
            </w:pPr>
            <w:r w:rsidRPr="00641A01">
              <w:rPr>
                <w:color w:val="000000"/>
              </w:rPr>
              <w:t>15.25</w:t>
            </w:r>
          </w:p>
        </w:tc>
      </w:tr>
      <w:tr w:rsidR="005B434B" w:rsidRPr="00641A01" w14:paraId="77E0AD24" w14:textId="77777777" w:rsidTr="00A637D6">
        <w:tc>
          <w:tcPr>
            <w:tcW w:w="3258" w:type="dxa"/>
            <w:tcBorders>
              <w:top w:val="nil"/>
              <w:left w:val="nil"/>
              <w:bottom w:val="nil"/>
              <w:right w:val="nil"/>
            </w:tcBorders>
            <w:shd w:val="clear" w:color="auto" w:fill="auto"/>
            <w:noWrap/>
            <w:hideMark/>
          </w:tcPr>
          <w:p w14:paraId="6E6B4854" w14:textId="77777777" w:rsidR="00EE6446" w:rsidRPr="00641A01" w:rsidRDefault="00EE6446" w:rsidP="00641A01">
            <w:pPr>
              <w:spacing w:line="360" w:lineRule="auto"/>
              <w:jc w:val="center"/>
              <w:rPr>
                <w:color w:val="000000"/>
              </w:rPr>
            </w:pPr>
            <w:r w:rsidRPr="00641A01">
              <w:rPr>
                <w:color w:val="000000"/>
              </w:rPr>
              <w:t>Bahamas, The</w:t>
            </w:r>
          </w:p>
        </w:tc>
        <w:tc>
          <w:tcPr>
            <w:tcW w:w="1011" w:type="dxa"/>
            <w:tcBorders>
              <w:top w:val="nil"/>
              <w:left w:val="nil"/>
              <w:bottom w:val="nil"/>
              <w:right w:val="nil"/>
            </w:tcBorders>
            <w:shd w:val="clear" w:color="auto" w:fill="auto"/>
            <w:noWrap/>
            <w:hideMark/>
          </w:tcPr>
          <w:p w14:paraId="24C2AA7D" w14:textId="77777777" w:rsidR="00EE6446" w:rsidRPr="00641A01" w:rsidRDefault="00EE6446" w:rsidP="00641A01">
            <w:pPr>
              <w:spacing w:line="360" w:lineRule="auto"/>
              <w:jc w:val="center"/>
              <w:rPr>
                <w:color w:val="000000"/>
              </w:rPr>
            </w:pPr>
            <w:r w:rsidRPr="00641A01">
              <w:rPr>
                <w:color w:val="000000"/>
              </w:rPr>
              <w:t>BHS</w:t>
            </w:r>
          </w:p>
        </w:tc>
        <w:tc>
          <w:tcPr>
            <w:tcW w:w="1011" w:type="dxa"/>
            <w:tcBorders>
              <w:top w:val="nil"/>
              <w:left w:val="nil"/>
              <w:bottom w:val="nil"/>
              <w:right w:val="nil"/>
            </w:tcBorders>
            <w:shd w:val="clear" w:color="auto" w:fill="auto"/>
            <w:noWrap/>
            <w:hideMark/>
          </w:tcPr>
          <w:p w14:paraId="5B134D8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9154B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86C885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6B7357D"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6D8BEC20" w14:textId="77777777" w:rsidR="00EE6446" w:rsidRPr="00641A01" w:rsidRDefault="00EE6446" w:rsidP="00641A01">
            <w:pPr>
              <w:tabs>
                <w:tab w:val="decimal" w:pos="943"/>
              </w:tabs>
              <w:spacing w:line="360" w:lineRule="auto"/>
              <w:rPr>
                <w:color w:val="000000"/>
              </w:rPr>
            </w:pPr>
            <w:r w:rsidRPr="00641A01">
              <w:rPr>
                <w:color w:val="000000"/>
              </w:rPr>
              <w:t>2.67</w:t>
            </w:r>
          </w:p>
        </w:tc>
        <w:tc>
          <w:tcPr>
            <w:tcW w:w="2233" w:type="dxa"/>
            <w:tcBorders>
              <w:top w:val="nil"/>
              <w:left w:val="nil"/>
              <w:bottom w:val="nil"/>
              <w:right w:val="nil"/>
            </w:tcBorders>
            <w:shd w:val="clear" w:color="auto" w:fill="auto"/>
            <w:noWrap/>
            <w:hideMark/>
          </w:tcPr>
          <w:p w14:paraId="2BEE813C" w14:textId="77777777" w:rsidR="00EE6446" w:rsidRPr="00641A01" w:rsidRDefault="00EE6446" w:rsidP="00641A01">
            <w:pPr>
              <w:tabs>
                <w:tab w:val="decimal" w:pos="943"/>
              </w:tabs>
              <w:spacing w:line="360" w:lineRule="auto"/>
              <w:rPr>
                <w:color w:val="000000"/>
              </w:rPr>
            </w:pPr>
            <w:r w:rsidRPr="00641A01">
              <w:rPr>
                <w:color w:val="000000"/>
              </w:rPr>
              <w:t>25.22</w:t>
            </w:r>
          </w:p>
        </w:tc>
      </w:tr>
      <w:tr w:rsidR="005B434B" w:rsidRPr="00641A01" w14:paraId="10FB75FF" w14:textId="77777777" w:rsidTr="00A637D6">
        <w:tc>
          <w:tcPr>
            <w:tcW w:w="3258" w:type="dxa"/>
            <w:tcBorders>
              <w:top w:val="nil"/>
              <w:left w:val="nil"/>
              <w:bottom w:val="nil"/>
              <w:right w:val="nil"/>
            </w:tcBorders>
            <w:shd w:val="clear" w:color="auto" w:fill="auto"/>
            <w:noWrap/>
            <w:hideMark/>
          </w:tcPr>
          <w:p w14:paraId="015F2FD3" w14:textId="77777777" w:rsidR="00EE6446" w:rsidRPr="00641A01" w:rsidRDefault="00EE6446" w:rsidP="00641A01">
            <w:pPr>
              <w:spacing w:line="360" w:lineRule="auto"/>
              <w:jc w:val="center"/>
              <w:rPr>
                <w:color w:val="000000"/>
              </w:rPr>
            </w:pPr>
            <w:r w:rsidRPr="00641A01">
              <w:rPr>
                <w:color w:val="000000"/>
              </w:rPr>
              <w:t>Bosnia and Herzegovina</w:t>
            </w:r>
          </w:p>
        </w:tc>
        <w:tc>
          <w:tcPr>
            <w:tcW w:w="1011" w:type="dxa"/>
            <w:tcBorders>
              <w:top w:val="nil"/>
              <w:left w:val="nil"/>
              <w:bottom w:val="nil"/>
              <w:right w:val="nil"/>
            </w:tcBorders>
            <w:shd w:val="clear" w:color="auto" w:fill="auto"/>
            <w:noWrap/>
            <w:hideMark/>
          </w:tcPr>
          <w:p w14:paraId="3BBA5AF0" w14:textId="77777777" w:rsidR="00EE6446" w:rsidRPr="00641A01" w:rsidRDefault="00EE6446" w:rsidP="00641A01">
            <w:pPr>
              <w:spacing w:line="360" w:lineRule="auto"/>
              <w:jc w:val="center"/>
              <w:rPr>
                <w:color w:val="000000"/>
              </w:rPr>
            </w:pPr>
            <w:r w:rsidRPr="00641A01">
              <w:rPr>
                <w:color w:val="000000"/>
              </w:rPr>
              <w:t>BIH</w:t>
            </w:r>
          </w:p>
        </w:tc>
        <w:tc>
          <w:tcPr>
            <w:tcW w:w="1011" w:type="dxa"/>
            <w:tcBorders>
              <w:top w:val="nil"/>
              <w:left w:val="nil"/>
              <w:bottom w:val="nil"/>
              <w:right w:val="nil"/>
            </w:tcBorders>
            <w:shd w:val="clear" w:color="auto" w:fill="auto"/>
            <w:noWrap/>
            <w:hideMark/>
          </w:tcPr>
          <w:p w14:paraId="773F863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B0E1B1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7332E0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179C479"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07730816" w14:textId="77777777" w:rsidR="00EE6446" w:rsidRPr="00641A01" w:rsidRDefault="00EE6446" w:rsidP="00641A01">
            <w:pPr>
              <w:tabs>
                <w:tab w:val="decimal" w:pos="943"/>
              </w:tabs>
              <w:spacing w:line="360" w:lineRule="auto"/>
              <w:rPr>
                <w:color w:val="000000"/>
              </w:rPr>
            </w:pPr>
            <w:r w:rsidRPr="00641A01">
              <w:rPr>
                <w:color w:val="000000"/>
              </w:rPr>
              <w:t>0.46</w:t>
            </w:r>
          </w:p>
        </w:tc>
        <w:tc>
          <w:tcPr>
            <w:tcW w:w="2233" w:type="dxa"/>
            <w:tcBorders>
              <w:top w:val="nil"/>
              <w:left w:val="nil"/>
              <w:bottom w:val="nil"/>
              <w:right w:val="nil"/>
            </w:tcBorders>
            <w:shd w:val="clear" w:color="auto" w:fill="auto"/>
            <w:noWrap/>
            <w:hideMark/>
          </w:tcPr>
          <w:p w14:paraId="6309FB52" w14:textId="77777777" w:rsidR="00EE6446" w:rsidRPr="00641A01" w:rsidRDefault="00EE6446" w:rsidP="00641A01">
            <w:pPr>
              <w:tabs>
                <w:tab w:val="decimal" w:pos="943"/>
              </w:tabs>
              <w:spacing w:line="360" w:lineRule="auto"/>
              <w:rPr>
                <w:color w:val="000000"/>
              </w:rPr>
            </w:pPr>
            <w:r w:rsidRPr="00641A01">
              <w:rPr>
                <w:color w:val="000000"/>
              </w:rPr>
              <w:t>1.27</w:t>
            </w:r>
          </w:p>
        </w:tc>
      </w:tr>
      <w:tr w:rsidR="005B434B" w:rsidRPr="00641A01" w14:paraId="2DD145AF" w14:textId="77777777" w:rsidTr="00A637D6">
        <w:tc>
          <w:tcPr>
            <w:tcW w:w="3258" w:type="dxa"/>
            <w:tcBorders>
              <w:top w:val="nil"/>
              <w:left w:val="nil"/>
              <w:bottom w:val="nil"/>
              <w:right w:val="nil"/>
            </w:tcBorders>
            <w:shd w:val="clear" w:color="auto" w:fill="auto"/>
            <w:noWrap/>
            <w:hideMark/>
          </w:tcPr>
          <w:p w14:paraId="19EA7F1F" w14:textId="77777777" w:rsidR="00EE6446" w:rsidRPr="00641A01" w:rsidRDefault="00EE6446" w:rsidP="00641A01">
            <w:pPr>
              <w:spacing w:line="360" w:lineRule="auto"/>
              <w:jc w:val="center"/>
              <w:rPr>
                <w:color w:val="000000"/>
              </w:rPr>
            </w:pPr>
            <w:r w:rsidRPr="00641A01">
              <w:rPr>
                <w:color w:val="000000"/>
              </w:rPr>
              <w:t>Belarus</w:t>
            </w:r>
          </w:p>
        </w:tc>
        <w:tc>
          <w:tcPr>
            <w:tcW w:w="1011" w:type="dxa"/>
            <w:tcBorders>
              <w:top w:val="nil"/>
              <w:left w:val="nil"/>
              <w:bottom w:val="nil"/>
              <w:right w:val="nil"/>
            </w:tcBorders>
            <w:shd w:val="clear" w:color="auto" w:fill="auto"/>
            <w:noWrap/>
            <w:hideMark/>
          </w:tcPr>
          <w:p w14:paraId="541B86AD" w14:textId="77777777" w:rsidR="00EE6446" w:rsidRPr="00641A01" w:rsidRDefault="00EE6446" w:rsidP="00641A01">
            <w:pPr>
              <w:spacing w:line="360" w:lineRule="auto"/>
              <w:jc w:val="center"/>
              <w:rPr>
                <w:color w:val="000000"/>
              </w:rPr>
            </w:pPr>
            <w:r w:rsidRPr="00641A01">
              <w:rPr>
                <w:color w:val="000000"/>
              </w:rPr>
              <w:t>BLR</w:t>
            </w:r>
          </w:p>
        </w:tc>
        <w:tc>
          <w:tcPr>
            <w:tcW w:w="1011" w:type="dxa"/>
            <w:tcBorders>
              <w:top w:val="nil"/>
              <w:left w:val="nil"/>
              <w:bottom w:val="nil"/>
              <w:right w:val="nil"/>
            </w:tcBorders>
            <w:shd w:val="clear" w:color="auto" w:fill="auto"/>
            <w:noWrap/>
            <w:hideMark/>
          </w:tcPr>
          <w:p w14:paraId="3F0A807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0EEA14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DAF0BE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F6832E0"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4B747751" w14:textId="77777777" w:rsidR="00EE6446" w:rsidRPr="00641A01" w:rsidRDefault="00EE6446" w:rsidP="00641A01">
            <w:pPr>
              <w:tabs>
                <w:tab w:val="decimal" w:pos="943"/>
              </w:tabs>
              <w:spacing w:line="360" w:lineRule="auto"/>
              <w:rPr>
                <w:color w:val="000000"/>
              </w:rPr>
            </w:pPr>
            <w:r w:rsidRPr="00641A01">
              <w:rPr>
                <w:color w:val="000000"/>
              </w:rPr>
              <w:t>4.30</w:t>
            </w:r>
          </w:p>
        </w:tc>
        <w:tc>
          <w:tcPr>
            <w:tcW w:w="2233" w:type="dxa"/>
            <w:tcBorders>
              <w:top w:val="nil"/>
              <w:left w:val="nil"/>
              <w:bottom w:val="nil"/>
              <w:right w:val="nil"/>
            </w:tcBorders>
            <w:shd w:val="clear" w:color="auto" w:fill="auto"/>
            <w:noWrap/>
            <w:hideMark/>
          </w:tcPr>
          <w:p w14:paraId="4E124441" w14:textId="77777777" w:rsidR="00EE6446" w:rsidRPr="00641A01" w:rsidRDefault="00EE6446" w:rsidP="00641A01">
            <w:pPr>
              <w:tabs>
                <w:tab w:val="decimal" w:pos="943"/>
              </w:tabs>
              <w:spacing w:line="360" w:lineRule="auto"/>
              <w:rPr>
                <w:color w:val="000000"/>
              </w:rPr>
            </w:pPr>
            <w:r w:rsidRPr="00641A01">
              <w:rPr>
                <w:color w:val="000000"/>
              </w:rPr>
              <w:t>57.70</w:t>
            </w:r>
          </w:p>
        </w:tc>
      </w:tr>
      <w:tr w:rsidR="005B434B" w:rsidRPr="00641A01" w14:paraId="31FC8BDC" w14:textId="77777777" w:rsidTr="00A637D6">
        <w:tc>
          <w:tcPr>
            <w:tcW w:w="3258" w:type="dxa"/>
            <w:tcBorders>
              <w:top w:val="nil"/>
              <w:left w:val="nil"/>
              <w:bottom w:val="nil"/>
              <w:right w:val="nil"/>
            </w:tcBorders>
            <w:shd w:val="clear" w:color="auto" w:fill="auto"/>
            <w:noWrap/>
            <w:hideMark/>
          </w:tcPr>
          <w:p w14:paraId="506B1CC5" w14:textId="77777777" w:rsidR="00EE6446" w:rsidRPr="00641A01" w:rsidRDefault="00EE6446" w:rsidP="00641A01">
            <w:pPr>
              <w:spacing w:line="360" w:lineRule="auto"/>
              <w:jc w:val="center"/>
              <w:rPr>
                <w:color w:val="000000"/>
              </w:rPr>
            </w:pPr>
            <w:r w:rsidRPr="00641A01">
              <w:rPr>
                <w:color w:val="000000"/>
              </w:rPr>
              <w:t>Belize</w:t>
            </w:r>
          </w:p>
        </w:tc>
        <w:tc>
          <w:tcPr>
            <w:tcW w:w="1011" w:type="dxa"/>
            <w:tcBorders>
              <w:top w:val="nil"/>
              <w:left w:val="nil"/>
              <w:bottom w:val="nil"/>
              <w:right w:val="nil"/>
            </w:tcBorders>
            <w:shd w:val="clear" w:color="auto" w:fill="auto"/>
            <w:noWrap/>
            <w:hideMark/>
          </w:tcPr>
          <w:p w14:paraId="383B955F" w14:textId="77777777" w:rsidR="00EE6446" w:rsidRPr="00641A01" w:rsidRDefault="00EE6446" w:rsidP="00641A01">
            <w:pPr>
              <w:spacing w:line="360" w:lineRule="auto"/>
              <w:jc w:val="center"/>
              <w:rPr>
                <w:color w:val="000000"/>
              </w:rPr>
            </w:pPr>
            <w:r w:rsidRPr="00641A01">
              <w:rPr>
                <w:color w:val="000000"/>
              </w:rPr>
              <w:t>BLZ</w:t>
            </w:r>
          </w:p>
        </w:tc>
        <w:tc>
          <w:tcPr>
            <w:tcW w:w="1011" w:type="dxa"/>
            <w:tcBorders>
              <w:top w:val="nil"/>
              <w:left w:val="nil"/>
              <w:bottom w:val="nil"/>
              <w:right w:val="nil"/>
            </w:tcBorders>
            <w:shd w:val="clear" w:color="auto" w:fill="auto"/>
            <w:noWrap/>
            <w:hideMark/>
          </w:tcPr>
          <w:p w14:paraId="60DE354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7ADCCF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19DDF9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097DAAE"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6CAD26D7" w14:textId="77777777" w:rsidR="00EE6446" w:rsidRPr="00641A01" w:rsidRDefault="00EE6446" w:rsidP="00641A01">
            <w:pPr>
              <w:tabs>
                <w:tab w:val="decimal" w:pos="943"/>
              </w:tabs>
              <w:spacing w:line="360" w:lineRule="auto"/>
              <w:rPr>
                <w:color w:val="000000"/>
              </w:rPr>
            </w:pPr>
            <w:r w:rsidRPr="00641A01">
              <w:rPr>
                <w:color w:val="000000"/>
              </w:rPr>
              <w:t>1.19</w:t>
            </w:r>
          </w:p>
        </w:tc>
        <w:tc>
          <w:tcPr>
            <w:tcW w:w="2233" w:type="dxa"/>
            <w:tcBorders>
              <w:top w:val="nil"/>
              <w:left w:val="nil"/>
              <w:bottom w:val="nil"/>
              <w:right w:val="nil"/>
            </w:tcBorders>
            <w:shd w:val="clear" w:color="auto" w:fill="auto"/>
            <w:noWrap/>
            <w:hideMark/>
          </w:tcPr>
          <w:p w14:paraId="49B7F9F2" w14:textId="77777777" w:rsidR="00EE6446" w:rsidRPr="00641A01" w:rsidRDefault="00EE6446" w:rsidP="00641A01">
            <w:pPr>
              <w:tabs>
                <w:tab w:val="decimal" w:pos="943"/>
              </w:tabs>
              <w:spacing w:line="360" w:lineRule="auto"/>
              <w:rPr>
                <w:color w:val="000000"/>
              </w:rPr>
            </w:pPr>
            <w:r w:rsidRPr="00641A01">
              <w:rPr>
                <w:color w:val="000000"/>
              </w:rPr>
              <w:t>10.81</w:t>
            </w:r>
          </w:p>
        </w:tc>
      </w:tr>
      <w:tr w:rsidR="005B434B" w:rsidRPr="00641A01" w14:paraId="0C8F40C0" w14:textId="77777777" w:rsidTr="00A637D6">
        <w:tc>
          <w:tcPr>
            <w:tcW w:w="3258" w:type="dxa"/>
            <w:tcBorders>
              <w:top w:val="nil"/>
              <w:left w:val="nil"/>
              <w:bottom w:val="nil"/>
              <w:right w:val="nil"/>
            </w:tcBorders>
            <w:shd w:val="clear" w:color="auto" w:fill="auto"/>
            <w:noWrap/>
            <w:hideMark/>
          </w:tcPr>
          <w:p w14:paraId="408E53AF" w14:textId="77777777" w:rsidR="00EE6446" w:rsidRPr="00641A01" w:rsidRDefault="00EE6446" w:rsidP="00641A01">
            <w:pPr>
              <w:spacing w:line="360" w:lineRule="auto"/>
              <w:jc w:val="center"/>
              <w:rPr>
                <w:color w:val="000000"/>
              </w:rPr>
            </w:pPr>
            <w:r w:rsidRPr="00641A01">
              <w:rPr>
                <w:color w:val="000000"/>
              </w:rPr>
              <w:t>Bolivia</w:t>
            </w:r>
          </w:p>
        </w:tc>
        <w:tc>
          <w:tcPr>
            <w:tcW w:w="1011" w:type="dxa"/>
            <w:tcBorders>
              <w:top w:val="nil"/>
              <w:left w:val="nil"/>
              <w:bottom w:val="nil"/>
              <w:right w:val="nil"/>
            </w:tcBorders>
            <w:shd w:val="clear" w:color="auto" w:fill="auto"/>
            <w:noWrap/>
            <w:hideMark/>
          </w:tcPr>
          <w:p w14:paraId="2F2D3578" w14:textId="77777777" w:rsidR="00EE6446" w:rsidRPr="00641A01" w:rsidRDefault="00EE6446" w:rsidP="00641A01">
            <w:pPr>
              <w:spacing w:line="360" w:lineRule="auto"/>
              <w:jc w:val="center"/>
              <w:rPr>
                <w:color w:val="000000"/>
              </w:rPr>
            </w:pPr>
            <w:r w:rsidRPr="00641A01">
              <w:rPr>
                <w:color w:val="000000"/>
              </w:rPr>
              <w:t>BOL</w:t>
            </w:r>
          </w:p>
        </w:tc>
        <w:tc>
          <w:tcPr>
            <w:tcW w:w="1011" w:type="dxa"/>
            <w:tcBorders>
              <w:top w:val="nil"/>
              <w:left w:val="nil"/>
              <w:bottom w:val="nil"/>
              <w:right w:val="nil"/>
            </w:tcBorders>
            <w:shd w:val="clear" w:color="auto" w:fill="auto"/>
            <w:noWrap/>
            <w:hideMark/>
          </w:tcPr>
          <w:p w14:paraId="74690EB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D665F5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B63825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38CFED5" w14:textId="77777777" w:rsidR="00EE6446" w:rsidRPr="00641A01" w:rsidRDefault="00EE6446" w:rsidP="00641A01">
            <w:pPr>
              <w:spacing w:line="360" w:lineRule="auto"/>
              <w:jc w:val="center"/>
              <w:rPr>
                <w:color w:val="000000"/>
              </w:rPr>
            </w:pPr>
            <w:r w:rsidRPr="00641A01">
              <w:rPr>
                <w:color w:val="000000"/>
              </w:rPr>
              <w:t>16</w:t>
            </w:r>
          </w:p>
        </w:tc>
        <w:tc>
          <w:tcPr>
            <w:tcW w:w="2233" w:type="dxa"/>
            <w:tcBorders>
              <w:top w:val="nil"/>
              <w:left w:val="nil"/>
              <w:bottom w:val="nil"/>
              <w:right w:val="nil"/>
            </w:tcBorders>
            <w:shd w:val="clear" w:color="auto" w:fill="auto"/>
            <w:noWrap/>
            <w:hideMark/>
          </w:tcPr>
          <w:p w14:paraId="2318EB13" w14:textId="77777777" w:rsidR="00EE6446" w:rsidRPr="00641A01" w:rsidRDefault="00EE6446" w:rsidP="00641A01">
            <w:pPr>
              <w:tabs>
                <w:tab w:val="decimal" w:pos="943"/>
              </w:tabs>
              <w:spacing w:line="360" w:lineRule="auto"/>
              <w:rPr>
                <w:color w:val="000000"/>
              </w:rPr>
            </w:pPr>
            <w:r w:rsidRPr="00641A01">
              <w:rPr>
                <w:color w:val="000000"/>
              </w:rPr>
              <w:t>5.00</w:t>
            </w:r>
          </w:p>
        </w:tc>
        <w:tc>
          <w:tcPr>
            <w:tcW w:w="2233" w:type="dxa"/>
            <w:tcBorders>
              <w:top w:val="nil"/>
              <w:left w:val="nil"/>
              <w:bottom w:val="nil"/>
              <w:right w:val="nil"/>
            </w:tcBorders>
            <w:shd w:val="clear" w:color="auto" w:fill="auto"/>
            <w:noWrap/>
            <w:hideMark/>
          </w:tcPr>
          <w:p w14:paraId="0DFF0C80" w14:textId="77777777" w:rsidR="00EE6446" w:rsidRPr="00641A01" w:rsidRDefault="00EE6446" w:rsidP="00641A01">
            <w:pPr>
              <w:tabs>
                <w:tab w:val="decimal" w:pos="943"/>
              </w:tabs>
              <w:spacing w:line="360" w:lineRule="auto"/>
              <w:rPr>
                <w:color w:val="000000"/>
              </w:rPr>
            </w:pPr>
            <w:r w:rsidRPr="00641A01">
              <w:rPr>
                <w:color w:val="000000"/>
              </w:rPr>
              <w:t>53.87</w:t>
            </w:r>
          </w:p>
        </w:tc>
      </w:tr>
      <w:tr w:rsidR="005B434B" w:rsidRPr="00641A01" w14:paraId="43EA5BED" w14:textId="77777777" w:rsidTr="00A637D6">
        <w:tc>
          <w:tcPr>
            <w:tcW w:w="3258" w:type="dxa"/>
            <w:tcBorders>
              <w:top w:val="nil"/>
              <w:left w:val="nil"/>
              <w:bottom w:val="nil"/>
              <w:right w:val="nil"/>
            </w:tcBorders>
            <w:shd w:val="clear" w:color="auto" w:fill="auto"/>
            <w:noWrap/>
            <w:hideMark/>
          </w:tcPr>
          <w:p w14:paraId="6EB3CCB4" w14:textId="77777777" w:rsidR="00EE6446" w:rsidRPr="00641A01" w:rsidRDefault="00EE6446" w:rsidP="00641A01">
            <w:pPr>
              <w:spacing w:line="360" w:lineRule="auto"/>
              <w:jc w:val="center"/>
              <w:rPr>
                <w:color w:val="000000"/>
              </w:rPr>
            </w:pPr>
            <w:r w:rsidRPr="00641A01">
              <w:rPr>
                <w:color w:val="000000"/>
              </w:rPr>
              <w:t>Brazil</w:t>
            </w:r>
          </w:p>
        </w:tc>
        <w:tc>
          <w:tcPr>
            <w:tcW w:w="1011" w:type="dxa"/>
            <w:tcBorders>
              <w:top w:val="nil"/>
              <w:left w:val="nil"/>
              <w:bottom w:val="nil"/>
              <w:right w:val="nil"/>
            </w:tcBorders>
            <w:shd w:val="clear" w:color="auto" w:fill="auto"/>
            <w:noWrap/>
            <w:hideMark/>
          </w:tcPr>
          <w:p w14:paraId="02C1161F" w14:textId="77777777" w:rsidR="00EE6446" w:rsidRPr="00641A01" w:rsidRDefault="00EE6446" w:rsidP="00641A01">
            <w:pPr>
              <w:spacing w:line="360" w:lineRule="auto"/>
              <w:jc w:val="center"/>
              <w:rPr>
                <w:color w:val="000000"/>
              </w:rPr>
            </w:pPr>
            <w:r w:rsidRPr="00641A01">
              <w:rPr>
                <w:color w:val="000000"/>
              </w:rPr>
              <w:t>BRA</w:t>
            </w:r>
          </w:p>
        </w:tc>
        <w:tc>
          <w:tcPr>
            <w:tcW w:w="1011" w:type="dxa"/>
            <w:tcBorders>
              <w:top w:val="nil"/>
              <w:left w:val="nil"/>
              <w:bottom w:val="nil"/>
              <w:right w:val="nil"/>
            </w:tcBorders>
            <w:shd w:val="clear" w:color="auto" w:fill="auto"/>
            <w:noWrap/>
            <w:hideMark/>
          </w:tcPr>
          <w:p w14:paraId="447A592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4BA5E3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CBC83C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7181415" w14:textId="77777777" w:rsidR="00EE6446" w:rsidRPr="00641A01" w:rsidRDefault="00EE6446" w:rsidP="00641A01">
            <w:pPr>
              <w:spacing w:line="360" w:lineRule="auto"/>
              <w:jc w:val="center"/>
              <w:rPr>
                <w:color w:val="000000"/>
              </w:rPr>
            </w:pPr>
            <w:r w:rsidRPr="00641A01">
              <w:rPr>
                <w:color w:val="000000"/>
              </w:rPr>
              <w:t>28</w:t>
            </w:r>
          </w:p>
        </w:tc>
        <w:tc>
          <w:tcPr>
            <w:tcW w:w="2233" w:type="dxa"/>
            <w:tcBorders>
              <w:top w:val="nil"/>
              <w:left w:val="nil"/>
              <w:bottom w:val="nil"/>
              <w:right w:val="nil"/>
            </w:tcBorders>
            <w:shd w:val="clear" w:color="auto" w:fill="auto"/>
            <w:noWrap/>
            <w:hideMark/>
          </w:tcPr>
          <w:p w14:paraId="41C7123E" w14:textId="77777777" w:rsidR="00EE6446" w:rsidRPr="00641A01" w:rsidRDefault="00EE6446" w:rsidP="00641A01">
            <w:pPr>
              <w:tabs>
                <w:tab w:val="decimal" w:pos="943"/>
              </w:tabs>
              <w:spacing w:line="360" w:lineRule="auto"/>
              <w:rPr>
                <w:color w:val="000000"/>
              </w:rPr>
            </w:pPr>
            <w:r w:rsidRPr="00641A01">
              <w:rPr>
                <w:color w:val="000000"/>
              </w:rPr>
              <w:t>12.86</w:t>
            </w:r>
          </w:p>
        </w:tc>
        <w:tc>
          <w:tcPr>
            <w:tcW w:w="2233" w:type="dxa"/>
            <w:tcBorders>
              <w:top w:val="nil"/>
              <w:left w:val="nil"/>
              <w:bottom w:val="nil"/>
              <w:right w:val="nil"/>
            </w:tcBorders>
            <w:shd w:val="clear" w:color="auto" w:fill="auto"/>
            <w:noWrap/>
            <w:hideMark/>
          </w:tcPr>
          <w:p w14:paraId="0D13993C" w14:textId="77777777" w:rsidR="00EE6446" w:rsidRPr="00641A01" w:rsidRDefault="00EE6446" w:rsidP="00641A01">
            <w:pPr>
              <w:tabs>
                <w:tab w:val="decimal" w:pos="943"/>
              </w:tabs>
              <w:spacing w:line="360" w:lineRule="auto"/>
              <w:rPr>
                <w:color w:val="000000"/>
              </w:rPr>
            </w:pPr>
            <w:r w:rsidRPr="00641A01">
              <w:rPr>
                <w:color w:val="000000"/>
              </w:rPr>
              <w:t>117.33</w:t>
            </w:r>
          </w:p>
        </w:tc>
      </w:tr>
      <w:tr w:rsidR="005B434B" w:rsidRPr="00641A01" w14:paraId="3BE00A40" w14:textId="77777777" w:rsidTr="00A637D6">
        <w:tc>
          <w:tcPr>
            <w:tcW w:w="3258" w:type="dxa"/>
            <w:tcBorders>
              <w:top w:val="nil"/>
              <w:left w:val="nil"/>
              <w:bottom w:val="nil"/>
              <w:right w:val="nil"/>
            </w:tcBorders>
            <w:shd w:val="clear" w:color="auto" w:fill="auto"/>
            <w:noWrap/>
            <w:hideMark/>
          </w:tcPr>
          <w:p w14:paraId="10D577BB" w14:textId="77777777" w:rsidR="00EE6446" w:rsidRPr="00641A01" w:rsidRDefault="00EE6446" w:rsidP="00641A01">
            <w:pPr>
              <w:spacing w:line="360" w:lineRule="auto"/>
              <w:jc w:val="center"/>
              <w:rPr>
                <w:color w:val="000000"/>
              </w:rPr>
            </w:pPr>
            <w:r w:rsidRPr="00641A01">
              <w:rPr>
                <w:color w:val="000000"/>
              </w:rPr>
              <w:t>Barbados</w:t>
            </w:r>
          </w:p>
        </w:tc>
        <w:tc>
          <w:tcPr>
            <w:tcW w:w="1011" w:type="dxa"/>
            <w:tcBorders>
              <w:top w:val="nil"/>
              <w:left w:val="nil"/>
              <w:bottom w:val="nil"/>
              <w:right w:val="nil"/>
            </w:tcBorders>
            <w:shd w:val="clear" w:color="auto" w:fill="auto"/>
            <w:noWrap/>
            <w:hideMark/>
          </w:tcPr>
          <w:p w14:paraId="685EF23C" w14:textId="77777777" w:rsidR="00EE6446" w:rsidRPr="00641A01" w:rsidRDefault="00EE6446" w:rsidP="00641A01">
            <w:pPr>
              <w:spacing w:line="360" w:lineRule="auto"/>
              <w:jc w:val="center"/>
              <w:rPr>
                <w:color w:val="000000"/>
              </w:rPr>
            </w:pPr>
            <w:r w:rsidRPr="00641A01">
              <w:rPr>
                <w:color w:val="000000"/>
              </w:rPr>
              <w:t>BRB</w:t>
            </w:r>
          </w:p>
        </w:tc>
        <w:tc>
          <w:tcPr>
            <w:tcW w:w="1011" w:type="dxa"/>
            <w:tcBorders>
              <w:top w:val="nil"/>
              <w:left w:val="nil"/>
              <w:bottom w:val="nil"/>
              <w:right w:val="nil"/>
            </w:tcBorders>
            <w:shd w:val="clear" w:color="auto" w:fill="auto"/>
            <w:noWrap/>
            <w:hideMark/>
          </w:tcPr>
          <w:p w14:paraId="1D7FD59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C30F97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DDFF3C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397B1B8"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4D89C1ED" w14:textId="77777777" w:rsidR="00EE6446" w:rsidRPr="00641A01" w:rsidRDefault="00EE6446" w:rsidP="00641A01">
            <w:pPr>
              <w:tabs>
                <w:tab w:val="decimal" w:pos="943"/>
              </w:tabs>
              <w:spacing w:line="360" w:lineRule="auto"/>
              <w:rPr>
                <w:color w:val="000000"/>
              </w:rPr>
            </w:pPr>
            <w:r w:rsidRPr="00641A01">
              <w:rPr>
                <w:color w:val="000000"/>
              </w:rPr>
              <w:t>2.91</w:t>
            </w:r>
          </w:p>
        </w:tc>
        <w:tc>
          <w:tcPr>
            <w:tcW w:w="2233" w:type="dxa"/>
            <w:tcBorders>
              <w:top w:val="nil"/>
              <w:left w:val="nil"/>
              <w:bottom w:val="nil"/>
              <w:right w:val="nil"/>
            </w:tcBorders>
            <w:shd w:val="clear" w:color="auto" w:fill="auto"/>
            <w:noWrap/>
            <w:hideMark/>
          </w:tcPr>
          <w:p w14:paraId="38E17205" w14:textId="77777777" w:rsidR="00EE6446" w:rsidRPr="00641A01" w:rsidRDefault="00EE6446" w:rsidP="00641A01">
            <w:pPr>
              <w:tabs>
                <w:tab w:val="decimal" w:pos="943"/>
              </w:tabs>
              <w:spacing w:line="360" w:lineRule="auto"/>
              <w:rPr>
                <w:color w:val="000000"/>
              </w:rPr>
            </w:pPr>
            <w:r w:rsidRPr="00641A01">
              <w:rPr>
                <w:color w:val="000000"/>
              </w:rPr>
              <w:t>30.56</w:t>
            </w:r>
          </w:p>
        </w:tc>
      </w:tr>
      <w:tr w:rsidR="005B434B" w:rsidRPr="00641A01" w14:paraId="150AC807" w14:textId="77777777" w:rsidTr="00A637D6">
        <w:tc>
          <w:tcPr>
            <w:tcW w:w="3258" w:type="dxa"/>
            <w:tcBorders>
              <w:top w:val="nil"/>
              <w:left w:val="nil"/>
              <w:bottom w:val="nil"/>
              <w:right w:val="nil"/>
            </w:tcBorders>
            <w:shd w:val="clear" w:color="auto" w:fill="auto"/>
            <w:noWrap/>
            <w:hideMark/>
          </w:tcPr>
          <w:p w14:paraId="1CF60A53" w14:textId="77777777" w:rsidR="00EE6446" w:rsidRPr="00641A01" w:rsidRDefault="00EE6446" w:rsidP="00641A01">
            <w:pPr>
              <w:spacing w:line="360" w:lineRule="auto"/>
              <w:jc w:val="center"/>
              <w:rPr>
                <w:color w:val="000000"/>
              </w:rPr>
            </w:pPr>
            <w:r w:rsidRPr="00641A01">
              <w:rPr>
                <w:color w:val="000000"/>
              </w:rPr>
              <w:t>Brunei Darussalam</w:t>
            </w:r>
          </w:p>
        </w:tc>
        <w:tc>
          <w:tcPr>
            <w:tcW w:w="1011" w:type="dxa"/>
            <w:tcBorders>
              <w:top w:val="nil"/>
              <w:left w:val="nil"/>
              <w:bottom w:val="nil"/>
              <w:right w:val="nil"/>
            </w:tcBorders>
            <w:shd w:val="clear" w:color="auto" w:fill="auto"/>
            <w:noWrap/>
            <w:hideMark/>
          </w:tcPr>
          <w:p w14:paraId="25F6DA29" w14:textId="77777777" w:rsidR="00EE6446" w:rsidRPr="00641A01" w:rsidRDefault="00EE6446" w:rsidP="00641A01">
            <w:pPr>
              <w:spacing w:line="360" w:lineRule="auto"/>
              <w:jc w:val="center"/>
              <w:rPr>
                <w:color w:val="000000"/>
              </w:rPr>
            </w:pPr>
            <w:r w:rsidRPr="00641A01">
              <w:rPr>
                <w:color w:val="000000"/>
              </w:rPr>
              <w:t>BRN</w:t>
            </w:r>
          </w:p>
        </w:tc>
        <w:tc>
          <w:tcPr>
            <w:tcW w:w="1011" w:type="dxa"/>
            <w:tcBorders>
              <w:top w:val="nil"/>
              <w:left w:val="nil"/>
              <w:bottom w:val="nil"/>
              <w:right w:val="nil"/>
            </w:tcBorders>
            <w:shd w:val="clear" w:color="auto" w:fill="auto"/>
            <w:noWrap/>
            <w:hideMark/>
          </w:tcPr>
          <w:p w14:paraId="0A1C1FB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3F9EB5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5C5B74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D15F165"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6DDA8329" w14:textId="77777777" w:rsidR="00EE6446" w:rsidRPr="00641A01" w:rsidRDefault="00EE6446" w:rsidP="00641A01">
            <w:pPr>
              <w:tabs>
                <w:tab w:val="decimal" w:pos="943"/>
              </w:tabs>
              <w:spacing w:line="360" w:lineRule="auto"/>
              <w:rPr>
                <w:color w:val="000000"/>
              </w:rPr>
            </w:pPr>
            <w:r w:rsidRPr="00641A01">
              <w:rPr>
                <w:color w:val="000000"/>
              </w:rPr>
              <w:t>2.45</w:t>
            </w:r>
          </w:p>
        </w:tc>
        <w:tc>
          <w:tcPr>
            <w:tcW w:w="2233" w:type="dxa"/>
            <w:tcBorders>
              <w:top w:val="nil"/>
              <w:left w:val="nil"/>
              <w:bottom w:val="nil"/>
              <w:right w:val="nil"/>
            </w:tcBorders>
            <w:shd w:val="clear" w:color="auto" w:fill="auto"/>
            <w:noWrap/>
            <w:hideMark/>
          </w:tcPr>
          <w:p w14:paraId="72E6A311" w14:textId="77777777" w:rsidR="00EE6446" w:rsidRPr="00641A01" w:rsidRDefault="00EE6446" w:rsidP="00641A01">
            <w:pPr>
              <w:tabs>
                <w:tab w:val="decimal" w:pos="943"/>
              </w:tabs>
              <w:spacing w:line="360" w:lineRule="auto"/>
              <w:rPr>
                <w:color w:val="000000"/>
              </w:rPr>
            </w:pPr>
            <w:r w:rsidRPr="00641A01">
              <w:rPr>
                <w:color w:val="000000"/>
              </w:rPr>
              <w:t>15.90</w:t>
            </w:r>
          </w:p>
        </w:tc>
      </w:tr>
      <w:tr w:rsidR="005B434B" w:rsidRPr="00641A01" w14:paraId="3772BD41" w14:textId="77777777" w:rsidTr="00A637D6">
        <w:tc>
          <w:tcPr>
            <w:tcW w:w="3258" w:type="dxa"/>
            <w:tcBorders>
              <w:top w:val="nil"/>
              <w:left w:val="nil"/>
              <w:bottom w:val="nil"/>
              <w:right w:val="nil"/>
            </w:tcBorders>
            <w:shd w:val="clear" w:color="auto" w:fill="auto"/>
            <w:noWrap/>
            <w:hideMark/>
          </w:tcPr>
          <w:p w14:paraId="59A869F7" w14:textId="77777777" w:rsidR="00EE6446" w:rsidRPr="00641A01" w:rsidRDefault="00EE6446" w:rsidP="00641A01">
            <w:pPr>
              <w:spacing w:line="360" w:lineRule="auto"/>
              <w:jc w:val="center"/>
              <w:rPr>
                <w:color w:val="000000"/>
              </w:rPr>
            </w:pPr>
            <w:r w:rsidRPr="00641A01">
              <w:rPr>
                <w:color w:val="000000"/>
              </w:rPr>
              <w:t>Bhutan</w:t>
            </w:r>
          </w:p>
        </w:tc>
        <w:tc>
          <w:tcPr>
            <w:tcW w:w="1011" w:type="dxa"/>
            <w:tcBorders>
              <w:top w:val="nil"/>
              <w:left w:val="nil"/>
              <w:bottom w:val="nil"/>
              <w:right w:val="nil"/>
            </w:tcBorders>
            <w:shd w:val="clear" w:color="auto" w:fill="auto"/>
            <w:noWrap/>
            <w:hideMark/>
          </w:tcPr>
          <w:p w14:paraId="2CF61621" w14:textId="77777777" w:rsidR="00EE6446" w:rsidRPr="00641A01" w:rsidRDefault="00EE6446" w:rsidP="00641A01">
            <w:pPr>
              <w:spacing w:line="360" w:lineRule="auto"/>
              <w:jc w:val="center"/>
              <w:rPr>
                <w:color w:val="000000"/>
              </w:rPr>
            </w:pPr>
            <w:r w:rsidRPr="00641A01">
              <w:rPr>
                <w:color w:val="000000"/>
              </w:rPr>
              <w:t>BTN</w:t>
            </w:r>
          </w:p>
        </w:tc>
        <w:tc>
          <w:tcPr>
            <w:tcW w:w="1011" w:type="dxa"/>
            <w:tcBorders>
              <w:top w:val="nil"/>
              <w:left w:val="nil"/>
              <w:bottom w:val="nil"/>
              <w:right w:val="nil"/>
            </w:tcBorders>
            <w:shd w:val="clear" w:color="auto" w:fill="auto"/>
            <w:noWrap/>
            <w:hideMark/>
          </w:tcPr>
          <w:p w14:paraId="77BBAAF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9A50F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C211D8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D767904"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250D7867" w14:textId="77777777" w:rsidR="00EE6446" w:rsidRPr="00641A01" w:rsidRDefault="00EE6446" w:rsidP="00641A01">
            <w:pPr>
              <w:tabs>
                <w:tab w:val="decimal" w:pos="943"/>
              </w:tabs>
              <w:spacing w:line="360" w:lineRule="auto"/>
              <w:rPr>
                <w:color w:val="000000"/>
              </w:rPr>
            </w:pPr>
            <w:r w:rsidRPr="00641A01">
              <w:rPr>
                <w:color w:val="000000"/>
              </w:rPr>
              <w:t>4.46</w:t>
            </w:r>
          </w:p>
        </w:tc>
        <w:tc>
          <w:tcPr>
            <w:tcW w:w="2233" w:type="dxa"/>
            <w:tcBorders>
              <w:top w:val="nil"/>
              <w:left w:val="nil"/>
              <w:bottom w:val="nil"/>
              <w:right w:val="nil"/>
            </w:tcBorders>
            <w:shd w:val="clear" w:color="auto" w:fill="auto"/>
            <w:noWrap/>
            <w:hideMark/>
          </w:tcPr>
          <w:p w14:paraId="10D0DB1E" w14:textId="77777777" w:rsidR="00EE6446" w:rsidRPr="00641A01" w:rsidRDefault="00EE6446" w:rsidP="00641A01">
            <w:pPr>
              <w:tabs>
                <w:tab w:val="decimal" w:pos="943"/>
              </w:tabs>
              <w:spacing w:line="360" w:lineRule="auto"/>
              <w:rPr>
                <w:color w:val="000000"/>
              </w:rPr>
            </w:pPr>
            <w:r w:rsidRPr="00641A01">
              <w:rPr>
                <w:color w:val="000000"/>
              </w:rPr>
              <w:t>45.17</w:t>
            </w:r>
          </w:p>
        </w:tc>
      </w:tr>
      <w:tr w:rsidR="005B434B" w:rsidRPr="00641A01" w14:paraId="1BAE3D6A" w14:textId="77777777" w:rsidTr="00A637D6">
        <w:tc>
          <w:tcPr>
            <w:tcW w:w="3258" w:type="dxa"/>
            <w:tcBorders>
              <w:top w:val="nil"/>
              <w:left w:val="nil"/>
              <w:bottom w:val="nil"/>
              <w:right w:val="nil"/>
            </w:tcBorders>
            <w:shd w:val="clear" w:color="auto" w:fill="auto"/>
            <w:noWrap/>
            <w:hideMark/>
          </w:tcPr>
          <w:p w14:paraId="47D338A9" w14:textId="77777777" w:rsidR="00EE6446" w:rsidRPr="00641A01" w:rsidRDefault="00EE6446" w:rsidP="00641A01">
            <w:pPr>
              <w:spacing w:line="360" w:lineRule="auto"/>
              <w:jc w:val="center"/>
              <w:rPr>
                <w:color w:val="000000"/>
              </w:rPr>
            </w:pPr>
            <w:r w:rsidRPr="00641A01">
              <w:rPr>
                <w:color w:val="000000"/>
              </w:rPr>
              <w:t>Botswana</w:t>
            </w:r>
          </w:p>
        </w:tc>
        <w:tc>
          <w:tcPr>
            <w:tcW w:w="1011" w:type="dxa"/>
            <w:tcBorders>
              <w:top w:val="nil"/>
              <w:left w:val="nil"/>
              <w:bottom w:val="nil"/>
              <w:right w:val="nil"/>
            </w:tcBorders>
            <w:shd w:val="clear" w:color="auto" w:fill="auto"/>
            <w:noWrap/>
            <w:hideMark/>
          </w:tcPr>
          <w:p w14:paraId="0D318144" w14:textId="77777777" w:rsidR="00EE6446" w:rsidRPr="00641A01" w:rsidRDefault="00EE6446" w:rsidP="00641A01">
            <w:pPr>
              <w:spacing w:line="360" w:lineRule="auto"/>
              <w:jc w:val="center"/>
              <w:rPr>
                <w:color w:val="000000"/>
              </w:rPr>
            </w:pPr>
            <w:r w:rsidRPr="00641A01">
              <w:rPr>
                <w:color w:val="000000"/>
              </w:rPr>
              <w:t>BWA</w:t>
            </w:r>
          </w:p>
        </w:tc>
        <w:tc>
          <w:tcPr>
            <w:tcW w:w="1011" w:type="dxa"/>
            <w:tcBorders>
              <w:top w:val="nil"/>
              <w:left w:val="nil"/>
              <w:bottom w:val="nil"/>
              <w:right w:val="nil"/>
            </w:tcBorders>
            <w:shd w:val="clear" w:color="auto" w:fill="auto"/>
            <w:noWrap/>
            <w:hideMark/>
          </w:tcPr>
          <w:p w14:paraId="3F38C75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04388C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9E31B0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890A220"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3FA891E6" w14:textId="77777777" w:rsidR="00EE6446" w:rsidRPr="00641A01" w:rsidRDefault="00EE6446" w:rsidP="00641A01">
            <w:pPr>
              <w:tabs>
                <w:tab w:val="decimal" w:pos="943"/>
              </w:tabs>
              <w:spacing w:line="360" w:lineRule="auto"/>
              <w:rPr>
                <w:color w:val="000000"/>
              </w:rPr>
            </w:pPr>
            <w:r w:rsidRPr="00641A01">
              <w:rPr>
                <w:color w:val="000000"/>
              </w:rPr>
              <w:t>3.11</w:t>
            </w:r>
          </w:p>
        </w:tc>
        <w:tc>
          <w:tcPr>
            <w:tcW w:w="2233" w:type="dxa"/>
            <w:tcBorders>
              <w:top w:val="nil"/>
              <w:left w:val="nil"/>
              <w:bottom w:val="nil"/>
              <w:right w:val="nil"/>
            </w:tcBorders>
            <w:shd w:val="clear" w:color="auto" w:fill="auto"/>
            <w:noWrap/>
            <w:hideMark/>
          </w:tcPr>
          <w:p w14:paraId="40F1EA17" w14:textId="77777777" w:rsidR="00EE6446" w:rsidRPr="00641A01" w:rsidRDefault="00EE6446" w:rsidP="00641A01">
            <w:pPr>
              <w:tabs>
                <w:tab w:val="decimal" w:pos="943"/>
              </w:tabs>
              <w:spacing w:line="360" w:lineRule="auto"/>
              <w:rPr>
                <w:color w:val="000000"/>
              </w:rPr>
            </w:pPr>
            <w:r w:rsidRPr="00641A01">
              <w:rPr>
                <w:color w:val="000000"/>
              </w:rPr>
              <w:t>34.96</w:t>
            </w:r>
          </w:p>
        </w:tc>
      </w:tr>
      <w:tr w:rsidR="005B434B" w:rsidRPr="00641A01" w14:paraId="5728F3BF" w14:textId="77777777" w:rsidTr="00A637D6">
        <w:tc>
          <w:tcPr>
            <w:tcW w:w="3258" w:type="dxa"/>
            <w:tcBorders>
              <w:top w:val="nil"/>
              <w:left w:val="nil"/>
              <w:bottom w:val="nil"/>
              <w:right w:val="nil"/>
            </w:tcBorders>
            <w:shd w:val="clear" w:color="auto" w:fill="auto"/>
            <w:noWrap/>
            <w:hideMark/>
          </w:tcPr>
          <w:p w14:paraId="0676C2CF" w14:textId="77777777" w:rsidR="00EE6446" w:rsidRPr="00641A01" w:rsidRDefault="00EE6446" w:rsidP="00641A01">
            <w:pPr>
              <w:spacing w:line="360" w:lineRule="auto"/>
              <w:jc w:val="center"/>
              <w:rPr>
                <w:color w:val="000000"/>
              </w:rPr>
            </w:pPr>
            <w:r w:rsidRPr="00641A01">
              <w:rPr>
                <w:color w:val="000000"/>
              </w:rPr>
              <w:t>Central African Republic</w:t>
            </w:r>
          </w:p>
        </w:tc>
        <w:tc>
          <w:tcPr>
            <w:tcW w:w="1011" w:type="dxa"/>
            <w:tcBorders>
              <w:top w:val="nil"/>
              <w:left w:val="nil"/>
              <w:bottom w:val="nil"/>
              <w:right w:val="nil"/>
            </w:tcBorders>
            <w:shd w:val="clear" w:color="auto" w:fill="auto"/>
            <w:noWrap/>
            <w:hideMark/>
          </w:tcPr>
          <w:p w14:paraId="151C34A0" w14:textId="77777777" w:rsidR="00EE6446" w:rsidRPr="00641A01" w:rsidRDefault="00EE6446" w:rsidP="00641A01">
            <w:pPr>
              <w:spacing w:line="360" w:lineRule="auto"/>
              <w:jc w:val="center"/>
              <w:rPr>
                <w:color w:val="000000"/>
              </w:rPr>
            </w:pPr>
            <w:r w:rsidRPr="00641A01">
              <w:rPr>
                <w:color w:val="000000"/>
              </w:rPr>
              <w:t>CAF</w:t>
            </w:r>
          </w:p>
        </w:tc>
        <w:tc>
          <w:tcPr>
            <w:tcW w:w="1011" w:type="dxa"/>
            <w:tcBorders>
              <w:top w:val="nil"/>
              <w:left w:val="nil"/>
              <w:bottom w:val="nil"/>
              <w:right w:val="nil"/>
            </w:tcBorders>
            <w:shd w:val="clear" w:color="auto" w:fill="auto"/>
            <w:noWrap/>
            <w:hideMark/>
          </w:tcPr>
          <w:p w14:paraId="761BA52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D9BD0D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DA8865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5360867"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44ED20C6" w14:textId="77777777" w:rsidR="00EE6446" w:rsidRPr="00641A01" w:rsidRDefault="00EE6446" w:rsidP="00641A01">
            <w:pPr>
              <w:tabs>
                <w:tab w:val="decimal" w:pos="943"/>
              </w:tabs>
              <w:spacing w:line="360" w:lineRule="auto"/>
              <w:rPr>
                <w:color w:val="000000"/>
              </w:rPr>
            </w:pPr>
            <w:r w:rsidRPr="00641A01">
              <w:rPr>
                <w:color w:val="000000"/>
              </w:rPr>
              <w:t>0.43</w:t>
            </w:r>
          </w:p>
        </w:tc>
        <w:tc>
          <w:tcPr>
            <w:tcW w:w="2233" w:type="dxa"/>
            <w:tcBorders>
              <w:top w:val="nil"/>
              <w:left w:val="nil"/>
              <w:bottom w:val="nil"/>
              <w:right w:val="nil"/>
            </w:tcBorders>
            <w:shd w:val="clear" w:color="auto" w:fill="auto"/>
            <w:noWrap/>
            <w:hideMark/>
          </w:tcPr>
          <w:p w14:paraId="580F1F19" w14:textId="77777777" w:rsidR="00EE6446" w:rsidRPr="00641A01" w:rsidRDefault="00EE6446" w:rsidP="00641A01">
            <w:pPr>
              <w:tabs>
                <w:tab w:val="decimal" w:pos="943"/>
              </w:tabs>
              <w:spacing w:line="360" w:lineRule="auto"/>
              <w:rPr>
                <w:color w:val="000000"/>
              </w:rPr>
            </w:pPr>
            <w:r w:rsidRPr="00641A01">
              <w:rPr>
                <w:color w:val="000000"/>
              </w:rPr>
              <w:t>4.95</w:t>
            </w:r>
          </w:p>
        </w:tc>
      </w:tr>
      <w:tr w:rsidR="005B434B" w:rsidRPr="00641A01" w14:paraId="7AD1D616" w14:textId="77777777" w:rsidTr="00A637D6">
        <w:tc>
          <w:tcPr>
            <w:tcW w:w="3258" w:type="dxa"/>
            <w:tcBorders>
              <w:top w:val="nil"/>
              <w:left w:val="nil"/>
              <w:bottom w:val="nil"/>
              <w:right w:val="nil"/>
            </w:tcBorders>
            <w:shd w:val="clear" w:color="auto" w:fill="auto"/>
            <w:noWrap/>
            <w:hideMark/>
          </w:tcPr>
          <w:p w14:paraId="591BD548" w14:textId="77777777" w:rsidR="00EE6446" w:rsidRPr="00641A01" w:rsidRDefault="00EE6446" w:rsidP="00641A01">
            <w:pPr>
              <w:spacing w:line="360" w:lineRule="auto"/>
              <w:jc w:val="center"/>
              <w:rPr>
                <w:color w:val="000000"/>
              </w:rPr>
            </w:pPr>
            <w:r w:rsidRPr="00641A01">
              <w:rPr>
                <w:color w:val="000000"/>
              </w:rPr>
              <w:t>Canada</w:t>
            </w:r>
          </w:p>
        </w:tc>
        <w:tc>
          <w:tcPr>
            <w:tcW w:w="1011" w:type="dxa"/>
            <w:tcBorders>
              <w:top w:val="nil"/>
              <w:left w:val="nil"/>
              <w:bottom w:val="nil"/>
              <w:right w:val="nil"/>
            </w:tcBorders>
            <w:shd w:val="clear" w:color="auto" w:fill="auto"/>
            <w:noWrap/>
            <w:hideMark/>
          </w:tcPr>
          <w:p w14:paraId="1BD1FE67" w14:textId="77777777" w:rsidR="00EE6446" w:rsidRPr="00641A01" w:rsidRDefault="00EE6446" w:rsidP="00641A01">
            <w:pPr>
              <w:spacing w:line="360" w:lineRule="auto"/>
              <w:jc w:val="center"/>
              <w:rPr>
                <w:color w:val="000000"/>
              </w:rPr>
            </w:pPr>
            <w:r w:rsidRPr="00641A01">
              <w:rPr>
                <w:color w:val="000000"/>
              </w:rPr>
              <w:t>CAN</w:t>
            </w:r>
          </w:p>
        </w:tc>
        <w:tc>
          <w:tcPr>
            <w:tcW w:w="1011" w:type="dxa"/>
            <w:tcBorders>
              <w:top w:val="nil"/>
              <w:left w:val="nil"/>
              <w:bottom w:val="nil"/>
              <w:right w:val="nil"/>
            </w:tcBorders>
            <w:shd w:val="clear" w:color="auto" w:fill="auto"/>
            <w:noWrap/>
            <w:hideMark/>
          </w:tcPr>
          <w:p w14:paraId="621987B0"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87755B7"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51FFAB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6E2F36A"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1BA0D951" w14:textId="77777777" w:rsidR="00EE6446" w:rsidRPr="00641A01" w:rsidRDefault="00EE6446" w:rsidP="00641A01">
            <w:pPr>
              <w:tabs>
                <w:tab w:val="decimal" w:pos="943"/>
              </w:tabs>
              <w:spacing w:line="360" w:lineRule="auto"/>
              <w:rPr>
                <w:color w:val="000000"/>
              </w:rPr>
            </w:pPr>
            <w:r w:rsidRPr="00641A01">
              <w:rPr>
                <w:color w:val="000000"/>
              </w:rPr>
              <w:t>8.52</w:t>
            </w:r>
          </w:p>
        </w:tc>
        <w:tc>
          <w:tcPr>
            <w:tcW w:w="2233" w:type="dxa"/>
            <w:tcBorders>
              <w:top w:val="nil"/>
              <w:left w:val="nil"/>
              <w:bottom w:val="nil"/>
              <w:right w:val="nil"/>
            </w:tcBorders>
            <w:shd w:val="clear" w:color="auto" w:fill="auto"/>
            <w:noWrap/>
            <w:hideMark/>
          </w:tcPr>
          <w:p w14:paraId="04BDA78F" w14:textId="77777777" w:rsidR="00EE6446" w:rsidRPr="00641A01" w:rsidRDefault="00EE6446" w:rsidP="00641A01">
            <w:pPr>
              <w:tabs>
                <w:tab w:val="decimal" w:pos="943"/>
              </w:tabs>
              <w:spacing w:line="360" w:lineRule="auto"/>
              <w:rPr>
                <w:color w:val="000000"/>
              </w:rPr>
            </w:pPr>
            <w:r w:rsidRPr="00641A01">
              <w:rPr>
                <w:color w:val="000000"/>
              </w:rPr>
              <w:t>91.32</w:t>
            </w:r>
          </w:p>
        </w:tc>
      </w:tr>
      <w:tr w:rsidR="005B434B" w:rsidRPr="00641A01" w14:paraId="74309439" w14:textId="77777777" w:rsidTr="00A637D6">
        <w:tc>
          <w:tcPr>
            <w:tcW w:w="3258" w:type="dxa"/>
            <w:tcBorders>
              <w:top w:val="nil"/>
              <w:left w:val="nil"/>
              <w:bottom w:val="nil"/>
              <w:right w:val="nil"/>
            </w:tcBorders>
            <w:shd w:val="clear" w:color="auto" w:fill="auto"/>
            <w:noWrap/>
            <w:hideMark/>
          </w:tcPr>
          <w:p w14:paraId="5F0F1296" w14:textId="77777777" w:rsidR="00EE6446" w:rsidRPr="00641A01" w:rsidRDefault="00EE6446" w:rsidP="00641A01">
            <w:pPr>
              <w:spacing w:line="360" w:lineRule="auto"/>
              <w:jc w:val="center"/>
              <w:rPr>
                <w:color w:val="000000"/>
              </w:rPr>
            </w:pPr>
            <w:r w:rsidRPr="00641A01">
              <w:rPr>
                <w:color w:val="000000"/>
              </w:rPr>
              <w:t>Switzerland</w:t>
            </w:r>
          </w:p>
        </w:tc>
        <w:tc>
          <w:tcPr>
            <w:tcW w:w="1011" w:type="dxa"/>
            <w:tcBorders>
              <w:top w:val="nil"/>
              <w:left w:val="nil"/>
              <w:bottom w:val="nil"/>
              <w:right w:val="nil"/>
            </w:tcBorders>
            <w:shd w:val="clear" w:color="auto" w:fill="auto"/>
            <w:noWrap/>
            <w:hideMark/>
          </w:tcPr>
          <w:p w14:paraId="6048E36D" w14:textId="77777777" w:rsidR="00EE6446" w:rsidRPr="00641A01" w:rsidRDefault="00EE6446" w:rsidP="00641A01">
            <w:pPr>
              <w:spacing w:line="360" w:lineRule="auto"/>
              <w:jc w:val="center"/>
              <w:rPr>
                <w:color w:val="000000"/>
              </w:rPr>
            </w:pPr>
            <w:r w:rsidRPr="00641A01">
              <w:rPr>
                <w:color w:val="000000"/>
              </w:rPr>
              <w:t>CHE</w:t>
            </w:r>
          </w:p>
        </w:tc>
        <w:tc>
          <w:tcPr>
            <w:tcW w:w="1011" w:type="dxa"/>
            <w:tcBorders>
              <w:top w:val="nil"/>
              <w:left w:val="nil"/>
              <w:bottom w:val="nil"/>
              <w:right w:val="nil"/>
            </w:tcBorders>
            <w:shd w:val="clear" w:color="auto" w:fill="auto"/>
            <w:noWrap/>
            <w:hideMark/>
          </w:tcPr>
          <w:p w14:paraId="6749ABC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04EFF2E"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1A0490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D1F3A2F"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7207FB55" w14:textId="77777777" w:rsidR="00EE6446" w:rsidRPr="00641A01" w:rsidRDefault="00EE6446" w:rsidP="00641A01">
            <w:pPr>
              <w:tabs>
                <w:tab w:val="decimal" w:pos="943"/>
              </w:tabs>
              <w:spacing w:line="360" w:lineRule="auto"/>
              <w:rPr>
                <w:color w:val="000000"/>
              </w:rPr>
            </w:pPr>
            <w:r w:rsidRPr="00641A01">
              <w:rPr>
                <w:color w:val="000000"/>
              </w:rPr>
              <w:t>7.86</w:t>
            </w:r>
          </w:p>
        </w:tc>
        <w:tc>
          <w:tcPr>
            <w:tcW w:w="2233" w:type="dxa"/>
            <w:tcBorders>
              <w:top w:val="nil"/>
              <w:left w:val="nil"/>
              <w:bottom w:val="nil"/>
              <w:right w:val="nil"/>
            </w:tcBorders>
            <w:shd w:val="clear" w:color="auto" w:fill="auto"/>
            <w:noWrap/>
            <w:hideMark/>
          </w:tcPr>
          <w:p w14:paraId="3741D90D" w14:textId="77777777" w:rsidR="00EE6446" w:rsidRPr="00641A01" w:rsidRDefault="00EE6446" w:rsidP="00641A01">
            <w:pPr>
              <w:tabs>
                <w:tab w:val="decimal" w:pos="943"/>
              </w:tabs>
              <w:spacing w:line="360" w:lineRule="auto"/>
              <w:rPr>
                <w:color w:val="000000"/>
              </w:rPr>
            </w:pPr>
            <w:r w:rsidRPr="00641A01">
              <w:rPr>
                <w:color w:val="000000"/>
              </w:rPr>
              <w:t>102.59</w:t>
            </w:r>
          </w:p>
        </w:tc>
      </w:tr>
      <w:tr w:rsidR="005B434B" w:rsidRPr="00641A01" w14:paraId="08268B5E" w14:textId="77777777" w:rsidTr="00A637D6">
        <w:tc>
          <w:tcPr>
            <w:tcW w:w="3258" w:type="dxa"/>
            <w:tcBorders>
              <w:top w:val="nil"/>
              <w:left w:val="nil"/>
              <w:bottom w:val="nil"/>
              <w:right w:val="nil"/>
            </w:tcBorders>
            <w:shd w:val="clear" w:color="auto" w:fill="auto"/>
            <w:noWrap/>
            <w:hideMark/>
          </w:tcPr>
          <w:p w14:paraId="06B33A02" w14:textId="77777777" w:rsidR="00EE6446" w:rsidRPr="00641A01" w:rsidRDefault="00EE6446" w:rsidP="00641A01">
            <w:pPr>
              <w:spacing w:line="360" w:lineRule="auto"/>
              <w:jc w:val="center"/>
              <w:rPr>
                <w:color w:val="000000"/>
              </w:rPr>
            </w:pPr>
            <w:r w:rsidRPr="00641A01">
              <w:rPr>
                <w:color w:val="000000"/>
              </w:rPr>
              <w:t>Chile</w:t>
            </w:r>
          </w:p>
        </w:tc>
        <w:tc>
          <w:tcPr>
            <w:tcW w:w="1011" w:type="dxa"/>
            <w:tcBorders>
              <w:top w:val="nil"/>
              <w:left w:val="nil"/>
              <w:bottom w:val="nil"/>
              <w:right w:val="nil"/>
            </w:tcBorders>
            <w:shd w:val="clear" w:color="auto" w:fill="auto"/>
            <w:noWrap/>
            <w:hideMark/>
          </w:tcPr>
          <w:p w14:paraId="24C51666" w14:textId="77777777" w:rsidR="00EE6446" w:rsidRPr="00641A01" w:rsidRDefault="00EE6446" w:rsidP="00641A01">
            <w:pPr>
              <w:spacing w:line="360" w:lineRule="auto"/>
              <w:jc w:val="center"/>
              <w:rPr>
                <w:color w:val="000000"/>
              </w:rPr>
            </w:pPr>
            <w:r w:rsidRPr="00641A01">
              <w:rPr>
                <w:color w:val="000000"/>
              </w:rPr>
              <w:t>CHL</w:t>
            </w:r>
          </w:p>
        </w:tc>
        <w:tc>
          <w:tcPr>
            <w:tcW w:w="1011" w:type="dxa"/>
            <w:tcBorders>
              <w:top w:val="nil"/>
              <w:left w:val="nil"/>
              <w:bottom w:val="nil"/>
              <w:right w:val="nil"/>
            </w:tcBorders>
            <w:shd w:val="clear" w:color="auto" w:fill="auto"/>
            <w:noWrap/>
            <w:hideMark/>
          </w:tcPr>
          <w:p w14:paraId="37F91F5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B336594"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DCCC1F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33A33D1" w14:textId="77777777" w:rsidR="00EE6446" w:rsidRPr="00641A01" w:rsidRDefault="00EE6446" w:rsidP="00641A01">
            <w:pPr>
              <w:spacing w:line="360" w:lineRule="auto"/>
              <w:jc w:val="center"/>
              <w:rPr>
                <w:color w:val="000000"/>
              </w:rPr>
            </w:pPr>
            <w:r w:rsidRPr="00641A01">
              <w:rPr>
                <w:color w:val="000000"/>
              </w:rPr>
              <w:t>26</w:t>
            </w:r>
          </w:p>
        </w:tc>
        <w:tc>
          <w:tcPr>
            <w:tcW w:w="2233" w:type="dxa"/>
            <w:tcBorders>
              <w:top w:val="nil"/>
              <w:left w:val="nil"/>
              <w:bottom w:val="nil"/>
              <w:right w:val="nil"/>
            </w:tcBorders>
            <w:shd w:val="clear" w:color="auto" w:fill="auto"/>
            <w:noWrap/>
            <w:hideMark/>
          </w:tcPr>
          <w:p w14:paraId="0AE2A1E9" w14:textId="77777777" w:rsidR="00EE6446" w:rsidRPr="00641A01" w:rsidRDefault="00EE6446" w:rsidP="00641A01">
            <w:pPr>
              <w:tabs>
                <w:tab w:val="decimal" w:pos="943"/>
              </w:tabs>
              <w:spacing w:line="360" w:lineRule="auto"/>
              <w:rPr>
                <w:color w:val="000000"/>
              </w:rPr>
            </w:pPr>
            <w:r w:rsidRPr="00641A01">
              <w:rPr>
                <w:color w:val="000000"/>
              </w:rPr>
              <w:t>19.65</w:t>
            </w:r>
          </w:p>
        </w:tc>
        <w:tc>
          <w:tcPr>
            <w:tcW w:w="2233" w:type="dxa"/>
            <w:tcBorders>
              <w:top w:val="nil"/>
              <w:left w:val="nil"/>
              <w:bottom w:val="nil"/>
              <w:right w:val="nil"/>
            </w:tcBorders>
            <w:shd w:val="clear" w:color="auto" w:fill="auto"/>
            <w:noWrap/>
            <w:hideMark/>
          </w:tcPr>
          <w:p w14:paraId="336A17F9" w14:textId="77777777" w:rsidR="00EE6446" w:rsidRPr="00641A01" w:rsidRDefault="00EE6446" w:rsidP="00641A01">
            <w:pPr>
              <w:tabs>
                <w:tab w:val="decimal" w:pos="943"/>
              </w:tabs>
              <w:spacing w:line="360" w:lineRule="auto"/>
              <w:rPr>
                <w:color w:val="000000"/>
              </w:rPr>
            </w:pPr>
            <w:r w:rsidRPr="00641A01">
              <w:rPr>
                <w:color w:val="000000"/>
              </w:rPr>
              <w:t>172.26</w:t>
            </w:r>
          </w:p>
        </w:tc>
      </w:tr>
      <w:tr w:rsidR="005B434B" w:rsidRPr="00641A01" w14:paraId="3CB2C4AF" w14:textId="77777777" w:rsidTr="00A637D6">
        <w:tc>
          <w:tcPr>
            <w:tcW w:w="3258" w:type="dxa"/>
            <w:tcBorders>
              <w:top w:val="nil"/>
              <w:left w:val="nil"/>
              <w:bottom w:val="nil"/>
              <w:right w:val="nil"/>
            </w:tcBorders>
            <w:shd w:val="clear" w:color="auto" w:fill="auto"/>
            <w:noWrap/>
            <w:hideMark/>
          </w:tcPr>
          <w:p w14:paraId="49BD5BCE" w14:textId="77777777" w:rsidR="00EE6446" w:rsidRPr="00641A01" w:rsidRDefault="00EE6446" w:rsidP="00641A01">
            <w:pPr>
              <w:spacing w:line="360" w:lineRule="auto"/>
              <w:jc w:val="center"/>
              <w:rPr>
                <w:color w:val="000000"/>
              </w:rPr>
            </w:pPr>
            <w:r w:rsidRPr="00641A01">
              <w:rPr>
                <w:color w:val="000000"/>
              </w:rPr>
              <w:t>China</w:t>
            </w:r>
          </w:p>
        </w:tc>
        <w:tc>
          <w:tcPr>
            <w:tcW w:w="1011" w:type="dxa"/>
            <w:tcBorders>
              <w:top w:val="nil"/>
              <w:left w:val="nil"/>
              <w:bottom w:val="nil"/>
              <w:right w:val="nil"/>
            </w:tcBorders>
            <w:shd w:val="clear" w:color="auto" w:fill="auto"/>
            <w:noWrap/>
            <w:hideMark/>
          </w:tcPr>
          <w:p w14:paraId="0077D2B2" w14:textId="77777777" w:rsidR="00EE6446" w:rsidRPr="00641A01" w:rsidRDefault="00EE6446" w:rsidP="00641A01">
            <w:pPr>
              <w:spacing w:line="360" w:lineRule="auto"/>
              <w:jc w:val="center"/>
              <w:rPr>
                <w:color w:val="000000"/>
              </w:rPr>
            </w:pPr>
            <w:r w:rsidRPr="00641A01">
              <w:rPr>
                <w:color w:val="000000"/>
              </w:rPr>
              <w:t>CHN</w:t>
            </w:r>
          </w:p>
        </w:tc>
        <w:tc>
          <w:tcPr>
            <w:tcW w:w="1011" w:type="dxa"/>
            <w:tcBorders>
              <w:top w:val="nil"/>
              <w:left w:val="nil"/>
              <w:bottom w:val="nil"/>
              <w:right w:val="nil"/>
            </w:tcBorders>
            <w:shd w:val="clear" w:color="auto" w:fill="auto"/>
            <w:noWrap/>
            <w:hideMark/>
          </w:tcPr>
          <w:p w14:paraId="0FDA968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FCCDAA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0EC634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7A9D55E"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196B3591" w14:textId="77777777" w:rsidR="00EE6446" w:rsidRPr="00641A01" w:rsidRDefault="00EE6446" w:rsidP="00641A01">
            <w:pPr>
              <w:tabs>
                <w:tab w:val="decimal" w:pos="943"/>
              </w:tabs>
              <w:spacing w:line="360" w:lineRule="auto"/>
              <w:rPr>
                <w:color w:val="000000"/>
              </w:rPr>
            </w:pPr>
            <w:r w:rsidRPr="00641A01">
              <w:rPr>
                <w:color w:val="000000"/>
              </w:rPr>
              <w:t>3.25</w:t>
            </w:r>
          </w:p>
        </w:tc>
        <w:tc>
          <w:tcPr>
            <w:tcW w:w="2233" w:type="dxa"/>
            <w:tcBorders>
              <w:top w:val="nil"/>
              <w:left w:val="nil"/>
              <w:bottom w:val="nil"/>
              <w:right w:val="nil"/>
            </w:tcBorders>
            <w:shd w:val="clear" w:color="auto" w:fill="auto"/>
            <w:noWrap/>
            <w:hideMark/>
          </w:tcPr>
          <w:p w14:paraId="40F2C66B" w14:textId="77777777" w:rsidR="00EE6446" w:rsidRPr="00641A01" w:rsidRDefault="00EE6446" w:rsidP="00641A01">
            <w:pPr>
              <w:tabs>
                <w:tab w:val="decimal" w:pos="943"/>
              </w:tabs>
              <w:spacing w:line="360" w:lineRule="auto"/>
              <w:rPr>
                <w:color w:val="000000"/>
              </w:rPr>
            </w:pPr>
            <w:r w:rsidRPr="00641A01">
              <w:rPr>
                <w:color w:val="000000"/>
              </w:rPr>
              <w:t>26.08</w:t>
            </w:r>
          </w:p>
        </w:tc>
      </w:tr>
      <w:tr w:rsidR="005B434B" w:rsidRPr="00641A01" w14:paraId="548D0E36" w14:textId="77777777" w:rsidTr="00A637D6">
        <w:tc>
          <w:tcPr>
            <w:tcW w:w="3258" w:type="dxa"/>
            <w:tcBorders>
              <w:top w:val="nil"/>
              <w:left w:val="nil"/>
              <w:bottom w:val="nil"/>
              <w:right w:val="nil"/>
            </w:tcBorders>
            <w:shd w:val="clear" w:color="auto" w:fill="auto"/>
            <w:noWrap/>
            <w:hideMark/>
          </w:tcPr>
          <w:p w14:paraId="31304C96" w14:textId="6672E70F" w:rsidR="00EE6446" w:rsidRPr="00641A01" w:rsidRDefault="00EE6446" w:rsidP="00641A01">
            <w:pPr>
              <w:spacing w:line="360" w:lineRule="auto"/>
              <w:jc w:val="center"/>
              <w:rPr>
                <w:color w:val="000000"/>
              </w:rPr>
            </w:pPr>
            <w:r w:rsidRPr="00641A01">
              <w:rPr>
                <w:color w:val="000000"/>
              </w:rPr>
              <w:t>Co´te d'Ivoire</w:t>
            </w:r>
          </w:p>
        </w:tc>
        <w:tc>
          <w:tcPr>
            <w:tcW w:w="1011" w:type="dxa"/>
            <w:tcBorders>
              <w:top w:val="nil"/>
              <w:left w:val="nil"/>
              <w:bottom w:val="nil"/>
              <w:right w:val="nil"/>
            </w:tcBorders>
            <w:shd w:val="clear" w:color="auto" w:fill="auto"/>
            <w:noWrap/>
            <w:hideMark/>
          </w:tcPr>
          <w:p w14:paraId="24F6D642" w14:textId="77777777" w:rsidR="00EE6446" w:rsidRPr="00641A01" w:rsidRDefault="00EE6446" w:rsidP="00641A01">
            <w:pPr>
              <w:spacing w:line="360" w:lineRule="auto"/>
              <w:jc w:val="center"/>
              <w:rPr>
                <w:color w:val="000000"/>
              </w:rPr>
            </w:pPr>
            <w:r w:rsidRPr="00641A01">
              <w:rPr>
                <w:color w:val="000000"/>
              </w:rPr>
              <w:t>CIV</w:t>
            </w:r>
          </w:p>
        </w:tc>
        <w:tc>
          <w:tcPr>
            <w:tcW w:w="1011" w:type="dxa"/>
            <w:tcBorders>
              <w:top w:val="nil"/>
              <w:left w:val="nil"/>
              <w:bottom w:val="nil"/>
              <w:right w:val="nil"/>
            </w:tcBorders>
            <w:shd w:val="clear" w:color="auto" w:fill="auto"/>
            <w:noWrap/>
            <w:hideMark/>
          </w:tcPr>
          <w:p w14:paraId="2C866B8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BD90EA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1144EB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31BF2AE"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7239EC40" w14:textId="77777777" w:rsidR="00EE6446" w:rsidRPr="00641A01" w:rsidRDefault="00EE6446" w:rsidP="00641A01">
            <w:pPr>
              <w:tabs>
                <w:tab w:val="decimal" w:pos="943"/>
              </w:tabs>
              <w:spacing w:line="360" w:lineRule="auto"/>
              <w:rPr>
                <w:color w:val="000000"/>
              </w:rPr>
            </w:pPr>
            <w:r w:rsidRPr="00641A01">
              <w:rPr>
                <w:color w:val="000000"/>
              </w:rPr>
              <w:t>4.62</w:t>
            </w:r>
          </w:p>
        </w:tc>
        <w:tc>
          <w:tcPr>
            <w:tcW w:w="2233" w:type="dxa"/>
            <w:tcBorders>
              <w:top w:val="nil"/>
              <w:left w:val="nil"/>
              <w:bottom w:val="nil"/>
              <w:right w:val="nil"/>
            </w:tcBorders>
            <w:shd w:val="clear" w:color="auto" w:fill="auto"/>
            <w:noWrap/>
            <w:hideMark/>
          </w:tcPr>
          <w:p w14:paraId="33295ACC" w14:textId="77777777" w:rsidR="00EE6446" w:rsidRPr="00641A01" w:rsidRDefault="00EE6446" w:rsidP="00641A01">
            <w:pPr>
              <w:tabs>
                <w:tab w:val="decimal" w:pos="943"/>
              </w:tabs>
              <w:spacing w:line="360" w:lineRule="auto"/>
              <w:rPr>
                <w:color w:val="000000"/>
              </w:rPr>
            </w:pPr>
            <w:r w:rsidRPr="00641A01">
              <w:rPr>
                <w:color w:val="000000"/>
              </w:rPr>
              <w:t>26.82</w:t>
            </w:r>
          </w:p>
        </w:tc>
      </w:tr>
      <w:tr w:rsidR="005B434B" w:rsidRPr="00641A01" w14:paraId="1F77EA63" w14:textId="77777777" w:rsidTr="00A637D6">
        <w:tc>
          <w:tcPr>
            <w:tcW w:w="3258" w:type="dxa"/>
            <w:tcBorders>
              <w:top w:val="nil"/>
              <w:left w:val="nil"/>
              <w:bottom w:val="nil"/>
              <w:right w:val="nil"/>
            </w:tcBorders>
            <w:shd w:val="clear" w:color="auto" w:fill="auto"/>
            <w:noWrap/>
            <w:hideMark/>
          </w:tcPr>
          <w:p w14:paraId="4267201C" w14:textId="77777777" w:rsidR="00EE6446" w:rsidRPr="00641A01" w:rsidRDefault="00EE6446" w:rsidP="00641A01">
            <w:pPr>
              <w:spacing w:line="360" w:lineRule="auto"/>
              <w:jc w:val="center"/>
              <w:rPr>
                <w:color w:val="000000"/>
              </w:rPr>
            </w:pPr>
            <w:r w:rsidRPr="00641A01">
              <w:rPr>
                <w:color w:val="000000"/>
              </w:rPr>
              <w:t>Cameroon</w:t>
            </w:r>
          </w:p>
        </w:tc>
        <w:tc>
          <w:tcPr>
            <w:tcW w:w="1011" w:type="dxa"/>
            <w:tcBorders>
              <w:top w:val="nil"/>
              <w:left w:val="nil"/>
              <w:bottom w:val="nil"/>
              <w:right w:val="nil"/>
            </w:tcBorders>
            <w:shd w:val="clear" w:color="auto" w:fill="auto"/>
            <w:noWrap/>
            <w:hideMark/>
          </w:tcPr>
          <w:p w14:paraId="09479AA2" w14:textId="77777777" w:rsidR="00EE6446" w:rsidRPr="00641A01" w:rsidRDefault="00EE6446" w:rsidP="00641A01">
            <w:pPr>
              <w:spacing w:line="360" w:lineRule="auto"/>
              <w:jc w:val="center"/>
              <w:rPr>
                <w:color w:val="000000"/>
              </w:rPr>
            </w:pPr>
            <w:r w:rsidRPr="00641A01">
              <w:rPr>
                <w:color w:val="000000"/>
              </w:rPr>
              <w:t>CMR</w:t>
            </w:r>
          </w:p>
        </w:tc>
        <w:tc>
          <w:tcPr>
            <w:tcW w:w="1011" w:type="dxa"/>
            <w:tcBorders>
              <w:top w:val="nil"/>
              <w:left w:val="nil"/>
              <w:bottom w:val="nil"/>
              <w:right w:val="nil"/>
            </w:tcBorders>
            <w:shd w:val="clear" w:color="auto" w:fill="auto"/>
            <w:noWrap/>
            <w:hideMark/>
          </w:tcPr>
          <w:p w14:paraId="1B03DEC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E85DB9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046409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229C48A"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2765C591" w14:textId="77777777" w:rsidR="00EE6446" w:rsidRPr="00641A01" w:rsidRDefault="00EE6446" w:rsidP="00641A01">
            <w:pPr>
              <w:tabs>
                <w:tab w:val="decimal" w:pos="943"/>
              </w:tabs>
              <w:spacing w:line="360" w:lineRule="auto"/>
              <w:rPr>
                <w:color w:val="000000"/>
              </w:rPr>
            </w:pPr>
            <w:r w:rsidRPr="00641A01">
              <w:rPr>
                <w:color w:val="000000"/>
              </w:rPr>
              <w:t>1.41</w:t>
            </w:r>
          </w:p>
        </w:tc>
        <w:tc>
          <w:tcPr>
            <w:tcW w:w="2233" w:type="dxa"/>
            <w:tcBorders>
              <w:top w:val="nil"/>
              <w:left w:val="nil"/>
              <w:bottom w:val="nil"/>
              <w:right w:val="nil"/>
            </w:tcBorders>
            <w:shd w:val="clear" w:color="auto" w:fill="auto"/>
            <w:noWrap/>
            <w:hideMark/>
          </w:tcPr>
          <w:p w14:paraId="06590094" w14:textId="77777777" w:rsidR="00EE6446" w:rsidRPr="00641A01" w:rsidRDefault="00EE6446" w:rsidP="00641A01">
            <w:pPr>
              <w:tabs>
                <w:tab w:val="decimal" w:pos="943"/>
              </w:tabs>
              <w:spacing w:line="360" w:lineRule="auto"/>
              <w:rPr>
                <w:color w:val="000000"/>
              </w:rPr>
            </w:pPr>
            <w:r w:rsidRPr="00641A01">
              <w:rPr>
                <w:color w:val="000000"/>
              </w:rPr>
              <w:t>13.33</w:t>
            </w:r>
          </w:p>
        </w:tc>
      </w:tr>
      <w:tr w:rsidR="005B434B" w:rsidRPr="00641A01" w14:paraId="3A4D91F3" w14:textId="77777777" w:rsidTr="00A637D6">
        <w:tc>
          <w:tcPr>
            <w:tcW w:w="3258" w:type="dxa"/>
            <w:tcBorders>
              <w:top w:val="nil"/>
              <w:left w:val="nil"/>
              <w:bottom w:val="nil"/>
              <w:right w:val="nil"/>
            </w:tcBorders>
            <w:shd w:val="clear" w:color="auto" w:fill="auto"/>
            <w:noWrap/>
            <w:hideMark/>
          </w:tcPr>
          <w:p w14:paraId="5667896B" w14:textId="77777777" w:rsidR="00EE6446" w:rsidRPr="00641A01" w:rsidRDefault="00EE6446" w:rsidP="00641A01">
            <w:pPr>
              <w:spacing w:line="360" w:lineRule="auto"/>
              <w:jc w:val="center"/>
              <w:rPr>
                <w:color w:val="000000"/>
              </w:rPr>
            </w:pPr>
            <w:r w:rsidRPr="00641A01">
              <w:rPr>
                <w:color w:val="000000"/>
              </w:rPr>
              <w:lastRenderedPageBreak/>
              <w:t>Congo</w:t>
            </w:r>
          </w:p>
        </w:tc>
        <w:tc>
          <w:tcPr>
            <w:tcW w:w="1011" w:type="dxa"/>
            <w:tcBorders>
              <w:top w:val="nil"/>
              <w:left w:val="nil"/>
              <w:bottom w:val="nil"/>
              <w:right w:val="nil"/>
            </w:tcBorders>
            <w:shd w:val="clear" w:color="auto" w:fill="auto"/>
            <w:noWrap/>
            <w:hideMark/>
          </w:tcPr>
          <w:p w14:paraId="5D0FA337" w14:textId="77777777" w:rsidR="00EE6446" w:rsidRPr="00641A01" w:rsidRDefault="00EE6446" w:rsidP="00641A01">
            <w:pPr>
              <w:spacing w:line="360" w:lineRule="auto"/>
              <w:jc w:val="center"/>
              <w:rPr>
                <w:color w:val="000000"/>
              </w:rPr>
            </w:pPr>
            <w:r w:rsidRPr="00641A01">
              <w:rPr>
                <w:color w:val="000000"/>
              </w:rPr>
              <w:t>COG</w:t>
            </w:r>
          </w:p>
        </w:tc>
        <w:tc>
          <w:tcPr>
            <w:tcW w:w="1011" w:type="dxa"/>
            <w:tcBorders>
              <w:top w:val="nil"/>
              <w:left w:val="nil"/>
              <w:bottom w:val="nil"/>
              <w:right w:val="nil"/>
            </w:tcBorders>
            <w:shd w:val="clear" w:color="auto" w:fill="auto"/>
            <w:noWrap/>
            <w:hideMark/>
          </w:tcPr>
          <w:p w14:paraId="3BF54A8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C39C75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FA0E5F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AA3FA25"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3FC0321C" w14:textId="77777777" w:rsidR="00EE6446" w:rsidRPr="00641A01" w:rsidRDefault="00EE6446" w:rsidP="00641A01">
            <w:pPr>
              <w:tabs>
                <w:tab w:val="decimal" w:pos="943"/>
              </w:tabs>
              <w:spacing w:line="360" w:lineRule="auto"/>
              <w:rPr>
                <w:color w:val="000000"/>
              </w:rPr>
            </w:pPr>
            <w:r w:rsidRPr="00641A01">
              <w:rPr>
                <w:color w:val="000000"/>
              </w:rPr>
              <w:t>1.78</w:t>
            </w:r>
          </w:p>
        </w:tc>
        <w:tc>
          <w:tcPr>
            <w:tcW w:w="2233" w:type="dxa"/>
            <w:tcBorders>
              <w:top w:val="nil"/>
              <w:left w:val="nil"/>
              <w:bottom w:val="nil"/>
              <w:right w:val="nil"/>
            </w:tcBorders>
            <w:shd w:val="clear" w:color="auto" w:fill="auto"/>
            <w:noWrap/>
            <w:hideMark/>
          </w:tcPr>
          <w:p w14:paraId="4B4F3FC0" w14:textId="77777777" w:rsidR="00EE6446" w:rsidRPr="00641A01" w:rsidRDefault="00EE6446" w:rsidP="00641A01">
            <w:pPr>
              <w:tabs>
                <w:tab w:val="decimal" w:pos="943"/>
              </w:tabs>
              <w:spacing w:line="360" w:lineRule="auto"/>
              <w:rPr>
                <w:color w:val="000000"/>
              </w:rPr>
            </w:pPr>
            <w:r w:rsidRPr="00641A01">
              <w:rPr>
                <w:color w:val="000000"/>
              </w:rPr>
              <w:t>21.10</w:t>
            </w:r>
          </w:p>
        </w:tc>
      </w:tr>
      <w:tr w:rsidR="005B434B" w:rsidRPr="00641A01" w14:paraId="128CCE12" w14:textId="77777777" w:rsidTr="00A637D6">
        <w:tc>
          <w:tcPr>
            <w:tcW w:w="3258" w:type="dxa"/>
            <w:tcBorders>
              <w:top w:val="nil"/>
              <w:left w:val="nil"/>
              <w:bottom w:val="nil"/>
              <w:right w:val="nil"/>
            </w:tcBorders>
            <w:shd w:val="clear" w:color="auto" w:fill="auto"/>
            <w:noWrap/>
            <w:hideMark/>
          </w:tcPr>
          <w:p w14:paraId="4CE4F204" w14:textId="77777777" w:rsidR="00EE6446" w:rsidRPr="00641A01" w:rsidRDefault="00EE6446" w:rsidP="00641A01">
            <w:pPr>
              <w:spacing w:line="360" w:lineRule="auto"/>
              <w:jc w:val="center"/>
              <w:rPr>
                <w:color w:val="000000"/>
              </w:rPr>
            </w:pPr>
            <w:r w:rsidRPr="00641A01">
              <w:rPr>
                <w:color w:val="000000"/>
              </w:rPr>
              <w:t>Cook Islands</w:t>
            </w:r>
          </w:p>
        </w:tc>
        <w:tc>
          <w:tcPr>
            <w:tcW w:w="1011" w:type="dxa"/>
            <w:tcBorders>
              <w:top w:val="nil"/>
              <w:left w:val="nil"/>
              <w:bottom w:val="nil"/>
              <w:right w:val="nil"/>
            </w:tcBorders>
            <w:shd w:val="clear" w:color="auto" w:fill="auto"/>
            <w:noWrap/>
            <w:hideMark/>
          </w:tcPr>
          <w:p w14:paraId="06255C06" w14:textId="77777777" w:rsidR="00EE6446" w:rsidRPr="00641A01" w:rsidRDefault="00EE6446" w:rsidP="00641A01">
            <w:pPr>
              <w:spacing w:line="360" w:lineRule="auto"/>
              <w:jc w:val="center"/>
              <w:rPr>
                <w:color w:val="000000"/>
              </w:rPr>
            </w:pPr>
            <w:r w:rsidRPr="00641A01">
              <w:rPr>
                <w:color w:val="000000"/>
              </w:rPr>
              <w:t>COK</w:t>
            </w:r>
          </w:p>
        </w:tc>
        <w:tc>
          <w:tcPr>
            <w:tcW w:w="1011" w:type="dxa"/>
            <w:tcBorders>
              <w:top w:val="nil"/>
              <w:left w:val="nil"/>
              <w:bottom w:val="nil"/>
              <w:right w:val="nil"/>
            </w:tcBorders>
            <w:shd w:val="clear" w:color="auto" w:fill="auto"/>
            <w:noWrap/>
            <w:hideMark/>
          </w:tcPr>
          <w:p w14:paraId="6247FA1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E53239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68A529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39058BC"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23A8D5E7" w14:textId="77777777" w:rsidR="00EE6446" w:rsidRPr="00641A01" w:rsidRDefault="00EE6446" w:rsidP="00641A01">
            <w:pPr>
              <w:tabs>
                <w:tab w:val="decimal" w:pos="943"/>
              </w:tabs>
              <w:spacing w:line="360" w:lineRule="auto"/>
              <w:rPr>
                <w:color w:val="000000"/>
              </w:rPr>
            </w:pPr>
            <w:r w:rsidRPr="00641A01">
              <w:rPr>
                <w:color w:val="000000"/>
              </w:rPr>
              <w:t>1.25</w:t>
            </w:r>
          </w:p>
        </w:tc>
        <w:tc>
          <w:tcPr>
            <w:tcW w:w="2233" w:type="dxa"/>
            <w:tcBorders>
              <w:top w:val="nil"/>
              <w:left w:val="nil"/>
              <w:bottom w:val="nil"/>
              <w:right w:val="nil"/>
            </w:tcBorders>
            <w:shd w:val="clear" w:color="auto" w:fill="auto"/>
            <w:noWrap/>
            <w:hideMark/>
          </w:tcPr>
          <w:p w14:paraId="1F22BBD6" w14:textId="77777777" w:rsidR="00EE6446" w:rsidRPr="00641A01" w:rsidRDefault="00EE6446" w:rsidP="00641A01">
            <w:pPr>
              <w:tabs>
                <w:tab w:val="decimal" w:pos="943"/>
              </w:tabs>
              <w:spacing w:line="360" w:lineRule="auto"/>
              <w:rPr>
                <w:color w:val="000000"/>
              </w:rPr>
            </w:pPr>
            <w:r w:rsidRPr="00641A01">
              <w:rPr>
                <w:color w:val="000000"/>
              </w:rPr>
              <w:t>11.79</w:t>
            </w:r>
          </w:p>
        </w:tc>
      </w:tr>
      <w:tr w:rsidR="005B434B" w:rsidRPr="00641A01" w14:paraId="43D866F1" w14:textId="77777777" w:rsidTr="00A637D6">
        <w:tc>
          <w:tcPr>
            <w:tcW w:w="3258" w:type="dxa"/>
            <w:tcBorders>
              <w:top w:val="nil"/>
              <w:left w:val="nil"/>
              <w:bottom w:val="nil"/>
              <w:right w:val="nil"/>
            </w:tcBorders>
            <w:shd w:val="clear" w:color="auto" w:fill="auto"/>
            <w:noWrap/>
            <w:hideMark/>
          </w:tcPr>
          <w:p w14:paraId="3ECA4D66" w14:textId="77777777" w:rsidR="00EE6446" w:rsidRPr="00641A01" w:rsidRDefault="00EE6446" w:rsidP="00641A01">
            <w:pPr>
              <w:spacing w:line="360" w:lineRule="auto"/>
              <w:jc w:val="center"/>
              <w:rPr>
                <w:color w:val="000000"/>
              </w:rPr>
            </w:pPr>
            <w:r w:rsidRPr="00641A01">
              <w:rPr>
                <w:color w:val="000000"/>
              </w:rPr>
              <w:t>Colombia</w:t>
            </w:r>
          </w:p>
        </w:tc>
        <w:tc>
          <w:tcPr>
            <w:tcW w:w="1011" w:type="dxa"/>
            <w:tcBorders>
              <w:top w:val="nil"/>
              <w:left w:val="nil"/>
              <w:bottom w:val="nil"/>
              <w:right w:val="nil"/>
            </w:tcBorders>
            <w:shd w:val="clear" w:color="auto" w:fill="auto"/>
            <w:noWrap/>
            <w:hideMark/>
          </w:tcPr>
          <w:p w14:paraId="7208191E" w14:textId="77777777" w:rsidR="00EE6446" w:rsidRPr="00641A01" w:rsidRDefault="00EE6446" w:rsidP="00641A01">
            <w:pPr>
              <w:spacing w:line="360" w:lineRule="auto"/>
              <w:jc w:val="center"/>
              <w:rPr>
                <w:color w:val="000000"/>
              </w:rPr>
            </w:pPr>
            <w:r w:rsidRPr="00641A01">
              <w:rPr>
                <w:color w:val="000000"/>
              </w:rPr>
              <w:t>COL</w:t>
            </w:r>
          </w:p>
        </w:tc>
        <w:tc>
          <w:tcPr>
            <w:tcW w:w="1011" w:type="dxa"/>
            <w:tcBorders>
              <w:top w:val="nil"/>
              <w:left w:val="nil"/>
              <w:bottom w:val="nil"/>
              <w:right w:val="nil"/>
            </w:tcBorders>
            <w:shd w:val="clear" w:color="auto" w:fill="auto"/>
            <w:noWrap/>
            <w:hideMark/>
          </w:tcPr>
          <w:p w14:paraId="3BB896A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37836C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5DAF77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C5380E4" w14:textId="77777777" w:rsidR="00EE6446" w:rsidRPr="00641A01" w:rsidRDefault="00EE6446" w:rsidP="00641A01">
            <w:pPr>
              <w:spacing w:line="360" w:lineRule="auto"/>
              <w:jc w:val="center"/>
              <w:rPr>
                <w:color w:val="000000"/>
              </w:rPr>
            </w:pPr>
            <w:r w:rsidRPr="00641A01">
              <w:rPr>
                <w:color w:val="000000"/>
              </w:rPr>
              <w:t>23</w:t>
            </w:r>
          </w:p>
        </w:tc>
        <w:tc>
          <w:tcPr>
            <w:tcW w:w="2233" w:type="dxa"/>
            <w:tcBorders>
              <w:top w:val="nil"/>
              <w:left w:val="nil"/>
              <w:bottom w:val="nil"/>
              <w:right w:val="nil"/>
            </w:tcBorders>
            <w:shd w:val="clear" w:color="auto" w:fill="auto"/>
            <w:noWrap/>
            <w:hideMark/>
          </w:tcPr>
          <w:p w14:paraId="0A8498AD" w14:textId="77777777" w:rsidR="00EE6446" w:rsidRPr="00641A01" w:rsidRDefault="00EE6446" w:rsidP="00641A01">
            <w:pPr>
              <w:tabs>
                <w:tab w:val="decimal" w:pos="943"/>
              </w:tabs>
              <w:spacing w:line="360" w:lineRule="auto"/>
              <w:rPr>
                <w:color w:val="000000"/>
              </w:rPr>
            </w:pPr>
            <w:r w:rsidRPr="00641A01">
              <w:rPr>
                <w:color w:val="000000"/>
              </w:rPr>
              <w:t>9.88</w:t>
            </w:r>
          </w:p>
        </w:tc>
        <w:tc>
          <w:tcPr>
            <w:tcW w:w="2233" w:type="dxa"/>
            <w:tcBorders>
              <w:top w:val="nil"/>
              <w:left w:val="nil"/>
              <w:bottom w:val="nil"/>
              <w:right w:val="nil"/>
            </w:tcBorders>
            <w:shd w:val="clear" w:color="auto" w:fill="auto"/>
            <w:noWrap/>
            <w:hideMark/>
          </w:tcPr>
          <w:p w14:paraId="1BE1E344" w14:textId="77777777" w:rsidR="00EE6446" w:rsidRPr="00641A01" w:rsidRDefault="00EE6446" w:rsidP="00641A01">
            <w:pPr>
              <w:tabs>
                <w:tab w:val="decimal" w:pos="943"/>
              </w:tabs>
              <w:spacing w:line="360" w:lineRule="auto"/>
              <w:rPr>
                <w:color w:val="000000"/>
              </w:rPr>
            </w:pPr>
            <w:r w:rsidRPr="00641A01">
              <w:rPr>
                <w:color w:val="000000"/>
              </w:rPr>
              <w:t>62.92</w:t>
            </w:r>
          </w:p>
        </w:tc>
      </w:tr>
      <w:tr w:rsidR="005B434B" w:rsidRPr="00641A01" w14:paraId="5178E0FA" w14:textId="77777777" w:rsidTr="00A637D6">
        <w:tc>
          <w:tcPr>
            <w:tcW w:w="3258" w:type="dxa"/>
            <w:tcBorders>
              <w:top w:val="nil"/>
              <w:left w:val="nil"/>
              <w:bottom w:val="nil"/>
              <w:right w:val="nil"/>
            </w:tcBorders>
            <w:shd w:val="clear" w:color="auto" w:fill="auto"/>
            <w:noWrap/>
            <w:hideMark/>
          </w:tcPr>
          <w:p w14:paraId="5FF21114" w14:textId="77777777" w:rsidR="00EE6446" w:rsidRPr="00641A01" w:rsidRDefault="00EE6446" w:rsidP="00641A01">
            <w:pPr>
              <w:spacing w:line="360" w:lineRule="auto"/>
              <w:jc w:val="center"/>
              <w:rPr>
                <w:color w:val="000000"/>
              </w:rPr>
            </w:pPr>
            <w:r w:rsidRPr="00641A01">
              <w:rPr>
                <w:color w:val="000000"/>
              </w:rPr>
              <w:t>Comoros</w:t>
            </w:r>
          </w:p>
        </w:tc>
        <w:tc>
          <w:tcPr>
            <w:tcW w:w="1011" w:type="dxa"/>
            <w:tcBorders>
              <w:top w:val="nil"/>
              <w:left w:val="nil"/>
              <w:bottom w:val="nil"/>
              <w:right w:val="nil"/>
            </w:tcBorders>
            <w:shd w:val="clear" w:color="auto" w:fill="auto"/>
            <w:noWrap/>
            <w:hideMark/>
          </w:tcPr>
          <w:p w14:paraId="64860AD3" w14:textId="77777777" w:rsidR="00EE6446" w:rsidRPr="00641A01" w:rsidRDefault="00EE6446" w:rsidP="00641A01">
            <w:pPr>
              <w:spacing w:line="360" w:lineRule="auto"/>
              <w:jc w:val="center"/>
              <w:rPr>
                <w:color w:val="000000"/>
              </w:rPr>
            </w:pPr>
            <w:r w:rsidRPr="00641A01">
              <w:rPr>
                <w:color w:val="000000"/>
              </w:rPr>
              <w:t>COM</w:t>
            </w:r>
          </w:p>
        </w:tc>
        <w:tc>
          <w:tcPr>
            <w:tcW w:w="1011" w:type="dxa"/>
            <w:tcBorders>
              <w:top w:val="nil"/>
              <w:left w:val="nil"/>
              <w:bottom w:val="nil"/>
              <w:right w:val="nil"/>
            </w:tcBorders>
            <w:shd w:val="clear" w:color="auto" w:fill="auto"/>
            <w:noWrap/>
            <w:hideMark/>
          </w:tcPr>
          <w:p w14:paraId="055A235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E0A562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D992EE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8A92811"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2C72C6FB" w14:textId="77777777" w:rsidR="00EE6446" w:rsidRPr="00641A01" w:rsidRDefault="00EE6446" w:rsidP="00641A01">
            <w:pPr>
              <w:tabs>
                <w:tab w:val="decimal" w:pos="943"/>
              </w:tabs>
              <w:spacing w:line="360" w:lineRule="auto"/>
              <w:rPr>
                <w:color w:val="000000"/>
              </w:rPr>
            </w:pPr>
            <w:r w:rsidRPr="00641A01">
              <w:rPr>
                <w:color w:val="000000"/>
              </w:rPr>
              <w:t>0.32</w:t>
            </w:r>
          </w:p>
        </w:tc>
        <w:tc>
          <w:tcPr>
            <w:tcW w:w="2233" w:type="dxa"/>
            <w:tcBorders>
              <w:top w:val="nil"/>
              <w:left w:val="nil"/>
              <w:bottom w:val="nil"/>
              <w:right w:val="nil"/>
            </w:tcBorders>
            <w:shd w:val="clear" w:color="auto" w:fill="auto"/>
            <w:noWrap/>
            <w:hideMark/>
          </w:tcPr>
          <w:p w14:paraId="4A484481" w14:textId="77777777" w:rsidR="00EE6446" w:rsidRPr="00641A01" w:rsidRDefault="00EE6446" w:rsidP="00641A01">
            <w:pPr>
              <w:tabs>
                <w:tab w:val="decimal" w:pos="943"/>
              </w:tabs>
              <w:spacing w:line="360" w:lineRule="auto"/>
              <w:rPr>
                <w:color w:val="000000"/>
              </w:rPr>
            </w:pPr>
            <w:r w:rsidRPr="00641A01">
              <w:rPr>
                <w:color w:val="000000"/>
              </w:rPr>
              <w:t>1.80</w:t>
            </w:r>
          </w:p>
        </w:tc>
      </w:tr>
      <w:tr w:rsidR="005B434B" w:rsidRPr="00641A01" w14:paraId="5CBC9318" w14:textId="77777777" w:rsidTr="00A637D6">
        <w:tc>
          <w:tcPr>
            <w:tcW w:w="3258" w:type="dxa"/>
            <w:tcBorders>
              <w:top w:val="nil"/>
              <w:left w:val="nil"/>
              <w:bottom w:val="nil"/>
              <w:right w:val="nil"/>
            </w:tcBorders>
            <w:shd w:val="clear" w:color="auto" w:fill="auto"/>
            <w:noWrap/>
            <w:hideMark/>
          </w:tcPr>
          <w:p w14:paraId="255BC80A" w14:textId="77777777" w:rsidR="00EE6446" w:rsidRPr="00641A01" w:rsidRDefault="00EE6446" w:rsidP="00641A01">
            <w:pPr>
              <w:spacing w:line="360" w:lineRule="auto"/>
              <w:jc w:val="center"/>
              <w:rPr>
                <w:color w:val="000000"/>
              </w:rPr>
            </w:pPr>
            <w:r w:rsidRPr="00641A01">
              <w:rPr>
                <w:color w:val="000000"/>
              </w:rPr>
              <w:t>Cabo Verde</w:t>
            </w:r>
          </w:p>
        </w:tc>
        <w:tc>
          <w:tcPr>
            <w:tcW w:w="1011" w:type="dxa"/>
            <w:tcBorders>
              <w:top w:val="nil"/>
              <w:left w:val="nil"/>
              <w:bottom w:val="nil"/>
              <w:right w:val="nil"/>
            </w:tcBorders>
            <w:shd w:val="clear" w:color="auto" w:fill="auto"/>
            <w:noWrap/>
            <w:hideMark/>
          </w:tcPr>
          <w:p w14:paraId="4D15ECB7" w14:textId="77777777" w:rsidR="00EE6446" w:rsidRPr="00641A01" w:rsidRDefault="00EE6446" w:rsidP="00641A01">
            <w:pPr>
              <w:spacing w:line="360" w:lineRule="auto"/>
              <w:jc w:val="center"/>
              <w:rPr>
                <w:color w:val="000000"/>
              </w:rPr>
            </w:pPr>
            <w:r w:rsidRPr="00641A01">
              <w:rPr>
                <w:color w:val="000000"/>
              </w:rPr>
              <w:t>CPV</w:t>
            </w:r>
          </w:p>
        </w:tc>
        <w:tc>
          <w:tcPr>
            <w:tcW w:w="1011" w:type="dxa"/>
            <w:tcBorders>
              <w:top w:val="nil"/>
              <w:left w:val="nil"/>
              <w:bottom w:val="nil"/>
              <w:right w:val="nil"/>
            </w:tcBorders>
            <w:shd w:val="clear" w:color="auto" w:fill="auto"/>
            <w:noWrap/>
            <w:hideMark/>
          </w:tcPr>
          <w:p w14:paraId="5D27147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F48762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9EA02C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17A2846"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4667C8F1" w14:textId="77777777" w:rsidR="00EE6446" w:rsidRPr="00641A01" w:rsidRDefault="00EE6446" w:rsidP="00641A01">
            <w:pPr>
              <w:tabs>
                <w:tab w:val="decimal" w:pos="943"/>
              </w:tabs>
              <w:spacing w:line="360" w:lineRule="auto"/>
              <w:rPr>
                <w:color w:val="000000"/>
              </w:rPr>
            </w:pPr>
            <w:r w:rsidRPr="00641A01">
              <w:rPr>
                <w:color w:val="000000"/>
              </w:rPr>
              <w:t>4.23</w:t>
            </w:r>
          </w:p>
        </w:tc>
        <w:tc>
          <w:tcPr>
            <w:tcW w:w="2233" w:type="dxa"/>
            <w:tcBorders>
              <w:top w:val="nil"/>
              <w:left w:val="nil"/>
              <w:bottom w:val="nil"/>
              <w:right w:val="nil"/>
            </w:tcBorders>
            <w:shd w:val="clear" w:color="auto" w:fill="auto"/>
            <w:noWrap/>
            <w:hideMark/>
          </w:tcPr>
          <w:p w14:paraId="16949248" w14:textId="77777777" w:rsidR="00EE6446" w:rsidRPr="00641A01" w:rsidRDefault="00EE6446" w:rsidP="00641A01">
            <w:pPr>
              <w:tabs>
                <w:tab w:val="decimal" w:pos="943"/>
              </w:tabs>
              <w:spacing w:line="360" w:lineRule="auto"/>
              <w:rPr>
                <w:color w:val="000000"/>
              </w:rPr>
            </w:pPr>
            <w:r w:rsidRPr="00641A01">
              <w:rPr>
                <w:color w:val="000000"/>
              </w:rPr>
              <w:t>40.21</w:t>
            </w:r>
          </w:p>
        </w:tc>
      </w:tr>
      <w:tr w:rsidR="005B434B" w:rsidRPr="00641A01" w14:paraId="7487F383" w14:textId="77777777" w:rsidTr="00A637D6">
        <w:tc>
          <w:tcPr>
            <w:tcW w:w="3258" w:type="dxa"/>
            <w:tcBorders>
              <w:top w:val="nil"/>
              <w:left w:val="nil"/>
              <w:bottom w:val="nil"/>
              <w:right w:val="nil"/>
            </w:tcBorders>
            <w:shd w:val="clear" w:color="auto" w:fill="auto"/>
            <w:noWrap/>
            <w:hideMark/>
          </w:tcPr>
          <w:p w14:paraId="4963EFBC" w14:textId="77777777" w:rsidR="00EE6446" w:rsidRPr="00641A01" w:rsidRDefault="00EE6446" w:rsidP="00641A01">
            <w:pPr>
              <w:spacing w:line="360" w:lineRule="auto"/>
              <w:jc w:val="center"/>
              <w:rPr>
                <w:color w:val="000000"/>
              </w:rPr>
            </w:pPr>
            <w:r w:rsidRPr="00641A01">
              <w:rPr>
                <w:color w:val="000000"/>
              </w:rPr>
              <w:t>Costa Rica</w:t>
            </w:r>
          </w:p>
        </w:tc>
        <w:tc>
          <w:tcPr>
            <w:tcW w:w="1011" w:type="dxa"/>
            <w:tcBorders>
              <w:top w:val="nil"/>
              <w:left w:val="nil"/>
              <w:bottom w:val="nil"/>
              <w:right w:val="nil"/>
            </w:tcBorders>
            <w:shd w:val="clear" w:color="auto" w:fill="auto"/>
            <w:noWrap/>
            <w:hideMark/>
          </w:tcPr>
          <w:p w14:paraId="19F0EE58" w14:textId="77777777" w:rsidR="00EE6446" w:rsidRPr="00641A01" w:rsidRDefault="00EE6446" w:rsidP="00641A01">
            <w:pPr>
              <w:spacing w:line="360" w:lineRule="auto"/>
              <w:jc w:val="center"/>
              <w:rPr>
                <w:color w:val="000000"/>
              </w:rPr>
            </w:pPr>
            <w:r w:rsidRPr="00641A01">
              <w:rPr>
                <w:color w:val="000000"/>
              </w:rPr>
              <w:t>CRI</w:t>
            </w:r>
          </w:p>
        </w:tc>
        <w:tc>
          <w:tcPr>
            <w:tcW w:w="1011" w:type="dxa"/>
            <w:tcBorders>
              <w:top w:val="nil"/>
              <w:left w:val="nil"/>
              <w:bottom w:val="nil"/>
              <w:right w:val="nil"/>
            </w:tcBorders>
            <w:shd w:val="clear" w:color="auto" w:fill="auto"/>
            <w:noWrap/>
            <w:hideMark/>
          </w:tcPr>
          <w:p w14:paraId="4AF460C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C31EF6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2BA7AA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700BEB4" w14:textId="77777777" w:rsidR="00EE6446" w:rsidRPr="00641A01" w:rsidRDefault="00EE6446" w:rsidP="00641A01">
            <w:pPr>
              <w:spacing w:line="360" w:lineRule="auto"/>
              <w:jc w:val="center"/>
              <w:rPr>
                <w:color w:val="000000"/>
              </w:rPr>
            </w:pPr>
            <w:r w:rsidRPr="00641A01">
              <w:rPr>
                <w:color w:val="000000"/>
              </w:rPr>
              <w:t>24</w:t>
            </w:r>
          </w:p>
        </w:tc>
        <w:tc>
          <w:tcPr>
            <w:tcW w:w="2233" w:type="dxa"/>
            <w:tcBorders>
              <w:top w:val="nil"/>
              <w:left w:val="nil"/>
              <w:bottom w:val="nil"/>
              <w:right w:val="nil"/>
            </w:tcBorders>
            <w:shd w:val="clear" w:color="auto" w:fill="auto"/>
            <w:noWrap/>
            <w:hideMark/>
          </w:tcPr>
          <w:p w14:paraId="42A0A4EE" w14:textId="77777777" w:rsidR="00EE6446" w:rsidRPr="00641A01" w:rsidRDefault="00EE6446" w:rsidP="00641A01">
            <w:pPr>
              <w:tabs>
                <w:tab w:val="decimal" w:pos="943"/>
              </w:tabs>
              <w:spacing w:line="360" w:lineRule="auto"/>
              <w:rPr>
                <w:color w:val="000000"/>
              </w:rPr>
            </w:pPr>
            <w:r w:rsidRPr="00641A01">
              <w:rPr>
                <w:color w:val="000000"/>
              </w:rPr>
              <w:t>14.40</w:t>
            </w:r>
          </w:p>
        </w:tc>
        <w:tc>
          <w:tcPr>
            <w:tcW w:w="2233" w:type="dxa"/>
            <w:tcBorders>
              <w:top w:val="nil"/>
              <w:left w:val="nil"/>
              <w:bottom w:val="nil"/>
              <w:right w:val="nil"/>
            </w:tcBorders>
            <w:shd w:val="clear" w:color="auto" w:fill="auto"/>
            <w:noWrap/>
            <w:hideMark/>
          </w:tcPr>
          <w:p w14:paraId="27E41860" w14:textId="77777777" w:rsidR="00EE6446" w:rsidRPr="00641A01" w:rsidRDefault="00EE6446" w:rsidP="00641A01">
            <w:pPr>
              <w:tabs>
                <w:tab w:val="decimal" w:pos="943"/>
              </w:tabs>
              <w:spacing w:line="360" w:lineRule="auto"/>
              <w:rPr>
                <w:color w:val="000000"/>
              </w:rPr>
            </w:pPr>
            <w:r w:rsidRPr="00641A01">
              <w:rPr>
                <w:color w:val="000000"/>
              </w:rPr>
              <w:t>116.34</w:t>
            </w:r>
          </w:p>
        </w:tc>
      </w:tr>
      <w:tr w:rsidR="005B434B" w:rsidRPr="00641A01" w14:paraId="0319922A" w14:textId="77777777" w:rsidTr="00A637D6">
        <w:tc>
          <w:tcPr>
            <w:tcW w:w="3258" w:type="dxa"/>
            <w:tcBorders>
              <w:top w:val="nil"/>
              <w:left w:val="nil"/>
              <w:bottom w:val="nil"/>
              <w:right w:val="nil"/>
            </w:tcBorders>
            <w:shd w:val="clear" w:color="auto" w:fill="auto"/>
            <w:noWrap/>
            <w:hideMark/>
          </w:tcPr>
          <w:p w14:paraId="1E95E439" w14:textId="77777777" w:rsidR="00EE6446" w:rsidRPr="00641A01" w:rsidRDefault="00EE6446" w:rsidP="00641A01">
            <w:pPr>
              <w:spacing w:line="360" w:lineRule="auto"/>
              <w:jc w:val="center"/>
              <w:rPr>
                <w:color w:val="000000"/>
              </w:rPr>
            </w:pPr>
            <w:r w:rsidRPr="00641A01">
              <w:rPr>
                <w:color w:val="000000"/>
              </w:rPr>
              <w:t>Cuba</w:t>
            </w:r>
          </w:p>
        </w:tc>
        <w:tc>
          <w:tcPr>
            <w:tcW w:w="1011" w:type="dxa"/>
            <w:tcBorders>
              <w:top w:val="nil"/>
              <w:left w:val="nil"/>
              <w:bottom w:val="nil"/>
              <w:right w:val="nil"/>
            </w:tcBorders>
            <w:shd w:val="clear" w:color="auto" w:fill="auto"/>
            <w:noWrap/>
            <w:hideMark/>
          </w:tcPr>
          <w:p w14:paraId="77612D74" w14:textId="77777777" w:rsidR="00EE6446" w:rsidRPr="00641A01" w:rsidRDefault="00EE6446" w:rsidP="00641A01">
            <w:pPr>
              <w:spacing w:line="360" w:lineRule="auto"/>
              <w:jc w:val="center"/>
              <w:rPr>
                <w:color w:val="000000"/>
              </w:rPr>
            </w:pPr>
            <w:r w:rsidRPr="00641A01">
              <w:rPr>
                <w:color w:val="000000"/>
              </w:rPr>
              <w:t>CUB</w:t>
            </w:r>
          </w:p>
        </w:tc>
        <w:tc>
          <w:tcPr>
            <w:tcW w:w="1011" w:type="dxa"/>
            <w:tcBorders>
              <w:top w:val="nil"/>
              <w:left w:val="nil"/>
              <w:bottom w:val="nil"/>
              <w:right w:val="nil"/>
            </w:tcBorders>
            <w:shd w:val="clear" w:color="auto" w:fill="auto"/>
            <w:noWrap/>
            <w:hideMark/>
          </w:tcPr>
          <w:p w14:paraId="6619B7A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3A8172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28C181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3841E2A"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6E8610DD" w14:textId="77777777" w:rsidR="00EE6446" w:rsidRPr="00641A01" w:rsidRDefault="00EE6446" w:rsidP="00641A01">
            <w:pPr>
              <w:tabs>
                <w:tab w:val="decimal" w:pos="943"/>
              </w:tabs>
              <w:spacing w:line="360" w:lineRule="auto"/>
              <w:rPr>
                <w:color w:val="000000"/>
              </w:rPr>
            </w:pPr>
            <w:r w:rsidRPr="00641A01">
              <w:rPr>
                <w:color w:val="000000"/>
              </w:rPr>
              <w:t>3.36</w:t>
            </w:r>
          </w:p>
        </w:tc>
        <w:tc>
          <w:tcPr>
            <w:tcW w:w="2233" w:type="dxa"/>
            <w:tcBorders>
              <w:top w:val="nil"/>
              <w:left w:val="nil"/>
              <w:bottom w:val="nil"/>
              <w:right w:val="nil"/>
            </w:tcBorders>
            <w:shd w:val="clear" w:color="auto" w:fill="auto"/>
            <w:noWrap/>
            <w:hideMark/>
          </w:tcPr>
          <w:p w14:paraId="2841E5CC" w14:textId="77777777" w:rsidR="00EE6446" w:rsidRPr="00641A01" w:rsidRDefault="00EE6446" w:rsidP="00641A01">
            <w:pPr>
              <w:tabs>
                <w:tab w:val="decimal" w:pos="943"/>
              </w:tabs>
              <w:spacing w:line="360" w:lineRule="auto"/>
              <w:rPr>
                <w:color w:val="000000"/>
              </w:rPr>
            </w:pPr>
            <w:r w:rsidRPr="00641A01">
              <w:rPr>
                <w:color w:val="000000"/>
              </w:rPr>
              <w:t>46.91</w:t>
            </w:r>
          </w:p>
        </w:tc>
      </w:tr>
      <w:tr w:rsidR="005B434B" w:rsidRPr="00641A01" w14:paraId="629DFC15" w14:textId="77777777" w:rsidTr="00A637D6">
        <w:tc>
          <w:tcPr>
            <w:tcW w:w="3258" w:type="dxa"/>
            <w:tcBorders>
              <w:top w:val="nil"/>
              <w:left w:val="nil"/>
              <w:bottom w:val="nil"/>
              <w:right w:val="nil"/>
            </w:tcBorders>
            <w:shd w:val="clear" w:color="auto" w:fill="auto"/>
            <w:noWrap/>
            <w:hideMark/>
          </w:tcPr>
          <w:p w14:paraId="0708FA93" w14:textId="77777777" w:rsidR="00EE6446" w:rsidRPr="00641A01" w:rsidRDefault="00EE6446" w:rsidP="00641A01">
            <w:pPr>
              <w:spacing w:line="360" w:lineRule="auto"/>
              <w:jc w:val="center"/>
              <w:rPr>
                <w:color w:val="000000"/>
              </w:rPr>
            </w:pPr>
            <w:r w:rsidRPr="00641A01">
              <w:rPr>
                <w:color w:val="000000"/>
              </w:rPr>
              <w:t>Cyprus</w:t>
            </w:r>
          </w:p>
        </w:tc>
        <w:tc>
          <w:tcPr>
            <w:tcW w:w="1011" w:type="dxa"/>
            <w:tcBorders>
              <w:top w:val="nil"/>
              <w:left w:val="nil"/>
              <w:bottom w:val="nil"/>
              <w:right w:val="nil"/>
            </w:tcBorders>
            <w:shd w:val="clear" w:color="auto" w:fill="auto"/>
            <w:noWrap/>
            <w:hideMark/>
          </w:tcPr>
          <w:p w14:paraId="7E819E69" w14:textId="77777777" w:rsidR="00EE6446" w:rsidRPr="00641A01" w:rsidRDefault="00EE6446" w:rsidP="00641A01">
            <w:pPr>
              <w:spacing w:line="360" w:lineRule="auto"/>
              <w:jc w:val="center"/>
              <w:rPr>
                <w:color w:val="000000"/>
              </w:rPr>
            </w:pPr>
            <w:r w:rsidRPr="00641A01">
              <w:rPr>
                <w:color w:val="000000"/>
              </w:rPr>
              <w:t>CYP</w:t>
            </w:r>
          </w:p>
        </w:tc>
        <w:tc>
          <w:tcPr>
            <w:tcW w:w="1011" w:type="dxa"/>
            <w:tcBorders>
              <w:top w:val="nil"/>
              <w:left w:val="nil"/>
              <w:bottom w:val="nil"/>
              <w:right w:val="nil"/>
            </w:tcBorders>
            <w:shd w:val="clear" w:color="auto" w:fill="auto"/>
            <w:noWrap/>
            <w:hideMark/>
          </w:tcPr>
          <w:p w14:paraId="4DA71E2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F3C2D5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2A30E8F"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24725C24"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5245A2E6" w14:textId="77777777" w:rsidR="00EE6446" w:rsidRPr="00641A01" w:rsidRDefault="00EE6446" w:rsidP="00641A01">
            <w:pPr>
              <w:tabs>
                <w:tab w:val="decimal" w:pos="943"/>
              </w:tabs>
              <w:spacing w:line="360" w:lineRule="auto"/>
              <w:rPr>
                <w:color w:val="000000"/>
              </w:rPr>
            </w:pPr>
            <w:r w:rsidRPr="00641A01">
              <w:rPr>
                <w:color w:val="000000"/>
              </w:rPr>
              <w:t>0.71</w:t>
            </w:r>
          </w:p>
        </w:tc>
        <w:tc>
          <w:tcPr>
            <w:tcW w:w="2233" w:type="dxa"/>
            <w:tcBorders>
              <w:top w:val="nil"/>
              <w:left w:val="nil"/>
              <w:bottom w:val="nil"/>
              <w:right w:val="nil"/>
            </w:tcBorders>
            <w:shd w:val="clear" w:color="auto" w:fill="auto"/>
            <w:noWrap/>
            <w:hideMark/>
          </w:tcPr>
          <w:p w14:paraId="548738E1" w14:textId="77777777" w:rsidR="00EE6446" w:rsidRPr="00641A01" w:rsidRDefault="00EE6446" w:rsidP="00641A01">
            <w:pPr>
              <w:tabs>
                <w:tab w:val="decimal" w:pos="943"/>
              </w:tabs>
              <w:spacing w:line="360" w:lineRule="auto"/>
              <w:rPr>
                <w:color w:val="000000"/>
              </w:rPr>
            </w:pPr>
            <w:r w:rsidRPr="00641A01">
              <w:rPr>
                <w:color w:val="000000"/>
              </w:rPr>
              <w:t>4.92</w:t>
            </w:r>
          </w:p>
        </w:tc>
      </w:tr>
      <w:tr w:rsidR="005B434B" w:rsidRPr="00641A01" w14:paraId="60A3DB92" w14:textId="77777777" w:rsidTr="00A637D6">
        <w:tc>
          <w:tcPr>
            <w:tcW w:w="3258" w:type="dxa"/>
            <w:tcBorders>
              <w:top w:val="nil"/>
              <w:left w:val="nil"/>
              <w:bottom w:val="nil"/>
              <w:right w:val="nil"/>
            </w:tcBorders>
            <w:shd w:val="clear" w:color="auto" w:fill="auto"/>
            <w:noWrap/>
            <w:hideMark/>
          </w:tcPr>
          <w:p w14:paraId="61DCA47E" w14:textId="77777777" w:rsidR="00EE6446" w:rsidRPr="00641A01" w:rsidRDefault="00EE6446" w:rsidP="00641A01">
            <w:pPr>
              <w:spacing w:line="360" w:lineRule="auto"/>
              <w:jc w:val="center"/>
              <w:rPr>
                <w:color w:val="000000"/>
              </w:rPr>
            </w:pPr>
            <w:r w:rsidRPr="00641A01">
              <w:rPr>
                <w:color w:val="000000"/>
              </w:rPr>
              <w:t>Czech Republic</w:t>
            </w:r>
          </w:p>
        </w:tc>
        <w:tc>
          <w:tcPr>
            <w:tcW w:w="1011" w:type="dxa"/>
            <w:tcBorders>
              <w:top w:val="nil"/>
              <w:left w:val="nil"/>
              <w:bottom w:val="nil"/>
              <w:right w:val="nil"/>
            </w:tcBorders>
            <w:shd w:val="clear" w:color="auto" w:fill="auto"/>
            <w:noWrap/>
            <w:hideMark/>
          </w:tcPr>
          <w:p w14:paraId="689F6112" w14:textId="77777777" w:rsidR="00EE6446" w:rsidRPr="00641A01" w:rsidRDefault="00EE6446" w:rsidP="00641A01">
            <w:pPr>
              <w:spacing w:line="360" w:lineRule="auto"/>
              <w:jc w:val="center"/>
              <w:rPr>
                <w:color w:val="000000"/>
              </w:rPr>
            </w:pPr>
            <w:r w:rsidRPr="00641A01">
              <w:rPr>
                <w:color w:val="000000"/>
              </w:rPr>
              <w:t>CZE</w:t>
            </w:r>
          </w:p>
        </w:tc>
        <w:tc>
          <w:tcPr>
            <w:tcW w:w="1011" w:type="dxa"/>
            <w:tcBorders>
              <w:top w:val="nil"/>
              <w:left w:val="nil"/>
              <w:bottom w:val="nil"/>
              <w:right w:val="nil"/>
            </w:tcBorders>
            <w:shd w:val="clear" w:color="auto" w:fill="auto"/>
            <w:noWrap/>
            <w:hideMark/>
          </w:tcPr>
          <w:p w14:paraId="455BCD9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DEA58AA"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25870E9"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25F07DED"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161BBA6D" w14:textId="77777777" w:rsidR="00EE6446" w:rsidRPr="00641A01" w:rsidRDefault="00EE6446" w:rsidP="00641A01">
            <w:pPr>
              <w:tabs>
                <w:tab w:val="decimal" w:pos="943"/>
              </w:tabs>
              <w:spacing w:line="360" w:lineRule="auto"/>
              <w:rPr>
                <w:color w:val="000000"/>
              </w:rPr>
            </w:pPr>
            <w:r w:rsidRPr="00641A01">
              <w:rPr>
                <w:color w:val="000000"/>
              </w:rPr>
              <w:t>6.09</w:t>
            </w:r>
          </w:p>
        </w:tc>
        <w:tc>
          <w:tcPr>
            <w:tcW w:w="2233" w:type="dxa"/>
            <w:tcBorders>
              <w:top w:val="nil"/>
              <w:left w:val="nil"/>
              <w:bottom w:val="nil"/>
              <w:right w:val="nil"/>
            </w:tcBorders>
            <w:shd w:val="clear" w:color="auto" w:fill="auto"/>
            <w:noWrap/>
            <w:hideMark/>
          </w:tcPr>
          <w:p w14:paraId="40CBAC75" w14:textId="77777777" w:rsidR="00EE6446" w:rsidRPr="00641A01" w:rsidRDefault="00EE6446" w:rsidP="00641A01">
            <w:pPr>
              <w:tabs>
                <w:tab w:val="decimal" w:pos="943"/>
              </w:tabs>
              <w:spacing w:line="360" w:lineRule="auto"/>
              <w:rPr>
                <w:color w:val="000000"/>
              </w:rPr>
            </w:pPr>
            <w:r w:rsidRPr="00641A01">
              <w:rPr>
                <w:color w:val="000000"/>
              </w:rPr>
              <w:t>78.76</w:t>
            </w:r>
          </w:p>
        </w:tc>
      </w:tr>
      <w:tr w:rsidR="005B434B" w:rsidRPr="00641A01" w14:paraId="6329980D" w14:textId="77777777" w:rsidTr="00A637D6">
        <w:tc>
          <w:tcPr>
            <w:tcW w:w="3258" w:type="dxa"/>
            <w:tcBorders>
              <w:top w:val="nil"/>
              <w:left w:val="nil"/>
              <w:bottom w:val="nil"/>
              <w:right w:val="nil"/>
            </w:tcBorders>
            <w:shd w:val="clear" w:color="auto" w:fill="auto"/>
            <w:noWrap/>
            <w:hideMark/>
          </w:tcPr>
          <w:p w14:paraId="092B4C6E" w14:textId="77777777" w:rsidR="00EE6446" w:rsidRPr="00641A01" w:rsidRDefault="00EE6446" w:rsidP="00641A01">
            <w:pPr>
              <w:spacing w:line="360" w:lineRule="auto"/>
              <w:jc w:val="center"/>
              <w:rPr>
                <w:color w:val="000000"/>
              </w:rPr>
            </w:pPr>
            <w:r w:rsidRPr="00641A01">
              <w:rPr>
                <w:color w:val="000000"/>
              </w:rPr>
              <w:t>Germany</w:t>
            </w:r>
          </w:p>
        </w:tc>
        <w:tc>
          <w:tcPr>
            <w:tcW w:w="1011" w:type="dxa"/>
            <w:tcBorders>
              <w:top w:val="nil"/>
              <w:left w:val="nil"/>
              <w:bottom w:val="nil"/>
              <w:right w:val="nil"/>
            </w:tcBorders>
            <w:shd w:val="clear" w:color="auto" w:fill="auto"/>
            <w:noWrap/>
            <w:hideMark/>
          </w:tcPr>
          <w:p w14:paraId="5D1FCA03" w14:textId="77777777" w:rsidR="00EE6446" w:rsidRPr="00641A01" w:rsidRDefault="00EE6446" w:rsidP="00641A01">
            <w:pPr>
              <w:spacing w:line="360" w:lineRule="auto"/>
              <w:jc w:val="center"/>
              <w:rPr>
                <w:color w:val="000000"/>
              </w:rPr>
            </w:pPr>
            <w:r w:rsidRPr="00641A01">
              <w:rPr>
                <w:color w:val="000000"/>
              </w:rPr>
              <w:t>DEU</w:t>
            </w:r>
          </w:p>
        </w:tc>
        <w:tc>
          <w:tcPr>
            <w:tcW w:w="1011" w:type="dxa"/>
            <w:tcBorders>
              <w:top w:val="nil"/>
              <w:left w:val="nil"/>
              <w:bottom w:val="nil"/>
              <w:right w:val="nil"/>
            </w:tcBorders>
            <w:shd w:val="clear" w:color="auto" w:fill="auto"/>
            <w:noWrap/>
            <w:hideMark/>
          </w:tcPr>
          <w:p w14:paraId="2795BBD1"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36531BE4"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D61C0F0"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1A337921" w14:textId="77777777" w:rsidR="00EE6446" w:rsidRPr="00641A01" w:rsidRDefault="00EE6446" w:rsidP="00641A01">
            <w:pPr>
              <w:spacing w:line="360" w:lineRule="auto"/>
              <w:jc w:val="center"/>
              <w:rPr>
                <w:color w:val="000000"/>
              </w:rPr>
            </w:pPr>
            <w:r w:rsidRPr="00641A01">
              <w:rPr>
                <w:color w:val="000000"/>
              </w:rPr>
              <w:t>18</w:t>
            </w:r>
          </w:p>
        </w:tc>
        <w:tc>
          <w:tcPr>
            <w:tcW w:w="2233" w:type="dxa"/>
            <w:tcBorders>
              <w:top w:val="nil"/>
              <w:left w:val="nil"/>
              <w:bottom w:val="nil"/>
              <w:right w:val="nil"/>
            </w:tcBorders>
            <w:shd w:val="clear" w:color="auto" w:fill="auto"/>
            <w:noWrap/>
            <w:hideMark/>
          </w:tcPr>
          <w:p w14:paraId="43BA9478" w14:textId="77777777" w:rsidR="00EE6446" w:rsidRPr="00641A01" w:rsidRDefault="00EE6446" w:rsidP="00641A01">
            <w:pPr>
              <w:tabs>
                <w:tab w:val="decimal" w:pos="943"/>
              </w:tabs>
              <w:spacing w:line="360" w:lineRule="auto"/>
              <w:rPr>
                <w:color w:val="000000"/>
              </w:rPr>
            </w:pPr>
            <w:r w:rsidRPr="00641A01">
              <w:rPr>
                <w:color w:val="000000"/>
              </w:rPr>
              <w:t>15.03</w:t>
            </w:r>
          </w:p>
        </w:tc>
        <w:tc>
          <w:tcPr>
            <w:tcW w:w="2233" w:type="dxa"/>
            <w:tcBorders>
              <w:top w:val="nil"/>
              <w:left w:val="nil"/>
              <w:bottom w:val="nil"/>
              <w:right w:val="nil"/>
            </w:tcBorders>
            <w:shd w:val="clear" w:color="auto" w:fill="auto"/>
            <w:noWrap/>
            <w:hideMark/>
          </w:tcPr>
          <w:p w14:paraId="67DEA33F" w14:textId="77777777" w:rsidR="00EE6446" w:rsidRPr="00641A01" w:rsidRDefault="00EE6446" w:rsidP="00641A01">
            <w:pPr>
              <w:tabs>
                <w:tab w:val="decimal" w:pos="943"/>
              </w:tabs>
              <w:spacing w:line="360" w:lineRule="auto"/>
              <w:rPr>
                <w:color w:val="000000"/>
              </w:rPr>
            </w:pPr>
            <w:r w:rsidRPr="00641A01">
              <w:rPr>
                <w:color w:val="000000"/>
              </w:rPr>
              <w:t>163.00</w:t>
            </w:r>
          </w:p>
        </w:tc>
      </w:tr>
      <w:tr w:rsidR="005B434B" w:rsidRPr="00641A01" w14:paraId="44C8E1E9" w14:textId="77777777" w:rsidTr="00A637D6">
        <w:tc>
          <w:tcPr>
            <w:tcW w:w="3258" w:type="dxa"/>
            <w:tcBorders>
              <w:top w:val="nil"/>
              <w:left w:val="nil"/>
              <w:bottom w:val="nil"/>
              <w:right w:val="nil"/>
            </w:tcBorders>
            <w:shd w:val="clear" w:color="auto" w:fill="auto"/>
            <w:noWrap/>
            <w:hideMark/>
          </w:tcPr>
          <w:p w14:paraId="4DBB27B4" w14:textId="77777777" w:rsidR="00EE6446" w:rsidRPr="00641A01" w:rsidRDefault="00EE6446" w:rsidP="00641A01">
            <w:pPr>
              <w:spacing w:line="360" w:lineRule="auto"/>
              <w:jc w:val="center"/>
              <w:rPr>
                <w:color w:val="000000"/>
              </w:rPr>
            </w:pPr>
            <w:r w:rsidRPr="00641A01">
              <w:rPr>
                <w:color w:val="000000"/>
              </w:rPr>
              <w:t>Djibouti</w:t>
            </w:r>
          </w:p>
        </w:tc>
        <w:tc>
          <w:tcPr>
            <w:tcW w:w="1011" w:type="dxa"/>
            <w:tcBorders>
              <w:top w:val="nil"/>
              <w:left w:val="nil"/>
              <w:bottom w:val="nil"/>
              <w:right w:val="nil"/>
            </w:tcBorders>
            <w:shd w:val="clear" w:color="auto" w:fill="auto"/>
            <w:noWrap/>
            <w:hideMark/>
          </w:tcPr>
          <w:p w14:paraId="1FEEFD55" w14:textId="77777777" w:rsidR="00EE6446" w:rsidRPr="00641A01" w:rsidRDefault="00EE6446" w:rsidP="00641A01">
            <w:pPr>
              <w:spacing w:line="360" w:lineRule="auto"/>
              <w:jc w:val="center"/>
              <w:rPr>
                <w:color w:val="000000"/>
              </w:rPr>
            </w:pPr>
            <w:r w:rsidRPr="00641A01">
              <w:rPr>
                <w:color w:val="000000"/>
              </w:rPr>
              <w:t>DJI</w:t>
            </w:r>
          </w:p>
        </w:tc>
        <w:tc>
          <w:tcPr>
            <w:tcW w:w="1011" w:type="dxa"/>
            <w:tcBorders>
              <w:top w:val="nil"/>
              <w:left w:val="nil"/>
              <w:bottom w:val="nil"/>
              <w:right w:val="nil"/>
            </w:tcBorders>
            <w:shd w:val="clear" w:color="auto" w:fill="auto"/>
            <w:noWrap/>
            <w:hideMark/>
          </w:tcPr>
          <w:p w14:paraId="2E7970A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3E3C18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383885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811816F"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529F82BF" w14:textId="77777777" w:rsidR="00EE6446" w:rsidRPr="00641A01" w:rsidRDefault="00EE6446" w:rsidP="00641A01">
            <w:pPr>
              <w:tabs>
                <w:tab w:val="decimal" w:pos="943"/>
              </w:tabs>
              <w:spacing w:line="360" w:lineRule="auto"/>
              <w:rPr>
                <w:color w:val="000000"/>
              </w:rPr>
            </w:pPr>
            <w:r w:rsidRPr="00641A01">
              <w:rPr>
                <w:color w:val="000000"/>
              </w:rPr>
              <w:t>2.65</w:t>
            </w:r>
          </w:p>
        </w:tc>
        <w:tc>
          <w:tcPr>
            <w:tcW w:w="2233" w:type="dxa"/>
            <w:tcBorders>
              <w:top w:val="nil"/>
              <w:left w:val="nil"/>
              <w:bottom w:val="nil"/>
              <w:right w:val="nil"/>
            </w:tcBorders>
            <w:shd w:val="clear" w:color="auto" w:fill="auto"/>
            <w:noWrap/>
            <w:hideMark/>
          </w:tcPr>
          <w:p w14:paraId="4C67CA4E" w14:textId="77777777" w:rsidR="00EE6446" w:rsidRPr="00641A01" w:rsidRDefault="00EE6446" w:rsidP="00641A01">
            <w:pPr>
              <w:tabs>
                <w:tab w:val="decimal" w:pos="943"/>
              </w:tabs>
              <w:spacing w:line="360" w:lineRule="auto"/>
              <w:rPr>
                <w:color w:val="000000"/>
              </w:rPr>
            </w:pPr>
            <w:r w:rsidRPr="00641A01">
              <w:rPr>
                <w:color w:val="000000"/>
              </w:rPr>
              <w:t>28.08</w:t>
            </w:r>
          </w:p>
        </w:tc>
      </w:tr>
      <w:tr w:rsidR="005B434B" w:rsidRPr="00641A01" w14:paraId="2C82F185" w14:textId="77777777" w:rsidTr="00A637D6">
        <w:tc>
          <w:tcPr>
            <w:tcW w:w="3258" w:type="dxa"/>
            <w:tcBorders>
              <w:top w:val="nil"/>
              <w:left w:val="nil"/>
              <w:bottom w:val="nil"/>
              <w:right w:val="nil"/>
            </w:tcBorders>
            <w:shd w:val="clear" w:color="auto" w:fill="auto"/>
            <w:noWrap/>
            <w:hideMark/>
          </w:tcPr>
          <w:p w14:paraId="698F7DBC" w14:textId="77777777" w:rsidR="00EE6446" w:rsidRPr="00641A01" w:rsidRDefault="00EE6446" w:rsidP="00641A01">
            <w:pPr>
              <w:spacing w:line="360" w:lineRule="auto"/>
              <w:jc w:val="center"/>
              <w:rPr>
                <w:color w:val="000000"/>
              </w:rPr>
            </w:pPr>
            <w:r w:rsidRPr="00641A01">
              <w:rPr>
                <w:color w:val="000000"/>
              </w:rPr>
              <w:t>Dominica</w:t>
            </w:r>
          </w:p>
        </w:tc>
        <w:tc>
          <w:tcPr>
            <w:tcW w:w="1011" w:type="dxa"/>
            <w:tcBorders>
              <w:top w:val="nil"/>
              <w:left w:val="nil"/>
              <w:bottom w:val="nil"/>
              <w:right w:val="nil"/>
            </w:tcBorders>
            <w:shd w:val="clear" w:color="auto" w:fill="auto"/>
            <w:noWrap/>
            <w:hideMark/>
          </w:tcPr>
          <w:p w14:paraId="40D78A2F" w14:textId="77777777" w:rsidR="00EE6446" w:rsidRPr="00641A01" w:rsidRDefault="00EE6446" w:rsidP="00641A01">
            <w:pPr>
              <w:spacing w:line="360" w:lineRule="auto"/>
              <w:jc w:val="center"/>
              <w:rPr>
                <w:color w:val="000000"/>
              </w:rPr>
            </w:pPr>
            <w:r w:rsidRPr="00641A01">
              <w:rPr>
                <w:color w:val="000000"/>
              </w:rPr>
              <w:t>DMA</w:t>
            </w:r>
          </w:p>
        </w:tc>
        <w:tc>
          <w:tcPr>
            <w:tcW w:w="1011" w:type="dxa"/>
            <w:tcBorders>
              <w:top w:val="nil"/>
              <w:left w:val="nil"/>
              <w:bottom w:val="nil"/>
              <w:right w:val="nil"/>
            </w:tcBorders>
            <w:shd w:val="clear" w:color="auto" w:fill="auto"/>
            <w:noWrap/>
            <w:hideMark/>
          </w:tcPr>
          <w:p w14:paraId="27DD14B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76FF8E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DABD87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49CD37B"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1F69E5A2" w14:textId="77777777" w:rsidR="00EE6446" w:rsidRPr="00641A01" w:rsidRDefault="00EE6446" w:rsidP="00641A01">
            <w:pPr>
              <w:tabs>
                <w:tab w:val="decimal" w:pos="943"/>
              </w:tabs>
              <w:spacing w:line="360" w:lineRule="auto"/>
              <w:rPr>
                <w:color w:val="000000"/>
              </w:rPr>
            </w:pPr>
            <w:r w:rsidRPr="00641A01">
              <w:rPr>
                <w:color w:val="000000"/>
              </w:rPr>
              <w:t>3.10</w:t>
            </w:r>
          </w:p>
        </w:tc>
        <w:tc>
          <w:tcPr>
            <w:tcW w:w="2233" w:type="dxa"/>
            <w:tcBorders>
              <w:top w:val="nil"/>
              <w:left w:val="nil"/>
              <w:bottom w:val="nil"/>
              <w:right w:val="nil"/>
            </w:tcBorders>
            <w:shd w:val="clear" w:color="auto" w:fill="auto"/>
            <w:noWrap/>
            <w:hideMark/>
          </w:tcPr>
          <w:p w14:paraId="3C9B4A6C" w14:textId="77777777" w:rsidR="00EE6446" w:rsidRPr="00641A01" w:rsidRDefault="00EE6446" w:rsidP="00641A01">
            <w:pPr>
              <w:tabs>
                <w:tab w:val="decimal" w:pos="943"/>
              </w:tabs>
              <w:spacing w:line="360" w:lineRule="auto"/>
              <w:rPr>
                <w:color w:val="000000"/>
              </w:rPr>
            </w:pPr>
            <w:r w:rsidRPr="00641A01">
              <w:rPr>
                <w:color w:val="000000"/>
              </w:rPr>
              <w:t>26.58</w:t>
            </w:r>
          </w:p>
        </w:tc>
      </w:tr>
      <w:tr w:rsidR="005B434B" w:rsidRPr="00641A01" w14:paraId="54862157" w14:textId="77777777" w:rsidTr="00A637D6">
        <w:tc>
          <w:tcPr>
            <w:tcW w:w="3258" w:type="dxa"/>
            <w:tcBorders>
              <w:top w:val="nil"/>
              <w:left w:val="nil"/>
              <w:bottom w:val="nil"/>
              <w:right w:val="nil"/>
            </w:tcBorders>
            <w:shd w:val="clear" w:color="auto" w:fill="auto"/>
            <w:noWrap/>
            <w:hideMark/>
          </w:tcPr>
          <w:p w14:paraId="36783E74" w14:textId="77777777" w:rsidR="00EE6446" w:rsidRPr="00641A01" w:rsidRDefault="00EE6446" w:rsidP="00641A01">
            <w:pPr>
              <w:spacing w:line="360" w:lineRule="auto"/>
              <w:jc w:val="center"/>
              <w:rPr>
                <w:color w:val="000000"/>
              </w:rPr>
            </w:pPr>
            <w:r w:rsidRPr="00641A01">
              <w:rPr>
                <w:color w:val="000000"/>
              </w:rPr>
              <w:t>Denmark</w:t>
            </w:r>
          </w:p>
        </w:tc>
        <w:tc>
          <w:tcPr>
            <w:tcW w:w="1011" w:type="dxa"/>
            <w:tcBorders>
              <w:top w:val="nil"/>
              <w:left w:val="nil"/>
              <w:bottom w:val="nil"/>
              <w:right w:val="nil"/>
            </w:tcBorders>
            <w:shd w:val="clear" w:color="auto" w:fill="auto"/>
            <w:noWrap/>
            <w:hideMark/>
          </w:tcPr>
          <w:p w14:paraId="3E00B864" w14:textId="77777777" w:rsidR="00EE6446" w:rsidRPr="00641A01" w:rsidRDefault="00EE6446" w:rsidP="00641A01">
            <w:pPr>
              <w:spacing w:line="360" w:lineRule="auto"/>
              <w:jc w:val="center"/>
              <w:rPr>
                <w:color w:val="000000"/>
              </w:rPr>
            </w:pPr>
            <w:r w:rsidRPr="00641A01">
              <w:rPr>
                <w:color w:val="000000"/>
              </w:rPr>
              <w:t>DNK</w:t>
            </w:r>
          </w:p>
        </w:tc>
        <w:tc>
          <w:tcPr>
            <w:tcW w:w="1011" w:type="dxa"/>
            <w:tcBorders>
              <w:top w:val="nil"/>
              <w:left w:val="nil"/>
              <w:bottom w:val="nil"/>
              <w:right w:val="nil"/>
            </w:tcBorders>
            <w:shd w:val="clear" w:color="auto" w:fill="auto"/>
            <w:noWrap/>
            <w:hideMark/>
          </w:tcPr>
          <w:p w14:paraId="3CAE9C6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1B337F2"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376038D"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0172FA63"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32FC6A5A" w14:textId="77777777" w:rsidR="00EE6446" w:rsidRPr="00641A01" w:rsidRDefault="00EE6446" w:rsidP="00641A01">
            <w:pPr>
              <w:tabs>
                <w:tab w:val="decimal" w:pos="943"/>
              </w:tabs>
              <w:spacing w:line="360" w:lineRule="auto"/>
              <w:rPr>
                <w:color w:val="000000"/>
              </w:rPr>
            </w:pPr>
            <w:r w:rsidRPr="00641A01">
              <w:rPr>
                <w:color w:val="000000"/>
              </w:rPr>
              <w:t>10.70</w:t>
            </w:r>
          </w:p>
        </w:tc>
        <w:tc>
          <w:tcPr>
            <w:tcW w:w="2233" w:type="dxa"/>
            <w:tcBorders>
              <w:top w:val="nil"/>
              <w:left w:val="nil"/>
              <w:bottom w:val="nil"/>
              <w:right w:val="nil"/>
            </w:tcBorders>
            <w:shd w:val="clear" w:color="auto" w:fill="auto"/>
            <w:noWrap/>
            <w:hideMark/>
          </w:tcPr>
          <w:p w14:paraId="1888D5FE" w14:textId="77777777" w:rsidR="00EE6446" w:rsidRPr="00641A01" w:rsidRDefault="00EE6446" w:rsidP="00641A01">
            <w:pPr>
              <w:tabs>
                <w:tab w:val="decimal" w:pos="943"/>
              </w:tabs>
              <w:spacing w:line="360" w:lineRule="auto"/>
              <w:rPr>
                <w:color w:val="000000"/>
              </w:rPr>
            </w:pPr>
            <w:r w:rsidRPr="00641A01">
              <w:rPr>
                <w:color w:val="000000"/>
              </w:rPr>
              <w:t>139.93</w:t>
            </w:r>
          </w:p>
        </w:tc>
      </w:tr>
      <w:tr w:rsidR="005B434B" w:rsidRPr="00641A01" w14:paraId="43A74542" w14:textId="77777777" w:rsidTr="00A637D6">
        <w:tc>
          <w:tcPr>
            <w:tcW w:w="3258" w:type="dxa"/>
            <w:tcBorders>
              <w:top w:val="nil"/>
              <w:left w:val="nil"/>
              <w:bottom w:val="nil"/>
              <w:right w:val="nil"/>
            </w:tcBorders>
            <w:shd w:val="clear" w:color="auto" w:fill="auto"/>
            <w:noWrap/>
            <w:hideMark/>
          </w:tcPr>
          <w:p w14:paraId="38B9E14F" w14:textId="77777777" w:rsidR="00EE6446" w:rsidRPr="00641A01" w:rsidRDefault="00EE6446" w:rsidP="00641A01">
            <w:pPr>
              <w:spacing w:line="360" w:lineRule="auto"/>
              <w:jc w:val="center"/>
              <w:rPr>
                <w:color w:val="000000"/>
              </w:rPr>
            </w:pPr>
            <w:r w:rsidRPr="00641A01">
              <w:rPr>
                <w:color w:val="000000"/>
              </w:rPr>
              <w:t>Dominican Republic</w:t>
            </w:r>
          </w:p>
        </w:tc>
        <w:tc>
          <w:tcPr>
            <w:tcW w:w="1011" w:type="dxa"/>
            <w:tcBorders>
              <w:top w:val="nil"/>
              <w:left w:val="nil"/>
              <w:bottom w:val="nil"/>
              <w:right w:val="nil"/>
            </w:tcBorders>
            <w:shd w:val="clear" w:color="auto" w:fill="auto"/>
            <w:noWrap/>
            <w:hideMark/>
          </w:tcPr>
          <w:p w14:paraId="4E0555A3" w14:textId="77777777" w:rsidR="00EE6446" w:rsidRPr="00641A01" w:rsidRDefault="00EE6446" w:rsidP="00641A01">
            <w:pPr>
              <w:spacing w:line="360" w:lineRule="auto"/>
              <w:jc w:val="center"/>
              <w:rPr>
                <w:color w:val="000000"/>
              </w:rPr>
            </w:pPr>
            <w:r w:rsidRPr="00641A01">
              <w:rPr>
                <w:color w:val="000000"/>
              </w:rPr>
              <w:t>DOM</w:t>
            </w:r>
          </w:p>
        </w:tc>
        <w:tc>
          <w:tcPr>
            <w:tcW w:w="1011" w:type="dxa"/>
            <w:tcBorders>
              <w:top w:val="nil"/>
              <w:left w:val="nil"/>
              <w:bottom w:val="nil"/>
              <w:right w:val="nil"/>
            </w:tcBorders>
            <w:shd w:val="clear" w:color="auto" w:fill="auto"/>
            <w:noWrap/>
            <w:hideMark/>
          </w:tcPr>
          <w:p w14:paraId="3DB3220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C2E7D1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E823E9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5A8E3A7"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5B32569B" w14:textId="77777777" w:rsidR="00EE6446" w:rsidRPr="00641A01" w:rsidRDefault="00EE6446" w:rsidP="00641A01">
            <w:pPr>
              <w:tabs>
                <w:tab w:val="decimal" w:pos="943"/>
              </w:tabs>
              <w:spacing w:line="360" w:lineRule="auto"/>
              <w:rPr>
                <w:color w:val="000000"/>
              </w:rPr>
            </w:pPr>
            <w:r w:rsidRPr="00641A01">
              <w:rPr>
                <w:color w:val="000000"/>
              </w:rPr>
              <w:t>3.82</w:t>
            </w:r>
          </w:p>
        </w:tc>
        <w:tc>
          <w:tcPr>
            <w:tcW w:w="2233" w:type="dxa"/>
            <w:tcBorders>
              <w:top w:val="nil"/>
              <w:left w:val="nil"/>
              <w:bottom w:val="nil"/>
              <w:right w:val="nil"/>
            </w:tcBorders>
            <w:shd w:val="clear" w:color="auto" w:fill="auto"/>
            <w:noWrap/>
            <w:hideMark/>
          </w:tcPr>
          <w:p w14:paraId="35316974" w14:textId="77777777" w:rsidR="00EE6446" w:rsidRPr="00641A01" w:rsidRDefault="00EE6446" w:rsidP="00641A01">
            <w:pPr>
              <w:tabs>
                <w:tab w:val="decimal" w:pos="943"/>
              </w:tabs>
              <w:spacing w:line="360" w:lineRule="auto"/>
              <w:rPr>
                <w:color w:val="000000"/>
              </w:rPr>
            </w:pPr>
            <w:r w:rsidRPr="00641A01">
              <w:rPr>
                <w:color w:val="000000"/>
              </w:rPr>
              <w:t>43.95</w:t>
            </w:r>
          </w:p>
        </w:tc>
      </w:tr>
      <w:tr w:rsidR="005B434B" w:rsidRPr="00641A01" w14:paraId="3DF83F64" w14:textId="77777777" w:rsidTr="00A637D6">
        <w:tc>
          <w:tcPr>
            <w:tcW w:w="3258" w:type="dxa"/>
            <w:tcBorders>
              <w:top w:val="nil"/>
              <w:left w:val="nil"/>
              <w:bottom w:val="nil"/>
              <w:right w:val="nil"/>
            </w:tcBorders>
            <w:shd w:val="clear" w:color="auto" w:fill="auto"/>
            <w:noWrap/>
            <w:hideMark/>
          </w:tcPr>
          <w:p w14:paraId="0318BEB6" w14:textId="77777777" w:rsidR="00EE6446" w:rsidRPr="00641A01" w:rsidRDefault="00EE6446" w:rsidP="00641A01">
            <w:pPr>
              <w:spacing w:line="360" w:lineRule="auto"/>
              <w:jc w:val="center"/>
              <w:rPr>
                <w:color w:val="000000"/>
              </w:rPr>
            </w:pPr>
            <w:r w:rsidRPr="00641A01">
              <w:rPr>
                <w:color w:val="000000"/>
              </w:rPr>
              <w:t>Algeria</w:t>
            </w:r>
          </w:p>
        </w:tc>
        <w:tc>
          <w:tcPr>
            <w:tcW w:w="1011" w:type="dxa"/>
            <w:tcBorders>
              <w:top w:val="nil"/>
              <w:left w:val="nil"/>
              <w:bottom w:val="nil"/>
              <w:right w:val="nil"/>
            </w:tcBorders>
            <w:shd w:val="clear" w:color="auto" w:fill="auto"/>
            <w:noWrap/>
            <w:hideMark/>
          </w:tcPr>
          <w:p w14:paraId="6758F567" w14:textId="77777777" w:rsidR="00EE6446" w:rsidRPr="00641A01" w:rsidRDefault="00EE6446" w:rsidP="00641A01">
            <w:pPr>
              <w:spacing w:line="360" w:lineRule="auto"/>
              <w:jc w:val="center"/>
              <w:rPr>
                <w:color w:val="000000"/>
              </w:rPr>
            </w:pPr>
            <w:r w:rsidRPr="00641A01">
              <w:rPr>
                <w:color w:val="000000"/>
              </w:rPr>
              <w:t>DZA</w:t>
            </w:r>
          </w:p>
        </w:tc>
        <w:tc>
          <w:tcPr>
            <w:tcW w:w="1011" w:type="dxa"/>
            <w:tcBorders>
              <w:top w:val="nil"/>
              <w:left w:val="nil"/>
              <w:bottom w:val="nil"/>
              <w:right w:val="nil"/>
            </w:tcBorders>
            <w:shd w:val="clear" w:color="auto" w:fill="auto"/>
            <w:noWrap/>
            <w:hideMark/>
          </w:tcPr>
          <w:p w14:paraId="5ACB4D7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468491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FC8D64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6D1B40C" w14:textId="77777777" w:rsidR="00EE6446" w:rsidRPr="00641A01" w:rsidRDefault="00EE6446" w:rsidP="00641A01">
            <w:pPr>
              <w:spacing w:line="360" w:lineRule="auto"/>
              <w:jc w:val="center"/>
              <w:rPr>
                <w:color w:val="000000"/>
              </w:rPr>
            </w:pPr>
            <w:r w:rsidRPr="00641A01">
              <w:rPr>
                <w:color w:val="000000"/>
              </w:rPr>
              <w:t>13</w:t>
            </w:r>
          </w:p>
        </w:tc>
        <w:tc>
          <w:tcPr>
            <w:tcW w:w="2233" w:type="dxa"/>
            <w:tcBorders>
              <w:top w:val="nil"/>
              <w:left w:val="nil"/>
              <w:bottom w:val="nil"/>
              <w:right w:val="nil"/>
            </w:tcBorders>
            <w:shd w:val="clear" w:color="auto" w:fill="auto"/>
            <w:noWrap/>
            <w:hideMark/>
          </w:tcPr>
          <w:p w14:paraId="35F4D7D9" w14:textId="77777777" w:rsidR="00EE6446" w:rsidRPr="00641A01" w:rsidRDefault="00EE6446" w:rsidP="00641A01">
            <w:pPr>
              <w:tabs>
                <w:tab w:val="decimal" w:pos="943"/>
              </w:tabs>
              <w:spacing w:line="360" w:lineRule="auto"/>
              <w:rPr>
                <w:color w:val="000000"/>
              </w:rPr>
            </w:pPr>
            <w:r w:rsidRPr="00641A01">
              <w:rPr>
                <w:color w:val="000000"/>
              </w:rPr>
              <w:t>4.63</w:t>
            </w:r>
          </w:p>
        </w:tc>
        <w:tc>
          <w:tcPr>
            <w:tcW w:w="2233" w:type="dxa"/>
            <w:tcBorders>
              <w:top w:val="nil"/>
              <w:left w:val="nil"/>
              <w:bottom w:val="nil"/>
              <w:right w:val="nil"/>
            </w:tcBorders>
            <w:shd w:val="clear" w:color="auto" w:fill="auto"/>
            <w:noWrap/>
            <w:hideMark/>
          </w:tcPr>
          <w:p w14:paraId="0D096F1C" w14:textId="77777777" w:rsidR="00EE6446" w:rsidRPr="00641A01" w:rsidRDefault="00EE6446" w:rsidP="00641A01">
            <w:pPr>
              <w:tabs>
                <w:tab w:val="decimal" w:pos="943"/>
              </w:tabs>
              <w:spacing w:line="360" w:lineRule="auto"/>
              <w:rPr>
                <w:color w:val="000000"/>
              </w:rPr>
            </w:pPr>
            <w:r w:rsidRPr="00641A01">
              <w:rPr>
                <w:color w:val="000000"/>
              </w:rPr>
              <w:t>54.79</w:t>
            </w:r>
          </w:p>
        </w:tc>
      </w:tr>
      <w:tr w:rsidR="005B434B" w:rsidRPr="00641A01" w14:paraId="49F130AC" w14:textId="77777777" w:rsidTr="00A637D6">
        <w:tc>
          <w:tcPr>
            <w:tcW w:w="3258" w:type="dxa"/>
            <w:tcBorders>
              <w:top w:val="nil"/>
              <w:left w:val="nil"/>
              <w:bottom w:val="nil"/>
              <w:right w:val="nil"/>
            </w:tcBorders>
            <w:shd w:val="clear" w:color="auto" w:fill="auto"/>
            <w:noWrap/>
            <w:hideMark/>
          </w:tcPr>
          <w:p w14:paraId="77A4BE56" w14:textId="77777777" w:rsidR="00EE6446" w:rsidRPr="00641A01" w:rsidRDefault="00EE6446" w:rsidP="00641A01">
            <w:pPr>
              <w:spacing w:line="360" w:lineRule="auto"/>
              <w:jc w:val="center"/>
              <w:rPr>
                <w:color w:val="000000"/>
              </w:rPr>
            </w:pPr>
            <w:r w:rsidRPr="00641A01">
              <w:rPr>
                <w:color w:val="000000"/>
              </w:rPr>
              <w:t>Ecuador</w:t>
            </w:r>
          </w:p>
        </w:tc>
        <w:tc>
          <w:tcPr>
            <w:tcW w:w="1011" w:type="dxa"/>
            <w:tcBorders>
              <w:top w:val="nil"/>
              <w:left w:val="nil"/>
              <w:bottom w:val="nil"/>
              <w:right w:val="nil"/>
            </w:tcBorders>
            <w:shd w:val="clear" w:color="auto" w:fill="auto"/>
            <w:noWrap/>
            <w:hideMark/>
          </w:tcPr>
          <w:p w14:paraId="0626CF60" w14:textId="77777777" w:rsidR="00EE6446" w:rsidRPr="00641A01" w:rsidRDefault="00EE6446" w:rsidP="00641A01">
            <w:pPr>
              <w:spacing w:line="360" w:lineRule="auto"/>
              <w:jc w:val="center"/>
              <w:rPr>
                <w:color w:val="000000"/>
              </w:rPr>
            </w:pPr>
            <w:r w:rsidRPr="00641A01">
              <w:rPr>
                <w:color w:val="000000"/>
              </w:rPr>
              <w:t>ECU</w:t>
            </w:r>
          </w:p>
        </w:tc>
        <w:tc>
          <w:tcPr>
            <w:tcW w:w="1011" w:type="dxa"/>
            <w:tcBorders>
              <w:top w:val="nil"/>
              <w:left w:val="nil"/>
              <w:bottom w:val="nil"/>
              <w:right w:val="nil"/>
            </w:tcBorders>
            <w:shd w:val="clear" w:color="auto" w:fill="auto"/>
            <w:noWrap/>
            <w:hideMark/>
          </w:tcPr>
          <w:p w14:paraId="19EE392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313EF4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D03E2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5ED4E8F" w14:textId="77777777" w:rsidR="00EE6446" w:rsidRPr="00641A01" w:rsidRDefault="00EE6446" w:rsidP="00641A01">
            <w:pPr>
              <w:spacing w:line="360" w:lineRule="auto"/>
              <w:jc w:val="center"/>
              <w:rPr>
                <w:color w:val="000000"/>
              </w:rPr>
            </w:pPr>
            <w:r w:rsidRPr="00641A01">
              <w:rPr>
                <w:color w:val="000000"/>
              </w:rPr>
              <w:t>13</w:t>
            </w:r>
          </w:p>
        </w:tc>
        <w:tc>
          <w:tcPr>
            <w:tcW w:w="2233" w:type="dxa"/>
            <w:tcBorders>
              <w:top w:val="nil"/>
              <w:left w:val="nil"/>
              <w:bottom w:val="nil"/>
              <w:right w:val="nil"/>
            </w:tcBorders>
            <w:shd w:val="clear" w:color="auto" w:fill="auto"/>
            <w:noWrap/>
            <w:hideMark/>
          </w:tcPr>
          <w:p w14:paraId="5BEBAF78" w14:textId="77777777" w:rsidR="00EE6446" w:rsidRPr="00641A01" w:rsidRDefault="00EE6446" w:rsidP="00641A01">
            <w:pPr>
              <w:tabs>
                <w:tab w:val="decimal" w:pos="943"/>
              </w:tabs>
              <w:spacing w:line="360" w:lineRule="auto"/>
              <w:rPr>
                <w:color w:val="000000"/>
              </w:rPr>
            </w:pPr>
            <w:r w:rsidRPr="00641A01">
              <w:rPr>
                <w:color w:val="000000"/>
              </w:rPr>
              <w:t>3.88</w:t>
            </w:r>
          </w:p>
        </w:tc>
        <w:tc>
          <w:tcPr>
            <w:tcW w:w="2233" w:type="dxa"/>
            <w:tcBorders>
              <w:top w:val="nil"/>
              <w:left w:val="nil"/>
              <w:bottom w:val="nil"/>
              <w:right w:val="nil"/>
            </w:tcBorders>
            <w:shd w:val="clear" w:color="auto" w:fill="auto"/>
            <w:noWrap/>
            <w:hideMark/>
          </w:tcPr>
          <w:p w14:paraId="7BB78188" w14:textId="77777777" w:rsidR="00EE6446" w:rsidRPr="00641A01" w:rsidRDefault="00EE6446" w:rsidP="00641A01">
            <w:pPr>
              <w:tabs>
                <w:tab w:val="decimal" w:pos="943"/>
              </w:tabs>
              <w:spacing w:line="360" w:lineRule="auto"/>
              <w:rPr>
                <w:color w:val="000000"/>
              </w:rPr>
            </w:pPr>
            <w:r w:rsidRPr="00641A01">
              <w:rPr>
                <w:color w:val="000000"/>
              </w:rPr>
              <w:t>28.00</w:t>
            </w:r>
          </w:p>
        </w:tc>
      </w:tr>
      <w:tr w:rsidR="005B434B" w:rsidRPr="00641A01" w14:paraId="30E5D8A7" w14:textId="77777777" w:rsidTr="00A637D6">
        <w:tc>
          <w:tcPr>
            <w:tcW w:w="3258" w:type="dxa"/>
            <w:tcBorders>
              <w:top w:val="nil"/>
              <w:left w:val="nil"/>
              <w:bottom w:val="nil"/>
              <w:right w:val="nil"/>
            </w:tcBorders>
            <w:shd w:val="clear" w:color="auto" w:fill="auto"/>
            <w:noWrap/>
            <w:hideMark/>
          </w:tcPr>
          <w:p w14:paraId="44E51079" w14:textId="77777777" w:rsidR="00EE6446" w:rsidRPr="00641A01" w:rsidRDefault="00EE6446" w:rsidP="00641A01">
            <w:pPr>
              <w:spacing w:line="360" w:lineRule="auto"/>
              <w:jc w:val="center"/>
              <w:rPr>
                <w:color w:val="000000"/>
              </w:rPr>
            </w:pPr>
            <w:r w:rsidRPr="00641A01">
              <w:rPr>
                <w:color w:val="000000"/>
              </w:rPr>
              <w:t>Egypt</w:t>
            </w:r>
          </w:p>
        </w:tc>
        <w:tc>
          <w:tcPr>
            <w:tcW w:w="1011" w:type="dxa"/>
            <w:tcBorders>
              <w:top w:val="nil"/>
              <w:left w:val="nil"/>
              <w:bottom w:val="nil"/>
              <w:right w:val="nil"/>
            </w:tcBorders>
            <w:shd w:val="clear" w:color="auto" w:fill="auto"/>
            <w:noWrap/>
            <w:hideMark/>
          </w:tcPr>
          <w:p w14:paraId="22B5D191" w14:textId="77777777" w:rsidR="00EE6446" w:rsidRPr="00641A01" w:rsidRDefault="00EE6446" w:rsidP="00641A01">
            <w:pPr>
              <w:spacing w:line="360" w:lineRule="auto"/>
              <w:jc w:val="center"/>
              <w:rPr>
                <w:color w:val="000000"/>
              </w:rPr>
            </w:pPr>
            <w:r w:rsidRPr="00641A01">
              <w:rPr>
                <w:color w:val="000000"/>
              </w:rPr>
              <w:t>EGY</w:t>
            </w:r>
          </w:p>
        </w:tc>
        <w:tc>
          <w:tcPr>
            <w:tcW w:w="1011" w:type="dxa"/>
            <w:tcBorders>
              <w:top w:val="nil"/>
              <w:left w:val="nil"/>
              <w:bottom w:val="nil"/>
              <w:right w:val="nil"/>
            </w:tcBorders>
            <w:shd w:val="clear" w:color="auto" w:fill="auto"/>
            <w:noWrap/>
            <w:hideMark/>
          </w:tcPr>
          <w:p w14:paraId="343578D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26905A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209B63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99F8BAA"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18BDA7AA" w14:textId="77777777" w:rsidR="00EE6446" w:rsidRPr="00641A01" w:rsidRDefault="00EE6446" w:rsidP="00641A01">
            <w:pPr>
              <w:tabs>
                <w:tab w:val="decimal" w:pos="943"/>
              </w:tabs>
              <w:spacing w:line="360" w:lineRule="auto"/>
              <w:rPr>
                <w:color w:val="000000"/>
              </w:rPr>
            </w:pPr>
            <w:r w:rsidRPr="00641A01">
              <w:rPr>
                <w:color w:val="000000"/>
              </w:rPr>
              <w:t>2.42</w:t>
            </w:r>
          </w:p>
        </w:tc>
        <w:tc>
          <w:tcPr>
            <w:tcW w:w="2233" w:type="dxa"/>
            <w:tcBorders>
              <w:top w:val="nil"/>
              <w:left w:val="nil"/>
              <w:bottom w:val="nil"/>
              <w:right w:val="nil"/>
            </w:tcBorders>
            <w:shd w:val="clear" w:color="auto" w:fill="auto"/>
            <w:noWrap/>
            <w:hideMark/>
          </w:tcPr>
          <w:p w14:paraId="3ED5F35C" w14:textId="77777777" w:rsidR="00EE6446" w:rsidRPr="00641A01" w:rsidRDefault="00EE6446" w:rsidP="00641A01">
            <w:pPr>
              <w:tabs>
                <w:tab w:val="decimal" w:pos="943"/>
              </w:tabs>
              <w:spacing w:line="360" w:lineRule="auto"/>
              <w:rPr>
                <w:color w:val="000000"/>
              </w:rPr>
            </w:pPr>
            <w:r w:rsidRPr="00641A01">
              <w:rPr>
                <w:color w:val="000000"/>
              </w:rPr>
              <w:t>20.15</w:t>
            </w:r>
          </w:p>
        </w:tc>
      </w:tr>
      <w:tr w:rsidR="005B434B" w:rsidRPr="00641A01" w14:paraId="4AFF4BFA" w14:textId="77777777" w:rsidTr="00A637D6">
        <w:tc>
          <w:tcPr>
            <w:tcW w:w="3258" w:type="dxa"/>
            <w:tcBorders>
              <w:top w:val="nil"/>
              <w:left w:val="nil"/>
              <w:bottom w:val="nil"/>
              <w:right w:val="nil"/>
            </w:tcBorders>
            <w:shd w:val="clear" w:color="auto" w:fill="auto"/>
            <w:noWrap/>
            <w:hideMark/>
          </w:tcPr>
          <w:p w14:paraId="7CB55C66" w14:textId="77777777" w:rsidR="00EE6446" w:rsidRPr="00641A01" w:rsidRDefault="00EE6446" w:rsidP="00641A01">
            <w:pPr>
              <w:spacing w:line="360" w:lineRule="auto"/>
              <w:jc w:val="center"/>
              <w:rPr>
                <w:color w:val="000000"/>
              </w:rPr>
            </w:pPr>
            <w:r w:rsidRPr="00641A01">
              <w:rPr>
                <w:color w:val="000000"/>
              </w:rPr>
              <w:t>Eritrea</w:t>
            </w:r>
          </w:p>
        </w:tc>
        <w:tc>
          <w:tcPr>
            <w:tcW w:w="1011" w:type="dxa"/>
            <w:tcBorders>
              <w:top w:val="nil"/>
              <w:left w:val="nil"/>
              <w:bottom w:val="nil"/>
              <w:right w:val="nil"/>
            </w:tcBorders>
            <w:shd w:val="clear" w:color="auto" w:fill="auto"/>
            <w:noWrap/>
            <w:hideMark/>
          </w:tcPr>
          <w:p w14:paraId="54A6BE2C" w14:textId="77777777" w:rsidR="00EE6446" w:rsidRPr="00641A01" w:rsidRDefault="00EE6446" w:rsidP="00641A01">
            <w:pPr>
              <w:spacing w:line="360" w:lineRule="auto"/>
              <w:jc w:val="center"/>
              <w:rPr>
                <w:color w:val="000000"/>
              </w:rPr>
            </w:pPr>
            <w:r w:rsidRPr="00641A01">
              <w:rPr>
                <w:color w:val="000000"/>
              </w:rPr>
              <w:t>ERI</w:t>
            </w:r>
          </w:p>
        </w:tc>
        <w:tc>
          <w:tcPr>
            <w:tcW w:w="1011" w:type="dxa"/>
            <w:tcBorders>
              <w:top w:val="nil"/>
              <w:left w:val="nil"/>
              <w:bottom w:val="nil"/>
              <w:right w:val="nil"/>
            </w:tcBorders>
            <w:shd w:val="clear" w:color="auto" w:fill="auto"/>
            <w:noWrap/>
            <w:hideMark/>
          </w:tcPr>
          <w:p w14:paraId="1BDA876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989906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D7671C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3F894E5"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527503B6" w14:textId="77777777" w:rsidR="00EE6446" w:rsidRPr="00641A01" w:rsidRDefault="00EE6446" w:rsidP="00641A01">
            <w:pPr>
              <w:tabs>
                <w:tab w:val="decimal" w:pos="943"/>
              </w:tabs>
              <w:spacing w:line="360" w:lineRule="auto"/>
              <w:rPr>
                <w:color w:val="000000"/>
              </w:rPr>
            </w:pPr>
            <w:r w:rsidRPr="00641A01">
              <w:rPr>
                <w:color w:val="000000"/>
              </w:rPr>
              <w:t>0.48</w:t>
            </w:r>
          </w:p>
        </w:tc>
        <w:tc>
          <w:tcPr>
            <w:tcW w:w="2233" w:type="dxa"/>
            <w:tcBorders>
              <w:top w:val="nil"/>
              <w:left w:val="nil"/>
              <w:bottom w:val="nil"/>
              <w:right w:val="nil"/>
            </w:tcBorders>
            <w:shd w:val="clear" w:color="auto" w:fill="auto"/>
            <w:noWrap/>
            <w:hideMark/>
          </w:tcPr>
          <w:p w14:paraId="6E1C33E2" w14:textId="77777777" w:rsidR="00EE6446" w:rsidRPr="00641A01" w:rsidRDefault="00EE6446" w:rsidP="00641A01">
            <w:pPr>
              <w:tabs>
                <w:tab w:val="decimal" w:pos="943"/>
              </w:tabs>
              <w:spacing w:line="360" w:lineRule="auto"/>
              <w:rPr>
                <w:color w:val="000000"/>
              </w:rPr>
            </w:pPr>
            <w:r w:rsidRPr="00641A01">
              <w:rPr>
                <w:color w:val="000000"/>
              </w:rPr>
              <w:t>9.13</w:t>
            </w:r>
          </w:p>
        </w:tc>
      </w:tr>
      <w:tr w:rsidR="005B434B" w:rsidRPr="00641A01" w14:paraId="18CB73E2" w14:textId="77777777" w:rsidTr="00A637D6">
        <w:tc>
          <w:tcPr>
            <w:tcW w:w="3258" w:type="dxa"/>
            <w:tcBorders>
              <w:top w:val="nil"/>
              <w:left w:val="nil"/>
              <w:bottom w:val="nil"/>
              <w:right w:val="nil"/>
            </w:tcBorders>
            <w:shd w:val="clear" w:color="auto" w:fill="auto"/>
            <w:noWrap/>
            <w:hideMark/>
          </w:tcPr>
          <w:p w14:paraId="3F129ECC" w14:textId="77777777" w:rsidR="00EE6446" w:rsidRPr="00641A01" w:rsidRDefault="00EE6446" w:rsidP="00641A01">
            <w:pPr>
              <w:spacing w:line="360" w:lineRule="auto"/>
              <w:jc w:val="center"/>
              <w:rPr>
                <w:color w:val="000000"/>
              </w:rPr>
            </w:pPr>
            <w:r w:rsidRPr="00641A01">
              <w:rPr>
                <w:color w:val="000000"/>
              </w:rPr>
              <w:t>Spain</w:t>
            </w:r>
          </w:p>
        </w:tc>
        <w:tc>
          <w:tcPr>
            <w:tcW w:w="1011" w:type="dxa"/>
            <w:tcBorders>
              <w:top w:val="nil"/>
              <w:left w:val="nil"/>
              <w:bottom w:val="nil"/>
              <w:right w:val="nil"/>
            </w:tcBorders>
            <w:shd w:val="clear" w:color="auto" w:fill="auto"/>
            <w:noWrap/>
            <w:hideMark/>
          </w:tcPr>
          <w:p w14:paraId="4862BDF1" w14:textId="77777777" w:rsidR="00EE6446" w:rsidRPr="00641A01" w:rsidRDefault="00EE6446" w:rsidP="00641A01">
            <w:pPr>
              <w:spacing w:line="360" w:lineRule="auto"/>
              <w:jc w:val="center"/>
              <w:rPr>
                <w:color w:val="000000"/>
              </w:rPr>
            </w:pPr>
            <w:r w:rsidRPr="00641A01">
              <w:rPr>
                <w:color w:val="000000"/>
              </w:rPr>
              <w:t>ESP</w:t>
            </w:r>
          </w:p>
        </w:tc>
        <w:tc>
          <w:tcPr>
            <w:tcW w:w="1011" w:type="dxa"/>
            <w:tcBorders>
              <w:top w:val="nil"/>
              <w:left w:val="nil"/>
              <w:bottom w:val="nil"/>
              <w:right w:val="nil"/>
            </w:tcBorders>
            <w:shd w:val="clear" w:color="auto" w:fill="auto"/>
            <w:noWrap/>
            <w:hideMark/>
          </w:tcPr>
          <w:p w14:paraId="0F1DAB7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0485ADD"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72D28734"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1199DB91" w14:textId="77777777" w:rsidR="00EE6446" w:rsidRPr="00641A01" w:rsidRDefault="00EE6446" w:rsidP="00641A01">
            <w:pPr>
              <w:spacing w:line="360" w:lineRule="auto"/>
              <w:jc w:val="center"/>
              <w:rPr>
                <w:color w:val="000000"/>
              </w:rPr>
            </w:pPr>
            <w:r w:rsidRPr="00641A01">
              <w:rPr>
                <w:color w:val="000000"/>
              </w:rPr>
              <w:t>38</w:t>
            </w:r>
          </w:p>
        </w:tc>
        <w:tc>
          <w:tcPr>
            <w:tcW w:w="2233" w:type="dxa"/>
            <w:tcBorders>
              <w:top w:val="nil"/>
              <w:left w:val="nil"/>
              <w:bottom w:val="nil"/>
              <w:right w:val="nil"/>
            </w:tcBorders>
            <w:shd w:val="clear" w:color="auto" w:fill="auto"/>
            <w:noWrap/>
            <w:hideMark/>
          </w:tcPr>
          <w:p w14:paraId="56890D56" w14:textId="77777777" w:rsidR="00EE6446" w:rsidRPr="00641A01" w:rsidRDefault="00EE6446" w:rsidP="00641A01">
            <w:pPr>
              <w:tabs>
                <w:tab w:val="decimal" w:pos="943"/>
              </w:tabs>
              <w:spacing w:line="360" w:lineRule="auto"/>
              <w:rPr>
                <w:color w:val="000000"/>
              </w:rPr>
            </w:pPr>
            <w:r w:rsidRPr="00641A01">
              <w:rPr>
                <w:color w:val="000000"/>
              </w:rPr>
              <w:t>27.20</w:t>
            </w:r>
          </w:p>
        </w:tc>
        <w:tc>
          <w:tcPr>
            <w:tcW w:w="2233" w:type="dxa"/>
            <w:tcBorders>
              <w:top w:val="nil"/>
              <w:left w:val="nil"/>
              <w:bottom w:val="nil"/>
              <w:right w:val="nil"/>
            </w:tcBorders>
            <w:shd w:val="clear" w:color="auto" w:fill="auto"/>
            <w:noWrap/>
            <w:hideMark/>
          </w:tcPr>
          <w:p w14:paraId="62D176E7" w14:textId="77777777" w:rsidR="00EE6446" w:rsidRPr="00641A01" w:rsidRDefault="00EE6446" w:rsidP="00641A01">
            <w:pPr>
              <w:tabs>
                <w:tab w:val="decimal" w:pos="943"/>
              </w:tabs>
              <w:spacing w:line="360" w:lineRule="auto"/>
              <w:rPr>
                <w:color w:val="000000"/>
              </w:rPr>
            </w:pPr>
            <w:r w:rsidRPr="00641A01">
              <w:rPr>
                <w:color w:val="000000"/>
              </w:rPr>
              <w:t>234.21</w:t>
            </w:r>
          </w:p>
        </w:tc>
      </w:tr>
      <w:tr w:rsidR="005B434B" w:rsidRPr="00641A01" w14:paraId="064F7B99" w14:textId="77777777" w:rsidTr="00A637D6">
        <w:tc>
          <w:tcPr>
            <w:tcW w:w="3258" w:type="dxa"/>
            <w:tcBorders>
              <w:top w:val="nil"/>
              <w:left w:val="nil"/>
              <w:bottom w:val="nil"/>
              <w:right w:val="nil"/>
            </w:tcBorders>
            <w:shd w:val="clear" w:color="auto" w:fill="auto"/>
            <w:noWrap/>
            <w:hideMark/>
          </w:tcPr>
          <w:p w14:paraId="50295129" w14:textId="77777777" w:rsidR="00EE6446" w:rsidRPr="00641A01" w:rsidRDefault="00EE6446" w:rsidP="00641A01">
            <w:pPr>
              <w:spacing w:line="360" w:lineRule="auto"/>
              <w:jc w:val="center"/>
              <w:rPr>
                <w:color w:val="000000"/>
              </w:rPr>
            </w:pPr>
            <w:r w:rsidRPr="00641A01">
              <w:rPr>
                <w:color w:val="000000"/>
              </w:rPr>
              <w:lastRenderedPageBreak/>
              <w:t>Estonia</w:t>
            </w:r>
          </w:p>
        </w:tc>
        <w:tc>
          <w:tcPr>
            <w:tcW w:w="1011" w:type="dxa"/>
            <w:tcBorders>
              <w:top w:val="nil"/>
              <w:left w:val="nil"/>
              <w:bottom w:val="nil"/>
              <w:right w:val="nil"/>
            </w:tcBorders>
            <w:shd w:val="clear" w:color="auto" w:fill="auto"/>
            <w:noWrap/>
            <w:hideMark/>
          </w:tcPr>
          <w:p w14:paraId="5C1B643D" w14:textId="77777777" w:rsidR="00EE6446" w:rsidRPr="00641A01" w:rsidRDefault="00EE6446" w:rsidP="00641A01">
            <w:pPr>
              <w:spacing w:line="360" w:lineRule="auto"/>
              <w:jc w:val="center"/>
              <w:rPr>
                <w:color w:val="000000"/>
              </w:rPr>
            </w:pPr>
            <w:r w:rsidRPr="00641A01">
              <w:rPr>
                <w:color w:val="000000"/>
              </w:rPr>
              <w:t>EST</w:t>
            </w:r>
          </w:p>
        </w:tc>
        <w:tc>
          <w:tcPr>
            <w:tcW w:w="1011" w:type="dxa"/>
            <w:tcBorders>
              <w:top w:val="nil"/>
              <w:left w:val="nil"/>
              <w:bottom w:val="nil"/>
              <w:right w:val="nil"/>
            </w:tcBorders>
            <w:shd w:val="clear" w:color="auto" w:fill="auto"/>
            <w:noWrap/>
            <w:hideMark/>
          </w:tcPr>
          <w:p w14:paraId="21E169E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FA8926A"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105E1FE"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9BBC649"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73B29F68" w14:textId="77777777" w:rsidR="00EE6446" w:rsidRPr="00641A01" w:rsidRDefault="00EE6446" w:rsidP="00641A01">
            <w:pPr>
              <w:tabs>
                <w:tab w:val="decimal" w:pos="943"/>
              </w:tabs>
              <w:spacing w:line="360" w:lineRule="auto"/>
              <w:rPr>
                <w:color w:val="000000"/>
              </w:rPr>
            </w:pPr>
            <w:r w:rsidRPr="00641A01">
              <w:rPr>
                <w:color w:val="000000"/>
              </w:rPr>
              <w:t>2.23</w:t>
            </w:r>
          </w:p>
        </w:tc>
        <w:tc>
          <w:tcPr>
            <w:tcW w:w="2233" w:type="dxa"/>
            <w:tcBorders>
              <w:top w:val="nil"/>
              <w:left w:val="nil"/>
              <w:bottom w:val="nil"/>
              <w:right w:val="nil"/>
            </w:tcBorders>
            <w:shd w:val="clear" w:color="auto" w:fill="auto"/>
            <w:noWrap/>
            <w:hideMark/>
          </w:tcPr>
          <w:p w14:paraId="269A3E29" w14:textId="77777777" w:rsidR="00EE6446" w:rsidRPr="00641A01" w:rsidRDefault="00EE6446" w:rsidP="00641A01">
            <w:pPr>
              <w:tabs>
                <w:tab w:val="decimal" w:pos="943"/>
              </w:tabs>
              <w:spacing w:line="360" w:lineRule="auto"/>
              <w:rPr>
                <w:color w:val="000000"/>
              </w:rPr>
            </w:pPr>
            <w:r w:rsidRPr="00641A01">
              <w:rPr>
                <w:color w:val="000000"/>
              </w:rPr>
              <w:t>17.81</w:t>
            </w:r>
          </w:p>
        </w:tc>
      </w:tr>
      <w:tr w:rsidR="005B434B" w:rsidRPr="00641A01" w14:paraId="0016697B" w14:textId="77777777" w:rsidTr="00A637D6">
        <w:tc>
          <w:tcPr>
            <w:tcW w:w="3258" w:type="dxa"/>
            <w:tcBorders>
              <w:top w:val="nil"/>
              <w:left w:val="nil"/>
              <w:bottom w:val="nil"/>
              <w:right w:val="nil"/>
            </w:tcBorders>
            <w:shd w:val="clear" w:color="auto" w:fill="auto"/>
            <w:noWrap/>
            <w:hideMark/>
          </w:tcPr>
          <w:p w14:paraId="324541BF" w14:textId="77777777" w:rsidR="00EE6446" w:rsidRPr="00641A01" w:rsidRDefault="00EE6446" w:rsidP="00641A01">
            <w:pPr>
              <w:spacing w:line="360" w:lineRule="auto"/>
              <w:jc w:val="center"/>
              <w:rPr>
                <w:color w:val="000000"/>
              </w:rPr>
            </w:pPr>
            <w:r w:rsidRPr="00641A01">
              <w:rPr>
                <w:color w:val="000000"/>
              </w:rPr>
              <w:t>Ethiopia</w:t>
            </w:r>
          </w:p>
        </w:tc>
        <w:tc>
          <w:tcPr>
            <w:tcW w:w="1011" w:type="dxa"/>
            <w:tcBorders>
              <w:top w:val="nil"/>
              <w:left w:val="nil"/>
              <w:bottom w:val="nil"/>
              <w:right w:val="nil"/>
            </w:tcBorders>
            <w:shd w:val="clear" w:color="auto" w:fill="auto"/>
            <w:noWrap/>
            <w:hideMark/>
          </w:tcPr>
          <w:p w14:paraId="25F819D3" w14:textId="77777777" w:rsidR="00EE6446" w:rsidRPr="00641A01" w:rsidRDefault="00EE6446" w:rsidP="00641A01">
            <w:pPr>
              <w:spacing w:line="360" w:lineRule="auto"/>
              <w:jc w:val="center"/>
              <w:rPr>
                <w:color w:val="000000"/>
              </w:rPr>
            </w:pPr>
            <w:r w:rsidRPr="00641A01">
              <w:rPr>
                <w:color w:val="000000"/>
              </w:rPr>
              <w:t>ETH</w:t>
            </w:r>
          </w:p>
        </w:tc>
        <w:tc>
          <w:tcPr>
            <w:tcW w:w="1011" w:type="dxa"/>
            <w:tcBorders>
              <w:top w:val="nil"/>
              <w:left w:val="nil"/>
              <w:bottom w:val="nil"/>
              <w:right w:val="nil"/>
            </w:tcBorders>
            <w:shd w:val="clear" w:color="auto" w:fill="auto"/>
            <w:noWrap/>
            <w:hideMark/>
          </w:tcPr>
          <w:p w14:paraId="3A037A8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280AD2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D80047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3382BC4" w14:textId="77777777" w:rsidR="00EE6446" w:rsidRPr="00641A01" w:rsidRDefault="00EE6446" w:rsidP="00641A01">
            <w:pPr>
              <w:spacing w:line="360" w:lineRule="auto"/>
              <w:jc w:val="center"/>
              <w:rPr>
                <w:color w:val="000000"/>
              </w:rPr>
            </w:pPr>
            <w:r w:rsidRPr="00641A01">
              <w:rPr>
                <w:color w:val="000000"/>
              </w:rPr>
              <w:t>13</w:t>
            </w:r>
          </w:p>
        </w:tc>
        <w:tc>
          <w:tcPr>
            <w:tcW w:w="2233" w:type="dxa"/>
            <w:tcBorders>
              <w:top w:val="nil"/>
              <w:left w:val="nil"/>
              <w:bottom w:val="nil"/>
              <w:right w:val="nil"/>
            </w:tcBorders>
            <w:shd w:val="clear" w:color="auto" w:fill="auto"/>
            <w:noWrap/>
            <w:hideMark/>
          </w:tcPr>
          <w:p w14:paraId="1CF3AC36" w14:textId="77777777" w:rsidR="00EE6446" w:rsidRPr="00641A01" w:rsidRDefault="00EE6446" w:rsidP="00641A01">
            <w:pPr>
              <w:tabs>
                <w:tab w:val="decimal" w:pos="943"/>
              </w:tabs>
              <w:spacing w:line="360" w:lineRule="auto"/>
              <w:rPr>
                <w:color w:val="000000"/>
              </w:rPr>
            </w:pPr>
            <w:r w:rsidRPr="00641A01">
              <w:rPr>
                <w:color w:val="000000"/>
              </w:rPr>
              <w:t>4.54</w:t>
            </w:r>
          </w:p>
        </w:tc>
        <w:tc>
          <w:tcPr>
            <w:tcW w:w="2233" w:type="dxa"/>
            <w:tcBorders>
              <w:top w:val="nil"/>
              <w:left w:val="nil"/>
              <w:bottom w:val="nil"/>
              <w:right w:val="nil"/>
            </w:tcBorders>
            <w:shd w:val="clear" w:color="auto" w:fill="auto"/>
            <w:noWrap/>
            <w:hideMark/>
          </w:tcPr>
          <w:p w14:paraId="4B225B53" w14:textId="77777777" w:rsidR="00EE6446" w:rsidRPr="00641A01" w:rsidRDefault="00EE6446" w:rsidP="00641A01">
            <w:pPr>
              <w:tabs>
                <w:tab w:val="decimal" w:pos="943"/>
              </w:tabs>
              <w:spacing w:line="360" w:lineRule="auto"/>
              <w:rPr>
                <w:color w:val="000000"/>
              </w:rPr>
            </w:pPr>
            <w:r w:rsidRPr="00641A01">
              <w:rPr>
                <w:color w:val="000000"/>
              </w:rPr>
              <w:t>64.95</w:t>
            </w:r>
          </w:p>
        </w:tc>
      </w:tr>
      <w:tr w:rsidR="005B434B" w:rsidRPr="00641A01" w14:paraId="6A01AD8E" w14:textId="77777777" w:rsidTr="00A637D6">
        <w:tc>
          <w:tcPr>
            <w:tcW w:w="3258" w:type="dxa"/>
            <w:tcBorders>
              <w:top w:val="nil"/>
              <w:left w:val="nil"/>
              <w:bottom w:val="nil"/>
              <w:right w:val="nil"/>
            </w:tcBorders>
            <w:shd w:val="clear" w:color="auto" w:fill="auto"/>
            <w:noWrap/>
            <w:hideMark/>
          </w:tcPr>
          <w:p w14:paraId="76D93D7E" w14:textId="77777777" w:rsidR="00EE6446" w:rsidRPr="00641A01" w:rsidRDefault="00EE6446" w:rsidP="00641A01">
            <w:pPr>
              <w:spacing w:line="360" w:lineRule="auto"/>
              <w:jc w:val="center"/>
              <w:rPr>
                <w:color w:val="000000"/>
              </w:rPr>
            </w:pPr>
            <w:r w:rsidRPr="00641A01">
              <w:rPr>
                <w:color w:val="000000"/>
              </w:rPr>
              <w:t>Finland</w:t>
            </w:r>
          </w:p>
        </w:tc>
        <w:tc>
          <w:tcPr>
            <w:tcW w:w="1011" w:type="dxa"/>
            <w:tcBorders>
              <w:top w:val="nil"/>
              <w:left w:val="nil"/>
              <w:bottom w:val="nil"/>
              <w:right w:val="nil"/>
            </w:tcBorders>
            <w:shd w:val="clear" w:color="auto" w:fill="auto"/>
            <w:noWrap/>
            <w:hideMark/>
          </w:tcPr>
          <w:p w14:paraId="0718F241" w14:textId="77777777" w:rsidR="00EE6446" w:rsidRPr="00641A01" w:rsidRDefault="00EE6446" w:rsidP="00641A01">
            <w:pPr>
              <w:spacing w:line="360" w:lineRule="auto"/>
              <w:jc w:val="center"/>
              <w:rPr>
                <w:color w:val="000000"/>
              </w:rPr>
            </w:pPr>
            <w:r w:rsidRPr="00641A01">
              <w:rPr>
                <w:color w:val="000000"/>
              </w:rPr>
              <w:t>FIN</w:t>
            </w:r>
          </w:p>
        </w:tc>
        <w:tc>
          <w:tcPr>
            <w:tcW w:w="1011" w:type="dxa"/>
            <w:tcBorders>
              <w:top w:val="nil"/>
              <w:left w:val="nil"/>
              <w:bottom w:val="nil"/>
              <w:right w:val="nil"/>
            </w:tcBorders>
            <w:shd w:val="clear" w:color="auto" w:fill="auto"/>
            <w:noWrap/>
            <w:hideMark/>
          </w:tcPr>
          <w:p w14:paraId="631262E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3684594"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242118F"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1BA89024"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2CAE6BDA" w14:textId="77777777" w:rsidR="00EE6446" w:rsidRPr="00641A01" w:rsidRDefault="00EE6446" w:rsidP="00641A01">
            <w:pPr>
              <w:tabs>
                <w:tab w:val="decimal" w:pos="943"/>
              </w:tabs>
              <w:spacing w:line="360" w:lineRule="auto"/>
              <w:rPr>
                <w:color w:val="000000"/>
              </w:rPr>
            </w:pPr>
            <w:r w:rsidRPr="00641A01">
              <w:rPr>
                <w:color w:val="000000"/>
              </w:rPr>
              <w:t>10.76</w:t>
            </w:r>
          </w:p>
        </w:tc>
        <w:tc>
          <w:tcPr>
            <w:tcW w:w="2233" w:type="dxa"/>
            <w:tcBorders>
              <w:top w:val="nil"/>
              <w:left w:val="nil"/>
              <w:bottom w:val="nil"/>
              <w:right w:val="nil"/>
            </w:tcBorders>
            <w:shd w:val="clear" w:color="auto" w:fill="auto"/>
            <w:noWrap/>
            <w:hideMark/>
          </w:tcPr>
          <w:p w14:paraId="3A6C5B91" w14:textId="77777777" w:rsidR="00EE6446" w:rsidRPr="00641A01" w:rsidRDefault="00EE6446" w:rsidP="00641A01">
            <w:pPr>
              <w:tabs>
                <w:tab w:val="decimal" w:pos="943"/>
              </w:tabs>
              <w:spacing w:line="360" w:lineRule="auto"/>
              <w:rPr>
                <w:color w:val="000000"/>
              </w:rPr>
            </w:pPr>
            <w:r w:rsidRPr="00641A01">
              <w:rPr>
                <w:color w:val="000000"/>
              </w:rPr>
              <w:t>95.86</w:t>
            </w:r>
          </w:p>
        </w:tc>
      </w:tr>
      <w:tr w:rsidR="005B434B" w:rsidRPr="00641A01" w14:paraId="3CC05393" w14:textId="77777777" w:rsidTr="00A637D6">
        <w:tc>
          <w:tcPr>
            <w:tcW w:w="3258" w:type="dxa"/>
            <w:tcBorders>
              <w:top w:val="nil"/>
              <w:left w:val="nil"/>
              <w:bottom w:val="nil"/>
              <w:right w:val="nil"/>
            </w:tcBorders>
            <w:shd w:val="clear" w:color="auto" w:fill="auto"/>
            <w:noWrap/>
            <w:hideMark/>
          </w:tcPr>
          <w:p w14:paraId="5D6BFF4B" w14:textId="77777777" w:rsidR="00EE6446" w:rsidRPr="00641A01" w:rsidRDefault="00EE6446" w:rsidP="00641A01">
            <w:pPr>
              <w:spacing w:line="360" w:lineRule="auto"/>
              <w:jc w:val="center"/>
              <w:rPr>
                <w:color w:val="000000"/>
              </w:rPr>
            </w:pPr>
            <w:r w:rsidRPr="00641A01">
              <w:rPr>
                <w:color w:val="000000"/>
              </w:rPr>
              <w:t>Fiji</w:t>
            </w:r>
          </w:p>
        </w:tc>
        <w:tc>
          <w:tcPr>
            <w:tcW w:w="1011" w:type="dxa"/>
            <w:tcBorders>
              <w:top w:val="nil"/>
              <w:left w:val="nil"/>
              <w:bottom w:val="nil"/>
              <w:right w:val="nil"/>
            </w:tcBorders>
            <w:shd w:val="clear" w:color="auto" w:fill="auto"/>
            <w:noWrap/>
            <w:hideMark/>
          </w:tcPr>
          <w:p w14:paraId="132DD0DE" w14:textId="77777777" w:rsidR="00EE6446" w:rsidRPr="00641A01" w:rsidRDefault="00EE6446" w:rsidP="00641A01">
            <w:pPr>
              <w:spacing w:line="360" w:lineRule="auto"/>
              <w:jc w:val="center"/>
              <w:rPr>
                <w:color w:val="000000"/>
              </w:rPr>
            </w:pPr>
            <w:r w:rsidRPr="00641A01">
              <w:rPr>
                <w:color w:val="000000"/>
              </w:rPr>
              <w:t>FJI</w:t>
            </w:r>
          </w:p>
        </w:tc>
        <w:tc>
          <w:tcPr>
            <w:tcW w:w="1011" w:type="dxa"/>
            <w:tcBorders>
              <w:top w:val="nil"/>
              <w:left w:val="nil"/>
              <w:bottom w:val="nil"/>
              <w:right w:val="nil"/>
            </w:tcBorders>
            <w:shd w:val="clear" w:color="auto" w:fill="auto"/>
            <w:noWrap/>
            <w:hideMark/>
          </w:tcPr>
          <w:p w14:paraId="5FB2885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F25A4E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2344BA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B47D4D5"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3DBCD6EE" w14:textId="77777777" w:rsidR="00EE6446" w:rsidRPr="00641A01" w:rsidRDefault="00EE6446" w:rsidP="00641A01">
            <w:pPr>
              <w:tabs>
                <w:tab w:val="decimal" w:pos="943"/>
              </w:tabs>
              <w:spacing w:line="360" w:lineRule="auto"/>
              <w:rPr>
                <w:color w:val="000000"/>
              </w:rPr>
            </w:pPr>
            <w:r w:rsidRPr="00641A01">
              <w:rPr>
                <w:color w:val="000000"/>
              </w:rPr>
              <w:t>2.22</w:t>
            </w:r>
          </w:p>
        </w:tc>
        <w:tc>
          <w:tcPr>
            <w:tcW w:w="2233" w:type="dxa"/>
            <w:tcBorders>
              <w:top w:val="nil"/>
              <w:left w:val="nil"/>
              <w:bottom w:val="nil"/>
              <w:right w:val="nil"/>
            </w:tcBorders>
            <w:shd w:val="clear" w:color="auto" w:fill="auto"/>
            <w:noWrap/>
            <w:hideMark/>
          </w:tcPr>
          <w:p w14:paraId="108E4381" w14:textId="77777777" w:rsidR="00EE6446" w:rsidRPr="00641A01" w:rsidRDefault="00EE6446" w:rsidP="00641A01">
            <w:pPr>
              <w:tabs>
                <w:tab w:val="decimal" w:pos="943"/>
              </w:tabs>
              <w:spacing w:line="360" w:lineRule="auto"/>
              <w:rPr>
                <w:color w:val="000000"/>
              </w:rPr>
            </w:pPr>
            <w:r w:rsidRPr="00641A01">
              <w:rPr>
                <w:color w:val="000000"/>
              </w:rPr>
              <w:t>22.73</w:t>
            </w:r>
          </w:p>
        </w:tc>
      </w:tr>
      <w:tr w:rsidR="005B434B" w:rsidRPr="00641A01" w14:paraId="191AD242" w14:textId="77777777" w:rsidTr="00A637D6">
        <w:tc>
          <w:tcPr>
            <w:tcW w:w="3258" w:type="dxa"/>
            <w:tcBorders>
              <w:top w:val="nil"/>
              <w:left w:val="nil"/>
              <w:bottom w:val="nil"/>
              <w:right w:val="nil"/>
            </w:tcBorders>
            <w:shd w:val="clear" w:color="auto" w:fill="auto"/>
            <w:noWrap/>
            <w:hideMark/>
          </w:tcPr>
          <w:p w14:paraId="39531295" w14:textId="77777777" w:rsidR="00EE6446" w:rsidRPr="00641A01" w:rsidRDefault="00EE6446" w:rsidP="00641A01">
            <w:pPr>
              <w:spacing w:line="360" w:lineRule="auto"/>
              <w:jc w:val="center"/>
              <w:rPr>
                <w:color w:val="000000"/>
              </w:rPr>
            </w:pPr>
            <w:r w:rsidRPr="00641A01">
              <w:rPr>
                <w:color w:val="000000"/>
              </w:rPr>
              <w:t>France</w:t>
            </w:r>
          </w:p>
        </w:tc>
        <w:tc>
          <w:tcPr>
            <w:tcW w:w="1011" w:type="dxa"/>
            <w:tcBorders>
              <w:top w:val="nil"/>
              <w:left w:val="nil"/>
              <w:bottom w:val="nil"/>
              <w:right w:val="nil"/>
            </w:tcBorders>
            <w:shd w:val="clear" w:color="auto" w:fill="auto"/>
            <w:noWrap/>
            <w:hideMark/>
          </w:tcPr>
          <w:p w14:paraId="42FCB259" w14:textId="77777777" w:rsidR="00EE6446" w:rsidRPr="00641A01" w:rsidRDefault="00EE6446" w:rsidP="00641A01">
            <w:pPr>
              <w:spacing w:line="360" w:lineRule="auto"/>
              <w:jc w:val="center"/>
              <w:rPr>
                <w:color w:val="000000"/>
              </w:rPr>
            </w:pPr>
            <w:r w:rsidRPr="00641A01">
              <w:rPr>
                <w:color w:val="000000"/>
              </w:rPr>
              <w:t>FRA</w:t>
            </w:r>
          </w:p>
        </w:tc>
        <w:tc>
          <w:tcPr>
            <w:tcW w:w="1011" w:type="dxa"/>
            <w:tcBorders>
              <w:top w:val="nil"/>
              <w:left w:val="nil"/>
              <w:bottom w:val="nil"/>
              <w:right w:val="nil"/>
            </w:tcBorders>
            <w:shd w:val="clear" w:color="auto" w:fill="auto"/>
            <w:noWrap/>
            <w:hideMark/>
          </w:tcPr>
          <w:p w14:paraId="7352E076"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D7A10CB"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EE31462"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4891EF3C"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21939F66" w14:textId="77777777" w:rsidR="00EE6446" w:rsidRPr="00641A01" w:rsidRDefault="00EE6446" w:rsidP="00641A01">
            <w:pPr>
              <w:tabs>
                <w:tab w:val="decimal" w:pos="943"/>
              </w:tabs>
              <w:spacing w:line="360" w:lineRule="auto"/>
              <w:rPr>
                <w:color w:val="000000"/>
              </w:rPr>
            </w:pPr>
            <w:r w:rsidRPr="00641A01">
              <w:rPr>
                <w:color w:val="000000"/>
              </w:rPr>
              <w:t>11.84</w:t>
            </w:r>
          </w:p>
        </w:tc>
        <w:tc>
          <w:tcPr>
            <w:tcW w:w="2233" w:type="dxa"/>
            <w:tcBorders>
              <w:top w:val="nil"/>
              <w:left w:val="nil"/>
              <w:bottom w:val="nil"/>
              <w:right w:val="nil"/>
            </w:tcBorders>
            <w:shd w:val="clear" w:color="auto" w:fill="auto"/>
            <w:noWrap/>
            <w:hideMark/>
          </w:tcPr>
          <w:p w14:paraId="3756D449" w14:textId="77777777" w:rsidR="00EE6446" w:rsidRPr="00641A01" w:rsidRDefault="00EE6446" w:rsidP="00641A01">
            <w:pPr>
              <w:tabs>
                <w:tab w:val="decimal" w:pos="943"/>
              </w:tabs>
              <w:spacing w:line="360" w:lineRule="auto"/>
              <w:rPr>
                <w:color w:val="000000"/>
              </w:rPr>
            </w:pPr>
            <w:r w:rsidRPr="00641A01">
              <w:rPr>
                <w:color w:val="000000"/>
              </w:rPr>
              <w:t>77.17</w:t>
            </w:r>
          </w:p>
        </w:tc>
      </w:tr>
      <w:tr w:rsidR="005B434B" w:rsidRPr="00641A01" w14:paraId="42554052" w14:textId="77777777" w:rsidTr="00A637D6">
        <w:tc>
          <w:tcPr>
            <w:tcW w:w="3258" w:type="dxa"/>
            <w:tcBorders>
              <w:top w:val="nil"/>
              <w:left w:val="nil"/>
              <w:bottom w:val="nil"/>
              <w:right w:val="nil"/>
            </w:tcBorders>
            <w:shd w:val="clear" w:color="auto" w:fill="auto"/>
            <w:noWrap/>
            <w:hideMark/>
          </w:tcPr>
          <w:p w14:paraId="3500EA5F" w14:textId="77777777" w:rsidR="00EE6446" w:rsidRPr="00641A01" w:rsidRDefault="00EE6446" w:rsidP="00641A01">
            <w:pPr>
              <w:spacing w:line="360" w:lineRule="auto"/>
              <w:jc w:val="center"/>
              <w:rPr>
                <w:color w:val="000000"/>
              </w:rPr>
            </w:pPr>
            <w:r w:rsidRPr="00641A01">
              <w:rPr>
                <w:color w:val="000000"/>
              </w:rPr>
              <w:t>Micronesia</w:t>
            </w:r>
          </w:p>
        </w:tc>
        <w:tc>
          <w:tcPr>
            <w:tcW w:w="1011" w:type="dxa"/>
            <w:tcBorders>
              <w:top w:val="nil"/>
              <w:left w:val="nil"/>
              <w:bottom w:val="nil"/>
              <w:right w:val="nil"/>
            </w:tcBorders>
            <w:shd w:val="clear" w:color="auto" w:fill="auto"/>
            <w:noWrap/>
            <w:hideMark/>
          </w:tcPr>
          <w:p w14:paraId="7F2C016B" w14:textId="77777777" w:rsidR="00EE6446" w:rsidRPr="00641A01" w:rsidRDefault="00EE6446" w:rsidP="00641A01">
            <w:pPr>
              <w:spacing w:line="360" w:lineRule="auto"/>
              <w:jc w:val="center"/>
              <w:rPr>
                <w:color w:val="000000"/>
              </w:rPr>
            </w:pPr>
            <w:r w:rsidRPr="00641A01">
              <w:rPr>
                <w:color w:val="000000"/>
              </w:rPr>
              <w:t>FSM</w:t>
            </w:r>
          </w:p>
        </w:tc>
        <w:tc>
          <w:tcPr>
            <w:tcW w:w="1011" w:type="dxa"/>
            <w:tcBorders>
              <w:top w:val="nil"/>
              <w:left w:val="nil"/>
              <w:bottom w:val="nil"/>
              <w:right w:val="nil"/>
            </w:tcBorders>
            <w:shd w:val="clear" w:color="auto" w:fill="auto"/>
            <w:noWrap/>
            <w:hideMark/>
          </w:tcPr>
          <w:p w14:paraId="563F6DF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A698AF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E06275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D1EF742"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58009EF4" w14:textId="77777777" w:rsidR="00EE6446" w:rsidRPr="00641A01" w:rsidRDefault="00EE6446" w:rsidP="00641A01">
            <w:pPr>
              <w:tabs>
                <w:tab w:val="decimal" w:pos="943"/>
              </w:tabs>
              <w:spacing w:line="360" w:lineRule="auto"/>
              <w:rPr>
                <w:color w:val="000000"/>
              </w:rPr>
            </w:pPr>
            <w:r w:rsidRPr="00641A01">
              <w:rPr>
                <w:color w:val="000000"/>
              </w:rPr>
              <w:t>1.96</w:t>
            </w:r>
          </w:p>
        </w:tc>
        <w:tc>
          <w:tcPr>
            <w:tcW w:w="2233" w:type="dxa"/>
            <w:tcBorders>
              <w:top w:val="nil"/>
              <w:left w:val="nil"/>
              <w:bottom w:val="nil"/>
              <w:right w:val="nil"/>
            </w:tcBorders>
            <w:shd w:val="clear" w:color="auto" w:fill="auto"/>
            <w:noWrap/>
            <w:hideMark/>
          </w:tcPr>
          <w:p w14:paraId="2ADED9C6" w14:textId="77777777" w:rsidR="00EE6446" w:rsidRPr="00641A01" w:rsidRDefault="00EE6446" w:rsidP="00641A01">
            <w:pPr>
              <w:tabs>
                <w:tab w:val="decimal" w:pos="943"/>
              </w:tabs>
              <w:spacing w:line="360" w:lineRule="auto"/>
              <w:rPr>
                <w:color w:val="000000"/>
              </w:rPr>
            </w:pPr>
            <w:r w:rsidRPr="00641A01">
              <w:rPr>
                <w:color w:val="000000"/>
              </w:rPr>
              <w:t>14.37</w:t>
            </w:r>
          </w:p>
        </w:tc>
      </w:tr>
      <w:tr w:rsidR="005B434B" w:rsidRPr="00641A01" w14:paraId="6D38EDF4" w14:textId="77777777" w:rsidTr="00A637D6">
        <w:tc>
          <w:tcPr>
            <w:tcW w:w="3258" w:type="dxa"/>
            <w:tcBorders>
              <w:top w:val="nil"/>
              <w:left w:val="nil"/>
              <w:bottom w:val="nil"/>
              <w:right w:val="nil"/>
            </w:tcBorders>
            <w:shd w:val="clear" w:color="auto" w:fill="auto"/>
            <w:noWrap/>
            <w:hideMark/>
          </w:tcPr>
          <w:p w14:paraId="5B9156E4" w14:textId="77777777" w:rsidR="00EE6446" w:rsidRPr="00641A01" w:rsidRDefault="00EE6446" w:rsidP="00641A01">
            <w:pPr>
              <w:spacing w:line="360" w:lineRule="auto"/>
              <w:jc w:val="center"/>
              <w:rPr>
                <w:color w:val="000000"/>
              </w:rPr>
            </w:pPr>
            <w:r w:rsidRPr="00641A01">
              <w:rPr>
                <w:color w:val="000000"/>
              </w:rPr>
              <w:t>Gabon</w:t>
            </w:r>
          </w:p>
        </w:tc>
        <w:tc>
          <w:tcPr>
            <w:tcW w:w="1011" w:type="dxa"/>
            <w:tcBorders>
              <w:top w:val="nil"/>
              <w:left w:val="nil"/>
              <w:bottom w:val="nil"/>
              <w:right w:val="nil"/>
            </w:tcBorders>
            <w:shd w:val="clear" w:color="auto" w:fill="auto"/>
            <w:noWrap/>
            <w:hideMark/>
          </w:tcPr>
          <w:p w14:paraId="71BF3F25" w14:textId="77777777" w:rsidR="00EE6446" w:rsidRPr="00641A01" w:rsidRDefault="00EE6446" w:rsidP="00641A01">
            <w:pPr>
              <w:spacing w:line="360" w:lineRule="auto"/>
              <w:jc w:val="center"/>
              <w:rPr>
                <w:color w:val="000000"/>
              </w:rPr>
            </w:pPr>
            <w:r w:rsidRPr="00641A01">
              <w:rPr>
                <w:color w:val="000000"/>
              </w:rPr>
              <w:t>GAB</w:t>
            </w:r>
          </w:p>
        </w:tc>
        <w:tc>
          <w:tcPr>
            <w:tcW w:w="1011" w:type="dxa"/>
            <w:tcBorders>
              <w:top w:val="nil"/>
              <w:left w:val="nil"/>
              <w:bottom w:val="nil"/>
              <w:right w:val="nil"/>
            </w:tcBorders>
            <w:shd w:val="clear" w:color="auto" w:fill="auto"/>
            <w:noWrap/>
            <w:hideMark/>
          </w:tcPr>
          <w:p w14:paraId="50E651D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EDFB35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6F0474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AEB68DA"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142248EB" w14:textId="77777777" w:rsidR="00EE6446" w:rsidRPr="00641A01" w:rsidRDefault="00EE6446" w:rsidP="00641A01">
            <w:pPr>
              <w:tabs>
                <w:tab w:val="decimal" w:pos="943"/>
              </w:tabs>
              <w:spacing w:line="360" w:lineRule="auto"/>
              <w:rPr>
                <w:color w:val="000000"/>
              </w:rPr>
            </w:pPr>
            <w:r w:rsidRPr="00641A01">
              <w:rPr>
                <w:color w:val="000000"/>
              </w:rPr>
              <w:t>2.81</w:t>
            </w:r>
          </w:p>
        </w:tc>
        <w:tc>
          <w:tcPr>
            <w:tcW w:w="2233" w:type="dxa"/>
            <w:tcBorders>
              <w:top w:val="nil"/>
              <w:left w:val="nil"/>
              <w:bottom w:val="nil"/>
              <w:right w:val="nil"/>
            </w:tcBorders>
            <w:shd w:val="clear" w:color="auto" w:fill="auto"/>
            <w:noWrap/>
            <w:hideMark/>
          </w:tcPr>
          <w:p w14:paraId="02540B0F" w14:textId="77777777" w:rsidR="00EE6446" w:rsidRPr="00641A01" w:rsidRDefault="00EE6446" w:rsidP="00641A01">
            <w:pPr>
              <w:tabs>
                <w:tab w:val="decimal" w:pos="943"/>
              </w:tabs>
              <w:spacing w:line="360" w:lineRule="auto"/>
              <w:rPr>
                <w:color w:val="000000"/>
              </w:rPr>
            </w:pPr>
            <w:r w:rsidRPr="00641A01">
              <w:rPr>
                <w:color w:val="000000"/>
              </w:rPr>
              <w:t>25.73</w:t>
            </w:r>
          </w:p>
        </w:tc>
      </w:tr>
      <w:tr w:rsidR="005B434B" w:rsidRPr="00641A01" w14:paraId="7EAFE68C" w14:textId="77777777" w:rsidTr="00A637D6">
        <w:tc>
          <w:tcPr>
            <w:tcW w:w="3258" w:type="dxa"/>
            <w:tcBorders>
              <w:top w:val="nil"/>
              <w:left w:val="nil"/>
              <w:bottom w:val="nil"/>
              <w:right w:val="nil"/>
            </w:tcBorders>
            <w:shd w:val="clear" w:color="auto" w:fill="auto"/>
            <w:noWrap/>
            <w:hideMark/>
          </w:tcPr>
          <w:p w14:paraId="3C0D89A0" w14:textId="77777777" w:rsidR="00EE6446" w:rsidRPr="00641A01" w:rsidRDefault="00EE6446" w:rsidP="00641A01">
            <w:pPr>
              <w:spacing w:line="360" w:lineRule="auto"/>
              <w:jc w:val="center"/>
              <w:rPr>
                <w:color w:val="000000"/>
              </w:rPr>
            </w:pPr>
            <w:r w:rsidRPr="00641A01">
              <w:rPr>
                <w:color w:val="000000"/>
              </w:rPr>
              <w:t>United Kingdom</w:t>
            </w:r>
          </w:p>
        </w:tc>
        <w:tc>
          <w:tcPr>
            <w:tcW w:w="1011" w:type="dxa"/>
            <w:tcBorders>
              <w:top w:val="nil"/>
              <w:left w:val="nil"/>
              <w:bottom w:val="nil"/>
              <w:right w:val="nil"/>
            </w:tcBorders>
            <w:shd w:val="clear" w:color="auto" w:fill="auto"/>
            <w:noWrap/>
            <w:hideMark/>
          </w:tcPr>
          <w:p w14:paraId="6E65A3C0" w14:textId="77777777" w:rsidR="00EE6446" w:rsidRPr="00641A01" w:rsidRDefault="00EE6446" w:rsidP="00641A01">
            <w:pPr>
              <w:spacing w:line="360" w:lineRule="auto"/>
              <w:jc w:val="center"/>
              <w:rPr>
                <w:color w:val="000000"/>
              </w:rPr>
            </w:pPr>
            <w:r w:rsidRPr="00641A01">
              <w:rPr>
                <w:color w:val="000000"/>
              </w:rPr>
              <w:t>GBR</w:t>
            </w:r>
          </w:p>
        </w:tc>
        <w:tc>
          <w:tcPr>
            <w:tcW w:w="1011" w:type="dxa"/>
            <w:tcBorders>
              <w:top w:val="nil"/>
              <w:left w:val="nil"/>
              <w:bottom w:val="nil"/>
              <w:right w:val="nil"/>
            </w:tcBorders>
            <w:shd w:val="clear" w:color="auto" w:fill="auto"/>
            <w:noWrap/>
            <w:hideMark/>
          </w:tcPr>
          <w:p w14:paraId="4C47FAC7"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06C9238"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0320D5D"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7B378A44" w14:textId="77777777" w:rsidR="00EE6446" w:rsidRPr="00641A01" w:rsidRDefault="00EE6446" w:rsidP="00641A01">
            <w:pPr>
              <w:spacing w:line="360" w:lineRule="auto"/>
              <w:jc w:val="center"/>
              <w:rPr>
                <w:color w:val="000000"/>
              </w:rPr>
            </w:pPr>
            <w:r w:rsidRPr="00641A01">
              <w:rPr>
                <w:color w:val="000000"/>
              </w:rPr>
              <w:t>20</w:t>
            </w:r>
          </w:p>
        </w:tc>
        <w:tc>
          <w:tcPr>
            <w:tcW w:w="2233" w:type="dxa"/>
            <w:tcBorders>
              <w:top w:val="nil"/>
              <w:left w:val="nil"/>
              <w:bottom w:val="nil"/>
              <w:right w:val="nil"/>
            </w:tcBorders>
            <w:shd w:val="clear" w:color="auto" w:fill="auto"/>
            <w:noWrap/>
            <w:hideMark/>
          </w:tcPr>
          <w:p w14:paraId="1CC04412" w14:textId="77777777" w:rsidR="00EE6446" w:rsidRPr="00641A01" w:rsidRDefault="00EE6446" w:rsidP="00641A01">
            <w:pPr>
              <w:tabs>
                <w:tab w:val="decimal" w:pos="943"/>
              </w:tabs>
              <w:spacing w:line="360" w:lineRule="auto"/>
              <w:rPr>
                <w:color w:val="000000"/>
              </w:rPr>
            </w:pPr>
            <w:r w:rsidRPr="00641A01">
              <w:rPr>
                <w:color w:val="000000"/>
              </w:rPr>
              <w:t>16.85</w:t>
            </w:r>
          </w:p>
        </w:tc>
        <w:tc>
          <w:tcPr>
            <w:tcW w:w="2233" w:type="dxa"/>
            <w:tcBorders>
              <w:top w:val="nil"/>
              <w:left w:val="nil"/>
              <w:bottom w:val="nil"/>
              <w:right w:val="nil"/>
            </w:tcBorders>
            <w:shd w:val="clear" w:color="auto" w:fill="auto"/>
            <w:noWrap/>
            <w:hideMark/>
          </w:tcPr>
          <w:p w14:paraId="170039A3" w14:textId="77777777" w:rsidR="00EE6446" w:rsidRPr="00641A01" w:rsidRDefault="00EE6446" w:rsidP="00641A01">
            <w:pPr>
              <w:tabs>
                <w:tab w:val="decimal" w:pos="943"/>
              </w:tabs>
              <w:spacing w:line="360" w:lineRule="auto"/>
              <w:rPr>
                <w:color w:val="000000"/>
              </w:rPr>
            </w:pPr>
            <w:r w:rsidRPr="00641A01">
              <w:rPr>
                <w:color w:val="000000"/>
              </w:rPr>
              <w:t>209.68</w:t>
            </w:r>
          </w:p>
        </w:tc>
      </w:tr>
      <w:tr w:rsidR="005B434B" w:rsidRPr="00641A01" w14:paraId="6782C50A" w14:textId="77777777" w:rsidTr="00A637D6">
        <w:tc>
          <w:tcPr>
            <w:tcW w:w="3258" w:type="dxa"/>
            <w:tcBorders>
              <w:top w:val="nil"/>
              <w:left w:val="nil"/>
              <w:bottom w:val="nil"/>
              <w:right w:val="nil"/>
            </w:tcBorders>
            <w:shd w:val="clear" w:color="auto" w:fill="auto"/>
            <w:noWrap/>
            <w:hideMark/>
          </w:tcPr>
          <w:p w14:paraId="3D2C7BE0" w14:textId="77777777" w:rsidR="00EE6446" w:rsidRPr="00641A01" w:rsidRDefault="00EE6446" w:rsidP="00641A01">
            <w:pPr>
              <w:spacing w:line="360" w:lineRule="auto"/>
              <w:jc w:val="center"/>
              <w:rPr>
                <w:color w:val="000000"/>
              </w:rPr>
            </w:pPr>
            <w:r w:rsidRPr="00641A01">
              <w:rPr>
                <w:color w:val="000000"/>
              </w:rPr>
              <w:t>Georgia</w:t>
            </w:r>
          </w:p>
        </w:tc>
        <w:tc>
          <w:tcPr>
            <w:tcW w:w="1011" w:type="dxa"/>
            <w:tcBorders>
              <w:top w:val="nil"/>
              <w:left w:val="nil"/>
              <w:bottom w:val="nil"/>
              <w:right w:val="nil"/>
            </w:tcBorders>
            <w:shd w:val="clear" w:color="auto" w:fill="auto"/>
            <w:noWrap/>
            <w:hideMark/>
          </w:tcPr>
          <w:p w14:paraId="6E991351" w14:textId="77777777" w:rsidR="00EE6446" w:rsidRPr="00641A01" w:rsidRDefault="00EE6446" w:rsidP="00641A01">
            <w:pPr>
              <w:spacing w:line="360" w:lineRule="auto"/>
              <w:jc w:val="center"/>
              <w:rPr>
                <w:color w:val="000000"/>
              </w:rPr>
            </w:pPr>
            <w:r w:rsidRPr="00641A01">
              <w:rPr>
                <w:color w:val="000000"/>
              </w:rPr>
              <w:t>GEO</w:t>
            </w:r>
          </w:p>
        </w:tc>
        <w:tc>
          <w:tcPr>
            <w:tcW w:w="1011" w:type="dxa"/>
            <w:tcBorders>
              <w:top w:val="nil"/>
              <w:left w:val="nil"/>
              <w:bottom w:val="nil"/>
              <w:right w:val="nil"/>
            </w:tcBorders>
            <w:shd w:val="clear" w:color="auto" w:fill="auto"/>
            <w:noWrap/>
            <w:hideMark/>
          </w:tcPr>
          <w:p w14:paraId="01870D8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51FAF4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93A3C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9FE4FF0"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7C4D6F15" w14:textId="77777777" w:rsidR="00EE6446" w:rsidRPr="00641A01" w:rsidRDefault="00EE6446" w:rsidP="00641A01">
            <w:pPr>
              <w:tabs>
                <w:tab w:val="decimal" w:pos="943"/>
              </w:tabs>
              <w:spacing w:line="360" w:lineRule="auto"/>
              <w:rPr>
                <w:color w:val="000000"/>
              </w:rPr>
            </w:pPr>
            <w:r w:rsidRPr="00641A01">
              <w:rPr>
                <w:color w:val="000000"/>
              </w:rPr>
              <w:t>1.13</w:t>
            </w:r>
          </w:p>
        </w:tc>
        <w:tc>
          <w:tcPr>
            <w:tcW w:w="2233" w:type="dxa"/>
            <w:tcBorders>
              <w:top w:val="nil"/>
              <w:left w:val="nil"/>
              <w:bottom w:val="nil"/>
              <w:right w:val="nil"/>
            </w:tcBorders>
            <w:shd w:val="clear" w:color="auto" w:fill="auto"/>
            <w:noWrap/>
            <w:hideMark/>
          </w:tcPr>
          <w:p w14:paraId="41AB665D" w14:textId="77777777" w:rsidR="00EE6446" w:rsidRPr="00641A01" w:rsidRDefault="00EE6446" w:rsidP="00641A01">
            <w:pPr>
              <w:tabs>
                <w:tab w:val="decimal" w:pos="943"/>
              </w:tabs>
              <w:spacing w:line="360" w:lineRule="auto"/>
              <w:rPr>
                <w:color w:val="000000"/>
              </w:rPr>
            </w:pPr>
            <w:r w:rsidRPr="00641A01">
              <w:rPr>
                <w:color w:val="000000"/>
              </w:rPr>
              <w:t>3.88</w:t>
            </w:r>
          </w:p>
        </w:tc>
      </w:tr>
      <w:tr w:rsidR="005B434B" w:rsidRPr="00641A01" w14:paraId="47FA87F9" w14:textId="77777777" w:rsidTr="00A637D6">
        <w:tc>
          <w:tcPr>
            <w:tcW w:w="3258" w:type="dxa"/>
            <w:tcBorders>
              <w:top w:val="nil"/>
              <w:left w:val="nil"/>
              <w:bottom w:val="nil"/>
              <w:right w:val="nil"/>
            </w:tcBorders>
            <w:shd w:val="clear" w:color="auto" w:fill="auto"/>
            <w:noWrap/>
            <w:hideMark/>
          </w:tcPr>
          <w:p w14:paraId="1ECE06DF" w14:textId="77777777" w:rsidR="00EE6446" w:rsidRPr="00641A01" w:rsidRDefault="00EE6446" w:rsidP="00641A01">
            <w:pPr>
              <w:spacing w:line="360" w:lineRule="auto"/>
              <w:jc w:val="center"/>
              <w:rPr>
                <w:color w:val="000000"/>
              </w:rPr>
            </w:pPr>
            <w:r w:rsidRPr="00641A01">
              <w:rPr>
                <w:color w:val="000000"/>
              </w:rPr>
              <w:t>Ghana</w:t>
            </w:r>
          </w:p>
        </w:tc>
        <w:tc>
          <w:tcPr>
            <w:tcW w:w="1011" w:type="dxa"/>
            <w:tcBorders>
              <w:top w:val="nil"/>
              <w:left w:val="nil"/>
              <w:bottom w:val="nil"/>
              <w:right w:val="nil"/>
            </w:tcBorders>
            <w:shd w:val="clear" w:color="auto" w:fill="auto"/>
            <w:noWrap/>
            <w:hideMark/>
          </w:tcPr>
          <w:p w14:paraId="60EA649D" w14:textId="77777777" w:rsidR="00EE6446" w:rsidRPr="00641A01" w:rsidRDefault="00EE6446" w:rsidP="00641A01">
            <w:pPr>
              <w:spacing w:line="360" w:lineRule="auto"/>
              <w:jc w:val="center"/>
              <w:rPr>
                <w:color w:val="000000"/>
              </w:rPr>
            </w:pPr>
            <w:r w:rsidRPr="00641A01">
              <w:rPr>
                <w:color w:val="000000"/>
              </w:rPr>
              <w:t>GHA</w:t>
            </w:r>
          </w:p>
        </w:tc>
        <w:tc>
          <w:tcPr>
            <w:tcW w:w="1011" w:type="dxa"/>
            <w:tcBorders>
              <w:top w:val="nil"/>
              <w:left w:val="nil"/>
              <w:bottom w:val="nil"/>
              <w:right w:val="nil"/>
            </w:tcBorders>
            <w:shd w:val="clear" w:color="auto" w:fill="auto"/>
            <w:noWrap/>
            <w:hideMark/>
          </w:tcPr>
          <w:p w14:paraId="1B22BF7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F1714D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386435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0D1F090"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7106B899" w14:textId="77777777" w:rsidR="00EE6446" w:rsidRPr="00641A01" w:rsidRDefault="00EE6446" w:rsidP="00641A01">
            <w:pPr>
              <w:tabs>
                <w:tab w:val="decimal" w:pos="943"/>
              </w:tabs>
              <w:spacing w:line="360" w:lineRule="auto"/>
              <w:rPr>
                <w:color w:val="000000"/>
              </w:rPr>
            </w:pPr>
            <w:r w:rsidRPr="00641A01">
              <w:rPr>
                <w:color w:val="000000"/>
              </w:rPr>
              <w:t>4.41</w:t>
            </w:r>
          </w:p>
        </w:tc>
        <w:tc>
          <w:tcPr>
            <w:tcW w:w="2233" w:type="dxa"/>
            <w:tcBorders>
              <w:top w:val="nil"/>
              <w:left w:val="nil"/>
              <w:bottom w:val="nil"/>
              <w:right w:val="nil"/>
            </w:tcBorders>
            <w:shd w:val="clear" w:color="auto" w:fill="auto"/>
            <w:noWrap/>
            <w:hideMark/>
          </w:tcPr>
          <w:p w14:paraId="29E4C231" w14:textId="77777777" w:rsidR="00EE6446" w:rsidRPr="00641A01" w:rsidRDefault="00EE6446" w:rsidP="00641A01">
            <w:pPr>
              <w:tabs>
                <w:tab w:val="decimal" w:pos="943"/>
              </w:tabs>
              <w:spacing w:line="360" w:lineRule="auto"/>
              <w:rPr>
                <w:color w:val="000000"/>
              </w:rPr>
            </w:pPr>
            <w:r w:rsidRPr="00641A01">
              <w:rPr>
                <w:color w:val="000000"/>
              </w:rPr>
              <w:t>60.59</w:t>
            </w:r>
          </w:p>
        </w:tc>
      </w:tr>
      <w:tr w:rsidR="005B434B" w:rsidRPr="00641A01" w14:paraId="16DE119E" w14:textId="77777777" w:rsidTr="00A637D6">
        <w:tc>
          <w:tcPr>
            <w:tcW w:w="3258" w:type="dxa"/>
            <w:tcBorders>
              <w:top w:val="nil"/>
              <w:left w:val="nil"/>
              <w:bottom w:val="nil"/>
              <w:right w:val="nil"/>
            </w:tcBorders>
            <w:shd w:val="clear" w:color="auto" w:fill="auto"/>
            <w:noWrap/>
            <w:hideMark/>
          </w:tcPr>
          <w:p w14:paraId="713F41CE" w14:textId="77777777" w:rsidR="00EE6446" w:rsidRPr="00641A01" w:rsidRDefault="00EE6446" w:rsidP="00641A01">
            <w:pPr>
              <w:spacing w:line="360" w:lineRule="auto"/>
              <w:jc w:val="center"/>
              <w:rPr>
                <w:color w:val="000000"/>
              </w:rPr>
            </w:pPr>
            <w:r w:rsidRPr="00641A01">
              <w:rPr>
                <w:color w:val="000000"/>
              </w:rPr>
              <w:t>Guinea</w:t>
            </w:r>
          </w:p>
        </w:tc>
        <w:tc>
          <w:tcPr>
            <w:tcW w:w="1011" w:type="dxa"/>
            <w:tcBorders>
              <w:top w:val="nil"/>
              <w:left w:val="nil"/>
              <w:bottom w:val="nil"/>
              <w:right w:val="nil"/>
            </w:tcBorders>
            <w:shd w:val="clear" w:color="auto" w:fill="auto"/>
            <w:noWrap/>
            <w:hideMark/>
          </w:tcPr>
          <w:p w14:paraId="22CC80B0" w14:textId="77777777" w:rsidR="00EE6446" w:rsidRPr="00641A01" w:rsidRDefault="00EE6446" w:rsidP="00641A01">
            <w:pPr>
              <w:spacing w:line="360" w:lineRule="auto"/>
              <w:jc w:val="center"/>
              <w:rPr>
                <w:color w:val="000000"/>
              </w:rPr>
            </w:pPr>
            <w:r w:rsidRPr="00641A01">
              <w:rPr>
                <w:color w:val="000000"/>
              </w:rPr>
              <w:t>GIN</w:t>
            </w:r>
          </w:p>
        </w:tc>
        <w:tc>
          <w:tcPr>
            <w:tcW w:w="1011" w:type="dxa"/>
            <w:tcBorders>
              <w:top w:val="nil"/>
              <w:left w:val="nil"/>
              <w:bottom w:val="nil"/>
              <w:right w:val="nil"/>
            </w:tcBorders>
            <w:shd w:val="clear" w:color="auto" w:fill="auto"/>
            <w:noWrap/>
            <w:hideMark/>
          </w:tcPr>
          <w:p w14:paraId="1A71955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27BD7D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134E4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3AE11F1"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27F32DD5" w14:textId="77777777" w:rsidR="00EE6446" w:rsidRPr="00641A01" w:rsidRDefault="00EE6446" w:rsidP="00641A01">
            <w:pPr>
              <w:tabs>
                <w:tab w:val="decimal" w:pos="943"/>
              </w:tabs>
              <w:spacing w:line="360" w:lineRule="auto"/>
              <w:rPr>
                <w:color w:val="000000"/>
              </w:rPr>
            </w:pPr>
            <w:r w:rsidRPr="00641A01">
              <w:rPr>
                <w:color w:val="000000"/>
              </w:rPr>
              <w:t>0.76</w:t>
            </w:r>
          </w:p>
        </w:tc>
        <w:tc>
          <w:tcPr>
            <w:tcW w:w="2233" w:type="dxa"/>
            <w:tcBorders>
              <w:top w:val="nil"/>
              <w:left w:val="nil"/>
              <w:bottom w:val="nil"/>
              <w:right w:val="nil"/>
            </w:tcBorders>
            <w:shd w:val="clear" w:color="auto" w:fill="auto"/>
            <w:noWrap/>
            <w:hideMark/>
          </w:tcPr>
          <w:p w14:paraId="373211B5" w14:textId="77777777" w:rsidR="00EE6446" w:rsidRPr="00641A01" w:rsidRDefault="00EE6446" w:rsidP="00641A01">
            <w:pPr>
              <w:tabs>
                <w:tab w:val="decimal" w:pos="943"/>
              </w:tabs>
              <w:spacing w:line="360" w:lineRule="auto"/>
              <w:rPr>
                <w:color w:val="000000"/>
              </w:rPr>
            </w:pPr>
            <w:r w:rsidRPr="00641A01">
              <w:rPr>
                <w:color w:val="000000"/>
              </w:rPr>
              <w:t>9.60</w:t>
            </w:r>
          </w:p>
        </w:tc>
      </w:tr>
      <w:tr w:rsidR="005B434B" w:rsidRPr="00641A01" w14:paraId="79A1C7C7" w14:textId="77777777" w:rsidTr="00A637D6">
        <w:tc>
          <w:tcPr>
            <w:tcW w:w="3258" w:type="dxa"/>
            <w:tcBorders>
              <w:top w:val="nil"/>
              <w:left w:val="nil"/>
              <w:bottom w:val="nil"/>
              <w:right w:val="nil"/>
            </w:tcBorders>
            <w:shd w:val="clear" w:color="auto" w:fill="auto"/>
            <w:noWrap/>
            <w:hideMark/>
          </w:tcPr>
          <w:p w14:paraId="60568B1A" w14:textId="77777777" w:rsidR="00EE6446" w:rsidRPr="00641A01" w:rsidRDefault="00EE6446" w:rsidP="00641A01">
            <w:pPr>
              <w:spacing w:line="360" w:lineRule="auto"/>
              <w:jc w:val="center"/>
              <w:rPr>
                <w:color w:val="000000"/>
              </w:rPr>
            </w:pPr>
            <w:r w:rsidRPr="00641A01">
              <w:rPr>
                <w:color w:val="000000"/>
              </w:rPr>
              <w:t>Gambia</w:t>
            </w:r>
          </w:p>
        </w:tc>
        <w:tc>
          <w:tcPr>
            <w:tcW w:w="1011" w:type="dxa"/>
            <w:tcBorders>
              <w:top w:val="nil"/>
              <w:left w:val="nil"/>
              <w:bottom w:val="nil"/>
              <w:right w:val="nil"/>
            </w:tcBorders>
            <w:shd w:val="clear" w:color="auto" w:fill="auto"/>
            <w:noWrap/>
            <w:hideMark/>
          </w:tcPr>
          <w:p w14:paraId="732340D4" w14:textId="77777777" w:rsidR="00EE6446" w:rsidRPr="00641A01" w:rsidRDefault="00EE6446" w:rsidP="00641A01">
            <w:pPr>
              <w:spacing w:line="360" w:lineRule="auto"/>
              <w:jc w:val="center"/>
              <w:rPr>
                <w:color w:val="000000"/>
              </w:rPr>
            </w:pPr>
            <w:r w:rsidRPr="00641A01">
              <w:rPr>
                <w:color w:val="000000"/>
              </w:rPr>
              <w:t>GMB</w:t>
            </w:r>
          </w:p>
        </w:tc>
        <w:tc>
          <w:tcPr>
            <w:tcW w:w="1011" w:type="dxa"/>
            <w:tcBorders>
              <w:top w:val="nil"/>
              <w:left w:val="nil"/>
              <w:bottom w:val="nil"/>
              <w:right w:val="nil"/>
            </w:tcBorders>
            <w:shd w:val="clear" w:color="auto" w:fill="auto"/>
            <w:noWrap/>
            <w:hideMark/>
          </w:tcPr>
          <w:p w14:paraId="2A7B03C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C4D697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0D421E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52621D7"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52ED1D68" w14:textId="77777777" w:rsidR="00EE6446" w:rsidRPr="00641A01" w:rsidRDefault="00EE6446" w:rsidP="00641A01">
            <w:pPr>
              <w:tabs>
                <w:tab w:val="decimal" w:pos="943"/>
              </w:tabs>
              <w:spacing w:line="360" w:lineRule="auto"/>
              <w:rPr>
                <w:color w:val="000000"/>
              </w:rPr>
            </w:pPr>
            <w:r w:rsidRPr="00641A01">
              <w:rPr>
                <w:color w:val="000000"/>
              </w:rPr>
              <w:t>2.38</w:t>
            </w:r>
          </w:p>
        </w:tc>
        <w:tc>
          <w:tcPr>
            <w:tcW w:w="2233" w:type="dxa"/>
            <w:tcBorders>
              <w:top w:val="nil"/>
              <w:left w:val="nil"/>
              <w:bottom w:val="nil"/>
              <w:right w:val="nil"/>
            </w:tcBorders>
            <w:shd w:val="clear" w:color="auto" w:fill="auto"/>
            <w:noWrap/>
            <w:hideMark/>
          </w:tcPr>
          <w:p w14:paraId="6D8DF2A0" w14:textId="77777777" w:rsidR="00EE6446" w:rsidRPr="00641A01" w:rsidRDefault="00EE6446" w:rsidP="00641A01">
            <w:pPr>
              <w:tabs>
                <w:tab w:val="decimal" w:pos="943"/>
              </w:tabs>
              <w:spacing w:line="360" w:lineRule="auto"/>
              <w:rPr>
                <w:color w:val="000000"/>
              </w:rPr>
            </w:pPr>
            <w:r w:rsidRPr="00641A01">
              <w:rPr>
                <w:color w:val="000000"/>
              </w:rPr>
              <w:t>25.48</w:t>
            </w:r>
          </w:p>
        </w:tc>
      </w:tr>
      <w:tr w:rsidR="005B434B" w:rsidRPr="00641A01" w14:paraId="1202D928" w14:textId="77777777" w:rsidTr="00A637D6">
        <w:tc>
          <w:tcPr>
            <w:tcW w:w="3258" w:type="dxa"/>
            <w:tcBorders>
              <w:top w:val="nil"/>
              <w:left w:val="nil"/>
              <w:bottom w:val="nil"/>
              <w:right w:val="nil"/>
            </w:tcBorders>
            <w:shd w:val="clear" w:color="auto" w:fill="auto"/>
            <w:noWrap/>
            <w:hideMark/>
          </w:tcPr>
          <w:p w14:paraId="4E7A0D9C" w14:textId="77777777" w:rsidR="00EE6446" w:rsidRPr="00641A01" w:rsidRDefault="00EE6446" w:rsidP="00641A01">
            <w:pPr>
              <w:spacing w:line="360" w:lineRule="auto"/>
              <w:jc w:val="center"/>
              <w:rPr>
                <w:color w:val="000000"/>
              </w:rPr>
            </w:pPr>
            <w:r w:rsidRPr="00641A01">
              <w:rPr>
                <w:color w:val="000000"/>
              </w:rPr>
              <w:t>Guinea-Bissau</w:t>
            </w:r>
          </w:p>
        </w:tc>
        <w:tc>
          <w:tcPr>
            <w:tcW w:w="1011" w:type="dxa"/>
            <w:tcBorders>
              <w:top w:val="nil"/>
              <w:left w:val="nil"/>
              <w:bottom w:val="nil"/>
              <w:right w:val="nil"/>
            </w:tcBorders>
            <w:shd w:val="clear" w:color="auto" w:fill="auto"/>
            <w:noWrap/>
            <w:hideMark/>
          </w:tcPr>
          <w:p w14:paraId="3B68FE4D" w14:textId="77777777" w:rsidR="00EE6446" w:rsidRPr="00641A01" w:rsidRDefault="00EE6446" w:rsidP="00641A01">
            <w:pPr>
              <w:spacing w:line="360" w:lineRule="auto"/>
              <w:jc w:val="center"/>
              <w:rPr>
                <w:color w:val="000000"/>
              </w:rPr>
            </w:pPr>
            <w:r w:rsidRPr="00641A01">
              <w:rPr>
                <w:color w:val="000000"/>
              </w:rPr>
              <w:t>GNB</w:t>
            </w:r>
          </w:p>
        </w:tc>
        <w:tc>
          <w:tcPr>
            <w:tcW w:w="1011" w:type="dxa"/>
            <w:tcBorders>
              <w:top w:val="nil"/>
              <w:left w:val="nil"/>
              <w:bottom w:val="nil"/>
              <w:right w:val="nil"/>
            </w:tcBorders>
            <w:shd w:val="clear" w:color="auto" w:fill="auto"/>
            <w:noWrap/>
            <w:hideMark/>
          </w:tcPr>
          <w:p w14:paraId="45F0A7A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C5C05F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15E725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F55F6C9"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6FE93BCF" w14:textId="77777777" w:rsidR="00EE6446" w:rsidRPr="00641A01" w:rsidRDefault="00EE6446" w:rsidP="00641A01">
            <w:pPr>
              <w:tabs>
                <w:tab w:val="decimal" w:pos="943"/>
              </w:tabs>
              <w:spacing w:line="360" w:lineRule="auto"/>
              <w:rPr>
                <w:color w:val="000000"/>
              </w:rPr>
            </w:pPr>
            <w:r w:rsidRPr="00641A01">
              <w:rPr>
                <w:color w:val="000000"/>
              </w:rPr>
              <w:t>0.48</w:t>
            </w:r>
          </w:p>
        </w:tc>
        <w:tc>
          <w:tcPr>
            <w:tcW w:w="2233" w:type="dxa"/>
            <w:tcBorders>
              <w:top w:val="nil"/>
              <w:left w:val="nil"/>
              <w:bottom w:val="nil"/>
              <w:right w:val="nil"/>
            </w:tcBorders>
            <w:shd w:val="clear" w:color="auto" w:fill="auto"/>
            <w:noWrap/>
            <w:hideMark/>
          </w:tcPr>
          <w:p w14:paraId="61A85647" w14:textId="77777777" w:rsidR="00EE6446" w:rsidRPr="00641A01" w:rsidRDefault="00EE6446" w:rsidP="00641A01">
            <w:pPr>
              <w:tabs>
                <w:tab w:val="decimal" w:pos="943"/>
              </w:tabs>
              <w:spacing w:line="360" w:lineRule="auto"/>
              <w:rPr>
                <w:color w:val="000000"/>
              </w:rPr>
            </w:pPr>
            <w:r w:rsidRPr="00641A01">
              <w:rPr>
                <w:color w:val="000000"/>
              </w:rPr>
              <w:t>4.08</w:t>
            </w:r>
          </w:p>
        </w:tc>
      </w:tr>
      <w:tr w:rsidR="005B434B" w:rsidRPr="00641A01" w14:paraId="249AD62B" w14:textId="77777777" w:rsidTr="00A637D6">
        <w:tc>
          <w:tcPr>
            <w:tcW w:w="3258" w:type="dxa"/>
            <w:tcBorders>
              <w:top w:val="nil"/>
              <w:left w:val="nil"/>
              <w:bottom w:val="nil"/>
              <w:right w:val="nil"/>
            </w:tcBorders>
            <w:shd w:val="clear" w:color="auto" w:fill="auto"/>
            <w:noWrap/>
            <w:hideMark/>
          </w:tcPr>
          <w:p w14:paraId="12519492" w14:textId="77777777" w:rsidR="00EE6446" w:rsidRPr="00641A01" w:rsidRDefault="00EE6446" w:rsidP="00641A01">
            <w:pPr>
              <w:spacing w:line="360" w:lineRule="auto"/>
              <w:jc w:val="center"/>
              <w:rPr>
                <w:color w:val="000000"/>
              </w:rPr>
            </w:pPr>
            <w:r w:rsidRPr="00641A01">
              <w:rPr>
                <w:color w:val="000000"/>
              </w:rPr>
              <w:t>Equatorial Guinea</w:t>
            </w:r>
          </w:p>
        </w:tc>
        <w:tc>
          <w:tcPr>
            <w:tcW w:w="1011" w:type="dxa"/>
            <w:tcBorders>
              <w:top w:val="nil"/>
              <w:left w:val="nil"/>
              <w:bottom w:val="nil"/>
              <w:right w:val="nil"/>
            </w:tcBorders>
            <w:shd w:val="clear" w:color="auto" w:fill="auto"/>
            <w:noWrap/>
            <w:hideMark/>
          </w:tcPr>
          <w:p w14:paraId="5EBD71FD" w14:textId="77777777" w:rsidR="00EE6446" w:rsidRPr="00641A01" w:rsidRDefault="00EE6446" w:rsidP="00641A01">
            <w:pPr>
              <w:spacing w:line="360" w:lineRule="auto"/>
              <w:jc w:val="center"/>
              <w:rPr>
                <w:color w:val="000000"/>
              </w:rPr>
            </w:pPr>
            <w:r w:rsidRPr="00641A01">
              <w:rPr>
                <w:color w:val="000000"/>
              </w:rPr>
              <w:t>GNQ</w:t>
            </w:r>
          </w:p>
        </w:tc>
        <w:tc>
          <w:tcPr>
            <w:tcW w:w="1011" w:type="dxa"/>
            <w:tcBorders>
              <w:top w:val="nil"/>
              <w:left w:val="nil"/>
              <w:bottom w:val="nil"/>
              <w:right w:val="nil"/>
            </w:tcBorders>
            <w:shd w:val="clear" w:color="auto" w:fill="auto"/>
            <w:noWrap/>
            <w:hideMark/>
          </w:tcPr>
          <w:p w14:paraId="24CAE5A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6D9235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32D9B1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7A4B7EC"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7530B365" w14:textId="77777777" w:rsidR="00EE6446" w:rsidRPr="00641A01" w:rsidRDefault="00EE6446" w:rsidP="00641A01">
            <w:pPr>
              <w:tabs>
                <w:tab w:val="decimal" w:pos="943"/>
              </w:tabs>
              <w:spacing w:line="360" w:lineRule="auto"/>
              <w:rPr>
                <w:color w:val="000000"/>
              </w:rPr>
            </w:pPr>
            <w:r w:rsidRPr="00641A01">
              <w:rPr>
                <w:color w:val="000000"/>
              </w:rPr>
              <w:t>0.21</w:t>
            </w:r>
          </w:p>
        </w:tc>
        <w:tc>
          <w:tcPr>
            <w:tcW w:w="2233" w:type="dxa"/>
            <w:tcBorders>
              <w:top w:val="nil"/>
              <w:left w:val="nil"/>
              <w:bottom w:val="nil"/>
              <w:right w:val="nil"/>
            </w:tcBorders>
            <w:shd w:val="clear" w:color="auto" w:fill="auto"/>
            <w:noWrap/>
            <w:hideMark/>
          </w:tcPr>
          <w:p w14:paraId="685F21A6" w14:textId="77777777" w:rsidR="00EE6446" w:rsidRPr="00641A01" w:rsidRDefault="00EE6446" w:rsidP="00641A01">
            <w:pPr>
              <w:tabs>
                <w:tab w:val="decimal" w:pos="943"/>
              </w:tabs>
              <w:spacing w:line="360" w:lineRule="auto"/>
              <w:rPr>
                <w:color w:val="000000"/>
              </w:rPr>
            </w:pPr>
            <w:r w:rsidRPr="00641A01">
              <w:rPr>
                <w:color w:val="000000"/>
              </w:rPr>
              <w:t>1.11</w:t>
            </w:r>
          </w:p>
        </w:tc>
      </w:tr>
      <w:tr w:rsidR="005B434B" w:rsidRPr="00641A01" w14:paraId="76A3A3B0" w14:textId="77777777" w:rsidTr="00A637D6">
        <w:tc>
          <w:tcPr>
            <w:tcW w:w="3258" w:type="dxa"/>
            <w:tcBorders>
              <w:top w:val="nil"/>
              <w:left w:val="nil"/>
              <w:bottom w:val="nil"/>
              <w:right w:val="nil"/>
            </w:tcBorders>
            <w:shd w:val="clear" w:color="auto" w:fill="auto"/>
            <w:noWrap/>
            <w:hideMark/>
          </w:tcPr>
          <w:p w14:paraId="6316E292" w14:textId="77777777" w:rsidR="00EE6446" w:rsidRPr="00641A01" w:rsidRDefault="00EE6446" w:rsidP="00641A01">
            <w:pPr>
              <w:spacing w:line="360" w:lineRule="auto"/>
              <w:jc w:val="center"/>
              <w:rPr>
                <w:color w:val="000000"/>
              </w:rPr>
            </w:pPr>
            <w:r w:rsidRPr="00641A01">
              <w:rPr>
                <w:color w:val="000000"/>
              </w:rPr>
              <w:t>Greece</w:t>
            </w:r>
          </w:p>
        </w:tc>
        <w:tc>
          <w:tcPr>
            <w:tcW w:w="1011" w:type="dxa"/>
            <w:tcBorders>
              <w:top w:val="nil"/>
              <w:left w:val="nil"/>
              <w:bottom w:val="nil"/>
              <w:right w:val="nil"/>
            </w:tcBorders>
            <w:shd w:val="clear" w:color="auto" w:fill="auto"/>
            <w:noWrap/>
            <w:hideMark/>
          </w:tcPr>
          <w:p w14:paraId="7FFEE8A8" w14:textId="77777777" w:rsidR="00EE6446" w:rsidRPr="00641A01" w:rsidRDefault="00EE6446" w:rsidP="00641A01">
            <w:pPr>
              <w:spacing w:line="360" w:lineRule="auto"/>
              <w:jc w:val="center"/>
              <w:rPr>
                <w:color w:val="000000"/>
              </w:rPr>
            </w:pPr>
            <w:r w:rsidRPr="00641A01">
              <w:rPr>
                <w:color w:val="000000"/>
              </w:rPr>
              <w:t>GRC</w:t>
            </w:r>
          </w:p>
        </w:tc>
        <w:tc>
          <w:tcPr>
            <w:tcW w:w="1011" w:type="dxa"/>
            <w:tcBorders>
              <w:top w:val="nil"/>
              <w:left w:val="nil"/>
              <w:bottom w:val="nil"/>
              <w:right w:val="nil"/>
            </w:tcBorders>
            <w:shd w:val="clear" w:color="auto" w:fill="auto"/>
            <w:noWrap/>
            <w:hideMark/>
          </w:tcPr>
          <w:p w14:paraId="71306B4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99001D1"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4A2A157"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7E146E74"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70DE4EE6" w14:textId="77777777" w:rsidR="00EE6446" w:rsidRPr="00641A01" w:rsidRDefault="00EE6446" w:rsidP="00641A01">
            <w:pPr>
              <w:tabs>
                <w:tab w:val="decimal" w:pos="943"/>
              </w:tabs>
              <w:spacing w:line="360" w:lineRule="auto"/>
              <w:rPr>
                <w:color w:val="000000"/>
              </w:rPr>
            </w:pPr>
            <w:r w:rsidRPr="00641A01">
              <w:rPr>
                <w:color w:val="000000"/>
              </w:rPr>
              <w:t>8.75</w:t>
            </w:r>
          </w:p>
        </w:tc>
        <w:tc>
          <w:tcPr>
            <w:tcW w:w="2233" w:type="dxa"/>
            <w:tcBorders>
              <w:top w:val="nil"/>
              <w:left w:val="nil"/>
              <w:bottom w:val="nil"/>
              <w:right w:val="nil"/>
            </w:tcBorders>
            <w:shd w:val="clear" w:color="auto" w:fill="auto"/>
            <w:noWrap/>
            <w:hideMark/>
          </w:tcPr>
          <w:p w14:paraId="1B85CA03" w14:textId="77777777" w:rsidR="00EE6446" w:rsidRPr="00641A01" w:rsidRDefault="00EE6446" w:rsidP="00641A01">
            <w:pPr>
              <w:tabs>
                <w:tab w:val="decimal" w:pos="943"/>
              </w:tabs>
              <w:spacing w:line="360" w:lineRule="auto"/>
              <w:rPr>
                <w:color w:val="000000"/>
              </w:rPr>
            </w:pPr>
            <w:r w:rsidRPr="00641A01">
              <w:rPr>
                <w:color w:val="000000"/>
              </w:rPr>
              <w:t>101.63</w:t>
            </w:r>
          </w:p>
        </w:tc>
      </w:tr>
      <w:tr w:rsidR="005B434B" w:rsidRPr="00641A01" w14:paraId="062EAE79" w14:textId="77777777" w:rsidTr="00A637D6">
        <w:tc>
          <w:tcPr>
            <w:tcW w:w="3258" w:type="dxa"/>
            <w:tcBorders>
              <w:top w:val="nil"/>
              <w:left w:val="nil"/>
              <w:bottom w:val="nil"/>
              <w:right w:val="nil"/>
            </w:tcBorders>
            <w:shd w:val="clear" w:color="auto" w:fill="auto"/>
            <w:noWrap/>
            <w:hideMark/>
          </w:tcPr>
          <w:p w14:paraId="7ECB8587" w14:textId="77777777" w:rsidR="00EE6446" w:rsidRPr="00641A01" w:rsidRDefault="00EE6446" w:rsidP="00641A01">
            <w:pPr>
              <w:spacing w:line="360" w:lineRule="auto"/>
              <w:jc w:val="center"/>
              <w:rPr>
                <w:color w:val="000000"/>
              </w:rPr>
            </w:pPr>
            <w:r w:rsidRPr="00641A01">
              <w:rPr>
                <w:color w:val="000000"/>
              </w:rPr>
              <w:t>Grenada</w:t>
            </w:r>
          </w:p>
        </w:tc>
        <w:tc>
          <w:tcPr>
            <w:tcW w:w="1011" w:type="dxa"/>
            <w:tcBorders>
              <w:top w:val="nil"/>
              <w:left w:val="nil"/>
              <w:bottom w:val="nil"/>
              <w:right w:val="nil"/>
            </w:tcBorders>
            <w:shd w:val="clear" w:color="auto" w:fill="auto"/>
            <w:noWrap/>
            <w:hideMark/>
          </w:tcPr>
          <w:p w14:paraId="60CE9024" w14:textId="77777777" w:rsidR="00EE6446" w:rsidRPr="00641A01" w:rsidRDefault="00EE6446" w:rsidP="00641A01">
            <w:pPr>
              <w:spacing w:line="360" w:lineRule="auto"/>
              <w:jc w:val="center"/>
              <w:rPr>
                <w:color w:val="000000"/>
              </w:rPr>
            </w:pPr>
            <w:r w:rsidRPr="00641A01">
              <w:rPr>
                <w:color w:val="000000"/>
              </w:rPr>
              <w:t>GRD</w:t>
            </w:r>
          </w:p>
        </w:tc>
        <w:tc>
          <w:tcPr>
            <w:tcW w:w="1011" w:type="dxa"/>
            <w:tcBorders>
              <w:top w:val="nil"/>
              <w:left w:val="nil"/>
              <w:bottom w:val="nil"/>
              <w:right w:val="nil"/>
            </w:tcBorders>
            <w:shd w:val="clear" w:color="auto" w:fill="auto"/>
            <w:noWrap/>
            <w:hideMark/>
          </w:tcPr>
          <w:p w14:paraId="6F7C97E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9DC8F8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D7AE56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EBFF644"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1557519E" w14:textId="77777777" w:rsidR="00EE6446" w:rsidRPr="00641A01" w:rsidRDefault="00EE6446" w:rsidP="00641A01">
            <w:pPr>
              <w:tabs>
                <w:tab w:val="decimal" w:pos="943"/>
              </w:tabs>
              <w:spacing w:line="360" w:lineRule="auto"/>
              <w:rPr>
                <w:color w:val="000000"/>
              </w:rPr>
            </w:pPr>
            <w:r w:rsidRPr="00641A01">
              <w:rPr>
                <w:color w:val="000000"/>
              </w:rPr>
              <w:t>3.17</w:t>
            </w:r>
          </w:p>
        </w:tc>
        <w:tc>
          <w:tcPr>
            <w:tcW w:w="2233" w:type="dxa"/>
            <w:tcBorders>
              <w:top w:val="nil"/>
              <w:left w:val="nil"/>
              <w:bottom w:val="nil"/>
              <w:right w:val="nil"/>
            </w:tcBorders>
            <w:shd w:val="clear" w:color="auto" w:fill="auto"/>
            <w:noWrap/>
            <w:hideMark/>
          </w:tcPr>
          <w:p w14:paraId="51E2D5BE" w14:textId="77777777" w:rsidR="00EE6446" w:rsidRPr="00641A01" w:rsidRDefault="00EE6446" w:rsidP="00641A01">
            <w:pPr>
              <w:tabs>
                <w:tab w:val="decimal" w:pos="943"/>
              </w:tabs>
              <w:spacing w:line="360" w:lineRule="auto"/>
              <w:rPr>
                <w:color w:val="000000"/>
              </w:rPr>
            </w:pPr>
            <w:r w:rsidRPr="00641A01">
              <w:rPr>
                <w:color w:val="000000"/>
              </w:rPr>
              <w:t>33.68</w:t>
            </w:r>
          </w:p>
        </w:tc>
      </w:tr>
      <w:tr w:rsidR="005B434B" w:rsidRPr="00641A01" w14:paraId="2D24DD6F" w14:textId="77777777" w:rsidTr="00A637D6">
        <w:tc>
          <w:tcPr>
            <w:tcW w:w="3258" w:type="dxa"/>
            <w:tcBorders>
              <w:top w:val="nil"/>
              <w:left w:val="nil"/>
              <w:bottom w:val="nil"/>
              <w:right w:val="nil"/>
            </w:tcBorders>
            <w:shd w:val="clear" w:color="auto" w:fill="auto"/>
            <w:noWrap/>
            <w:hideMark/>
          </w:tcPr>
          <w:p w14:paraId="47E80045" w14:textId="77777777" w:rsidR="00EE6446" w:rsidRPr="00641A01" w:rsidRDefault="00EE6446" w:rsidP="00641A01">
            <w:pPr>
              <w:spacing w:line="360" w:lineRule="auto"/>
              <w:jc w:val="center"/>
              <w:rPr>
                <w:color w:val="000000"/>
              </w:rPr>
            </w:pPr>
            <w:r w:rsidRPr="00641A01">
              <w:rPr>
                <w:color w:val="000000"/>
              </w:rPr>
              <w:t>Guatemala</w:t>
            </w:r>
          </w:p>
        </w:tc>
        <w:tc>
          <w:tcPr>
            <w:tcW w:w="1011" w:type="dxa"/>
            <w:tcBorders>
              <w:top w:val="nil"/>
              <w:left w:val="nil"/>
              <w:bottom w:val="nil"/>
              <w:right w:val="nil"/>
            </w:tcBorders>
            <w:shd w:val="clear" w:color="auto" w:fill="auto"/>
            <w:noWrap/>
            <w:hideMark/>
          </w:tcPr>
          <w:p w14:paraId="2A5F2644" w14:textId="77777777" w:rsidR="00EE6446" w:rsidRPr="00641A01" w:rsidRDefault="00EE6446" w:rsidP="00641A01">
            <w:pPr>
              <w:spacing w:line="360" w:lineRule="auto"/>
              <w:jc w:val="center"/>
              <w:rPr>
                <w:color w:val="000000"/>
              </w:rPr>
            </w:pPr>
            <w:r w:rsidRPr="00641A01">
              <w:rPr>
                <w:color w:val="000000"/>
              </w:rPr>
              <w:t>GTM</w:t>
            </w:r>
          </w:p>
        </w:tc>
        <w:tc>
          <w:tcPr>
            <w:tcW w:w="1011" w:type="dxa"/>
            <w:tcBorders>
              <w:top w:val="nil"/>
              <w:left w:val="nil"/>
              <w:bottom w:val="nil"/>
              <w:right w:val="nil"/>
            </w:tcBorders>
            <w:shd w:val="clear" w:color="auto" w:fill="auto"/>
            <w:noWrap/>
            <w:hideMark/>
          </w:tcPr>
          <w:p w14:paraId="1F4BD85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BB67E8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321F35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8811DB5"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7C5D7F11" w14:textId="77777777" w:rsidR="00EE6446" w:rsidRPr="00641A01" w:rsidRDefault="00EE6446" w:rsidP="00641A01">
            <w:pPr>
              <w:tabs>
                <w:tab w:val="decimal" w:pos="943"/>
              </w:tabs>
              <w:spacing w:line="360" w:lineRule="auto"/>
              <w:rPr>
                <w:color w:val="000000"/>
              </w:rPr>
            </w:pPr>
            <w:r w:rsidRPr="00641A01">
              <w:rPr>
                <w:color w:val="000000"/>
              </w:rPr>
              <w:t>2.34</w:t>
            </w:r>
          </w:p>
        </w:tc>
        <w:tc>
          <w:tcPr>
            <w:tcW w:w="2233" w:type="dxa"/>
            <w:tcBorders>
              <w:top w:val="nil"/>
              <w:left w:val="nil"/>
              <w:bottom w:val="nil"/>
              <w:right w:val="nil"/>
            </w:tcBorders>
            <w:shd w:val="clear" w:color="auto" w:fill="auto"/>
            <w:noWrap/>
            <w:hideMark/>
          </w:tcPr>
          <w:p w14:paraId="29E0B8F8" w14:textId="77777777" w:rsidR="00EE6446" w:rsidRPr="00641A01" w:rsidRDefault="00EE6446" w:rsidP="00641A01">
            <w:pPr>
              <w:tabs>
                <w:tab w:val="decimal" w:pos="943"/>
              </w:tabs>
              <w:spacing w:line="360" w:lineRule="auto"/>
              <w:rPr>
                <w:color w:val="000000"/>
              </w:rPr>
            </w:pPr>
            <w:r w:rsidRPr="00641A01">
              <w:rPr>
                <w:color w:val="000000"/>
              </w:rPr>
              <w:t>22.26</w:t>
            </w:r>
          </w:p>
        </w:tc>
      </w:tr>
      <w:tr w:rsidR="005B434B" w:rsidRPr="00641A01" w14:paraId="5E062DD1" w14:textId="77777777" w:rsidTr="00A637D6">
        <w:tc>
          <w:tcPr>
            <w:tcW w:w="3258" w:type="dxa"/>
            <w:tcBorders>
              <w:top w:val="nil"/>
              <w:left w:val="nil"/>
              <w:bottom w:val="nil"/>
              <w:right w:val="nil"/>
            </w:tcBorders>
            <w:shd w:val="clear" w:color="auto" w:fill="auto"/>
            <w:noWrap/>
            <w:hideMark/>
          </w:tcPr>
          <w:p w14:paraId="7A4FAEE8" w14:textId="77777777" w:rsidR="00EE6446" w:rsidRPr="00641A01" w:rsidRDefault="00EE6446" w:rsidP="00641A01">
            <w:pPr>
              <w:spacing w:line="360" w:lineRule="auto"/>
              <w:jc w:val="center"/>
              <w:rPr>
                <w:color w:val="000000"/>
              </w:rPr>
            </w:pPr>
            <w:r w:rsidRPr="00641A01">
              <w:rPr>
                <w:color w:val="000000"/>
              </w:rPr>
              <w:t>Guyana</w:t>
            </w:r>
          </w:p>
        </w:tc>
        <w:tc>
          <w:tcPr>
            <w:tcW w:w="1011" w:type="dxa"/>
            <w:tcBorders>
              <w:top w:val="nil"/>
              <w:left w:val="nil"/>
              <w:bottom w:val="nil"/>
              <w:right w:val="nil"/>
            </w:tcBorders>
            <w:shd w:val="clear" w:color="auto" w:fill="auto"/>
            <w:noWrap/>
            <w:hideMark/>
          </w:tcPr>
          <w:p w14:paraId="5DF5F457" w14:textId="77777777" w:rsidR="00EE6446" w:rsidRPr="00641A01" w:rsidRDefault="00EE6446" w:rsidP="00641A01">
            <w:pPr>
              <w:spacing w:line="360" w:lineRule="auto"/>
              <w:jc w:val="center"/>
              <w:rPr>
                <w:color w:val="000000"/>
              </w:rPr>
            </w:pPr>
            <w:r w:rsidRPr="00641A01">
              <w:rPr>
                <w:color w:val="000000"/>
              </w:rPr>
              <w:t>GUY</w:t>
            </w:r>
          </w:p>
        </w:tc>
        <w:tc>
          <w:tcPr>
            <w:tcW w:w="1011" w:type="dxa"/>
            <w:tcBorders>
              <w:top w:val="nil"/>
              <w:left w:val="nil"/>
              <w:bottom w:val="nil"/>
              <w:right w:val="nil"/>
            </w:tcBorders>
            <w:shd w:val="clear" w:color="auto" w:fill="auto"/>
            <w:noWrap/>
            <w:hideMark/>
          </w:tcPr>
          <w:p w14:paraId="3FAB836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1DCB91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BB4B94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F3505E0"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102F52FF" w14:textId="77777777" w:rsidR="00EE6446" w:rsidRPr="00641A01" w:rsidRDefault="00EE6446" w:rsidP="00641A01">
            <w:pPr>
              <w:tabs>
                <w:tab w:val="decimal" w:pos="943"/>
              </w:tabs>
              <w:spacing w:line="360" w:lineRule="auto"/>
              <w:rPr>
                <w:color w:val="000000"/>
              </w:rPr>
            </w:pPr>
            <w:r w:rsidRPr="00641A01">
              <w:rPr>
                <w:color w:val="000000"/>
              </w:rPr>
              <w:t>1.22</w:t>
            </w:r>
          </w:p>
        </w:tc>
        <w:tc>
          <w:tcPr>
            <w:tcW w:w="2233" w:type="dxa"/>
            <w:tcBorders>
              <w:top w:val="nil"/>
              <w:left w:val="nil"/>
              <w:bottom w:val="nil"/>
              <w:right w:val="nil"/>
            </w:tcBorders>
            <w:shd w:val="clear" w:color="auto" w:fill="auto"/>
            <w:noWrap/>
            <w:hideMark/>
          </w:tcPr>
          <w:p w14:paraId="028FB457" w14:textId="77777777" w:rsidR="00EE6446" w:rsidRPr="00641A01" w:rsidRDefault="00EE6446" w:rsidP="00641A01">
            <w:pPr>
              <w:tabs>
                <w:tab w:val="decimal" w:pos="943"/>
              </w:tabs>
              <w:spacing w:line="360" w:lineRule="auto"/>
              <w:rPr>
                <w:color w:val="000000"/>
              </w:rPr>
            </w:pPr>
            <w:r w:rsidRPr="00641A01">
              <w:rPr>
                <w:color w:val="000000"/>
              </w:rPr>
              <w:t>10.11</w:t>
            </w:r>
          </w:p>
        </w:tc>
      </w:tr>
      <w:tr w:rsidR="005B434B" w:rsidRPr="00641A01" w14:paraId="6D50936A" w14:textId="77777777" w:rsidTr="00A637D6">
        <w:tc>
          <w:tcPr>
            <w:tcW w:w="3258" w:type="dxa"/>
            <w:tcBorders>
              <w:top w:val="nil"/>
              <w:left w:val="nil"/>
              <w:bottom w:val="nil"/>
              <w:right w:val="nil"/>
            </w:tcBorders>
            <w:shd w:val="clear" w:color="auto" w:fill="auto"/>
            <w:noWrap/>
            <w:hideMark/>
          </w:tcPr>
          <w:p w14:paraId="2E189E52" w14:textId="77777777" w:rsidR="00EE6446" w:rsidRPr="00641A01" w:rsidRDefault="00EE6446" w:rsidP="00641A01">
            <w:pPr>
              <w:spacing w:line="360" w:lineRule="auto"/>
              <w:jc w:val="center"/>
              <w:rPr>
                <w:color w:val="000000"/>
              </w:rPr>
            </w:pPr>
            <w:r w:rsidRPr="00641A01">
              <w:rPr>
                <w:color w:val="000000"/>
              </w:rPr>
              <w:t>Honduras</w:t>
            </w:r>
          </w:p>
        </w:tc>
        <w:tc>
          <w:tcPr>
            <w:tcW w:w="1011" w:type="dxa"/>
            <w:tcBorders>
              <w:top w:val="nil"/>
              <w:left w:val="nil"/>
              <w:bottom w:val="nil"/>
              <w:right w:val="nil"/>
            </w:tcBorders>
            <w:shd w:val="clear" w:color="auto" w:fill="auto"/>
            <w:noWrap/>
            <w:hideMark/>
          </w:tcPr>
          <w:p w14:paraId="017E6FC8" w14:textId="77777777" w:rsidR="00EE6446" w:rsidRPr="00641A01" w:rsidRDefault="00EE6446" w:rsidP="00641A01">
            <w:pPr>
              <w:spacing w:line="360" w:lineRule="auto"/>
              <w:jc w:val="center"/>
              <w:rPr>
                <w:color w:val="000000"/>
              </w:rPr>
            </w:pPr>
            <w:r w:rsidRPr="00641A01">
              <w:rPr>
                <w:color w:val="000000"/>
              </w:rPr>
              <w:t>HND</w:t>
            </w:r>
          </w:p>
        </w:tc>
        <w:tc>
          <w:tcPr>
            <w:tcW w:w="1011" w:type="dxa"/>
            <w:tcBorders>
              <w:top w:val="nil"/>
              <w:left w:val="nil"/>
              <w:bottom w:val="nil"/>
              <w:right w:val="nil"/>
            </w:tcBorders>
            <w:shd w:val="clear" w:color="auto" w:fill="auto"/>
            <w:noWrap/>
            <w:hideMark/>
          </w:tcPr>
          <w:p w14:paraId="6A9303C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504C50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306A94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198000C"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6F46B99A" w14:textId="77777777" w:rsidR="00EE6446" w:rsidRPr="00641A01" w:rsidRDefault="00EE6446" w:rsidP="00641A01">
            <w:pPr>
              <w:tabs>
                <w:tab w:val="decimal" w:pos="943"/>
              </w:tabs>
              <w:spacing w:line="360" w:lineRule="auto"/>
              <w:rPr>
                <w:color w:val="000000"/>
              </w:rPr>
            </w:pPr>
            <w:r w:rsidRPr="00641A01">
              <w:rPr>
                <w:color w:val="000000"/>
              </w:rPr>
              <w:t>2.86</w:t>
            </w:r>
          </w:p>
        </w:tc>
        <w:tc>
          <w:tcPr>
            <w:tcW w:w="2233" w:type="dxa"/>
            <w:tcBorders>
              <w:top w:val="nil"/>
              <w:left w:val="nil"/>
              <w:bottom w:val="nil"/>
              <w:right w:val="nil"/>
            </w:tcBorders>
            <w:shd w:val="clear" w:color="auto" w:fill="auto"/>
            <w:noWrap/>
            <w:hideMark/>
          </w:tcPr>
          <w:p w14:paraId="074B42DC" w14:textId="77777777" w:rsidR="00EE6446" w:rsidRPr="00641A01" w:rsidRDefault="00EE6446" w:rsidP="00641A01">
            <w:pPr>
              <w:tabs>
                <w:tab w:val="decimal" w:pos="943"/>
              </w:tabs>
              <w:spacing w:line="360" w:lineRule="auto"/>
              <w:rPr>
                <w:color w:val="000000"/>
              </w:rPr>
            </w:pPr>
            <w:r w:rsidRPr="00641A01">
              <w:rPr>
                <w:color w:val="000000"/>
              </w:rPr>
              <w:t>32.53</w:t>
            </w:r>
          </w:p>
        </w:tc>
      </w:tr>
      <w:tr w:rsidR="005B434B" w:rsidRPr="00641A01" w14:paraId="4D462699" w14:textId="77777777" w:rsidTr="00A637D6">
        <w:tc>
          <w:tcPr>
            <w:tcW w:w="3258" w:type="dxa"/>
            <w:tcBorders>
              <w:top w:val="nil"/>
              <w:left w:val="nil"/>
              <w:bottom w:val="nil"/>
              <w:right w:val="nil"/>
            </w:tcBorders>
            <w:shd w:val="clear" w:color="auto" w:fill="auto"/>
            <w:noWrap/>
            <w:hideMark/>
          </w:tcPr>
          <w:p w14:paraId="47342AC4" w14:textId="77777777" w:rsidR="00EE6446" w:rsidRPr="00641A01" w:rsidRDefault="00EE6446" w:rsidP="00641A01">
            <w:pPr>
              <w:spacing w:line="360" w:lineRule="auto"/>
              <w:jc w:val="center"/>
              <w:rPr>
                <w:color w:val="000000"/>
              </w:rPr>
            </w:pPr>
            <w:r w:rsidRPr="00641A01">
              <w:rPr>
                <w:color w:val="000000"/>
              </w:rPr>
              <w:lastRenderedPageBreak/>
              <w:t>Croatia</w:t>
            </w:r>
          </w:p>
        </w:tc>
        <w:tc>
          <w:tcPr>
            <w:tcW w:w="1011" w:type="dxa"/>
            <w:tcBorders>
              <w:top w:val="nil"/>
              <w:left w:val="nil"/>
              <w:bottom w:val="nil"/>
              <w:right w:val="nil"/>
            </w:tcBorders>
            <w:shd w:val="clear" w:color="auto" w:fill="auto"/>
            <w:noWrap/>
            <w:hideMark/>
          </w:tcPr>
          <w:p w14:paraId="3759725A" w14:textId="77777777" w:rsidR="00EE6446" w:rsidRPr="00641A01" w:rsidRDefault="00EE6446" w:rsidP="00641A01">
            <w:pPr>
              <w:spacing w:line="360" w:lineRule="auto"/>
              <w:jc w:val="center"/>
              <w:rPr>
                <w:color w:val="000000"/>
              </w:rPr>
            </w:pPr>
            <w:r w:rsidRPr="00641A01">
              <w:rPr>
                <w:color w:val="000000"/>
              </w:rPr>
              <w:t>HRV</w:t>
            </w:r>
          </w:p>
        </w:tc>
        <w:tc>
          <w:tcPr>
            <w:tcW w:w="1011" w:type="dxa"/>
            <w:tcBorders>
              <w:top w:val="nil"/>
              <w:left w:val="nil"/>
              <w:bottom w:val="nil"/>
              <w:right w:val="nil"/>
            </w:tcBorders>
            <w:shd w:val="clear" w:color="auto" w:fill="auto"/>
            <w:noWrap/>
            <w:hideMark/>
          </w:tcPr>
          <w:p w14:paraId="7D84B5A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73A4C3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289E35F"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EE478BF"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5DF90AEE" w14:textId="77777777" w:rsidR="00EE6446" w:rsidRPr="00641A01" w:rsidRDefault="00EE6446" w:rsidP="00641A01">
            <w:pPr>
              <w:tabs>
                <w:tab w:val="decimal" w:pos="943"/>
              </w:tabs>
              <w:spacing w:line="360" w:lineRule="auto"/>
              <w:rPr>
                <w:color w:val="000000"/>
              </w:rPr>
            </w:pPr>
            <w:r w:rsidRPr="00641A01">
              <w:rPr>
                <w:color w:val="000000"/>
              </w:rPr>
              <w:t>8.18</w:t>
            </w:r>
          </w:p>
        </w:tc>
        <w:tc>
          <w:tcPr>
            <w:tcW w:w="2233" w:type="dxa"/>
            <w:tcBorders>
              <w:top w:val="nil"/>
              <w:left w:val="nil"/>
              <w:bottom w:val="nil"/>
              <w:right w:val="nil"/>
            </w:tcBorders>
            <w:shd w:val="clear" w:color="auto" w:fill="auto"/>
            <w:noWrap/>
            <w:hideMark/>
          </w:tcPr>
          <w:p w14:paraId="36253A9B" w14:textId="77777777" w:rsidR="00EE6446" w:rsidRPr="00641A01" w:rsidRDefault="00EE6446" w:rsidP="00641A01">
            <w:pPr>
              <w:tabs>
                <w:tab w:val="decimal" w:pos="943"/>
              </w:tabs>
              <w:spacing w:line="360" w:lineRule="auto"/>
              <w:rPr>
                <w:color w:val="000000"/>
              </w:rPr>
            </w:pPr>
            <w:r w:rsidRPr="00641A01">
              <w:rPr>
                <w:color w:val="000000"/>
              </w:rPr>
              <w:t>66.52</w:t>
            </w:r>
          </w:p>
        </w:tc>
      </w:tr>
      <w:tr w:rsidR="005B434B" w:rsidRPr="00641A01" w14:paraId="273B77A8" w14:textId="77777777" w:rsidTr="00A637D6">
        <w:tc>
          <w:tcPr>
            <w:tcW w:w="3258" w:type="dxa"/>
            <w:tcBorders>
              <w:top w:val="nil"/>
              <w:left w:val="nil"/>
              <w:bottom w:val="nil"/>
              <w:right w:val="nil"/>
            </w:tcBorders>
            <w:shd w:val="clear" w:color="auto" w:fill="auto"/>
            <w:noWrap/>
            <w:hideMark/>
          </w:tcPr>
          <w:p w14:paraId="174390B4" w14:textId="77777777" w:rsidR="00EE6446" w:rsidRPr="00641A01" w:rsidRDefault="00EE6446" w:rsidP="00641A01">
            <w:pPr>
              <w:spacing w:line="360" w:lineRule="auto"/>
              <w:jc w:val="center"/>
              <w:rPr>
                <w:color w:val="000000"/>
              </w:rPr>
            </w:pPr>
            <w:r w:rsidRPr="00641A01">
              <w:rPr>
                <w:color w:val="000000"/>
              </w:rPr>
              <w:t>Haiti</w:t>
            </w:r>
          </w:p>
        </w:tc>
        <w:tc>
          <w:tcPr>
            <w:tcW w:w="1011" w:type="dxa"/>
            <w:tcBorders>
              <w:top w:val="nil"/>
              <w:left w:val="nil"/>
              <w:bottom w:val="nil"/>
              <w:right w:val="nil"/>
            </w:tcBorders>
            <w:shd w:val="clear" w:color="auto" w:fill="auto"/>
            <w:noWrap/>
            <w:hideMark/>
          </w:tcPr>
          <w:p w14:paraId="16130A0E" w14:textId="77777777" w:rsidR="00EE6446" w:rsidRPr="00641A01" w:rsidRDefault="00EE6446" w:rsidP="00641A01">
            <w:pPr>
              <w:spacing w:line="360" w:lineRule="auto"/>
              <w:jc w:val="center"/>
              <w:rPr>
                <w:color w:val="000000"/>
              </w:rPr>
            </w:pPr>
            <w:r w:rsidRPr="00641A01">
              <w:rPr>
                <w:color w:val="000000"/>
              </w:rPr>
              <w:t>HTI</w:t>
            </w:r>
          </w:p>
        </w:tc>
        <w:tc>
          <w:tcPr>
            <w:tcW w:w="1011" w:type="dxa"/>
            <w:tcBorders>
              <w:top w:val="nil"/>
              <w:left w:val="nil"/>
              <w:bottom w:val="nil"/>
              <w:right w:val="nil"/>
            </w:tcBorders>
            <w:shd w:val="clear" w:color="auto" w:fill="auto"/>
            <w:noWrap/>
            <w:hideMark/>
          </w:tcPr>
          <w:p w14:paraId="73758B8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F77C9E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18ABFB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2E902D4"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301E5FD3" w14:textId="77777777" w:rsidR="00EE6446" w:rsidRPr="00641A01" w:rsidRDefault="00EE6446" w:rsidP="00641A01">
            <w:pPr>
              <w:tabs>
                <w:tab w:val="decimal" w:pos="943"/>
              </w:tabs>
              <w:spacing w:line="360" w:lineRule="auto"/>
              <w:rPr>
                <w:color w:val="000000"/>
              </w:rPr>
            </w:pPr>
            <w:r w:rsidRPr="00641A01">
              <w:rPr>
                <w:color w:val="000000"/>
              </w:rPr>
              <w:t>0.44</w:t>
            </w:r>
          </w:p>
        </w:tc>
        <w:tc>
          <w:tcPr>
            <w:tcW w:w="2233" w:type="dxa"/>
            <w:tcBorders>
              <w:top w:val="nil"/>
              <w:left w:val="nil"/>
              <w:bottom w:val="nil"/>
              <w:right w:val="nil"/>
            </w:tcBorders>
            <w:shd w:val="clear" w:color="auto" w:fill="auto"/>
            <w:noWrap/>
            <w:hideMark/>
          </w:tcPr>
          <w:p w14:paraId="184EEF35" w14:textId="77777777" w:rsidR="00EE6446" w:rsidRPr="00641A01" w:rsidRDefault="00EE6446" w:rsidP="00641A01">
            <w:pPr>
              <w:tabs>
                <w:tab w:val="decimal" w:pos="943"/>
              </w:tabs>
              <w:spacing w:line="360" w:lineRule="auto"/>
              <w:rPr>
                <w:color w:val="000000"/>
              </w:rPr>
            </w:pPr>
            <w:r w:rsidRPr="00641A01">
              <w:rPr>
                <w:color w:val="000000"/>
              </w:rPr>
              <w:t>3.40</w:t>
            </w:r>
          </w:p>
        </w:tc>
      </w:tr>
      <w:tr w:rsidR="005B434B" w:rsidRPr="00641A01" w14:paraId="14806F58" w14:textId="77777777" w:rsidTr="00A637D6">
        <w:tc>
          <w:tcPr>
            <w:tcW w:w="3258" w:type="dxa"/>
            <w:tcBorders>
              <w:top w:val="nil"/>
              <w:left w:val="nil"/>
              <w:bottom w:val="nil"/>
              <w:right w:val="nil"/>
            </w:tcBorders>
            <w:shd w:val="clear" w:color="auto" w:fill="auto"/>
            <w:noWrap/>
            <w:hideMark/>
          </w:tcPr>
          <w:p w14:paraId="2F6A32BC" w14:textId="77777777" w:rsidR="00EE6446" w:rsidRPr="00641A01" w:rsidRDefault="00EE6446" w:rsidP="00641A01">
            <w:pPr>
              <w:spacing w:line="360" w:lineRule="auto"/>
              <w:jc w:val="center"/>
              <w:rPr>
                <w:color w:val="000000"/>
              </w:rPr>
            </w:pPr>
            <w:r w:rsidRPr="00641A01">
              <w:rPr>
                <w:color w:val="000000"/>
              </w:rPr>
              <w:t>Hungary</w:t>
            </w:r>
          </w:p>
        </w:tc>
        <w:tc>
          <w:tcPr>
            <w:tcW w:w="1011" w:type="dxa"/>
            <w:tcBorders>
              <w:top w:val="nil"/>
              <w:left w:val="nil"/>
              <w:bottom w:val="nil"/>
              <w:right w:val="nil"/>
            </w:tcBorders>
            <w:shd w:val="clear" w:color="auto" w:fill="auto"/>
            <w:noWrap/>
            <w:hideMark/>
          </w:tcPr>
          <w:p w14:paraId="182933CF" w14:textId="77777777" w:rsidR="00EE6446" w:rsidRPr="00641A01" w:rsidRDefault="00EE6446" w:rsidP="00641A01">
            <w:pPr>
              <w:spacing w:line="360" w:lineRule="auto"/>
              <w:jc w:val="center"/>
              <w:rPr>
                <w:color w:val="000000"/>
              </w:rPr>
            </w:pPr>
            <w:r w:rsidRPr="00641A01">
              <w:rPr>
                <w:color w:val="000000"/>
              </w:rPr>
              <w:t>HUN</w:t>
            </w:r>
          </w:p>
        </w:tc>
        <w:tc>
          <w:tcPr>
            <w:tcW w:w="1011" w:type="dxa"/>
            <w:tcBorders>
              <w:top w:val="nil"/>
              <w:left w:val="nil"/>
              <w:bottom w:val="nil"/>
              <w:right w:val="nil"/>
            </w:tcBorders>
            <w:shd w:val="clear" w:color="auto" w:fill="auto"/>
            <w:noWrap/>
            <w:hideMark/>
          </w:tcPr>
          <w:p w14:paraId="7FB55A0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B4C73F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F0ADE5E"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0F01A92C"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4DC3BB8D" w14:textId="77777777" w:rsidR="00EE6446" w:rsidRPr="00641A01" w:rsidRDefault="00EE6446" w:rsidP="00641A01">
            <w:pPr>
              <w:tabs>
                <w:tab w:val="decimal" w:pos="943"/>
              </w:tabs>
              <w:spacing w:line="360" w:lineRule="auto"/>
              <w:rPr>
                <w:color w:val="000000"/>
              </w:rPr>
            </w:pPr>
            <w:r w:rsidRPr="00641A01">
              <w:rPr>
                <w:color w:val="000000"/>
              </w:rPr>
              <w:t>7.24</w:t>
            </w:r>
          </w:p>
        </w:tc>
        <w:tc>
          <w:tcPr>
            <w:tcW w:w="2233" w:type="dxa"/>
            <w:tcBorders>
              <w:top w:val="nil"/>
              <w:left w:val="nil"/>
              <w:bottom w:val="nil"/>
              <w:right w:val="nil"/>
            </w:tcBorders>
            <w:shd w:val="clear" w:color="auto" w:fill="auto"/>
            <w:noWrap/>
            <w:hideMark/>
          </w:tcPr>
          <w:p w14:paraId="68FEDD66" w14:textId="77777777" w:rsidR="00EE6446" w:rsidRPr="00641A01" w:rsidRDefault="00EE6446" w:rsidP="00641A01">
            <w:pPr>
              <w:tabs>
                <w:tab w:val="decimal" w:pos="943"/>
              </w:tabs>
              <w:spacing w:line="360" w:lineRule="auto"/>
              <w:rPr>
                <w:color w:val="000000"/>
              </w:rPr>
            </w:pPr>
            <w:r w:rsidRPr="00641A01">
              <w:rPr>
                <w:color w:val="000000"/>
              </w:rPr>
              <w:t>76.95</w:t>
            </w:r>
          </w:p>
        </w:tc>
      </w:tr>
      <w:tr w:rsidR="005B434B" w:rsidRPr="00641A01" w14:paraId="6DF8B95C" w14:textId="77777777" w:rsidTr="00A637D6">
        <w:tc>
          <w:tcPr>
            <w:tcW w:w="3258" w:type="dxa"/>
            <w:tcBorders>
              <w:top w:val="nil"/>
              <w:left w:val="nil"/>
              <w:bottom w:val="nil"/>
              <w:right w:val="nil"/>
            </w:tcBorders>
            <w:shd w:val="clear" w:color="auto" w:fill="auto"/>
            <w:noWrap/>
            <w:hideMark/>
          </w:tcPr>
          <w:p w14:paraId="1E3C3BEB" w14:textId="77777777" w:rsidR="00EE6446" w:rsidRPr="00641A01" w:rsidRDefault="00EE6446" w:rsidP="00641A01">
            <w:pPr>
              <w:spacing w:line="360" w:lineRule="auto"/>
              <w:jc w:val="center"/>
              <w:rPr>
                <w:color w:val="000000"/>
              </w:rPr>
            </w:pPr>
            <w:r w:rsidRPr="00641A01">
              <w:rPr>
                <w:color w:val="000000"/>
              </w:rPr>
              <w:t>Indonesia</w:t>
            </w:r>
          </w:p>
        </w:tc>
        <w:tc>
          <w:tcPr>
            <w:tcW w:w="1011" w:type="dxa"/>
            <w:tcBorders>
              <w:top w:val="nil"/>
              <w:left w:val="nil"/>
              <w:bottom w:val="nil"/>
              <w:right w:val="nil"/>
            </w:tcBorders>
            <w:shd w:val="clear" w:color="auto" w:fill="auto"/>
            <w:noWrap/>
            <w:hideMark/>
          </w:tcPr>
          <w:p w14:paraId="07D35BA6" w14:textId="77777777" w:rsidR="00EE6446" w:rsidRPr="00641A01" w:rsidRDefault="00EE6446" w:rsidP="00641A01">
            <w:pPr>
              <w:spacing w:line="360" w:lineRule="auto"/>
              <w:jc w:val="center"/>
              <w:rPr>
                <w:color w:val="000000"/>
              </w:rPr>
            </w:pPr>
            <w:r w:rsidRPr="00641A01">
              <w:rPr>
                <w:color w:val="000000"/>
              </w:rPr>
              <w:t>IDN</w:t>
            </w:r>
          </w:p>
        </w:tc>
        <w:tc>
          <w:tcPr>
            <w:tcW w:w="1011" w:type="dxa"/>
            <w:tcBorders>
              <w:top w:val="nil"/>
              <w:left w:val="nil"/>
              <w:bottom w:val="nil"/>
              <w:right w:val="nil"/>
            </w:tcBorders>
            <w:shd w:val="clear" w:color="auto" w:fill="auto"/>
            <w:noWrap/>
            <w:hideMark/>
          </w:tcPr>
          <w:p w14:paraId="526FA866"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09C3AA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48209B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BBB28B7" w14:textId="77777777" w:rsidR="00EE6446" w:rsidRPr="00641A01" w:rsidRDefault="00EE6446" w:rsidP="00641A01">
            <w:pPr>
              <w:spacing w:line="360" w:lineRule="auto"/>
              <w:jc w:val="center"/>
              <w:rPr>
                <w:color w:val="000000"/>
              </w:rPr>
            </w:pPr>
            <w:r w:rsidRPr="00641A01">
              <w:rPr>
                <w:color w:val="000000"/>
              </w:rPr>
              <w:t>22</w:t>
            </w:r>
          </w:p>
        </w:tc>
        <w:tc>
          <w:tcPr>
            <w:tcW w:w="2233" w:type="dxa"/>
            <w:tcBorders>
              <w:top w:val="nil"/>
              <w:left w:val="nil"/>
              <w:bottom w:val="nil"/>
              <w:right w:val="nil"/>
            </w:tcBorders>
            <w:shd w:val="clear" w:color="auto" w:fill="auto"/>
            <w:noWrap/>
            <w:hideMark/>
          </w:tcPr>
          <w:p w14:paraId="4615C4A7" w14:textId="77777777" w:rsidR="00EE6446" w:rsidRPr="00641A01" w:rsidRDefault="00EE6446" w:rsidP="00641A01">
            <w:pPr>
              <w:tabs>
                <w:tab w:val="decimal" w:pos="943"/>
              </w:tabs>
              <w:spacing w:line="360" w:lineRule="auto"/>
              <w:rPr>
                <w:color w:val="000000"/>
              </w:rPr>
            </w:pPr>
            <w:r w:rsidRPr="00641A01">
              <w:rPr>
                <w:color w:val="000000"/>
              </w:rPr>
              <w:t>8.51</w:t>
            </w:r>
          </w:p>
        </w:tc>
        <w:tc>
          <w:tcPr>
            <w:tcW w:w="2233" w:type="dxa"/>
            <w:tcBorders>
              <w:top w:val="nil"/>
              <w:left w:val="nil"/>
              <w:bottom w:val="nil"/>
              <w:right w:val="nil"/>
            </w:tcBorders>
            <w:shd w:val="clear" w:color="auto" w:fill="auto"/>
            <w:noWrap/>
            <w:hideMark/>
          </w:tcPr>
          <w:p w14:paraId="4C262225" w14:textId="77777777" w:rsidR="00EE6446" w:rsidRPr="00641A01" w:rsidRDefault="00EE6446" w:rsidP="00641A01">
            <w:pPr>
              <w:tabs>
                <w:tab w:val="decimal" w:pos="943"/>
              </w:tabs>
              <w:spacing w:line="360" w:lineRule="auto"/>
              <w:rPr>
                <w:color w:val="000000"/>
              </w:rPr>
            </w:pPr>
            <w:r w:rsidRPr="00641A01">
              <w:rPr>
                <w:color w:val="000000"/>
              </w:rPr>
              <w:t>75.77</w:t>
            </w:r>
          </w:p>
        </w:tc>
      </w:tr>
      <w:tr w:rsidR="005B434B" w:rsidRPr="00641A01" w14:paraId="7D8ECE80" w14:textId="77777777" w:rsidTr="00A637D6">
        <w:tc>
          <w:tcPr>
            <w:tcW w:w="3258" w:type="dxa"/>
            <w:tcBorders>
              <w:top w:val="nil"/>
              <w:left w:val="nil"/>
              <w:bottom w:val="nil"/>
              <w:right w:val="nil"/>
            </w:tcBorders>
            <w:shd w:val="clear" w:color="auto" w:fill="auto"/>
            <w:noWrap/>
            <w:hideMark/>
          </w:tcPr>
          <w:p w14:paraId="79EBE90B" w14:textId="77777777" w:rsidR="00EE6446" w:rsidRPr="00641A01" w:rsidRDefault="00EE6446" w:rsidP="00641A01">
            <w:pPr>
              <w:spacing w:line="360" w:lineRule="auto"/>
              <w:jc w:val="center"/>
              <w:rPr>
                <w:color w:val="000000"/>
              </w:rPr>
            </w:pPr>
            <w:r w:rsidRPr="00641A01">
              <w:rPr>
                <w:color w:val="000000"/>
              </w:rPr>
              <w:t>India</w:t>
            </w:r>
          </w:p>
        </w:tc>
        <w:tc>
          <w:tcPr>
            <w:tcW w:w="1011" w:type="dxa"/>
            <w:tcBorders>
              <w:top w:val="nil"/>
              <w:left w:val="nil"/>
              <w:bottom w:val="nil"/>
              <w:right w:val="nil"/>
            </w:tcBorders>
            <w:shd w:val="clear" w:color="auto" w:fill="auto"/>
            <w:noWrap/>
            <w:hideMark/>
          </w:tcPr>
          <w:p w14:paraId="6A58371E" w14:textId="77777777" w:rsidR="00EE6446" w:rsidRPr="00641A01" w:rsidRDefault="00EE6446" w:rsidP="00641A01">
            <w:pPr>
              <w:spacing w:line="360" w:lineRule="auto"/>
              <w:jc w:val="center"/>
              <w:rPr>
                <w:color w:val="000000"/>
              </w:rPr>
            </w:pPr>
            <w:r w:rsidRPr="00641A01">
              <w:rPr>
                <w:color w:val="000000"/>
              </w:rPr>
              <w:t>IND</w:t>
            </w:r>
          </w:p>
        </w:tc>
        <w:tc>
          <w:tcPr>
            <w:tcW w:w="1011" w:type="dxa"/>
            <w:tcBorders>
              <w:top w:val="nil"/>
              <w:left w:val="nil"/>
              <w:bottom w:val="nil"/>
              <w:right w:val="nil"/>
            </w:tcBorders>
            <w:shd w:val="clear" w:color="auto" w:fill="auto"/>
            <w:noWrap/>
            <w:hideMark/>
          </w:tcPr>
          <w:p w14:paraId="554757E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D05441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E11FF2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37611A5"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738FD3A9" w14:textId="77777777" w:rsidR="00EE6446" w:rsidRPr="00641A01" w:rsidRDefault="00EE6446" w:rsidP="00641A01">
            <w:pPr>
              <w:tabs>
                <w:tab w:val="decimal" w:pos="943"/>
              </w:tabs>
              <w:spacing w:line="360" w:lineRule="auto"/>
              <w:rPr>
                <w:color w:val="000000"/>
              </w:rPr>
            </w:pPr>
            <w:r w:rsidRPr="00641A01">
              <w:rPr>
                <w:color w:val="000000"/>
              </w:rPr>
              <w:t>5.14</w:t>
            </w:r>
          </w:p>
        </w:tc>
        <w:tc>
          <w:tcPr>
            <w:tcW w:w="2233" w:type="dxa"/>
            <w:tcBorders>
              <w:top w:val="nil"/>
              <w:left w:val="nil"/>
              <w:bottom w:val="nil"/>
              <w:right w:val="nil"/>
            </w:tcBorders>
            <w:shd w:val="clear" w:color="auto" w:fill="auto"/>
            <w:noWrap/>
            <w:hideMark/>
          </w:tcPr>
          <w:p w14:paraId="6FB7E9BC" w14:textId="77777777" w:rsidR="00EE6446" w:rsidRPr="00641A01" w:rsidRDefault="00EE6446" w:rsidP="00641A01">
            <w:pPr>
              <w:tabs>
                <w:tab w:val="decimal" w:pos="943"/>
              </w:tabs>
              <w:spacing w:line="360" w:lineRule="auto"/>
              <w:rPr>
                <w:color w:val="000000"/>
              </w:rPr>
            </w:pPr>
            <w:r w:rsidRPr="00641A01">
              <w:rPr>
                <w:color w:val="000000"/>
              </w:rPr>
              <w:t>64.64</w:t>
            </w:r>
          </w:p>
        </w:tc>
      </w:tr>
      <w:tr w:rsidR="005B434B" w:rsidRPr="00641A01" w14:paraId="4D8CED57" w14:textId="77777777" w:rsidTr="00A637D6">
        <w:tc>
          <w:tcPr>
            <w:tcW w:w="3258" w:type="dxa"/>
            <w:tcBorders>
              <w:top w:val="nil"/>
              <w:left w:val="nil"/>
              <w:bottom w:val="nil"/>
              <w:right w:val="nil"/>
            </w:tcBorders>
            <w:shd w:val="clear" w:color="auto" w:fill="auto"/>
            <w:noWrap/>
            <w:hideMark/>
          </w:tcPr>
          <w:p w14:paraId="6A94F26B" w14:textId="77777777" w:rsidR="00EE6446" w:rsidRPr="00641A01" w:rsidRDefault="00EE6446" w:rsidP="00641A01">
            <w:pPr>
              <w:spacing w:line="360" w:lineRule="auto"/>
              <w:jc w:val="center"/>
              <w:rPr>
                <w:color w:val="000000"/>
              </w:rPr>
            </w:pPr>
            <w:r w:rsidRPr="00641A01">
              <w:rPr>
                <w:color w:val="000000"/>
              </w:rPr>
              <w:t>Ireland</w:t>
            </w:r>
          </w:p>
        </w:tc>
        <w:tc>
          <w:tcPr>
            <w:tcW w:w="1011" w:type="dxa"/>
            <w:tcBorders>
              <w:top w:val="nil"/>
              <w:left w:val="nil"/>
              <w:bottom w:val="nil"/>
              <w:right w:val="nil"/>
            </w:tcBorders>
            <w:shd w:val="clear" w:color="auto" w:fill="auto"/>
            <w:noWrap/>
            <w:hideMark/>
          </w:tcPr>
          <w:p w14:paraId="6F24DEB1" w14:textId="77777777" w:rsidR="00EE6446" w:rsidRPr="00641A01" w:rsidRDefault="00EE6446" w:rsidP="00641A01">
            <w:pPr>
              <w:spacing w:line="360" w:lineRule="auto"/>
              <w:jc w:val="center"/>
              <w:rPr>
                <w:color w:val="000000"/>
              </w:rPr>
            </w:pPr>
            <w:r w:rsidRPr="00641A01">
              <w:rPr>
                <w:color w:val="000000"/>
              </w:rPr>
              <w:t>IRL</w:t>
            </w:r>
          </w:p>
        </w:tc>
        <w:tc>
          <w:tcPr>
            <w:tcW w:w="1011" w:type="dxa"/>
            <w:tcBorders>
              <w:top w:val="nil"/>
              <w:left w:val="nil"/>
              <w:bottom w:val="nil"/>
              <w:right w:val="nil"/>
            </w:tcBorders>
            <w:shd w:val="clear" w:color="auto" w:fill="auto"/>
            <w:noWrap/>
            <w:hideMark/>
          </w:tcPr>
          <w:p w14:paraId="748014B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0A8EBAE"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B665BA3"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40D64592" w14:textId="77777777" w:rsidR="00EE6446" w:rsidRPr="00641A01" w:rsidRDefault="00EE6446" w:rsidP="00641A01">
            <w:pPr>
              <w:spacing w:line="360" w:lineRule="auto"/>
              <w:jc w:val="center"/>
              <w:rPr>
                <w:color w:val="000000"/>
              </w:rPr>
            </w:pPr>
            <w:r w:rsidRPr="00641A01">
              <w:rPr>
                <w:color w:val="000000"/>
              </w:rPr>
              <w:t>18</w:t>
            </w:r>
          </w:p>
        </w:tc>
        <w:tc>
          <w:tcPr>
            <w:tcW w:w="2233" w:type="dxa"/>
            <w:tcBorders>
              <w:top w:val="nil"/>
              <w:left w:val="nil"/>
              <w:bottom w:val="nil"/>
              <w:right w:val="nil"/>
            </w:tcBorders>
            <w:shd w:val="clear" w:color="auto" w:fill="auto"/>
            <w:noWrap/>
            <w:hideMark/>
          </w:tcPr>
          <w:p w14:paraId="7737C535" w14:textId="77777777" w:rsidR="00EE6446" w:rsidRPr="00641A01" w:rsidRDefault="00EE6446" w:rsidP="00641A01">
            <w:pPr>
              <w:tabs>
                <w:tab w:val="decimal" w:pos="943"/>
              </w:tabs>
              <w:spacing w:line="360" w:lineRule="auto"/>
              <w:rPr>
                <w:color w:val="000000"/>
              </w:rPr>
            </w:pPr>
            <w:r w:rsidRPr="00641A01">
              <w:rPr>
                <w:color w:val="000000"/>
              </w:rPr>
              <w:t>14.95</w:t>
            </w:r>
          </w:p>
        </w:tc>
        <w:tc>
          <w:tcPr>
            <w:tcW w:w="2233" w:type="dxa"/>
            <w:tcBorders>
              <w:top w:val="nil"/>
              <w:left w:val="nil"/>
              <w:bottom w:val="nil"/>
              <w:right w:val="nil"/>
            </w:tcBorders>
            <w:shd w:val="clear" w:color="auto" w:fill="auto"/>
            <w:noWrap/>
            <w:hideMark/>
          </w:tcPr>
          <w:p w14:paraId="319573EC" w14:textId="77777777" w:rsidR="00EE6446" w:rsidRPr="00641A01" w:rsidRDefault="00EE6446" w:rsidP="00641A01">
            <w:pPr>
              <w:tabs>
                <w:tab w:val="decimal" w:pos="943"/>
              </w:tabs>
              <w:spacing w:line="360" w:lineRule="auto"/>
              <w:rPr>
                <w:color w:val="000000"/>
              </w:rPr>
            </w:pPr>
            <w:r w:rsidRPr="00641A01">
              <w:rPr>
                <w:color w:val="000000"/>
              </w:rPr>
              <w:t>125.94</w:t>
            </w:r>
          </w:p>
        </w:tc>
      </w:tr>
      <w:tr w:rsidR="005B434B" w:rsidRPr="00641A01" w14:paraId="28A7AD68" w14:textId="77777777" w:rsidTr="00A637D6">
        <w:tc>
          <w:tcPr>
            <w:tcW w:w="3258" w:type="dxa"/>
            <w:tcBorders>
              <w:top w:val="nil"/>
              <w:left w:val="nil"/>
              <w:bottom w:val="nil"/>
              <w:right w:val="nil"/>
            </w:tcBorders>
            <w:shd w:val="clear" w:color="auto" w:fill="auto"/>
            <w:noWrap/>
            <w:hideMark/>
          </w:tcPr>
          <w:p w14:paraId="3279FCD2" w14:textId="77777777" w:rsidR="00EE6446" w:rsidRPr="00641A01" w:rsidRDefault="00EE6446" w:rsidP="00641A01">
            <w:pPr>
              <w:spacing w:line="360" w:lineRule="auto"/>
              <w:jc w:val="center"/>
              <w:rPr>
                <w:color w:val="000000"/>
              </w:rPr>
            </w:pPr>
            <w:r w:rsidRPr="00641A01">
              <w:rPr>
                <w:color w:val="000000"/>
              </w:rPr>
              <w:t>Iran</w:t>
            </w:r>
          </w:p>
        </w:tc>
        <w:tc>
          <w:tcPr>
            <w:tcW w:w="1011" w:type="dxa"/>
            <w:tcBorders>
              <w:top w:val="nil"/>
              <w:left w:val="nil"/>
              <w:bottom w:val="nil"/>
              <w:right w:val="nil"/>
            </w:tcBorders>
            <w:shd w:val="clear" w:color="auto" w:fill="auto"/>
            <w:noWrap/>
            <w:hideMark/>
          </w:tcPr>
          <w:p w14:paraId="0CE4D271" w14:textId="77777777" w:rsidR="00EE6446" w:rsidRPr="00641A01" w:rsidRDefault="00EE6446" w:rsidP="00641A01">
            <w:pPr>
              <w:spacing w:line="360" w:lineRule="auto"/>
              <w:jc w:val="center"/>
              <w:rPr>
                <w:color w:val="000000"/>
              </w:rPr>
            </w:pPr>
            <w:r w:rsidRPr="00641A01">
              <w:rPr>
                <w:color w:val="000000"/>
              </w:rPr>
              <w:t>IRN</w:t>
            </w:r>
          </w:p>
        </w:tc>
        <w:tc>
          <w:tcPr>
            <w:tcW w:w="1011" w:type="dxa"/>
            <w:tcBorders>
              <w:top w:val="nil"/>
              <w:left w:val="nil"/>
              <w:bottom w:val="nil"/>
              <w:right w:val="nil"/>
            </w:tcBorders>
            <w:shd w:val="clear" w:color="auto" w:fill="auto"/>
            <w:noWrap/>
            <w:hideMark/>
          </w:tcPr>
          <w:p w14:paraId="4169FDD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A3BCAD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2E17A9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F29B114"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1D7B1028" w14:textId="77777777" w:rsidR="00EE6446" w:rsidRPr="00641A01" w:rsidRDefault="00EE6446" w:rsidP="00641A01">
            <w:pPr>
              <w:tabs>
                <w:tab w:val="decimal" w:pos="943"/>
              </w:tabs>
              <w:spacing w:line="360" w:lineRule="auto"/>
              <w:rPr>
                <w:color w:val="000000"/>
              </w:rPr>
            </w:pPr>
            <w:r w:rsidRPr="00641A01">
              <w:rPr>
                <w:color w:val="000000"/>
              </w:rPr>
              <w:t>3.26</w:t>
            </w:r>
          </w:p>
        </w:tc>
        <w:tc>
          <w:tcPr>
            <w:tcW w:w="2233" w:type="dxa"/>
            <w:tcBorders>
              <w:top w:val="nil"/>
              <w:left w:val="nil"/>
              <w:bottom w:val="nil"/>
              <w:right w:val="nil"/>
            </w:tcBorders>
            <w:shd w:val="clear" w:color="auto" w:fill="auto"/>
            <w:noWrap/>
            <w:hideMark/>
          </w:tcPr>
          <w:p w14:paraId="15278861" w14:textId="77777777" w:rsidR="00EE6446" w:rsidRPr="00641A01" w:rsidRDefault="00EE6446" w:rsidP="00641A01">
            <w:pPr>
              <w:tabs>
                <w:tab w:val="decimal" w:pos="943"/>
              </w:tabs>
              <w:spacing w:line="360" w:lineRule="auto"/>
              <w:rPr>
                <w:color w:val="000000"/>
              </w:rPr>
            </w:pPr>
            <w:r w:rsidRPr="00641A01">
              <w:rPr>
                <w:color w:val="000000"/>
              </w:rPr>
              <w:t>45.52</w:t>
            </w:r>
          </w:p>
        </w:tc>
      </w:tr>
      <w:tr w:rsidR="005B434B" w:rsidRPr="00641A01" w14:paraId="341CE88D" w14:textId="77777777" w:rsidTr="00A637D6">
        <w:tc>
          <w:tcPr>
            <w:tcW w:w="3258" w:type="dxa"/>
            <w:tcBorders>
              <w:top w:val="nil"/>
              <w:left w:val="nil"/>
              <w:bottom w:val="nil"/>
              <w:right w:val="nil"/>
            </w:tcBorders>
            <w:shd w:val="clear" w:color="auto" w:fill="auto"/>
            <w:noWrap/>
            <w:hideMark/>
          </w:tcPr>
          <w:p w14:paraId="43B44327" w14:textId="77777777" w:rsidR="00EE6446" w:rsidRPr="00641A01" w:rsidRDefault="00EE6446" w:rsidP="00641A01">
            <w:pPr>
              <w:spacing w:line="360" w:lineRule="auto"/>
              <w:jc w:val="center"/>
              <w:rPr>
                <w:color w:val="000000"/>
              </w:rPr>
            </w:pPr>
            <w:r w:rsidRPr="00641A01">
              <w:rPr>
                <w:color w:val="000000"/>
              </w:rPr>
              <w:t>Iraq</w:t>
            </w:r>
          </w:p>
        </w:tc>
        <w:tc>
          <w:tcPr>
            <w:tcW w:w="1011" w:type="dxa"/>
            <w:tcBorders>
              <w:top w:val="nil"/>
              <w:left w:val="nil"/>
              <w:bottom w:val="nil"/>
              <w:right w:val="nil"/>
            </w:tcBorders>
            <w:shd w:val="clear" w:color="auto" w:fill="auto"/>
            <w:noWrap/>
            <w:hideMark/>
          </w:tcPr>
          <w:p w14:paraId="7580F6DF" w14:textId="77777777" w:rsidR="00EE6446" w:rsidRPr="00641A01" w:rsidRDefault="00EE6446" w:rsidP="00641A01">
            <w:pPr>
              <w:spacing w:line="360" w:lineRule="auto"/>
              <w:jc w:val="center"/>
              <w:rPr>
                <w:color w:val="000000"/>
              </w:rPr>
            </w:pPr>
            <w:r w:rsidRPr="00641A01">
              <w:rPr>
                <w:color w:val="000000"/>
              </w:rPr>
              <w:t>IRQ</w:t>
            </w:r>
          </w:p>
        </w:tc>
        <w:tc>
          <w:tcPr>
            <w:tcW w:w="1011" w:type="dxa"/>
            <w:tcBorders>
              <w:top w:val="nil"/>
              <w:left w:val="nil"/>
              <w:bottom w:val="nil"/>
              <w:right w:val="nil"/>
            </w:tcBorders>
            <w:shd w:val="clear" w:color="auto" w:fill="auto"/>
            <w:noWrap/>
            <w:hideMark/>
          </w:tcPr>
          <w:p w14:paraId="6F8BC2B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FB8FFE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3E27A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683BFE8"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0765EE64" w14:textId="77777777" w:rsidR="00EE6446" w:rsidRPr="00641A01" w:rsidRDefault="00EE6446" w:rsidP="00641A01">
            <w:pPr>
              <w:tabs>
                <w:tab w:val="decimal" w:pos="943"/>
              </w:tabs>
              <w:spacing w:line="360" w:lineRule="auto"/>
              <w:rPr>
                <w:color w:val="000000"/>
              </w:rPr>
            </w:pPr>
            <w:r w:rsidRPr="00641A01">
              <w:rPr>
                <w:color w:val="000000"/>
              </w:rPr>
              <w:t>0.16</w:t>
            </w:r>
          </w:p>
        </w:tc>
        <w:tc>
          <w:tcPr>
            <w:tcW w:w="2233" w:type="dxa"/>
            <w:tcBorders>
              <w:top w:val="nil"/>
              <w:left w:val="nil"/>
              <w:bottom w:val="nil"/>
              <w:right w:val="nil"/>
            </w:tcBorders>
            <w:shd w:val="clear" w:color="auto" w:fill="auto"/>
            <w:noWrap/>
            <w:hideMark/>
          </w:tcPr>
          <w:p w14:paraId="6C773443" w14:textId="77777777" w:rsidR="00EE6446" w:rsidRPr="00641A01" w:rsidRDefault="00EE6446" w:rsidP="00641A01">
            <w:pPr>
              <w:tabs>
                <w:tab w:val="decimal" w:pos="943"/>
              </w:tabs>
              <w:spacing w:line="360" w:lineRule="auto"/>
              <w:rPr>
                <w:color w:val="000000"/>
              </w:rPr>
            </w:pPr>
            <w:r w:rsidRPr="00641A01">
              <w:rPr>
                <w:color w:val="000000"/>
              </w:rPr>
              <w:t>1.99</w:t>
            </w:r>
          </w:p>
        </w:tc>
      </w:tr>
      <w:tr w:rsidR="005B434B" w:rsidRPr="00641A01" w14:paraId="4CC75650" w14:textId="77777777" w:rsidTr="00A637D6">
        <w:tc>
          <w:tcPr>
            <w:tcW w:w="3258" w:type="dxa"/>
            <w:tcBorders>
              <w:top w:val="nil"/>
              <w:left w:val="nil"/>
              <w:bottom w:val="nil"/>
              <w:right w:val="nil"/>
            </w:tcBorders>
            <w:shd w:val="clear" w:color="auto" w:fill="auto"/>
            <w:noWrap/>
            <w:hideMark/>
          </w:tcPr>
          <w:p w14:paraId="54122697" w14:textId="77777777" w:rsidR="00EE6446" w:rsidRPr="00641A01" w:rsidRDefault="00EE6446" w:rsidP="00641A01">
            <w:pPr>
              <w:spacing w:line="360" w:lineRule="auto"/>
              <w:jc w:val="center"/>
              <w:rPr>
                <w:color w:val="000000"/>
              </w:rPr>
            </w:pPr>
            <w:r w:rsidRPr="00641A01">
              <w:rPr>
                <w:color w:val="000000"/>
              </w:rPr>
              <w:t>Iceland</w:t>
            </w:r>
          </w:p>
        </w:tc>
        <w:tc>
          <w:tcPr>
            <w:tcW w:w="1011" w:type="dxa"/>
            <w:tcBorders>
              <w:top w:val="nil"/>
              <w:left w:val="nil"/>
              <w:bottom w:val="nil"/>
              <w:right w:val="nil"/>
            </w:tcBorders>
            <w:shd w:val="clear" w:color="auto" w:fill="auto"/>
            <w:noWrap/>
            <w:hideMark/>
          </w:tcPr>
          <w:p w14:paraId="575F3FA1" w14:textId="77777777" w:rsidR="00EE6446" w:rsidRPr="00641A01" w:rsidRDefault="00EE6446" w:rsidP="00641A01">
            <w:pPr>
              <w:spacing w:line="360" w:lineRule="auto"/>
              <w:jc w:val="center"/>
              <w:rPr>
                <w:color w:val="000000"/>
              </w:rPr>
            </w:pPr>
            <w:r w:rsidRPr="00641A01">
              <w:rPr>
                <w:color w:val="000000"/>
              </w:rPr>
              <w:t>ISL</w:t>
            </w:r>
          </w:p>
        </w:tc>
        <w:tc>
          <w:tcPr>
            <w:tcW w:w="1011" w:type="dxa"/>
            <w:tcBorders>
              <w:top w:val="nil"/>
              <w:left w:val="nil"/>
              <w:bottom w:val="nil"/>
              <w:right w:val="nil"/>
            </w:tcBorders>
            <w:shd w:val="clear" w:color="auto" w:fill="auto"/>
            <w:noWrap/>
            <w:hideMark/>
          </w:tcPr>
          <w:p w14:paraId="7C18D5F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FD5FDDC"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F78CE8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8987A5F"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1C9B5A1E" w14:textId="77777777" w:rsidR="00EE6446" w:rsidRPr="00641A01" w:rsidRDefault="00EE6446" w:rsidP="00641A01">
            <w:pPr>
              <w:tabs>
                <w:tab w:val="decimal" w:pos="943"/>
              </w:tabs>
              <w:spacing w:line="360" w:lineRule="auto"/>
              <w:rPr>
                <w:color w:val="000000"/>
              </w:rPr>
            </w:pPr>
            <w:r w:rsidRPr="00641A01">
              <w:rPr>
                <w:color w:val="000000"/>
              </w:rPr>
              <w:t>5.93</w:t>
            </w:r>
          </w:p>
        </w:tc>
        <w:tc>
          <w:tcPr>
            <w:tcW w:w="2233" w:type="dxa"/>
            <w:tcBorders>
              <w:top w:val="nil"/>
              <w:left w:val="nil"/>
              <w:bottom w:val="nil"/>
              <w:right w:val="nil"/>
            </w:tcBorders>
            <w:shd w:val="clear" w:color="auto" w:fill="auto"/>
            <w:noWrap/>
            <w:hideMark/>
          </w:tcPr>
          <w:p w14:paraId="0EDCEEF1" w14:textId="77777777" w:rsidR="00EE6446" w:rsidRPr="00641A01" w:rsidRDefault="00EE6446" w:rsidP="00641A01">
            <w:pPr>
              <w:tabs>
                <w:tab w:val="decimal" w:pos="943"/>
              </w:tabs>
              <w:spacing w:line="360" w:lineRule="auto"/>
              <w:rPr>
                <w:color w:val="000000"/>
              </w:rPr>
            </w:pPr>
            <w:r w:rsidRPr="00641A01">
              <w:rPr>
                <w:color w:val="000000"/>
              </w:rPr>
              <w:t>57.91</w:t>
            </w:r>
          </w:p>
        </w:tc>
      </w:tr>
      <w:tr w:rsidR="005B434B" w:rsidRPr="00641A01" w14:paraId="724C1C13" w14:textId="77777777" w:rsidTr="00A637D6">
        <w:tc>
          <w:tcPr>
            <w:tcW w:w="3258" w:type="dxa"/>
            <w:tcBorders>
              <w:top w:val="nil"/>
              <w:left w:val="nil"/>
              <w:bottom w:val="nil"/>
              <w:right w:val="nil"/>
            </w:tcBorders>
            <w:shd w:val="clear" w:color="auto" w:fill="auto"/>
            <w:noWrap/>
            <w:hideMark/>
          </w:tcPr>
          <w:p w14:paraId="16470ED6" w14:textId="77777777" w:rsidR="00EE6446" w:rsidRPr="00641A01" w:rsidRDefault="00EE6446" w:rsidP="00641A01">
            <w:pPr>
              <w:spacing w:line="360" w:lineRule="auto"/>
              <w:jc w:val="center"/>
              <w:rPr>
                <w:color w:val="000000"/>
              </w:rPr>
            </w:pPr>
            <w:r w:rsidRPr="00641A01">
              <w:rPr>
                <w:color w:val="000000"/>
              </w:rPr>
              <w:t>Israel</w:t>
            </w:r>
          </w:p>
        </w:tc>
        <w:tc>
          <w:tcPr>
            <w:tcW w:w="1011" w:type="dxa"/>
            <w:tcBorders>
              <w:top w:val="nil"/>
              <w:left w:val="nil"/>
              <w:bottom w:val="nil"/>
              <w:right w:val="nil"/>
            </w:tcBorders>
            <w:shd w:val="clear" w:color="auto" w:fill="auto"/>
            <w:noWrap/>
            <w:hideMark/>
          </w:tcPr>
          <w:p w14:paraId="3F10DE11" w14:textId="77777777" w:rsidR="00EE6446" w:rsidRPr="00641A01" w:rsidRDefault="00EE6446" w:rsidP="00641A01">
            <w:pPr>
              <w:spacing w:line="360" w:lineRule="auto"/>
              <w:jc w:val="center"/>
              <w:rPr>
                <w:color w:val="000000"/>
              </w:rPr>
            </w:pPr>
            <w:r w:rsidRPr="00641A01">
              <w:rPr>
                <w:color w:val="000000"/>
              </w:rPr>
              <w:t>ISR</w:t>
            </w:r>
          </w:p>
        </w:tc>
        <w:tc>
          <w:tcPr>
            <w:tcW w:w="1011" w:type="dxa"/>
            <w:tcBorders>
              <w:top w:val="nil"/>
              <w:left w:val="nil"/>
              <w:bottom w:val="nil"/>
              <w:right w:val="nil"/>
            </w:tcBorders>
            <w:shd w:val="clear" w:color="auto" w:fill="auto"/>
            <w:noWrap/>
            <w:hideMark/>
          </w:tcPr>
          <w:p w14:paraId="0524001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124BBB0"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9412B6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42AC771"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1831F64C" w14:textId="77777777" w:rsidR="00EE6446" w:rsidRPr="00641A01" w:rsidRDefault="00EE6446" w:rsidP="00641A01">
            <w:pPr>
              <w:tabs>
                <w:tab w:val="decimal" w:pos="943"/>
              </w:tabs>
              <w:spacing w:line="360" w:lineRule="auto"/>
              <w:rPr>
                <w:color w:val="000000"/>
              </w:rPr>
            </w:pPr>
            <w:r w:rsidRPr="00641A01">
              <w:rPr>
                <w:color w:val="000000"/>
              </w:rPr>
              <w:t>11.68</w:t>
            </w:r>
          </w:p>
        </w:tc>
        <w:tc>
          <w:tcPr>
            <w:tcW w:w="2233" w:type="dxa"/>
            <w:tcBorders>
              <w:top w:val="nil"/>
              <w:left w:val="nil"/>
              <w:bottom w:val="nil"/>
              <w:right w:val="nil"/>
            </w:tcBorders>
            <w:shd w:val="clear" w:color="auto" w:fill="auto"/>
            <w:noWrap/>
            <w:hideMark/>
          </w:tcPr>
          <w:p w14:paraId="4FC27695" w14:textId="77777777" w:rsidR="00EE6446" w:rsidRPr="00641A01" w:rsidRDefault="00EE6446" w:rsidP="00641A01">
            <w:pPr>
              <w:tabs>
                <w:tab w:val="decimal" w:pos="943"/>
              </w:tabs>
              <w:spacing w:line="360" w:lineRule="auto"/>
              <w:rPr>
                <w:color w:val="000000"/>
              </w:rPr>
            </w:pPr>
            <w:r w:rsidRPr="00641A01">
              <w:rPr>
                <w:color w:val="000000"/>
              </w:rPr>
              <w:t>156.05</w:t>
            </w:r>
          </w:p>
        </w:tc>
      </w:tr>
      <w:tr w:rsidR="005B434B" w:rsidRPr="00641A01" w14:paraId="3DC09410" w14:textId="77777777" w:rsidTr="00A637D6">
        <w:tc>
          <w:tcPr>
            <w:tcW w:w="3258" w:type="dxa"/>
            <w:tcBorders>
              <w:top w:val="nil"/>
              <w:left w:val="nil"/>
              <w:bottom w:val="nil"/>
              <w:right w:val="nil"/>
            </w:tcBorders>
            <w:shd w:val="clear" w:color="auto" w:fill="auto"/>
            <w:noWrap/>
            <w:hideMark/>
          </w:tcPr>
          <w:p w14:paraId="6CDDFEF5" w14:textId="77777777" w:rsidR="00EE6446" w:rsidRPr="00641A01" w:rsidRDefault="00EE6446" w:rsidP="00641A01">
            <w:pPr>
              <w:spacing w:line="360" w:lineRule="auto"/>
              <w:jc w:val="center"/>
              <w:rPr>
                <w:color w:val="000000"/>
              </w:rPr>
            </w:pPr>
            <w:r w:rsidRPr="00641A01">
              <w:rPr>
                <w:color w:val="000000"/>
              </w:rPr>
              <w:t>Italy</w:t>
            </w:r>
          </w:p>
        </w:tc>
        <w:tc>
          <w:tcPr>
            <w:tcW w:w="1011" w:type="dxa"/>
            <w:tcBorders>
              <w:top w:val="nil"/>
              <w:left w:val="nil"/>
              <w:bottom w:val="nil"/>
              <w:right w:val="nil"/>
            </w:tcBorders>
            <w:shd w:val="clear" w:color="auto" w:fill="auto"/>
            <w:noWrap/>
            <w:hideMark/>
          </w:tcPr>
          <w:p w14:paraId="1B8AF92A" w14:textId="77777777" w:rsidR="00EE6446" w:rsidRPr="00641A01" w:rsidRDefault="00EE6446" w:rsidP="00641A01">
            <w:pPr>
              <w:spacing w:line="360" w:lineRule="auto"/>
              <w:jc w:val="center"/>
              <w:rPr>
                <w:color w:val="000000"/>
              </w:rPr>
            </w:pPr>
            <w:r w:rsidRPr="00641A01">
              <w:rPr>
                <w:color w:val="000000"/>
              </w:rPr>
              <w:t>ITA</w:t>
            </w:r>
          </w:p>
        </w:tc>
        <w:tc>
          <w:tcPr>
            <w:tcW w:w="1011" w:type="dxa"/>
            <w:tcBorders>
              <w:top w:val="nil"/>
              <w:left w:val="nil"/>
              <w:bottom w:val="nil"/>
              <w:right w:val="nil"/>
            </w:tcBorders>
            <w:shd w:val="clear" w:color="auto" w:fill="auto"/>
            <w:noWrap/>
            <w:hideMark/>
          </w:tcPr>
          <w:p w14:paraId="3D8572FC"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399064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60921493"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5F2C3C3E" w14:textId="77777777" w:rsidR="00EE6446" w:rsidRPr="00641A01" w:rsidRDefault="00EE6446" w:rsidP="00641A01">
            <w:pPr>
              <w:spacing w:line="360" w:lineRule="auto"/>
              <w:jc w:val="center"/>
              <w:rPr>
                <w:color w:val="000000"/>
              </w:rPr>
            </w:pPr>
            <w:r w:rsidRPr="00641A01">
              <w:rPr>
                <w:color w:val="000000"/>
              </w:rPr>
              <w:t>24</w:t>
            </w:r>
          </w:p>
        </w:tc>
        <w:tc>
          <w:tcPr>
            <w:tcW w:w="2233" w:type="dxa"/>
            <w:tcBorders>
              <w:top w:val="nil"/>
              <w:left w:val="nil"/>
              <w:bottom w:val="nil"/>
              <w:right w:val="nil"/>
            </w:tcBorders>
            <w:shd w:val="clear" w:color="auto" w:fill="auto"/>
            <w:noWrap/>
            <w:hideMark/>
          </w:tcPr>
          <w:p w14:paraId="3F10057E" w14:textId="77777777" w:rsidR="00EE6446" w:rsidRPr="00641A01" w:rsidRDefault="00EE6446" w:rsidP="00641A01">
            <w:pPr>
              <w:tabs>
                <w:tab w:val="decimal" w:pos="943"/>
              </w:tabs>
              <w:spacing w:line="360" w:lineRule="auto"/>
              <w:rPr>
                <w:color w:val="000000"/>
              </w:rPr>
            </w:pPr>
            <w:r w:rsidRPr="00641A01">
              <w:rPr>
                <w:color w:val="000000"/>
              </w:rPr>
              <w:t>14.57</w:t>
            </w:r>
          </w:p>
        </w:tc>
        <w:tc>
          <w:tcPr>
            <w:tcW w:w="2233" w:type="dxa"/>
            <w:tcBorders>
              <w:top w:val="nil"/>
              <w:left w:val="nil"/>
              <w:bottom w:val="nil"/>
              <w:right w:val="nil"/>
            </w:tcBorders>
            <w:shd w:val="clear" w:color="auto" w:fill="auto"/>
            <w:noWrap/>
            <w:hideMark/>
          </w:tcPr>
          <w:p w14:paraId="64AF8CFC" w14:textId="77777777" w:rsidR="00EE6446" w:rsidRPr="00641A01" w:rsidRDefault="00EE6446" w:rsidP="00641A01">
            <w:pPr>
              <w:tabs>
                <w:tab w:val="decimal" w:pos="943"/>
              </w:tabs>
              <w:spacing w:line="360" w:lineRule="auto"/>
              <w:rPr>
                <w:color w:val="000000"/>
              </w:rPr>
            </w:pPr>
            <w:r w:rsidRPr="00641A01">
              <w:rPr>
                <w:color w:val="000000"/>
              </w:rPr>
              <w:t>184.01</w:t>
            </w:r>
          </w:p>
        </w:tc>
      </w:tr>
      <w:tr w:rsidR="005B434B" w:rsidRPr="00641A01" w14:paraId="4755BB43" w14:textId="77777777" w:rsidTr="00A637D6">
        <w:tc>
          <w:tcPr>
            <w:tcW w:w="3258" w:type="dxa"/>
            <w:tcBorders>
              <w:top w:val="nil"/>
              <w:left w:val="nil"/>
              <w:bottom w:val="nil"/>
              <w:right w:val="nil"/>
            </w:tcBorders>
            <w:shd w:val="clear" w:color="auto" w:fill="auto"/>
            <w:noWrap/>
            <w:hideMark/>
          </w:tcPr>
          <w:p w14:paraId="1FFCEE99" w14:textId="77777777" w:rsidR="00EE6446" w:rsidRPr="00641A01" w:rsidRDefault="00EE6446" w:rsidP="00641A01">
            <w:pPr>
              <w:spacing w:line="360" w:lineRule="auto"/>
              <w:jc w:val="center"/>
              <w:rPr>
                <w:color w:val="000000"/>
              </w:rPr>
            </w:pPr>
            <w:r w:rsidRPr="00641A01">
              <w:rPr>
                <w:color w:val="000000"/>
              </w:rPr>
              <w:t>Jamaica</w:t>
            </w:r>
          </w:p>
        </w:tc>
        <w:tc>
          <w:tcPr>
            <w:tcW w:w="1011" w:type="dxa"/>
            <w:tcBorders>
              <w:top w:val="nil"/>
              <w:left w:val="nil"/>
              <w:bottom w:val="nil"/>
              <w:right w:val="nil"/>
            </w:tcBorders>
            <w:shd w:val="clear" w:color="auto" w:fill="auto"/>
            <w:noWrap/>
            <w:hideMark/>
          </w:tcPr>
          <w:p w14:paraId="455A33AE" w14:textId="77777777" w:rsidR="00EE6446" w:rsidRPr="00641A01" w:rsidRDefault="00EE6446" w:rsidP="00641A01">
            <w:pPr>
              <w:spacing w:line="360" w:lineRule="auto"/>
              <w:jc w:val="center"/>
              <w:rPr>
                <w:color w:val="000000"/>
              </w:rPr>
            </w:pPr>
            <w:r w:rsidRPr="00641A01">
              <w:rPr>
                <w:color w:val="000000"/>
              </w:rPr>
              <w:t>JAM</w:t>
            </w:r>
          </w:p>
        </w:tc>
        <w:tc>
          <w:tcPr>
            <w:tcW w:w="1011" w:type="dxa"/>
            <w:tcBorders>
              <w:top w:val="nil"/>
              <w:left w:val="nil"/>
              <w:bottom w:val="nil"/>
              <w:right w:val="nil"/>
            </w:tcBorders>
            <w:shd w:val="clear" w:color="auto" w:fill="auto"/>
            <w:noWrap/>
            <w:hideMark/>
          </w:tcPr>
          <w:p w14:paraId="307D7AB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8D9BCE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30145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38989E7"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3E7C2827" w14:textId="77777777" w:rsidR="00EE6446" w:rsidRPr="00641A01" w:rsidRDefault="00EE6446" w:rsidP="00641A01">
            <w:pPr>
              <w:tabs>
                <w:tab w:val="decimal" w:pos="943"/>
              </w:tabs>
              <w:spacing w:line="360" w:lineRule="auto"/>
              <w:rPr>
                <w:color w:val="000000"/>
              </w:rPr>
            </w:pPr>
            <w:r w:rsidRPr="00641A01">
              <w:rPr>
                <w:color w:val="000000"/>
              </w:rPr>
              <w:t>1.73</w:t>
            </w:r>
          </w:p>
        </w:tc>
        <w:tc>
          <w:tcPr>
            <w:tcW w:w="2233" w:type="dxa"/>
            <w:tcBorders>
              <w:top w:val="nil"/>
              <w:left w:val="nil"/>
              <w:bottom w:val="nil"/>
              <w:right w:val="nil"/>
            </w:tcBorders>
            <w:shd w:val="clear" w:color="auto" w:fill="auto"/>
            <w:noWrap/>
            <w:hideMark/>
          </w:tcPr>
          <w:p w14:paraId="3C1D33B7" w14:textId="77777777" w:rsidR="00EE6446" w:rsidRPr="00641A01" w:rsidRDefault="00EE6446" w:rsidP="00641A01">
            <w:pPr>
              <w:tabs>
                <w:tab w:val="decimal" w:pos="943"/>
              </w:tabs>
              <w:spacing w:line="360" w:lineRule="auto"/>
              <w:rPr>
                <w:color w:val="000000"/>
              </w:rPr>
            </w:pPr>
            <w:r w:rsidRPr="00641A01">
              <w:rPr>
                <w:color w:val="000000"/>
              </w:rPr>
              <w:t>19.09</w:t>
            </w:r>
          </w:p>
        </w:tc>
      </w:tr>
      <w:tr w:rsidR="005B434B" w:rsidRPr="00641A01" w14:paraId="4509A703" w14:textId="77777777" w:rsidTr="00A637D6">
        <w:tc>
          <w:tcPr>
            <w:tcW w:w="3258" w:type="dxa"/>
            <w:tcBorders>
              <w:top w:val="nil"/>
              <w:left w:val="nil"/>
              <w:bottom w:val="nil"/>
              <w:right w:val="nil"/>
            </w:tcBorders>
            <w:shd w:val="clear" w:color="auto" w:fill="auto"/>
            <w:noWrap/>
            <w:hideMark/>
          </w:tcPr>
          <w:p w14:paraId="3EFDD3A1" w14:textId="77777777" w:rsidR="00EE6446" w:rsidRPr="00641A01" w:rsidRDefault="00EE6446" w:rsidP="00641A01">
            <w:pPr>
              <w:spacing w:line="360" w:lineRule="auto"/>
              <w:jc w:val="center"/>
              <w:rPr>
                <w:color w:val="000000"/>
              </w:rPr>
            </w:pPr>
            <w:r w:rsidRPr="00641A01">
              <w:rPr>
                <w:color w:val="000000"/>
              </w:rPr>
              <w:t>Jordan</w:t>
            </w:r>
          </w:p>
        </w:tc>
        <w:tc>
          <w:tcPr>
            <w:tcW w:w="1011" w:type="dxa"/>
            <w:tcBorders>
              <w:top w:val="nil"/>
              <w:left w:val="nil"/>
              <w:bottom w:val="nil"/>
              <w:right w:val="nil"/>
            </w:tcBorders>
            <w:shd w:val="clear" w:color="auto" w:fill="auto"/>
            <w:noWrap/>
            <w:hideMark/>
          </w:tcPr>
          <w:p w14:paraId="2AAC9C9C" w14:textId="77777777" w:rsidR="00EE6446" w:rsidRPr="00641A01" w:rsidRDefault="00EE6446" w:rsidP="00641A01">
            <w:pPr>
              <w:spacing w:line="360" w:lineRule="auto"/>
              <w:jc w:val="center"/>
              <w:rPr>
                <w:color w:val="000000"/>
              </w:rPr>
            </w:pPr>
            <w:r w:rsidRPr="00641A01">
              <w:rPr>
                <w:color w:val="000000"/>
              </w:rPr>
              <w:t>JOR</w:t>
            </w:r>
          </w:p>
        </w:tc>
        <w:tc>
          <w:tcPr>
            <w:tcW w:w="1011" w:type="dxa"/>
            <w:tcBorders>
              <w:top w:val="nil"/>
              <w:left w:val="nil"/>
              <w:bottom w:val="nil"/>
              <w:right w:val="nil"/>
            </w:tcBorders>
            <w:shd w:val="clear" w:color="auto" w:fill="auto"/>
            <w:noWrap/>
            <w:hideMark/>
          </w:tcPr>
          <w:p w14:paraId="3B00CD5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8D22CB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20A457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F17D007"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4F9488AA" w14:textId="77777777" w:rsidR="00EE6446" w:rsidRPr="00641A01" w:rsidRDefault="00EE6446" w:rsidP="00641A01">
            <w:pPr>
              <w:tabs>
                <w:tab w:val="decimal" w:pos="943"/>
              </w:tabs>
              <w:spacing w:line="360" w:lineRule="auto"/>
              <w:rPr>
                <w:color w:val="000000"/>
              </w:rPr>
            </w:pPr>
            <w:r w:rsidRPr="00641A01">
              <w:rPr>
                <w:color w:val="000000"/>
              </w:rPr>
              <w:t>1.72</w:t>
            </w:r>
          </w:p>
        </w:tc>
        <w:tc>
          <w:tcPr>
            <w:tcW w:w="2233" w:type="dxa"/>
            <w:tcBorders>
              <w:top w:val="nil"/>
              <w:left w:val="nil"/>
              <w:bottom w:val="nil"/>
              <w:right w:val="nil"/>
            </w:tcBorders>
            <w:shd w:val="clear" w:color="auto" w:fill="auto"/>
            <w:noWrap/>
            <w:hideMark/>
          </w:tcPr>
          <w:p w14:paraId="104BBFCC" w14:textId="77777777" w:rsidR="00EE6446" w:rsidRPr="00641A01" w:rsidRDefault="00EE6446" w:rsidP="00641A01">
            <w:pPr>
              <w:tabs>
                <w:tab w:val="decimal" w:pos="943"/>
              </w:tabs>
              <w:spacing w:line="360" w:lineRule="auto"/>
              <w:rPr>
                <w:color w:val="000000"/>
              </w:rPr>
            </w:pPr>
            <w:r w:rsidRPr="00641A01">
              <w:rPr>
                <w:color w:val="000000"/>
              </w:rPr>
              <w:t>18.04</w:t>
            </w:r>
          </w:p>
        </w:tc>
      </w:tr>
      <w:tr w:rsidR="005B434B" w:rsidRPr="00641A01" w14:paraId="511A9EAC" w14:textId="77777777" w:rsidTr="00A637D6">
        <w:tc>
          <w:tcPr>
            <w:tcW w:w="3258" w:type="dxa"/>
            <w:tcBorders>
              <w:top w:val="nil"/>
              <w:left w:val="nil"/>
              <w:bottom w:val="nil"/>
              <w:right w:val="nil"/>
            </w:tcBorders>
            <w:shd w:val="clear" w:color="auto" w:fill="auto"/>
            <w:noWrap/>
            <w:hideMark/>
          </w:tcPr>
          <w:p w14:paraId="1E58F6E2" w14:textId="77777777" w:rsidR="00EE6446" w:rsidRPr="00641A01" w:rsidRDefault="00EE6446" w:rsidP="00641A01">
            <w:pPr>
              <w:spacing w:line="360" w:lineRule="auto"/>
              <w:jc w:val="center"/>
              <w:rPr>
                <w:color w:val="000000"/>
              </w:rPr>
            </w:pPr>
            <w:r w:rsidRPr="00641A01">
              <w:rPr>
                <w:color w:val="000000"/>
              </w:rPr>
              <w:t>Japan</w:t>
            </w:r>
          </w:p>
        </w:tc>
        <w:tc>
          <w:tcPr>
            <w:tcW w:w="1011" w:type="dxa"/>
            <w:tcBorders>
              <w:top w:val="nil"/>
              <w:left w:val="nil"/>
              <w:bottom w:val="nil"/>
              <w:right w:val="nil"/>
            </w:tcBorders>
            <w:shd w:val="clear" w:color="auto" w:fill="auto"/>
            <w:noWrap/>
            <w:hideMark/>
          </w:tcPr>
          <w:p w14:paraId="5603F8F1" w14:textId="77777777" w:rsidR="00EE6446" w:rsidRPr="00641A01" w:rsidRDefault="00EE6446" w:rsidP="00641A01">
            <w:pPr>
              <w:spacing w:line="360" w:lineRule="auto"/>
              <w:jc w:val="center"/>
              <w:rPr>
                <w:color w:val="000000"/>
              </w:rPr>
            </w:pPr>
            <w:r w:rsidRPr="00641A01">
              <w:rPr>
                <w:color w:val="000000"/>
              </w:rPr>
              <w:t>JPN</w:t>
            </w:r>
          </w:p>
        </w:tc>
        <w:tc>
          <w:tcPr>
            <w:tcW w:w="1011" w:type="dxa"/>
            <w:tcBorders>
              <w:top w:val="nil"/>
              <w:left w:val="nil"/>
              <w:bottom w:val="nil"/>
              <w:right w:val="nil"/>
            </w:tcBorders>
            <w:shd w:val="clear" w:color="auto" w:fill="auto"/>
            <w:noWrap/>
            <w:hideMark/>
          </w:tcPr>
          <w:p w14:paraId="71722245"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299A069"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AABB2F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7FE5B64" w14:textId="77777777" w:rsidR="00EE6446" w:rsidRPr="00641A01" w:rsidRDefault="00EE6446" w:rsidP="00641A01">
            <w:pPr>
              <w:spacing w:line="360" w:lineRule="auto"/>
              <w:jc w:val="center"/>
              <w:rPr>
                <w:color w:val="000000"/>
              </w:rPr>
            </w:pPr>
            <w:r w:rsidRPr="00641A01">
              <w:rPr>
                <w:color w:val="000000"/>
              </w:rPr>
              <w:t>19</w:t>
            </w:r>
          </w:p>
        </w:tc>
        <w:tc>
          <w:tcPr>
            <w:tcW w:w="2233" w:type="dxa"/>
            <w:tcBorders>
              <w:top w:val="nil"/>
              <w:left w:val="nil"/>
              <w:bottom w:val="nil"/>
              <w:right w:val="nil"/>
            </w:tcBorders>
            <w:shd w:val="clear" w:color="auto" w:fill="auto"/>
            <w:noWrap/>
            <w:hideMark/>
          </w:tcPr>
          <w:p w14:paraId="0404F01C" w14:textId="77777777" w:rsidR="00EE6446" w:rsidRPr="00641A01" w:rsidRDefault="00EE6446" w:rsidP="00641A01">
            <w:pPr>
              <w:tabs>
                <w:tab w:val="decimal" w:pos="943"/>
              </w:tabs>
              <w:spacing w:line="360" w:lineRule="auto"/>
              <w:rPr>
                <w:color w:val="000000"/>
              </w:rPr>
            </w:pPr>
            <w:r w:rsidRPr="00641A01">
              <w:rPr>
                <w:color w:val="000000"/>
              </w:rPr>
              <w:t>15.01</w:t>
            </w:r>
          </w:p>
        </w:tc>
        <w:tc>
          <w:tcPr>
            <w:tcW w:w="2233" w:type="dxa"/>
            <w:tcBorders>
              <w:top w:val="nil"/>
              <w:left w:val="nil"/>
              <w:bottom w:val="nil"/>
              <w:right w:val="nil"/>
            </w:tcBorders>
            <w:shd w:val="clear" w:color="auto" w:fill="auto"/>
            <w:noWrap/>
            <w:hideMark/>
          </w:tcPr>
          <w:p w14:paraId="4C7C2169" w14:textId="77777777" w:rsidR="00EE6446" w:rsidRPr="00641A01" w:rsidRDefault="00EE6446" w:rsidP="00641A01">
            <w:pPr>
              <w:tabs>
                <w:tab w:val="decimal" w:pos="943"/>
              </w:tabs>
              <w:spacing w:line="360" w:lineRule="auto"/>
              <w:rPr>
                <w:color w:val="000000"/>
              </w:rPr>
            </w:pPr>
            <w:r w:rsidRPr="00641A01">
              <w:rPr>
                <w:color w:val="000000"/>
              </w:rPr>
              <w:t>118.29</w:t>
            </w:r>
          </w:p>
        </w:tc>
      </w:tr>
      <w:tr w:rsidR="005B434B" w:rsidRPr="00641A01" w14:paraId="0168BDC8" w14:textId="77777777" w:rsidTr="00A637D6">
        <w:tc>
          <w:tcPr>
            <w:tcW w:w="3258" w:type="dxa"/>
            <w:tcBorders>
              <w:top w:val="nil"/>
              <w:left w:val="nil"/>
              <w:bottom w:val="nil"/>
              <w:right w:val="nil"/>
            </w:tcBorders>
            <w:shd w:val="clear" w:color="auto" w:fill="auto"/>
            <w:noWrap/>
            <w:hideMark/>
          </w:tcPr>
          <w:p w14:paraId="05460B0C" w14:textId="77777777" w:rsidR="00EE6446" w:rsidRPr="00641A01" w:rsidRDefault="00EE6446" w:rsidP="00641A01">
            <w:pPr>
              <w:spacing w:line="360" w:lineRule="auto"/>
              <w:jc w:val="center"/>
              <w:rPr>
                <w:color w:val="000000"/>
              </w:rPr>
            </w:pPr>
            <w:r w:rsidRPr="00641A01">
              <w:rPr>
                <w:color w:val="000000"/>
              </w:rPr>
              <w:t>Kazakhstan</w:t>
            </w:r>
          </w:p>
        </w:tc>
        <w:tc>
          <w:tcPr>
            <w:tcW w:w="1011" w:type="dxa"/>
            <w:tcBorders>
              <w:top w:val="nil"/>
              <w:left w:val="nil"/>
              <w:bottom w:val="nil"/>
              <w:right w:val="nil"/>
            </w:tcBorders>
            <w:shd w:val="clear" w:color="auto" w:fill="auto"/>
            <w:noWrap/>
            <w:hideMark/>
          </w:tcPr>
          <w:p w14:paraId="6B2287AD" w14:textId="77777777" w:rsidR="00EE6446" w:rsidRPr="00641A01" w:rsidRDefault="00EE6446" w:rsidP="00641A01">
            <w:pPr>
              <w:spacing w:line="360" w:lineRule="auto"/>
              <w:jc w:val="center"/>
              <w:rPr>
                <w:color w:val="000000"/>
              </w:rPr>
            </w:pPr>
            <w:r w:rsidRPr="00641A01">
              <w:rPr>
                <w:color w:val="000000"/>
              </w:rPr>
              <w:t>KAZ</w:t>
            </w:r>
          </w:p>
        </w:tc>
        <w:tc>
          <w:tcPr>
            <w:tcW w:w="1011" w:type="dxa"/>
            <w:tcBorders>
              <w:top w:val="nil"/>
              <w:left w:val="nil"/>
              <w:bottom w:val="nil"/>
              <w:right w:val="nil"/>
            </w:tcBorders>
            <w:shd w:val="clear" w:color="auto" w:fill="auto"/>
            <w:noWrap/>
            <w:hideMark/>
          </w:tcPr>
          <w:p w14:paraId="26BBDA2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FACF00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87FDDB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C693AF3"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4C076028" w14:textId="77777777" w:rsidR="00EE6446" w:rsidRPr="00641A01" w:rsidRDefault="00EE6446" w:rsidP="00641A01">
            <w:pPr>
              <w:tabs>
                <w:tab w:val="decimal" w:pos="943"/>
              </w:tabs>
              <w:spacing w:line="360" w:lineRule="auto"/>
              <w:rPr>
                <w:color w:val="000000"/>
              </w:rPr>
            </w:pPr>
            <w:r w:rsidRPr="00641A01">
              <w:rPr>
                <w:color w:val="000000"/>
              </w:rPr>
              <w:t>3.57</w:t>
            </w:r>
          </w:p>
        </w:tc>
        <w:tc>
          <w:tcPr>
            <w:tcW w:w="2233" w:type="dxa"/>
            <w:tcBorders>
              <w:top w:val="nil"/>
              <w:left w:val="nil"/>
              <w:bottom w:val="nil"/>
              <w:right w:val="nil"/>
            </w:tcBorders>
            <w:shd w:val="clear" w:color="auto" w:fill="auto"/>
            <w:noWrap/>
            <w:hideMark/>
          </w:tcPr>
          <w:p w14:paraId="5200BD3D" w14:textId="77777777" w:rsidR="00EE6446" w:rsidRPr="00641A01" w:rsidRDefault="00EE6446" w:rsidP="00641A01">
            <w:pPr>
              <w:tabs>
                <w:tab w:val="decimal" w:pos="943"/>
              </w:tabs>
              <w:spacing w:line="360" w:lineRule="auto"/>
              <w:rPr>
                <w:color w:val="000000"/>
              </w:rPr>
            </w:pPr>
            <w:r w:rsidRPr="00641A01">
              <w:rPr>
                <w:color w:val="000000"/>
              </w:rPr>
              <w:t>55.53</w:t>
            </w:r>
          </w:p>
        </w:tc>
      </w:tr>
      <w:tr w:rsidR="005B434B" w:rsidRPr="00641A01" w14:paraId="2C20C675" w14:textId="77777777" w:rsidTr="00A637D6">
        <w:tc>
          <w:tcPr>
            <w:tcW w:w="3258" w:type="dxa"/>
            <w:tcBorders>
              <w:top w:val="nil"/>
              <w:left w:val="nil"/>
              <w:bottom w:val="nil"/>
              <w:right w:val="nil"/>
            </w:tcBorders>
            <w:shd w:val="clear" w:color="auto" w:fill="auto"/>
            <w:noWrap/>
            <w:hideMark/>
          </w:tcPr>
          <w:p w14:paraId="2A45555C" w14:textId="77777777" w:rsidR="00EE6446" w:rsidRPr="00641A01" w:rsidRDefault="00EE6446" w:rsidP="00641A01">
            <w:pPr>
              <w:spacing w:line="360" w:lineRule="auto"/>
              <w:jc w:val="center"/>
              <w:rPr>
                <w:color w:val="000000"/>
              </w:rPr>
            </w:pPr>
            <w:r w:rsidRPr="00641A01">
              <w:rPr>
                <w:color w:val="000000"/>
              </w:rPr>
              <w:t>Kenya</w:t>
            </w:r>
          </w:p>
        </w:tc>
        <w:tc>
          <w:tcPr>
            <w:tcW w:w="1011" w:type="dxa"/>
            <w:tcBorders>
              <w:top w:val="nil"/>
              <w:left w:val="nil"/>
              <w:bottom w:val="nil"/>
              <w:right w:val="nil"/>
            </w:tcBorders>
            <w:shd w:val="clear" w:color="auto" w:fill="auto"/>
            <w:noWrap/>
            <w:hideMark/>
          </w:tcPr>
          <w:p w14:paraId="40E86AA3" w14:textId="77777777" w:rsidR="00EE6446" w:rsidRPr="00641A01" w:rsidRDefault="00EE6446" w:rsidP="00641A01">
            <w:pPr>
              <w:spacing w:line="360" w:lineRule="auto"/>
              <w:jc w:val="center"/>
              <w:rPr>
                <w:color w:val="000000"/>
              </w:rPr>
            </w:pPr>
            <w:r w:rsidRPr="00641A01">
              <w:rPr>
                <w:color w:val="000000"/>
              </w:rPr>
              <w:t>KEN</w:t>
            </w:r>
          </w:p>
        </w:tc>
        <w:tc>
          <w:tcPr>
            <w:tcW w:w="1011" w:type="dxa"/>
            <w:tcBorders>
              <w:top w:val="nil"/>
              <w:left w:val="nil"/>
              <w:bottom w:val="nil"/>
              <w:right w:val="nil"/>
            </w:tcBorders>
            <w:shd w:val="clear" w:color="auto" w:fill="auto"/>
            <w:noWrap/>
            <w:hideMark/>
          </w:tcPr>
          <w:p w14:paraId="2F4FC7B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2AEA1F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08911D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57E6861"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1D773412" w14:textId="77777777" w:rsidR="00EE6446" w:rsidRPr="00641A01" w:rsidRDefault="00EE6446" w:rsidP="00641A01">
            <w:pPr>
              <w:tabs>
                <w:tab w:val="decimal" w:pos="943"/>
              </w:tabs>
              <w:spacing w:line="360" w:lineRule="auto"/>
              <w:rPr>
                <w:color w:val="000000"/>
              </w:rPr>
            </w:pPr>
            <w:r w:rsidRPr="00641A01">
              <w:rPr>
                <w:color w:val="000000"/>
              </w:rPr>
              <w:t>5.11</w:t>
            </w:r>
          </w:p>
        </w:tc>
        <w:tc>
          <w:tcPr>
            <w:tcW w:w="2233" w:type="dxa"/>
            <w:tcBorders>
              <w:top w:val="nil"/>
              <w:left w:val="nil"/>
              <w:bottom w:val="nil"/>
              <w:right w:val="nil"/>
            </w:tcBorders>
            <w:shd w:val="clear" w:color="auto" w:fill="auto"/>
            <w:noWrap/>
            <w:hideMark/>
          </w:tcPr>
          <w:p w14:paraId="0115606C" w14:textId="77777777" w:rsidR="00EE6446" w:rsidRPr="00641A01" w:rsidRDefault="00EE6446" w:rsidP="00641A01">
            <w:pPr>
              <w:tabs>
                <w:tab w:val="decimal" w:pos="943"/>
              </w:tabs>
              <w:spacing w:line="360" w:lineRule="auto"/>
              <w:rPr>
                <w:color w:val="000000"/>
              </w:rPr>
            </w:pPr>
            <w:r w:rsidRPr="00641A01">
              <w:rPr>
                <w:color w:val="000000"/>
              </w:rPr>
              <w:t>32.87</w:t>
            </w:r>
          </w:p>
        </w:tc>
      </w:tr>
      <w:tr w:rsidR="005B434B" w:rsidRPr="00641A01" w14:paraId="04A1B196" w14:textId="77777777" w:rsidTr="00A637D6">
        <w:tc>
          <w:tcPr>
            <w:tcW w:w="3258" w:type="dxa"/>
            <w:tcBorders>
              <w:top w:val="nil"/>
              <w:left w:val="nil"/>
              <w:bottom w:val="nil"/>
              <w:right w:val="nil"/>
            </w:tcBorders>
            <w:shd w:val="clear" w:color="auto" w:fill="auto"/>
            <w:noWrap/>
            <w:hideMark/>
          </w:tcPr>
          <w:p w14:paraId="006A4B54" w14:textId="77777777" w:rsidR="00EE6446" w:rsidRPr="00641A01" w:rsidRDefault="00EE6446" w:rsidP="00641A01">
            <w:pPr>
              <w:spacing w:line="360" w:lineRule="auto"/>
              <w:jc w:val="center"/>
              <w:rPr>
                <w:color w:val="000000"/>
              </w:rPr>
            </w:pPr>
            <w:r w:rsidRPr="00641A01">
              <w:rPr>
                <w:color w:val="000000"/>
              </w:rPr>
              <w:t>Kyrgyzstan</w:t>
            </w:r>
          </w:p>
        </w:tc>
        <w:tc>
          <w:tcPr>
            <w:tcW w:w="1011" w:type="dxa"/>
            <w:tcBorders>
              <w:top w:val="nil"/>
              <w:left w:val="nil"/>
              <w:bottom w:val="nil"/>
              <w:right w:val="nil"/>
            </w:tcBorders>
            <w:shd w:val="clear" w:color="auto" w:fill="auto"/>
            <w:noWrap/>
            <w:hideMark/>
          </w:tcPr>
          <w:p w14:paraId="08D885D0" w14:textId="77777777" w:rsidR="00EE6446" w:rsidRPr="00641A01" w:rsidRDefault="00EE6446" w:rsidP="00641A01">
            <w:pPr>
              <w:spacing w:line="360" w:lineRule="auto"/>
              <w:jc w:val="center"/>
              <w:rPr>
                <w:color w:val="000000"/>
              </w:rPr>
            </w:pPr>
            <w:r w:rsidRPr="00641A01">
              <w:rPr>
                <w:color w:val="000000"/>
              </w:rPr>
              <w:t>KGZ</w:t>
            </w:r>
          </w:p>
        </w:tc>
        <w:tc>
          <w:tcPr>
            <w:tcW w:w="1011" w:type="dxa"/>
            <w:tcBorders>
              <w:top w:val="nil"/>
              <w:left w:val="nil"/>
              <w:bottom w:val="nil"/>
              <w:right w:val="nil"/>
            </w:tcBorders>
            <w:shd w:val="clear" w:color="auto" w:fill="auto"/>
            <w:noWrap/>
            <w:hideMark/>
          </w:tcPr>
          <w:p w14:paraId="75921F7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1CD197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56441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C7F1519"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625962C1" w14:textId="77777777" w:rsidR="00EE6446" w:rsidRPr="00641A01" w:rsidRDefault="00EE6446" w:rsidP="00641A01">
            <w:pPr>
              <w:tabs>
                <w:tab w:val="decimal" w:pos="943"/>
              </w:tabs>
              <w:spacing w:line="360" w:lineRule="auto"/>
              <w:rPr>
                <w:color w:val="000000"/>
              </w:rPr>
            </w:pPr>
            <w:r w:rsidRPr="00641A01">
              <w:rPr>
                <w:color w:val="000000"/>
              </w:rPr>
              <w:t>1.97</w:t>
            </w:r>
          </w:p>
        </w:tc>
        <w:tc>
          <w:tcPr>
            <w:tcW w:w="2233" w:type="dxa"/>
            <w:tcBorders>
              <w:top w:val="nil"/>
              <w:left w:val="nil"/>
              <w:bottom w:val="nil"/>
              <w:right w:val="nil"/>
            </w:tcBorders>
            <w:shd w:val="clear" w:color="auto" w:fill="auto"/>
            <w:noWrap/>
            <w:hideMark/>
          </w:tcPr>
          <w:p w14:paraId="1A2E7DED" w14:textId="77777777" w:rsidR="00EE6446" w:rsidRPr="00641A01" w:rsidRDefault="00EE6446" w:rsidP="00641A01">
            <w:pPr>
              <w:tabs>
                <w:tab w:val="decimal" w:pos="943"/>
              </w:tabs>
              <w:spacing w:line="360" w:lineRule="auto"/>
              <w:rPr>
                <w:color w:val="000000"/>
              </w:rPr>
            </w:pPr>
            <w:r w:rsidRPr="00641A01">
              <w:rPr>
                <w:color w:val="000000"/>
              </w:rPr>
              <w:t>21.48</w:t>
            </w:r>
          </w:p>
        </w:tc>
      </w:tr>
      <w:tr w:rsidR="005B434B" w:rsidRPr="00641A01" w14:paraId="4A971D05" w14:textId="77777777" w:rsidTr="00A637D6">
        <w:tc>
          <w:tcPr>
            <w:tcW w:w="3258" w:type="dxa"/>
            <w:tcBorders>
              <w:top w:val="nil"/>
              <w:left w:val="nil"/>
              <w:bottom w:val="nil"/>
              <w:right w:val="nil"/>
            </w:tcBorders>
            <w:shd w:val="clear" w:color="auto" w:fill="auto"/>
            <w:noWrap/>
            <w:hideMark/>
          </w:tcPr>
          <w:p w14:paraId="4A267BB8" w14:textId="77777777" w:rsidR="00EE6446" w:rsidRPr="00641A01" w:rsidRDefault="00EE6446" w:rsidP="00641A01">
            <w:pPr>
              <w:spacing w:line="360" w:lineRule="auto"/>
              <w:jc w:val="center"/>
              <w:rPr>
                <w:color w:val="000000"/>
              </w:rPr>
            </w:pPr>
            <w:r w:rsidRPr="00641A01">
              <w:rPr>
                <w:color w:val="000000"/>
              </w:rPr>
              <w:t>Cambodia</w:t>
            </w:r>
          </w:p>
        </w:tc>
        <w:tc>
          <w:tcPr>
            <w:tcW w:w="1011" w:type="dxa"/>
            <w:tcBorders>
              <w:top w:val="nil"/>
              <w:left w:val="nil"/>
              <w:bottom w:val="nil"/>
              <w:right w:val="nil"/>
            </w:tcBorders>
            <w:shd w:val="clear" w:color="auto" w:fill="auto"/>
            <w:noWrap/>
            <w:hideMark/>
          </w:tcPr>
          <w:p w14:paraId="41650C79" w14:textId="77777777" w:rsidR="00EE6446" w:rsidRPr="00641A01" w:rsidRDefault="00EE6446" w:rsidP="00641A01">
            <w:pPr>
              <w:spacing w:line="360" w:lineRule="auto"/>
              <w:jc w:val="center"/>
              <w:rPr>
                <w:color w:val="000000"/>
              </w:rPr>
            </w:pPr>
            <w:r w:rsidRPr="00641A01">
              <w:rPr>
                <w:color w:val="000000"/>
              </w:rPr>
              <w:t>KHM</w:t>
            </w:r>
          </w:p>
        </w:tc>
        <w:tc>
          <w:tcPr>
            <w:tcW w:w="1011" w:type="dxa"/>
            <w:tcBorders>
              <w:top w:val="nil"/>
              <w:left w:val="nil"/>
              <w:bottom w:val="nil"/>
              <w:right w:val="nil"/>
            </w:tcBorders>
            <w:shd w:val="clear" w:color="auto" w:fill="auto"/>
            <w:noWrap/>
            <w:hideMark/>
          </w:tcPr>
          <w:p w14:paraId="5C9C547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462847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280E4D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5D889BD"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7F28EBE1" w14:textId="77777777" w:rsidR="00EE6446" w:rsidRPr="00641A01" w:rsidRDefault="00EE6446" w:rsidP="00641A01">
            <w:pPr>
              <w:tabs>
                <w:tab w:val="decimal" w:pos="943"/>
              </w:tabs>
              <w:spacing w:line="360" w:lineRule="auto"/>
              <w:rPr>
                <w:color w:val="000000"/>
              </w:rPr>
            </w:pPr>
            <w:r w:rsidRPr="00641A01">
              <w:rPr>
                <w:color w:val="000000"/>
              </w:rPr>
              <w:t>1.65</w:t>
            </w:r>
          </w:p>
        </w:tc>
        <w:tc>
          <w:tcPr>
            <w:tcW w:w="2233" w:type="dxa"/>
            <w:tcBorders>
              <w:top w:val="nil"/>
              <w:left w:val="nil"/>
              <w:bottom w:val="nil"/>
              <w:right w:val="nil"/>
            </w:tcBorders>
            <w:shd w:val="clear" w:color="auto" w:fill="auto"/>
            <w:noWrap/>
            <w:hideMark/>
          </w:tcPr>
          <w:p w14:paraId="5FEE0DDF" w14:textId="77777777" w:rsidR="00EE6446" w:rsidRPr="00641A01" w:rsidRDefault="00EE6446" w:rsidP="00641A01">
            <w:pPr>
              <w:tabs>
                <w:tab w:val="decimal" w:pos="943"/>
              </w:tabs>
              <w:spacing w:line="360" w:lineRule="auto"/>
              <w:rPr>
                <w:color w:val="000000"/>
              </w:rPr>
            </w:pPr>
            <w:r w:rsidRPr="00641A01">
              <w:rPr>
                <w:color w:val="000000"/>
              </w:rPr>
              <w:t>17.46</w:t>
            </w:r>
          </w:p>
        </w:tc>
      </w:tr>
      <w:tr w:rsidR="005B434B" w:rsidRPr="00641A01" w14:paraId="5B9BFDE4" w14:textId="77777777" w:rsidTr="00A637D6">
        <w:tc>
          <w:tcPr>
            <w:tcW w:w="3258" w:type="dxa"/>
            <w:tcBorders>
              <w:top w:val="nil"/>
              <w:left w:val="nil"/>
              <w:bottom w:val="nil"/>
              <w:right w:val="nil"/>
            </w:tcBorders>
            <w:shd w:val="clear" w:color="auto" w:fill="auto"/>
            <w:noWrap/>
            <w:hideMark/>
          </w:tcPr>
          <w:p w14:paraId="22413012" w14:textId="77777777" w:rsidR="00EE6446" w:rsidRPr="00641A01" w:rsidRDefault="00EE6446" w:rsidP="00641A01">
            <w:pPr>
              <w:spacing w:line="360" w:lineRule="auto"/>
              <w:jc w:val="center"/>
              <w:rPr>
                <w:color w:val="000000"/>
              </w:rPr>
            </w:pPr>
            <w:r w:rsidRPr="00641A01">
              <w:rPr>
                <w:color w:val="000000"/>
              </w:rPr>
              <w:t>Kiribati</w:t>
            </w:r>
          </w:p>
        </w:tc>
        <w:tc>
          <w:tcPr>
            <w:tcW w:w="1011" w:type="dxa"/>
            <w:tcBorders>
              <w:top w:val="nil"/>
              <w:left w:val="nil"/>
              <w:bottom w:val="nil"/>
              <w:right w:val="nil"/>
            </w:tcBorders>
            <w:shd w:val="clear" w:color="auto" w:fill="auto"/>
            <w:noWrap/>
            <w:hideMark/>
          </w:tcPr>
          <w:p w14:paraId="39DDE18E" w14:textId="77777777" w:rsidR="00EE6446" w:rsidRPr="00641A01" w:rsidRDefault="00EE6446" w:rsidP="00641A01">
            <w:pPr>
              <w:spacing w:line="360" w:lineRule="auto"/>
              <w:jc w:val="center"/>
              <w:rPr>
                <w:color w:val="000000"/>
              </w:rPr>
            </w:pPr>
            <w:r w:rsidRPr="00641A01">
              <w:rPr>
                <w:color w:val="000000"/>
              </w:rPr>
              <w:t>KIR</w:t>
            </w:r>
          </w:p>
        </w:tc>
        <w:tc>
          <w:tcPr>
            <w:tcW w:w="1011" w:type="dxa"/>
            <w:tcBorders>
              <w:top w:val="nil"/>
              <w:left w:val="nil"/>
              <w:bottom w:val="nil"/>
              <w:right w:val="nil"/>
            </w:tcBorders>
            <w:shd w:val="clear" w:color="auto" w:fill="auto"/>
            <w:noWrap/>
            <w:hideMark/>
          </w:tcPr>
          <w:p w14:paraId="1022D53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35A3D2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E9C8E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ECD32CA"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6122464C" w14:textId="77777777" w:rsidR="00EE6446" w:rsidRPr="00641A01" w:rsidRDefault="00EE6446" w:rsidP="00641A01">
            <w:pPr>
              <w:tabs>
                <w:tab w:val="decimal" w:pos="943"/>
              </w:tabs>
              <w:spacing w:line="360" w:lineRule="auto"/>
              <w:rPr>
                <w:color w:val="000000"/>
              </w:rPr>
            </w:pPr>
            <w:r w:rsidRPr="00641A01">
              <w:rPr>
                <w:color w:val="000000"/>
              </w:rPr>
              <w:t>5.93</w:t>
            </w:r>
          </w:p>
        </w:tc>
        <w:tc>
          <w:tcPr>
            <w:tcW w:w="2233" w:type="dxa"/>
            <w:tcBorders>
              <w:top w:val="nil"/>
              <w:left w:val="nil"/>
              <w:bottom w:val="nil"/>
              <w:right w:val="nil"/>
            </w:tcBorders>
            <w:shd w:val="clear" w:color="auto" w:fill="auto"/>
            <w:noWrap/>
            <w:hideMark/>
          </w:tcPr>
          <w:p w14:paraId="7AEFC66B" w14:textId="77777777" w:rsidR="00EE6446" w:rsidRPr="00641A01" w:rsidRDefault="00EE6446" w:rsidP="00641A01">
            <w:pPr>
              <w:tabs>
                <w:tab w:val="decimal" w:pos="943"/>
              </w:tabs>
              <w:spacing w:line="360" w:lineRule="auto"/>
              <w:rPr>
                <w:color w:val="000000"/>
              </w:rPr>
            </w:pPr>
            <w:r w:rsidRPr="00641A01">
              <w:rPr>
                <w:color w:val="000000"/>
              </w:rPr>
              <w:t>57.65</w:t>
            </w:r>
          </w:p>
        </w:tc>
      </w:tr>
      <w:tr w:rsidR="005B434B" w:rsidRPr="00641A01" w14:paraId="1AE5BBD0" w14:textId="77777777" w:rsidTr="00A637D6">
        <w:tc>
          <w:tcPr>
            <w:tcW w:w="3258" w:type="dxa"/>
            <w:tcBorders>
              <w:top w:val="nil"/>
              <w:left w:val="nil"/>
              <w:bottom w:val="nil"/>
              <w:right w:val="nil"/>
            </w:tcBorders>
            <w:shd w:val="clear" w:color="auto" w:fill="auto"/>
            <w:noWrap/>
            <w:hideMark/>
          </w:tcPr>
          <w:p w14:paraId="0A67F9F5" w14:textId="77777777" w:rsidR="00EE6446" w:rsidRPr="00641A01" w:rsidRDefault="00EE6446" w:rsidP="00641A01">
            <w:pPr>
              <w:spacing w:line="360" w:lineRule="auto"/>
              <w:jc w:val="center"/>
              <w:rPr>
                <w:color w:val="000000"/>
              </w:rPr>
            </w:pPr>
            <w:r w:rsidRPr="00641A01">
              <w:rPr>
                <w:color w:val="000000"/>
              </w:rPr>
              <w:lastRenderedPageBreak/>
              <w:t>Saint Kitts and Nevis</w:t>
            </w:r>
          </w:p>
        </w:tc>
        <w:tc>
          <w:tcPr>
            <w:tcW w:w="1011" w:type="dxa"/>
            <w:tcBorders>
              <w:top w:val="nil"/>
              <w:left w:val="nil"/>
              <w:bottom w:val="nil"/>
              <w:right w:val="nil"/>
            </w:tcBorders>
            <w:shd w:val="clear" w:color="auto" w:fill="auto"/>
            <w:noWrap/>
            <w:hideMark/>
          </w:tcPr>
          <w:p w14:paraId="51ECF595" w14:textId="77777777" w:rsidR="00EE6446" w:rsidRPr="00641A01" w:rsidRDefault="00EE6446" w:rsidP="00641A01">
            <w:pPr>
              <w:spacing w:line="360" w:lineRule="auto"/>
              <w:jc w:val="center"/>
              <w:rPr>
                <w:color w:val="000000"/>
              </w:rPr>
            </w:pPr>
            <w:r w:rsidRPr="00641A01">
              <w:rPr>
                <w:color w:val="000000"/>
              </w:rPr>
              <w:t>KNA</w:t>
            </w:r>
          </w:p>
        </w:tc>
        <w:tc>
          <w:tcPr>
            <w:tcW w:w="1011" w:type="dxa"/>
            <w:tcBorders>
              <w:top w:val="nil"/>
              <w:left w:val="nil"/>
              <w:bottom w:val="nil"/>
              <w:right w:val="nil"/>
            </w:tcBorders>
            <w:shd w:val="clear" w:color="auto" w:fill="auto"/>
            <w:noWrap/>
            <w:hideMark/>
          </w:tcPr>
          <w:p w14:paraId="0A963D3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0B6D93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1B71CD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8D96CF9"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38364747" w14:textId="77777777" w:rsidR="00EE6446" w:rsidRPr="00641A01" w:rsidRDefault="00EE6446" w:rsidP="00641A01">
            <w:pPr>
              <w:tabs>
                <w:tab w:val="decimal" w:pos="943"/>
              </w:tabs>
              <w:spacing w:line="360" w:lineRule="auto"/>
              <w:rPr>
                <w:color w:val="000000"/>
              </w:rPr>
            </w:pPr>
            <w:r w:rsidRPr="00641A01">
              <w:rPr>
                <w:color w:val="000000"/>
              </w:rPr>
              <w:t>2.44</w:t>
            </w:r>
          </w:p>
        </w:tc>
        <w:tc>
          <w:tcPr>
            <w:tcW w:w="2233" w:type="dxa"/>
            <w:tcBorders>
              <w:top w:val="nil"/>
              <w:left w:val="nil"/>
              <w:bottom w:val="nil"/>
              <w:right w:val="nil"/>
            </w:tcBorders>
            <w:shd w:val="clear" w:color="auto" w:fill="auto"/>
            <w:noWrap/>
            <w:hideMark/>
          </w:tcPr>
          <w:p w14:paraId="155938D3" w14:textId="77777777" w:rsidR="00EE6446" w:rsidRPr="00641A01" w:rsidRDefault="00EE6446" w:rsidP="00641A01">
            <w:pPr>
              <w:tabs>
                <w:tab w:val="decimal" w:pos="943"/>
              </w:tabs>
              <w:spacing w:line="360" w:lineRule="auto"/>
              <w:rPr>
                <w:color w:val="000000"/>
              </w:rPr>
            </w:pPr>
            <w:r w:rsidRPr="00641A01">
              <w:rPr>
                <w:color w:val="000000"/>
              </w:rPr>
              <w:t>18.88</w:t>
            </w:r>
          </w:p>
        </w:tc>
      </w:tr>
      <w:tr w:rsidR="005B434B" w:rsidRPr="00641A01" w14:paraId="78263F23" w14:textId="77777777" w:rsidTr="00A637D6">
        <w:tc>
          <w:tcPr>
            <w:tcW w:w="3258" w:type="dxa"/>
            <w:tcBorders>
              <w:top w:val="nil"/>
              <w:left w:val="nil"/>
              <w:bottom w:val="nil"/>
              <w:right w:val="nil"/>
            </w:tcBorders>
            <w:shd w:val="clear" w:color="auto" w:fill="auto"/>
            <w:noWrap/>
            <w:hideMark/>
          </w:tcPr>
          <w:p w14:paraId="7A62E723" w14:textId="77777777" w:rsidR="00EE6446" w:rsidRPr="00641A01" w:rsidRDefault="00EE6446" w:rsidP="00641A01">
            <w:pPr>
              <w:spacing w:line="360" w:lineRule="auto"/>
              <w:jc w:val="center"/>
              <w:rPr>
                <w:color w:val="000000"/>
              </w:rPr>
            </w:pPr>
            <w:r w:rsidRPr="00641A01">
              <w:rPr>
                <w:color w:val="000000"/>
              </w:rPr>
              <w:t>South Korea</w:t>
            </w:r>
          </w:p>
        </w:tc>
        <w:tc>
          <w:tcPr>
            <w:tcW w:w="1011" w:type="dxa"/>
            <w:tcBorders>
              <w:top w:val="nil"/>
              <w:left w:val="nil"/>
              <w:bottom w:val="nil"/>
              <w:right w:val="nil"/>
            </w:tcBorders>
            <w:shd w:val="clear" w:color="auto" w:fill="auto"/>
            <w:noWrap/>
            <w:hideMark/>
          </w:tcPr>
          <w:p w14:paraId="3F4A1BFB" w14:textId="77777777" w:rsidR="00EE6446" w:rsidRPr="00641A01" w:rsidRDefault="00EE6446" w:rsidP="00641A01">
            <w:pPr>
              <w:spacing w:line="360" w:lineRule="auto"/>
              <w:jc w:val="center"/>
              <w:rPr>
                <w:color w:val="000000"/>
              </w:rPr>
            </w:pPr>
            <w:r w:rsidRPr="00641A01">
              <w:rPr>
                <w:color w:val="000000"/>
              </w:rPr>
              <w:t>KOR</w:t>
            </w:r>
          </w:p>
        </w:tc>
        <w:tc>
          <w:tcPr>
            <w:tcW w:w="1011" w:type="dxa"/>
            <w:tcBorders>
              <w:top w:val="nil"/>
              <w:left w:val="nil"/>
              <w:bottom w:val="nil"/>
              <w:right w:val="nil"/>
            </w:tcBorders>
            <w:shd w:val="clear" w:color="auto" w:fill="auto"/>
            <w:noWrap/>
            <w:hideMark/>
          </w:tcPr>
          <w:p w14:paraId="1920462D"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630E599"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CE4C95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00DEA20" w14:textId="77777777" w:rsidR="00EE6446" w:rsidRPr="00641A01" w:rsidRDefault="00EE6446" w:rsidP="00641A01">
            <w:pPr>
              <w:spacing w:line="360" w:lineRule="auto"/>
              <w:jc w:val="center"/>
              <w:rPr>
                <w:color w:val="000000"/>
              </w:rPr>
            </w:pPr>
            <w:r w:rsidRPr="00641A01">
              <w:rPr>
                <w:color w:val="000000"/>
              </w:rPr>
              <w:t>22</w:t>
            </w:r>
          </w:p>
        </w:tc>
        <w:tc>
          <w:tcPr>
            <w:tcW w:w="2233" w:type="dxa"/>
            <w:tcBorders>
              <w:top w:val="nil"/>
              <w:left w:val="nil"/>
              <w:bottom w:val="nil"/>
              <w:right w:val="nil"/>
            </w:tcBorders>
            <w:shd w:val="clear" w:color="auto" w:fill="auto"/>
            <w:noWrap/>
            <w:hideMark/>
          </w:tcPr>
          <w:p w14:paraId="00DB9257" w14:textId="77777777" w:rsidR="00EE6446" w:rsidRPr="00641A01" w:rsidRDefault="00EE6446" w:rsidP="00641A01">
            <w:pPr>
              <w:tabs>
                <w:tab w:val="decimal" w:pos="943"/>
              </w:tabs>
              <w:spacing w:line="360" w:lineRule="auto"/>
              <w:rPr>
                <w:color w:val="000000"/>
              </w:rPr>
            </w:pPr>
            <w:r w:rsidRPr="00641A01">
              <w:rPr>
                <w:color w:val="000000"/>
              </w:rPr>
              <w:t>15.25</w:t>
            </w:r>
          </w:p>
        </w:tc>
        <w:tc>
          <w:tcPr>
            <w:tcW w:w="2233" w:type="dxa"/>
            <w:tcBorders>
              <w:top w:val="nil"/>
              <w:left w:val="nil"/>
              <w:bottom w:val="nil"/>
              <w:right w:val="nil"/>
            </w:tcBorders>
            <w:shd w:val="clear" w:color="auto" w:fill="auto"/>
            <w:noWrap/>
            <w:hideMark/>
          </w:tcPr>
          <w:p w14:paraId="0289B660" w14:textId="77777777" w:rsidR="00EE6446" w:rsidRPr="00641A01" w:rsidRDefault="00EE6446" w:rsidP="00641A01">
            <w:pPr>
              <w:tabs>
                <w:tab w:val="decimal" w:pos="943"/>
              </w:tabs>
              <w:spacing w:line="360" w:lineRule="auto"/>
              <w:rPr>
                <w:color w:val="000000"/>
              </w:rPr>
            </w:pPr>
            <w:r w:rsidRPr="00641A01">
              <w:rPr>
                <w:color w:val="000000"/>
              </w:rPr>
              <w:t>204.77</w:t>
            </w:r>
          </w:p>
        </w:tc>
      </w:tr>
      <w:tr w:rsidR="005B434B" w:rsidRPr="00641A01" w14:paraId="04700733" w14:textId="77777777" w:rsidTr="00A637D6">
        <w:tc>
          <w:tcPr>
            <w:tcW w:w="3258" w:type="dxa"/>
            <w:tcBorders>
              <w:top w:val="nil"/>
              <w:left w:val="nil"/>
              <w:bottom w:val="nil"/>
              <w:right w:val="nil"/>
            </w:tcBorders>
            <w:shd w:val="clear" w:color="auto" w:fill="auto"/>
            <w:noWrap/>
            <w:hideMark/>
          </w:tcPr>
          <w:p w14:paraId="6E512B3E" w14:textId="27C791DD" w:rsidR="00EE6446" w:rsidRPr="00641A01" w:rsidRDefault="00EE6446" w:rsidP="00641A01">
            <w:pPr>
              <w:spacing w:line="360" w:lineRule="auto"/>
              <w:jc w:val="center"/>
              <w:rPr>
                <w:color w:val="000000"/>
              </w:rPr>
            </w:pPr>
            <w:r w:rsidRPr="00641A01">
              <w:rPr>
                <w:color w:val="000000"/>
              </w:rPr>
              <w:t>Lao PDR</w:t>
            </w:r>
          </w:p>
        </w:tc>
        <w:tc>
          <w:tcPr>
            <w:tcW w:w="1011" w:type="dxa"/>
            <w:tcBorders>
              <w:top w:val="nil"/>
              <w:left w:val="nil"/>
              <w:bottom w:val="nil"/>
              <w:right w:val="nil"/>
            </w:tcBorders>
            <w:shd w:val="clear" w:color="auto" w:fill="auto"/>
            <w:noWrap/>
            <w:hideMark/>
          </w:tcPr>
          <w:p w14:paraId="3AF4CF0D" w14:textId="77777777" w:rsidR="00EE6446" w:rsidRPr="00641A01" w:rsidRDefault="00EE6446" w:rsidP="00641A01">
            <w:pPr>
              <w:spacing w:line="360" w:lineRule="auto"/>
              <w:jc w:val="center"/>
              <w:rPr>
                <w:color w:val="000000"/>
              </w:rPr>
            </w:pPr>
            <w:r w:rsidRPr="00641A01">
              <w:rPr>
                <w:color w:val="000000"/>
              </w:rPr>
              <w:t>LAO</w:t>
            </w:r>
          </w:p>
        </w:tc>
        <w:tc>
          <w:tcPr>
            <w:tcW w:w="1011" w:type="dxa"/>
            <w:tcBorders>
              <w:top w:val="nil"/>
              <w:left w:val="nil"/>
              <w:bottom w:val="nil"/>
              <w:right w:val="nil"/>
            </w:tcBorders>
            <w:shd w:val="clear" w:color="auto" w:fill="auto"/>
            <w:noWrap/>
            <w:hideMark/>
          </w:tcPr>
          <w:p w14:paraId="5CB8045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A8C00B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803FDF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C31C664"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3C94BAE0" w14:textId="77777777" w:rsidR="00EE6446" w:rsidRPr="00641A01" w:rsidRDefault="00EE6446" w:rsidP="00641A01">
            <w:pPr>
              <w:tabs>
                <w:tab w:val="decimal" w:pos="943"/>
              </w:tabs>
              <w:spacing w:line="360" w:lineRule="auto"/>
              <w:rPr>
                <w:color w:val="000000"/>
              </w:rPr>
            </w:pPr>
            <w:r w:rsidRPr="00641A01">
              <w:rPr>
                <w:color w:val="000000"/>
              </w:rPr>
              <w:t>1.55</w:t>
            </w:r>
          </w:p>
        </w:tc>
        <w:tc>
          <w:tcPr>
            <w:tcW w:w="2233" w:type="dxa"/>
            <w:tcBorders>
              <w:top w:val="nil"/>
              <w:left w:val="nil"/>
              <w:bottom w:val="nil"/>
              <w:right w:val="nil"/>
            </w:tcBorders>
            <w:shd w:val="clear" w:color="auto" w:fill="auto"/>
            <w:noWrap/>
            <w:hideMark/>
          </w:tcPr>
          <w:p w14:paraId="30D20755" w14:textId="77777777" w:rsidR="00EE6446" w:rsidRPr="00641A01" w:rsidRDefault="00EE6446" w:rsidP="00641A01">
            <w:pPr>
              <w:tabs>
                <w:tab w:val="decimal" w:pos="943"/>
              </w:tabs>
              <w:spacing w:line="360" w:lineRule="auto"/>
              <w:rPr>
                <w:color w:val="000000"/>
              </w:rPr>
            </w:pPr>
            <w:r w:rsidRPr="00641A01">
              <w:rPr>
                <w:color w:val="000000"/>
              </w:rPr>
              <w:t>13.83</w:t>
            </w:r>
          </w:p>
        </w:tc>
      </w:tr>
      <w:tr w:rsidR="005B434B" w:rsidRPr="00641A01" w14:paraId="0BDB4B3A" w14:textId="77777777" w:rsidTr="00A637D6">
        <w:tc>
          <w:tcPr>
            <w:tcW w:w="3258" w:type="dxa"/>
            <w:tcBorders>
              <w:top w:val="nil"/>
              <w:left w:val="nil"/>
              <w:bottom w:val="nil"/>
              <w:right w:val="nil"/>
            </w:tcBorders>
            <w:shd w:val="clear" w:color="auto" w:fill="auto"/>
            <w:noWrap/>
            <w:hideMark/>
          </w:tcPr>
          <w:p w14:paraId="58D0CF4C" w14:textId="77777777" w:rsidR="00EE6446" w:rsidRPr="00641A01" w:rsidRDefault="00EE6446" w:rsidP="00641A01">
            <w:pPr>
              <w:spacing w:line="360" w:lineRule="auto"/>
              <w:jc w:val="center"/>
              <w:rPr>
                <w:color w:val="000000"/>
              </w:rPr>
            </w:pPr>
            <w:r w:rsidRPr="00641A01">
              <w:rPr>
                <w:color w:val="000000"/>
              </w:rPr>
              <w:t>Lebanon</w:t>
            </w:r>
          </w:p>
        </w:tc>
        <w:tc>
          <w:tcPr>
            <w:tcW w:w="1011" w:type="dxa"/>
            <w:tcBorders>
              <w:top w:val="nil"/>
              <w:left w:val="nil"/>
              <w:bottom w:val="nil"/>
              <w:right w:val="nil"/>
            </w:tcBorders>
            <w:shd w:val="clear" w:color="auto" w:fill="auto"/>
            <w:noWrap/>
            <w:hideMark/>
          </w:tcPr>
          <w:p w14:paraId="5DAD710C" w14:textId="77777777" w:rsidR="00EE6446" w:rsidRPr="00641A01" w:rsidRDefault="00EE6446" w:rsidP="00641A01">
            <w:pPr>
              <w:spacing w:line="360" w:lineRule="auto"/>
              <w:jc w:val="center"/>
              <w:rPr>
                <w:color w:val="000000"/>
              </w:rPr>
            </w:pPr>
            <w:r w:rsidRPr="00641A01">
              <w:rPr>
                <w:color w:val="000000"/>
              </w:rPr>
              <w:t>LBN</w:t>
            </w:r>
          </w:p>
        </w:tc>
        <w:tc>
          <w:tcPr>
            <w:tcW w:w="1011" w:type="dxa"/>
            <w:tcBorders>
              <w:top w:val="nil"/>
              <w:left w:val="nil"/>
              <w:bottom w:val="nil"/>
              <w:right w:val="nil"/>
            </w:tcBorders>
            <w:shd w:val="clear" w:color="auto" w:fill="auto"/>
            <w:noWrap/>
            <w:hideMark/>
          </w:tcPr>
          <w:p w14:paraId="61D6BC6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6070D4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95C77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8121C8A"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59DD9AB8" w14:textId="77777777" w:rsidR="00EE6446" w:rsidRPr="00641A01" w:rsidRDefault="00EE6446" w:rsidP="00641A01">
            <w:pPr>
              <w:tabs>
                <w:tab w:val="decimal" w:pos="943"/>
              </w:tabs>
              <w:spacing w:line="360" w:lineRule="auto"/>
              <w:rPr>
                <w:color w:val="000000"/>
              </w:rPr>
            </w:pPr>
            <w:r w:rsidRPr="00641A01">
              <w:rPr>
                <w:color w:val="000000"/>
              </w:rPr>
              <w:t>1.35</w:t>
            </w:r>
          </w:p>
        </w:tc>
        <w:tc>
          <w:tcPr>
            <w:tcW w:w="2233" w:type="dxa"/>
            <w:tcBorders>
              <w:top w:val="nil"/>
              <w:left w:val="nil"/>
              <w:bottom w:val="nil"/>
              <w:right w:val="nil"/>
            </w:tcBorders>
            <w:shd w:val="clear" w:color="auto" w:fill="auto"/>
            <w:noWrap/>
            <w:hideMark/>
          </w:tcPr>
          <w:p w14:paraId="258574B7" w14:textId="77777777" w:rsidR="00EE6446" w:rsidRPr="00641A01" w:rsidRDefault="00EE6446" w:rsidP="00641A01">
            <w:pPr>
              <w:tabs>
                <w:tab w:val="decimal" w:pos="943"/>
              </w:tabs>
              <w:spacing w:line="360" w:lineRule="auto"/>
              <w:rPr>
                <w:color w:val="000000"/>
              </w:rPr>
            </w:pPr>
            <w:r w:rsidRPr="00641A01">
              <w:rPr>
                <w:color w:val="000000"/>
              </w:rPr>
              <w:t>7.28</w:t>
            </w:r>
          </w:p>
        </w:tc>
      </w:tr>
      <w:tr w:rsidR="005B434B" w:rsidRPr="00641A01" w14:paraId="288D45EF" w14:textId="77777777" w:rsidTr="00A637D6">
        <w:tc>
          <w:tcPr>
            <w:tcW w:w="3258" w:type="dxa"/>
            <w:tcBorders>
              <w:top w:val="nil"/>
              <w:left w:val="nil"/>
              <w:bottom w:val="nil"/>
              <w:right w:val="nil"/>
            </w:tcBorders>
            <w:shd w:val="clear" w:color="auto" w:fill="auto"/>
            <w:noWrap/>
            <w:hideMark/>
          </w:tcPr>
          <w:p w14:paraId="76E1B321" w14:textId="77777777" w:rsidR="00EE6446" w:rsidRPr="00641A01" w:rsidRDefault="00EE6446" w:rsidP="00641A01">
            <w:pPr>
              <w:spacing w:line="360" w:lineRule="auto"/>
              <w:jc w:val="center"/>
              <w:rPr>
                <w:color w:val="000000"/>
              </w:rPr>
            </w:pPr>
            <w:r w:rsidRPr="00641A01">
              <w:rPr>
                <w:color w:val="000000"/>
              </w:rPr>
              <w:t>Liberia</w:t>
            </w:r>
          </w:p>
        </w:tc>
        <w:tc>
          <w:tcPr>
            <w:tcW w:w="1011" w:type="dxa"/>
            <w:tcBorders>
              <w:top w:val="nil"/>
              <w:left w:val="nil"/>
              <w:bottom w:val="nil"/>
              <w:right w:val="nil"/>
            </w:tcBorders>
            <w:shd w:val="clear" w:color="auto" w:fill="auto"/>
            <w:noWrap/>
            <w:hideMark/>
          </w:tcPr>
          <w:p w14:paraId="4BA1E8A2" w14:textId="77777777" w:rsidR="00EE6446" w:rsidRPr="00641A01" w:rsidRDefault="00EE6446" w:rsidP="00641A01">
            <w:pPr>
              <w:spacing w:line="360" w:lineRule="auto"/>
              <w:jc w:val="center"/>
              <w:rPr>
                <w:color w:val="000000"/>
              </w:rPr>
            </w:pPr>
            <w:r w:rsidRPr="00641A01">
              <w:rPr>
                <w:color w:val="000000"/>
              </w:rPr>
              <w:t>LBR</w:t>
            </w:r>
          </w:p>
        </w:tc>
        <w:tc>
          <w:tcPr>
            <w:tcW w:w="1011" w:type="dxa"/>
            <w:tcBorders>
              <w:top w:val="nil"/>
              <w:left w:val="nil"/>
              <w:bottom w:val="nil"/>
              <w:right w:val="nil"/>
            </w:tcBorders>
            <w:shd w:val="clear" w:color="auto" w:fill="auto"/>
            <w:noWrap/>
            <w:hideMark/>
          </w:tcPr>
          <w:p w14:paraId="1D665B3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AC5B73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13F88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F322AA3"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329A6FA8" w14:textId="77777777" w:rsidR="00EE6446" w:rsidRPr="00641A01" w:rsidRDefault="00EE6446" w:rsidP="00641A01">
            <w:pPr>
              <w:tabs>
                <w:tab w:val="decimal" w:pos="943"/>
              </w:tabs>
              <w:spacing w:line="360" w:lineRule="auto"/>
              <w:rPr>
                <w:color w:val="000000"/>
              </w:rPr>
            </w:pPr>
            <w:r w:rsidRPr="00641A01">
              <w:rPr>
                <w:color w:val="000000"/>
              </w:rPr>
              <w:t>2.12</w:t>
            </w:r>
          </w:p>
        </w:tc>
        <w:tc>
          <w:tcPr>
            <w:tcW w:w="2233" w:type="dxa"/>
            <w:tcBorders>
              <w:top w:val="nil"/>
              <w:left w:val="nil"/>
              <w:bottom w:val="nil"/>
              <w:right w:val="nil"/>
            </w:tcBorders>
            <w:shd w:val="clear" w:color="auto" w:fill="auto"/>
            <w:noWrap/>
            <w:hideMark/>
          </w:tcPr>
          <w:p w14:paraId="69BA3B99" w14:textId="77777777" w:rsidR="00EE6446" w:rsidRPr="00641A01" w:rsidRDefault="00EE6446" w:rsidP="00641A01">
            <w:pPr>
              <w:tabs>
                <w:tab w:val="decimal" w:pos="943"/>
              </w:tabs>
              <w:spacing w:line="360" w:lineRule="auto"/>
              <w:rPr>
                <w:color w:val="000000"/>
              </w:rPr>
            </w:pPr>
            <w:r w:rsidRPr="00641A01">
              <w:rPr>
                <w:color w:val="000000"/>
              </w:rPr>
              <w:t>21.85</w:t>
            </w:r>
          </w:p>
        </w:tc>
      </w:tr>
      <w:tr w:rsidR="005B434B" w:rsidRPr="00641A01" w14:paraId="05C05DF9" w14:textId="77777777" w:rsidTr="00A637D6">
        <w:tc>
          <w:tcPr>
            <w:tcW w:w="3258" w:type="dxa"/>
            <w:tcBorders>
              <w:top w:val="nil"/>
              <w:left w:val="nil"/>
              <w:bottom w:val="nil"/>
              <w:right w:val="nil"/>
            </w:tcBorders>
            <w:shd w:val="clear" w:color="auto" w:fill="auto"/>
            <w:noWrap/>
            <w:hideMark/>
          </w:tcPr>
          <w:p w14:paraId="4EC0A423" w14:textId="77777777" w:rsidR="00EE6446" w:rsidRPr="00641A01" w:rsidRDefault="00EE6446" w:rsidP="00641A01">
            <w:pPr>
              <w:spacing w:line="360" w:lineRule="auto"/>
              <w:jc w:val="center"/>
              <w:rPr>
                <w:color w:val="000000"/>
              </w:rPr>
            </w:pPr>
            <w:r w:rsidRPr="00641A01">
              <w:rPr>
                <w:color w:val="000000"/>
              </w:rPr>
              <w:t>Libya</w:t>
            </w:r>
          </w:p>
        </w:tc>
        <w:tc>
          <w:tcPr>
            <w:tcW w:w="1011" w:type="dxa"/>
            <w:tcBorders>
              <w:top w:val="nil"/>
              <w:left w:val="nil"/>
              <w:bottom w:val="nil"/>
              <w:right w:val="nil"/>
            </w:tcBorders>
            <w:shd w:val="clear" w:color="auto" w:fill="auto"/>
            <w:noWrap/>
            <w:hideMark/>
          </w:tcPr>
          <w:p w14:paraId="4F65A30A" w14:textId="77777777" w:rsidR="00EE6446" w:rsidRPr="00641A01" w:rsidRDefault="00EE6446" w:rsidP="00641A01">
            <w:pPr>
              <w:spacing w:line="360" w:lineRule="auto"/>
              <w:jc w:val="center"/>
              <w:rPr>
                <w:color w:val="000000"/>
              </w:rPr>
            </w:pPr>
            <w:r w:rsidRPr="00641A01">
              <w:rPr>
                <w:color w:val="000000"/>
              </w:rPr>
              <w:t>LBY</w:t>
            </w:r>
          </w:p>
        </w:tc>
        <w:tc>
          <w:tcPr>
            <w:tcW w:w="1011" w:type="dxa"/>
            <w:tcBorders>
              <w:top w:val="nil"/>
              <w:left w:val="nil"/>
              <w:bottom w:val="nil"/>
              <w:right w:val="nil"/>
            </w:tcBorders>
            <w:shd w:val="clear" w:color="auto" w:fill="auto"/>
            <w:noWrap/>
            <w:hideMark/>
          </w:tcPr>
          <w:p w14:paraId="092C85B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C11564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026C0A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9B878C4"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74FDCB58" w14:textId="77777777" w:rsidR="00EE6446" w:rsidRPr="00641A01" w:rsidRDefault="00EE6446" w:rsidP="00641A01">
            <w:pPr>
              <w:tabs>
                <w:tab w:val="decimal" w:pos="943"/>
              </w:tabs>
              <w:spacing w:line="360" w:lineRule="auto"/>
              <w:rPr>
                <w:color w:val="000000"/>
              </w:rPr>
            </w:pPr>
            <w:r w:rsidRPr="00641A01">
              <w:rPr>
                <w:color w:val="000000"/>
              </w:rPr>
              <w:t>0.54</w:t>
            </w:r>
          </w:p>
        </w:tc>
        <w:tc>
          <w:tcPr>
            <w:tcW w:w="2233" w:type="dxa"/>
            <w:tcBorders>
              <w:top w:val="nil"/>
              <w:left w:val="nil"/>
              <w:bottom w:val="nil"/>
              <w:right w:val="nil"/>
            </w:tcBorders>
            <w:shd w:val="clear" w:color="auto" w:fill="auto"/>
            <w:noWrap/>
            <w:hideMark/>
          </w:tcPr>
          <w:p w14:paraId="476EEE7F" w14:textId="77777777" w:rsidR="00EE6446" w:rsidRPr="00641A01" w:rsidRDefault="00EE6446" w:rsidP="00641A01">
            <w:pPr>
              <w:tabs>
                <w:tab w:val="decimal" w:pos="943"/>
              </w:tabs>
              <w:spacing w:line="360" w:lineRule="auto"/>
              <w:rPr>
                <w:color w:val="000000"/>
              </w:rPr>
            </w:pPr>
            <w:r w:rsidRPr="00641A01">
              <w:rPr>
                <w:color w:val="000000"/>
              </w:rPr>
              <w:t>5.16</w:t>
            </w:r>
          </w:p>
        </w:tc>
      </w:tr>
      <w:tr w:rsidR="005B434B" w:rsidRPr="00641A01" w14:paraId="59D47726" w14:textId="77777777" w:rsidTr="00A637D6">
        <w:tc>
          <w:tcPr>
            <w:tcW w:w="3258" w:type="dxa"/>
            <w:tcBorders>
              <w:top w:val="nil"/>
              <w:left w:val="nil"/>
              <w:bottom w:val="nil"/>
              <w:right w:val="nil"/>
            </w:tcBorders>
            <w:shd w:val="clear" w:color="auto" w:fill="auto"/>
            <w:noWrap/>
            <w:hideMark/>
          </w:tcPr>
          <w:p w14:paraId="3FE1D925" w14:textId="77777777" w:rsidR="00EE6446" w:rsidRPr="00641A01" w:rsidRDefault="00EE6446" w:rsidP="00641A01">
            <w:pPr>
              <w:spacing w:line="360" w:lineRule="auto"/>
              <w:jc w:val="center"/>
              <w:rPr>
                <w:color w:val="000000"/>
              </w:rPr>
            </w:pPr>
            <w:r w:rsidRPr="00641A01">
              <w:rPr>
                <w:color w:val="000000"/>
              </w:rPr>
              <w:t>Saint Lucia</w:t>
            </w:r>
          </w:p>
        </w:tc>
        <w:tc>
          <w:tcPr>
            <w:tcW w:w="1011" w:type="dxa"/>
            <w:tcBorders>
              <w:top w:val="nil"/>
              <w:left w:val="nil"/>
              <w:bottom w:val="nil"/>
              <w:right w:val="nil"/>
            </w:tcBorders>
            <w:shd w:val="clear" w:color="auto" w:fill="auto"/>
            <w:noWrap/>
            <w:hideMark/>
          </w:tcPr>
          <w:p w14:paraId="5654496A" w14:textId="77777777" w:rsidR="00EE6446" w:rsidRPr="00641A01" w:rsidRDefault="00EE6446" w:rsidP="00641A01">
            <w:pPr>
              <w:spacing w:line="360" w:lineRule="auto"/>
              <w:jc w:val="center"/>
              <w:rPr>
                <w:color w:val="000000"/>
              </w:rPr>
            </w:pPr>
            <w:r w:rsidRPr="00641A01">
              <w:rPr>
                <w:color w:val="000000"/>
              </w:rPr>
              <w:t>LCA</w:t>
            </w:r>
          </w:p>
        </w:tc>
        <w:tc>
          <w:tcPr>
            <w:tcW w:w="1011" w:type="dxa"/>
            <w:tcBorders>
              <w:top w:val="nil"/>
              <w:left w:val="nil"/>
              <w:bottom w:val="nil"/>
              <w:right w:val="nil"/>
            </w:tcBorders>
            <w:shd w:val="clear" w:color="auto" w:fill="auto"/>
            <w:noWrap/>
            <w:hideMark/>
          </w:tcPr>
          <w:p w14:paraId="7A9153B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45055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6E9E80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677ABE3"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1809FEA8" w14:textId="77777777" w:rsidR="00EE6446" w:rsidRPr="00641A01" w:rsidRDefault="00EE6446" w:rsidP="00641A01">
            <w:pPr>
              <w:tabs>
                <w:tab w:val="decimal" w:pos="943"/>
              </w:tabs>
              <w:spacing w:line="360" w:lineRule="auto"/>
              <w:rPr>
                <w:color w:val="000000"/>
              </w:rPr>
            </w:pPr>
            <w:r w:rsidRPr="00641A01">
              <w:rPr>
                <w:color w:val="000000"/>
              </w:rPr>
              <w:t>3.24</w:t>
            </w:r>
          </w:p>
        </w:tc>
        <w:tc>
          <w:tcPr>
            <w:tcW w:w="2233" w:type="dxa"/>
            <w:tcBorders>
              <w:top w:val="nil"/>
              <w:left w:val="nil"/>
              <w:bottom w:val="nil"/>
              <w:right w:val="nil"/>
            </w:tcBorders>
            <w:shd w:val="clear" w:color="auto" w:fill="auto"/>
            <w:noWrap/>
            <w:hideMark/>
          </w:tcPr>
          <w:p w14:paraId="527B28AE" w14:textId="77777777" w:rsidR="00EE6446" w:rsidRPr="00641A01" w:rsidRDefault="00EE6446" w:rsidP="00641A01">
            <w:pPr>
              <w:tabs>
                <w:tab w:val="decimal" w:pos="943"/>
              </w:tabs>
              <w:spacing w:line="360" w:lineRule="auto"/>
              <w:rPr>
                <w:color w:val="000000"/>
              </w:rPr>
            </w:pPr>
            <w:r w:rsidRPr="00641A01">
              <w:rPr>
                <w:color w:val="000000"/>
              </w:rPr>
              <w:t>32.02</w:t>
            </w:r>
          </w:p>
        </w:tc>
      </w:tr>
      <w:tr w:rsidR="005B434B" w:rsidRPr="00641A01" w14:paraId="52B49156" w14:textId="77777777" w:rsidTr="00A637D6">
        <w:tc>
          <w:tcPr>
            <w:tcW w:w="3258" w:type="dxa"/>
            <w:tcBorders>
              <w:top w:val="nil"/>
              <w:left w:val="nil"/>
              <w:bottom w:val="nil"/>
              <w:right w:val="nil"/>
            </w:tcBorders>
            <w:shd w:val="clear" w:color="auto" w:fill="auto"/>
            <w:noWrap/>
            <w:hideMark/>
          </w:tcPr>
          <w:p w14:paraId="46EBC1C6" w14:textId="77777777" w:rsidR="00EE6446" w:rsidRPr="00641A01" w:rsidRDefault="00EE6446" w:rsidP="00641A01">
            <w:pPr>
              <w:spacing w:line="360" w:lineRule="auto"/>
              <w:jc w:val="center"/>
              <w:rPr>
                <w:color w:val="000000"/>
              </w:rPr>
            </w:pPr>
            <w:r w:rsidRPr="00641A01">
              <w:rPr>
                <w:color w:val="000000"/>
              </w:rPr>
              <w:t>Liechtenstein</w:t>
            </w:r>
          </w:p>
        </w:tc>
        <w:tc>
          <w:tcPr>
            <w:tcW w:w="1011" w:type="dxa"/>
            <w:tcBorders>
              <w:top w:val="nil"/>
              <w:left w:val="nil"/>
              <w:bottom w:val="nil"/>
              <w:right w:val="nil"/>
            </w:tcBorders>
            <w:shd w:val="clear" w:color="auto" w:fill="auto"/>
            <w:noWrap/>
            <w:hideMark/>
          </w:tcPr>
          <w:p w14:paraId="5D75A205" w14:textId="77777777" w:rsidR="00EE6446" w:rsidRPr="00641A01" w:rsidRDefault="00EE6446" w:rsidP="00641A01">
            <w:pPr>
              <w:spacing w:line="360" w:lineRule="auto"/>
              <w:jc w:val="center"/>
              <w:rPr>
                <w:color w:val="000000"/>
              </w:rPr>
            </w:pPr>
            <w:r w:rsidRPr="00641A01">
              <w:rPr>
                <w:color w:val="000000"/>
              </w:rPr>
              <w:t>LIE</w:t>
            </w:r>
          </w:p>
        </w:tc>
        <w:tc>
          <w:tcPr>
            <w:tcW w:w="1011" w:type="dxa"/>
            <w:tcBorders>
              <w:top w:val="nil"/>
              <w:left w:val="nil"/>
              <w:bottom w:val="nil"/>
              <w:right w:val="nil"/>
            </w:tcBorders>
            <w:shd w:val="clear" w:color="auto" w:fill="auto"/>
            <w:noWrap/>
            <w:hideMark/>
          </w:tcPr>
          <w:p w14:paraId="04D5728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B97A7A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4072F6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2B30AD7"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19B3B452" w14:textId="77777777" w:rsidR="00EE6446" w:rsidRPr="00641A01" w:rsidRDefault="00EE6446" w:rsidP="00641A01">
            <w:pPr>
              <w:tabs>
                <w:tab w:val="decimal" w:pos="943"/>
              </w:tabs>
              <w:spacing w:line="360" w:lineRule="auto"/>
              <w:rPr>
                <w:color w:val="000000"/>
              </w:rPr>
            </w:pPr>
            <w:r w:rsidRPr="00641A01">
              <w:rPr>
                <w:color w:val="000000"/>
              </w:rPr>
              <w:t>4.78</w:t>
            </w:r>
          </w:p>
        </w:tc>
        <w:tc>
          <w:tcPr>
            <w:tcW w:w="2233" w:type="dxa"/>
            <w:tcBorders>
              <w:top w:val="nil"/>
              <w:left w:val="nil"/>
              <w:bottom w:val="nil"/>
              <w:right w:val="nil"/>
            </w:tcBorders>
            <w:shd w:val="clear" w:color="auto" w:fill="auto"/>
            <w:noWrap/>
            <w:hideMark/>
          </w:tcPr>
          <w:p w14:paraId="1E197BF1" w14:textId="77777777" w:rsidR="00EE6446" w:rsidRPr="00641A01" w:rsidRDefault="00EE6446" w:rsidP="00641A01">
            <w:pPr>
              <w:tabs>
                <w:tab w:val="decimal" w:pos="943"/>
              </w:tabs>
              <w:spacing w:line="360" w:lineRule="auto"/>
              <w:rPr>
                <w:color w:val="000000"/>
              </w:rPr>
            </w:pPr>
            <w:r w:rsidRPr="00641A01">
              <w:rPr>
                <w:color w:val="000000"/>
              </w:rPr>
              <w:t>51.09</w:t>
            </w:r>
          </w:p>
        </w:tc>
      </w:tr>
      <w:tr w:rsidR="005B434B" w:rsidRPr="00641A01" w14:paraId="2F73D21E" w14:textId="77777777" w:rsidTr="00A637D6">
        <w:tc>
          <w:tcPr>
            <w:tcW w:w="3258" w:type="dxa"/>
            <w:tcBorders>
              <w:top w:val="nil"/>
              <w:left w:val="nil"/>
              <w:bottom w:val="nil"/>
              <w:right w:val="nil"/>
            </w:tcBorders>
            <w:shd w:val="clear" w:color="auto" w:fill="auto"/>
            <w:noWrap/>
            <w:hideMark/>
          </w:tcPr>
          <w:p w14:paraId="74386056" w14:textId="77777777" w:rsidR="00EE6446" w:rsidRPr="00641A01" w:rsidRDefault="00EE6446" w:rsidP="00641A01">
            <w:pPr>
              <w:spacing w:line="360" w:lineRule="auto"/>
              <w:jc w:val="center"/>
              <w:rPr>
                <w:color w:val="000000"/>
              </w:rPr>
            </w:pPr>
            <w:r w:rsidRPr="00641A01">
              <w:rPr>
                <w:color w:val="000000"/>
              </w:rPr>
              <w:t>Sri Lanka</w:t>
            </w:r>
          </w:p>
        </w:tc>
        <w:tc>
          <w:tcPr>
            <w:tcW w:w="1011" w:type="dxa"/>
            <w:tcBorders>
              <w:top w:val="nil"/>
              <w:left w:val="nil"/>
              <w:bottom w:val="nil"/>
              <w:right w:val="nil"/>
            </w:tcBorders>
            <w:shd w:val="clear" w:color="auto" w:fill="auto"/>
            <w:noWrap/>
            <w:hideMark/>
          </w:tcPr>
          <w:p w14:paraId="31D4CA1D" w14:textId="77777777" w:rsidR="00EE6446" w:rsidRPr="00641A01" w:rsidRDefault="00EE6446" w:rsidP="00641A01">
            <w:pPr>
              <w:spacing w:line="360" w:lineRule="auto"/>
              <w:jc w:val="center"/>
              <w:rPr>
                <w:color w:val="000000"/>
              </w:rPr>
            </w:pPr>
            <w:r w:rsidRPr="00641A01">
              <w:rPr>
                <w:color w:val="000000"/>
              </w:rPr>
              <w:t>LKA</w:t>
            </w:r>
          </w:p>
        </w:tc>
        <w:tc>
          <w:tcPr>
            <w:tcW w:w="1011" w:type="dxa"/>
            <w:tcBorders>
              <w:top w:val="nil"/>
              <w:left w:val="nil"/>
              <w:bottom w:val="nil"/>
              <w:right w:val="nil"/>
            </w:tcBorders>
            <w:shd w:val="clear" w:color="auto" w:fill="auto"/>
            <w:noWrap/>
            <w:hideMark/>
          </w:tcPr>
          <w:p w14:paraId="4B5A929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CB5FBA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C83FEE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ED59CB0"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33E8C017" w14:textId="77777777" w:rsidR="00EE6446" w:rsidRPr="00641A01" w:rsidRDefault="00EE6446" w:rsidP="00641A01">
            <w:pPr>
              <w:tabs>
                <w:tab w:val="decimal" w:pos="943"/>
              </w:tabs>
              <w:spacing w:line="360" w:lineRule="auto"/>
              <w:rPr>
                <w:color w:val="000000"/>
              </w:rPr>
            </w:pPr>
            <w:r w:rsidRPr="00641A01">
              <w:rPr>
                <w:color w:val="000000"/>
              </w:rPr>
              <w:t>4.04</w:t>
            </w:r>
          </w:p>
        </w:tc>
        <w:tc>
          <w:tcPr>
            <w:tcW w:w="2233" w:type="dxa"/>
            <w:tcBorders>
              <w:top w:val="nil"/>
              <w:left w:val="nil"/>
              <w:bottom w:val="nil"/>
              <w:right w:val="nil"/>
            </w:tcBorders>
            <w:shd w:val="clear" w:color="auto" w:fill="auto"/>
            <w:noWrap/>
            <w:hideMark/>
          </w:tcPr>
          <w:p w14:paraId="031DF605" w14:textId="77777777" w:rsidR="00EE6446" w:rsidRPr="00641A01" w:rsidRDefault="00EE6446" w:rsidP="00641A01">
            <w:pPr>
              <w:tabs>
                <w:tab w:val="decimal" w:pos="943"/>
              </w:tabs>
              <w:spacing w:line="360" w:lineRule="auto"/>
              <w:rPr>
                <w:color w:val="000000"/>
              </w:rPr>
            </w:pPr>
            <w:r w:rsidRPr="00641A01">
              <w:rPr>
                <w:color w:val="000000"/>
              </w:rPr>
              <w:t>46.33</w:t>
            </w:r>
          </w:p>
        </w:tc>
      </w:tr>
      <w:tr w:rsidR="005B434B" w:rsidRPr="00641A01" w14:paraId="6D149F9A" w14:textId="77777777" w:rsidTr="00A637D6">
        <w:tc>
          <w:tcPr>
            <w:tcW w:w="3258" w:type="dxa"/>
            <w:tcBorders>
              <w:top w:val="nil"/>
              <w:left w:val="nil"/>
              <w:bottom w:val="nil"/>
              <w:right w:val="nil"/>
            </w:tcBorders>
            <w:shd w:val="clear" w:color="auto" w:fill="auto"/>
            <w:noWrap/>
            <w:hideMark/>
          </w:tcPr>
          <w:p w14:paraId="09509A80" w14:textId="77777777" w:rsidR="00EE6446" w:rsidRPr="00641A01" w:rsidRDefault="00EE6446" w:rsidP="00641A01">
            <w:pPr>
              <w:spacing w:line="360" w:lineRule="auto"/>
              <w:jc w:val="center"/>
              <w:rPr>
                <w:color w:val="000000"/>
              </w:rPr>
            </w:pPr>
            <w:r w:rsidRPr="00641A01">
              <w:rPr>
                <w:color w:val="000000"/>
              </w:rPr>
              <w:t>Lesotho</w:t>
            </w:r>
          </w:p>
        </w:tc>
        <w:tc>
          <w:tcPr>
            <w:tcW w:w="1011" w:type="dxa"/>
            <w:tcBorders>
              <w:top w:val="nil"/>
              <w:left w:val="nil"/>
              <w:bottom w:val="nil"/>
              <w:right w:val="nil"/>
            </w:tcBorders>
            <w:shd w:val="clear" w:color="auto" w:fill="auto"/>
            <w:noWrap/>
            <w:hideMark/>
          </w:tcPr>
          <w:p w14:paraId="7443E38F" w14:textId="77777777" w:rsidR="00EE6446" w:rsidRPr="00641A01" w:rsidRDefault="00EE6446" w:rsidP="00641A01">
            <w:pPr>
              <w:spacing w:line="360" w:lineRule="auto"/>
              <w:jc w:val="center"/>
              <w:rPr>
                <w:color w:val="000000"/>
              </w:rPr>
            </w:pPr>
            <w:r w:rsidRPr="00641A01">
              <w:rPr>
                <w:color w:val="000000"/>
              </w:rPr>
              <w:t>LSO</w:t>
            </w:r>
          </w:p>
        </w:tc>
        <w:tc>
          <w:tcPr>
            <w:tcW w:w="1011" w:type="dxa"/>
            <w:tcBorders>
              <w:top w:val="nil"/>
              <w:left w:val="nil"/>
              <w:bottom w:val="nil"/>
              <w:right w:val="nil"/>
            </w:tcBorders>
            <w:shd w:val="clear" w:color="auto" w:fill="auto"/>
            <w:noWrap/>
            <w:hideMark/>
          </w:tcPr>
          <w:p w14:paraId="6B7DD49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551979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630997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17CA435"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25B4324A" w14:textId="77777777" w:rsidR="00EE6446" w:rsidRPr="00641A01" w:rsidRDefault="00EE6446" w:rsidP="00641A01">
            <w:pPr>
              <w:tabs>
                <w:tab w:val="decimal" w:pos="943"/>
              </w:tabs>
              <w:spacing w:line="360" w:lineRule="auto"/>
              <w:rPr>
                <w:color w:val="000000"/>
              </w:rPr>
            </w:pPr>
            <w:r w:rsidRPr="00641A01">
              <w:rPr>
                <w:color w:val="000000"/>
              </w:rPr>
              <w:t>2.30</w:t>
            </w:r>
          </w:p>
        </w:tc>
        <w:tc>
          <w:tcPr>
            <w:tcW w:w="2233" w:type="dxa"/>
            <w:tcBorders>
              <w:top w:val="nil"/>
              <w:left w:val="nil"/>
              <w:bottom w:val="nil"/>
              <w:right w:val="nil"/>
            </w:tcBorders>
            <w:shd w:val="clear" w:color="auto" w:fill="auto"/>
            <w:noWrap/>
            <w:hideMark/>
          </w:tcPr>
          <w:p w14:paraId="0CF9FABB" w14:textId="77777777" w:rsidR="00EE6446" w:rsidRPr="00641A01" w:rsidRDefault="00EE6446" w:rsidP="00641A01">
            <w:pPr>
              <w:tabs>
                <w:tab w:val="decimal" w:pos="943"/>
              </w:tabs>
              <w:spacing w:line="360" w:lineRule="auto"/>
              <w:rPr>
                <w:color w:val="000000"/>
              </w:rPr>
            </w:pPr>
            <w:r w:rsidRPr="00641A01">
              <w:rPr>
                <w:color w:val="000000"/>
              </w:rPr>
              <w:t>24.59</w:t>
            </w:r>
          </w:p>
        </w:tc>
      </w:tr>
      <w:tr w:rsidR="005B434B" w:rsidRPr="00641A01" w14:paraId="769B5787" w14:textId="77777777" w:rsidTr="00A637D6">
        <w:tc>
          <w:tcPr>
            <w:tcW w:w="3258" w:type="dxa"/>
            <w:tcBorders>
              <w:top w:val="nil"/>
              <w:left w:val="nil"/>
              <w:bottom w:val="nil"/>
              <w:right w:val="nil"/>
            </w:tcBorders>
            <w:shd w:val="clear" w:color="auto" w:fill="auto"/>
            <w:noWrap/>
            <w:hideMark/>
          </w:tcPr>
          <w:p w14:paraId="4B3BB9F6" w14:textId="77777777" w:rsidR="00EE6446" w:rsidRPr="00641A01" w:rsidRDefault="00EE6446" w:rsidP="00641A01">
            <w:pPr>
              <w:spacing w:line="360" w:lineRule="auto"/>
              <w:jc w:val="center"/>
              <w:rPr>
                <w:color w:val="000000"/>
              </w:rPr>
            </w:pPr>
            <w:r w:rsidRPr="00641A01">
              <w:rPr>
                <w:color w:val="000000"/>
              </w:rPr>
              <w:t>Lithuania</w:t>
            </w:r>
          </w:p>
        </w:tc>
        <w:tc>
          <w:tcPr>
            <w:tcW w:w="1011" w:type="dxa"/>
            <w:tcBorders>
              <w:top w:val="nil"/>
              <w:left w:val="nil"/>
              <w:bottom w:val="nil"/>
              <w:right w:val="nil"/>
            </w:tcBorders>
            <w:shd w:val="clear" w:color="auto" w:fill="auto"/>
            <w:noWrap/>
            <w:hideMark/>
          </w:tcPr>
          <w:p w14:paraId="4D5A00E3" w14:textId="77777777" w:rsidR="00EE6446" w:rsidRPr="00641A01" w:rsidRDefault="00EE6446" w:rsidP="00641A01">
            <w:pPr>
              <w:spacing w:line="360" w:lineRule="auto"/>
              <w:jc w:val="center"/>
              <w:rPr>
                <w:color w:val="000000"/>
              </w:rPr>
            </w:pPr>
            <w:r w:rsidRPr="00641A01">
              <w:rPr>
                <w:color w:val="000000"/>
              </w:rPr>
              <w:t>LTU</w:t>
            </w:r>
          </w:p>
        </w:tc>
        <w:tc>
          <w:tcPr>
            <w:tcW w:w="1011" w:type="dxa"/>
            <w:tcBorders>
              <w:top w:val="nil"/>
              <w:left w:val="nil"/>
              <w:bottom w:val="nil"/>
              <w:right w:val="nil"/>
            </w:tcBorders>
            <w:shd w:val="clear" w:color="auto" w:fill="auto"/>
            <w:noWrap/>
            <w:hideMark/>
          </w:tcPr>
          <w:p w14:paraId="10E0DB3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D474D50"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36DB899"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34FAAD0"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1258B040" w14:textId="77777777" w:rsidR="00EE6446" w:rsidRPr="00641A01" w:rsidRDefault="00EE6446" w:rsidP="00641A01">
            <w:pPr>
              <w:tabs>
                <w:tab w:val="decimal" w:pos="943"/>
              </w:tabs>
              <w:spacing w:line="360" w:lineRule="auto"/>
              <w:rPr>
                <w:color w:val="000000"/>
              </w:rPr>
            </w:pPr>
            <w:r w:rsidRPr="00641A01">
              <w:rPr>
                <w:color w:val="000000"/>
              </w:rPr>
              <w:t>1.34</w:t>
            </w:r>
          </w:p>
        </w:tc>
        <w:tc>
          <w:tcPr>
            <w:tcW w:w="2233" w:type="dxa"/>
            <w:tcBorders>
              <w:top w:val="nil"/>
              <w:left w:val="nil"/>
              <w:bottom w:val="nil"/>
              <w:right w:val="nil"/>
            </w:tcBorders>
            <w:shd w:val="clear" w:color="auto" w:fill="auto"/>
            <w:noWrap/>
            <w:hideMark/>
          </w:tcPr>
          <w:p w14:paraId="6F6E540D" w14:textId="77777777" w:rsidR="00EE6446" w:rsidRPr="00641A01" w:rsidRDefault="00EE6446" w:rsidP="00641A01">
            <w:pPr>
              <w:tabs>
                <w:tab w:val="decimal" w:pos="943"/>
              </w:tabs>
              <w:spacing w:line="360" w:lineRule="auto"/>
              <w:rPr>
                <w:color w:val="000000"/>
              </w:rPr>
            </w:pPr>
            <w:r w:rsidRPr="00641A01">
              <w:rPr>
                <w:color w:val="000000"/>
              </w:rPr>
              <w:t>10.34</w:t>
            </w:r>
          </w:p>
        </w:tc>
      </w:tr>
      <w:tr w:rsidR="005B434B" w:rsidRPr="00641A01" w14:paraId="13E32021" w14:textId="77777777" w:rsidTr="00A637D6">
        <w:tc>
          <w:tcPr>
            <w:tcW w:w="3258" w:type="dxa"/>
            <w:tcBorders>
              <w:top w:val="nil"/>
              <w:left w:val="nil"/>
              <w:bottom w:val="nil"/>
              <w:right w:val="nil"/>
            </w:tcBorders>
            <w:shd w:val="clear" w:color="auto" w:fill="auto"/>
            <w:noWrap/>
            <w:hideMark/>
          </w:tcPr>
          <w:p w14:paraId="4079C9F5" w14:textId="77777777" w:rsidR="00EE6446" w:rsidRPr="00641A01" w:rsidRDefault="00EE6446" w:rsidP="00641A01">
            <w:pPr>
              <w:spacing w:line="360" w:lineRule="auto"/>
              <w:jc w:val="center"/>
              <w:rPr>
                <w:color w:val="000000"/>
              </w:rPr>
            </w:pPr>
            <w:r w:rsidRPr="00641A01">
              <w:rPr>
                <w:color w:val="000000"/>
              </w:rPr>
              <w:t>Luxembourg</w:t>
            </w:r>
          </w:p>
        </w:tc>
        <w:tc>
          <w:tcPr>
            <w:tcW w:w="1011" w:type="dxa"/>
            <w:tcBorders>
              <w:top w:val="nil"/>
              <w:left w:val="nil"/>
              <w:bottom w:val="nil"/>
              <w:right w:val="nil"/>
            </w:tcBorders>
            <w:shd w:val="clear" w:color="auto" w:fill="auto"/>
            <w:noWrap/>
            <w:hideMark/>
          </w:tcPr>
          <w:p w14:paraId="1B4595D8" w14:textId="77777777" w:rsidR="00EE6446" w:rsidRPr="00641A01" w:rsidRDefault="00EE6446" w:rsidP="00641A01">
            <w:pPr>
              <w:spacing w:line="360" w:lineRule="auto"/>
              <w:jc w:val="center"/>
              <w:rPr>
                <w:color w:val="000000"/>
              </w:rPr>
            </w:pPr>
            <w:r w:rsidRPr="00641A01">
              <w:rPr>
                <w:color w:val="000000"/>
              </w:rPr>
              <w:t>LUX</w:t>
            </w:r>
          </w:p>
        </w:tc>
        <w:tc>
          <w:tcPr>
            <w:tcW w:w="1011" w:type="dxa"/>
            <w:tcBorders>
              <w:top w:val="nil"/>
              <w:left w:val="nil"/>
              <w:bottom w:val="nil"/>
              <w:right w:val="nil"/>
            </w:tcBorders>
            <w:shd w:val="clear" w:color="auto" w:fill="auto"/>
            <w:noWrap/>
            <w:hideMark/>
          </w:tcPr>
          <w:p w14:paraId="5792512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33FAB78"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CA1E8D1"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4A6D8C0B"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67A24DF9" w14:textId="77777777" w:rsidR="00EE6446" w:rsidRPr="00641A01" w:rsidRDefault="00EE6446" w:rsidP="00641A01">
            <w:pPr>
              <w:tabs>
                <w:tab w:val="decimal" w:pos="943"/>
              </w:tabs>
              <w:spacing w:line="360" w:lineRule="auto"/>
              <w:rPr>
                <w:color w:val="000000"/>
              </w:rPr>
            </w:pPr>
            <w:r w:rsidRPr="00641A01">
              <w:rPr>
                <w:color w:val="000000"/>
              </w:rPr>
              <w:t>10.27</w:t>
            </w:r>
          </w:p>
        </w:tc>
        <w:tc>
          <w:tcPr>
            <w:tcW w:w="2233" w:type="dxa"/>
            <w:tcBorders>
              <w:top w:val="nil"/>
              <w:left w:val="nil"/>
              <w:bottom w:val="nil"/>
              <w:right w:val="nil"/>
            </w:tcBorders>
            <w:shd w:val="clear" w:color="auto" w:fill="auto"/>
            <w:noWrap/>
            <w:hideMark/>
          </w:tcPr>
          <w:p w14:paraId="58962A57" w14:textId="77777777" w:rsidR="00EE6446" w:rsidRPr="00641A01" w:rsidRDefault="00EE6446" w:rsidP="00641A01">
            <w:pPr>
              <w:tabs>
                <w:tab w:val="decimal" w:pos="943"/>
              </w:tabs>
              <w:spacing w:line="360" w:lineRule="auto"/>
              <w:rPr>
                <w:color w:val="000000"/>
              </w:rPr>
            </w:pPr>
            <w:r w:rsidRPr="00641A01">
              <w:rPr>
                <w:color w:val="000000"/>
              </w:rPr>
              <w:t>73.37</w:t>
            </w:r>
          </w:p>
        </w:tc>
      </w:tr>
      <w:tr w:rsidR="005B434B" w:rsidRPr="00641A01" w14:paraId="4BC8E0DB" w14:textId="77777777" w:rsidTr="00A637D6">
        <w:tc>
          <w:tcPr>
            <w:tcW w:w="3258" w:type="dxa"/>
            <w:tcBorders>
              <w:top w:val="nil"/>
              <w:left w:val="nil"/>
              <w:bottom w:val="nil"/>
              <w:right w:val="nil"/>
            </w:tcBorders>
            <w:shd w:val="clear" w:color="auto" w:fill="auto"/>
            <w:noWrap/>
            <w:hideMark/>
          </w:tcPr>
          <w:p w14:paraId="0B544146" w14:textId="77777777" w:rsidR="00EE6446" w:rsidRPr="00641A01" w:rsidRDefault="00EE6446" w:rsidP="00641A01">
            <w:pPr>
              <w:spacing w:line="360" w:lineRule="auto"/>
              <w:jc w:val="center"/>
              <w:rPr>
                <w:color w:val="000000"/>
              </w:rPr>
            </w:pPr>
            <w:r w:rsidRPr="00641A01">
              <w:rPr>
                <w:color w:val="000000"/>
              </w:rPr>
              <w:t>Latvia</w:t>
            </w:r>
          </w:p>
        </w:tc>
        <w:tc>
          <w:tcPr>
            <w:tcW w:w="1011" w:type="dxa"/>
            <w:tcBorders>
              <w:top w:val="nil"/>
              <w:left w:val="nil"/>
              <w:bottom w:val="nil"/>
              <w:right w:val="nil"/>
            </w:tcBorders>
            <w:shd w:val="clear" w:color="auto" w:fill="auto"/>
            <w:noWrap/>
            <w:hideMark/>
          </w:tcPr>
          <w:p w14:paraId="3A58BF25" w14:textId="77777777" w:rsidR="00EE6446" w:rsidRPr="00641A01" w:rsidRDefault="00EE6446" w:rsidP="00641A01">
            <w:pPr>
              <w:spacing w:line="360" w:lineRule="auto"/>
              <w:jc w:val="center"/>
              <w:rPr>
                <w:color w:val="000000"/>
              </w:rPr>
            </w:pPr>
            <w:r w:rsidRPr="00641A01">
              <w:rPr>
                <w:color w:val="000000"/>
              </w:rPr>
              <w:t>LVA</w:t>
            </w:r>
          </w:p>
        </w:tc>
        <w:tc>
          <w:tcPr>
            <w:tcW w:w="1011" w:type="dxa"/>
            <w:tcBorders>
              <w:top w:val="nil"/>
              <w:left w:val="nil"/>
              <w:bottom w:val="nil"/>
              <w:right w:val="nil"/>
            </w:tcBorders>
            <w:shd w:val="clear" w:color="auto" w:fill="auto"/>
            <w:noWrap/>
            <w:hideMark/>
          </w:tcPr>
          <w:p w14:paraId="79A9C86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17B039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744C92F"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54E7056A"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3DC783AE" w14:textId="77777777" w:rsidR="00EE6446" w:rsidRPr="00641A01" w:rsidRDefault="00EE6446" w:rsidP="00641A01">
            <w:pPr>
              <w:tabs>
                <w:tab w:val="decimal" w:pos="943"/>
              </w:tabs>
              <w:spacing w:line="360" w:lineRule="auto"/>
              <w:rPr>
                <w:color w:val="000000"/>
              </w:rPr>
            </w:pPr>
            <w:r w:rsidRPr="00641A01">
              <w:rPr>
                <w:color w:val="000000"/>
              </w:rPr>
              <w:t>1.31</w:t>
            </w:r>
          </w:p>
        </w:tc>
        <w:tc>
          <w:tcPr>
            <w:tcW w:w="2233" w:type="dxa"/>
            <w:tcBorders>
              <w:top w:val="nil"/>
              <w:left w:val="nil"/>
              <w:bottom w:val="nil"/>
              <w:right w:val="nil"/>
            </w:tcBorders>
            <w:shd w:val="clear" w:color="auto" w:fill="auto"/>
            <w:noWrap/>
            <w:hideMark/>
          </w:tcPr>
          <w:p w14:paraId="2A1391B0" w14:textId="77777777" w:rsidR="00EE6446" w:rsidRPr="00641A01" w:rsidRDefault="00EE6446" w:rsidP="00641A01">
            <w:pPr>
              <w:tabs>
                <w:tab w:val="decimal" w:pos="943"/>
              </w:tabs>
              <w:spacing w:line="360" w:lineRule="auto"/>
              <w:rPr>
                <w:color w:val="000000"/>
              </w:rPr>
            </w:pPr>
            <w:r w:rsidRPr="00641A01">
              <w:rPr>
                <w:color w:val="000000"/>
              </w:rPr>
              <w:t>11.42</w:t>
            </w:r>
          </w:p>
        </w:tc>
      </w:tr>
      <w:tr w:rsidR="005B434B" w:rsidRPr="00641A01" w14:paraId="2C5F9299" w14:textId="77777777" w:rsidTr="00A637D6">
        <w:tc>
          <w:tcPr>
            <w:tcW w:w="3258" w:type="dxa"/>
            <w:tcBorders>
              <w:top w:val="nil"/>
              <w:left w:val="nil"/>
              <w:bottom w:val="nil"/>
              <w:right w:val="nil"/>
            </w:tcBorders>
            <w:shd w:val="clear" w:color="auto" w:fill="auto"/>
            <w:noWrap/>
            <w:hideMark/>
          </w:tcPr>
          <w:p w14:paraId="74671C2E" w14:textId="77777777" w:rsidR="00EE6446" w:rsidRPr="00641A01" w:rsidRDefault="00EE6446" w:rsidP="00641A01">
            <w:pPr>
              <w:spacing w:line="360" w:lineRule="auto"/>
              <w:jc w:val="center"/>
              <w:rPr>
                <w:color w:val="000000"/>
              </w:rPr>
            </w:pPr>
            <w:r w:rsidRPr="00641A01">
              <w:rPr>
                <w:color w:val="000000"/>
              </w:rPr>
              <w:t>Morocco</w:t>
            </w:r>
          </w:p>
        </w:tc>
        <w:tc>
          <w:tcPr>
            <w:tcW w:w="1011" w:type="dxa"/>
            <w:tcBorders>
              <w:top w:val="nil"/>
              <w:left w:val="nil"/>
              <w:bottom w:val="nil"/>
              <w:right w:val="nil"/>
            </w:tcBorders>
            <w:shd w:val="clear" w:color="auto" w:fill="auto"/>
            <w:noWrap/>
            <w:hideMark/>
          </w:tcPr>
          <w:p w14:paraId="32B0FCC2" w14:textId="77777777" w:rsidR="00EE6446" w:rsidRPr="00641A01" w:rsidRDefault="00EE6446" w:rsidP="00641A01">
            <w:pPr>
              <w:spacing w:line="360" w:lineRule="auto"/>
              <w:jc w:val="center"/>
              <w:rPr>
                <w:color w:val="000000"/>
              </w:rPr>
            </w:pPr>
            <w:r w:rsidRPr="00641A01">
              <w:rPr>
                <w:color w:val="000000"/>
              </w:rPr>
              <w:t>MAR</w:t>
            </w:r>
          </w:p>
        </w:tc>
        <w:tc>
          <w:tcPr>
            <w:tcW w:w="1011" w:type="dxa"/>
            <w:tcBorders>
              <w:top w:val="nil"/>
              <w:left w:val="nil"/>
              <w:bottom w:val="nil"/>
              <w:right w:val="nil"/>
            </w:tcBorders>
            <w:shd w:val="clear" w:color="auto" w:fill="auto"/>
            <w:noWrap/>
            <w:hideMark/>
          </w:tcPr>
          <w:p w14:paraId="4ADD759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CF611C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713ED6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28795E2"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368DD68B" w14:textId="77777777" w:rsidR="00EE6446" w:rsidRPr="00641A01" w:rsidRDefault="00EE6446" w:rsidP="00641A01">
            <w:pPr>
              <w:tabs>
                <w:tab w:val="decimal" w:pos="943"/>
              </w:tabs>
              <w:spacing w:line="360" w:lineRule="auto"/>
              <w:rPr>
                <w:color w:val="000000"/>
              </w:rPr>
            </w:pPr>
            <w:r w:rsidRPr="00641A01">
              <w:rPr>
                <w:color w:val="000000"/>
              </w:rPr>
              <w:t>6.55</w:t>
            </w:r>
          </w:p>
        </w:tc>
        <w:tc>
          <w:tcPr>
            <w:tcW w:w="2233" w:type="dxa"/>
            <w:tcBorders>
              <w:top w:val="nil"/>
              <w:left w:val="nil"/>
              <w:bottom w:val="nil"/>
              <w:right w:val="nil"/>
            </w:tcBorders>
            <w:shd w:val="clear" w:color="auto" w:fill="auto"/>
            <w:noWrap/>
            <w:hideMark/>
          </w:tcPr>
          <w:p w14:paraId="7A6C6B5C" w14:textId="77777777" w:rsidR="00EE6446" w:rsidRPr="00641A01" w:rsidRDefault="00EE6446" w:rsidP="00641A01">
            <w:pPr>
              <w:tabs>
                <w:tab w:val="decimal" w:pos="943"/>
              </w:tabs>
              <w:spacing w:line="360" w:lineRule="auto"/>
              <w:rPr>
                <w:color w:val="000000"/>
              </w:rPr>
            </w:pPr>
            <w:r w:rsidRPr="00641A01">
              <w:rPr>
                <w:color w:val="000000"/>
              </w:rPr>
              <w:t>48.20</w:t>
            </w:r>
          </w:p>
        </w:tc>
      </w:tr>
      <w:tr w:rsidR="005B434B" w:rsidRPr="00641A01" w14:paraId="65C2BCD3" w14:textId="77777777" w:rsidTr="00A637D6">
        <w:tc>
          <w:tcPr>
            <w:tcW w:w="3258" w:type="dxa"/>
            <w:tcBorders>
              <w:top w:val="nil"/>
              <w:left w:val="nil"/>
              <w:bottom w:val="nil"/>
              <w:right w:val="nil"/>
            </w:tcBorders>
            <w:shd w:val="clear" w:color="auto" w:fill="auto"/>
            <w:noWrap/>
            <w:hideMark/>
          </w:tcPr>
          <w:p w14:paraId="6987B9E4" w14:textId="77777777" w:rsidR="00EE6446" w:rsidRPr="00641A01" w:rsidRDefault="00EE6446" w:rsidP="00641A01">
            <w:pPr>
              <w:spacing w:line="360" w:lineRule="auto"/>
              <w:jc w:val="center"/>
              <w:rPr>
                <w:color w:val="000000"/>
              </w:rPr>
            </w:pPr>
            <w:r w:rsidRPr="00641A01">
              <w:rPr>
                <w:color w:val="000000"/>
              </w:rPr>
              <w:t>Monaco</w:t>
            </w:r>
          </w:p>
        </w:tc>
        <w:tc>
          <w:tcPr>
            <w:tcW w:w="1011" w:type="dxa"/>
            <w:tcBorders>
              <w:top w:val="nil"/>
              <w:left w:val="nil"/>
              <w:bottom w:val="nil"/>
              <w:right w:val="nil"/>
            </w:tcBorders>
            <w:shd w:val="clear" w:color="auto" w:fill="auto"/>
            <w:noWrap/>
            <w:hideMark/>
          </w:tcPr>
          <w:p w14:paraId="16F35684" w14:textId="77777777" w:rsidR="00EE6446" w:rsidRPr="00641A01" w:rsidRDefault="00EE6446" w:rsidP="00641A01">
            <w:pPr>
              <w:spacing w:line="360" w:lineRule="auto"/>
              <w:jc w:val="center"/>
              <w:rPr>
                <w:color w:val="000000"/>
              </w:rPr>
            </w:pPr>
            <w:r w:rsidRPr="00641A01">
              <w:rPr>
                <w:color w:val="000000"/>
              </w:rPr>
              <w:t>MCO</w:t>
            </w:r>
          </w:p>
        </w:tc>
        <w:tc>
          <w:tcPr>
            <w:tcW w:w="1011" w:type="dxa"/>
            <w:tcBorders>
              <w:top w:val="nil"/>
              <w:left w:val="nil"/>
              <w:bottom w:val="nil"/>
              <w:right w:val="nil"/>
            </w:tcBorders>
            <w:shd w:val="clear" w:color="auto" w:fill="auto"/>
            <w:noWrap/>
            <w:hideMark/>
          </w:tcPr>
          <w:p w14:paraId="104AD50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1DA530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FB0920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3DE155E"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39E68B4B" w14:textId="77777777" w:rsidR="00EE6446" w:rsidRPr="00641A01" w:rsidRDefault="00EE6446" w:rsidP="00641A01">
            <w:pPr>
              <w:tabs>
                <w:tab w:val="decimal" w:pos="943"/>
              </w:tabs>
              <w:spacing w:line="360" w:lineRule="auto"/>
              <w:rPr>
                <w:color w:val="000000"/>
              </w:rPr>
            </w:pPr>
            <w:r w:rsidRPr="00641A01">
              <w:rPr>
                <w:color w:val="000000"/>
              </w:rPr>
              <w:t>1.38</w:t>
            </w:r>
          </w:p>
        </w:tc>
        <w:tc>
          <w:tcPr>
            <w:tcW w:w="2233" w:type="dxa"/>
            <w:tcBorders>
              <w:top w:val="nil"/>
              <w:left w:val="nil"/>
              <w:bottom w:val="nil"/>
              <w:right w:val="nil"/>
            </w:tcBorders>
            <w:shd w:val="clear" w:color="auto" w:fill="auto"/>
            <w:noWrap/>
            <w:hideMark/>
          </w:tcPr>
          <w:p w14:paraId="5C7A9569" w14:textId="77777777" w:rsidR="00EE6446" w:rsidRPr="00641A01" w:rsidRDefault="00EE6446" w:rsidP="00641A01">
            <w:pPr>
              <w:tabs>
                <w:tab w:val="decimal" w:pos="943"/>
              </w:tabs>
              <w:spacing w:line="360" w:lineRule="auto"/>
              <w:rPr>
                <w:color w:val="000000"/>
              </w:rPr>
            </w:pPr>
            <w:r w:rsidRPr="00641A01">
              <w:rPr>
                <w:color w:val="000000"/>
              </w:rPr>
              <w:t>8.14</w:t>
            </w:r>
          </w:p>
        </w:tc>
      </w:tr>
      <w:tr w:rsidR="005B434B" w:rsidRPr="00641A01" w14:paraId="18B85AF6" w14:textId="77777777" w:rsidTr="00A637D6">
        <w:tc>
          <w:tcPr>
            <w:tcW w:w="3258" w:type="dxa"/>
            <w:tcBorders>
              <w:top w:val="nil"/>
              <w:left w:val="nil"/>
              <w:bottom w:val="nil"/>
              <w:right w:val="nil"/>
            </w:tcBorders>
            <w:shd w:val="clear" w:color="auto" w:fill="auto"/>
            <w:noWrap/>
            <w:hideMark/>
          </w:tcPr>
          <w:p w14:paraId="7AD2E921" w14:textId="77777777" w:rsidR="00EE6446" w:rsidRPr="00641A01" w:rsidRDefault="00EE6446" w:rsidP="00641A01">
            <w:pPr>
              <w:spacing w:line="360" w:lineRule="auto"/>
              <w:jc w:val="center"/>
              <w:rPr>
                <w:color w:val="000000"/>
              </w:rPr>
            </w:pPr>
            <w:r w:rsidRPr="00641A01">
              <w:rPr>
                <w:color w:val="000000"/>
              </w:rPr>
              <w:t>Moldova</w:t>
            </w:r>
          </w:p>
        </w:tc>
        <w:tc>
          <w:tcPr>
            <w:tcW w:w="1011" w:type="dxa"/>
            <w:tcBorders>
              <w:top w:val="nil"/>
              <w:left w:val="nil"/>
              <w:bottom w:val="nil"/>
              <w:right w:val="nil"/>
            </w:tcBorders>
            <w:shd w:val="clear" w:color="auto" w:fill="auto"/>
            <w:noWrap/>
            <w:hideMark/>
          </w:tcPr>
          <w:p w14:paraId="08468835" w14:textId="77777777" w:rsidR="00EE6446" w:rsidRPr="00641A01" w:rsidRDefault="00EE6446" w:rsidP="00641A01">
            <w:pPr>
              <w:spacing w:line="360" w:lineRule="auto"/>
              <w:jc w:val="center"/>
              <w:rPr>
                <w:color w:val="000000"/>
              </w:rPr>
            </w:pPr>
            <w:r w:rsidRPr="00641A01">
              <w:rPr>
                <w:color w:val="000000"/>
              </w:rPr>
              <w:t>MDA</w:t>
            </w:r>
          </w:p>
        </w:tc>
        <w:tc>
          <w:tcPr>
            <w:tcW w:w="1011" w:type="dxa"/>
            <w:tcBorders>
              <w:top w:val="nil"/>
              <w:left w:val="nil"/>
              <w:bottom w:val="nil"/>
              <w:right w:val="nil"/>
            </w:tcBorders>
            <w:shd w:val="clear" w:color="auto" w:fill="auto"/>
            <w:noWrap/>
            <w:hideMark/>
          </w:tcPr>
          <w:p w14:paraId="14E41E6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6F951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9B738E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50E831B"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8C87B74" w14:textId="77777777" w:rsidR="00EE6446" w:rsidRPr="00641A01" w:rsidRDefault="00EE6446" w:rsidP="00641A01">
            <w:pPr>
              <w:tabs>
                <w:tab w:val="decimal" w:pos="943"/>
              </w:tabs>
              <w:spacing w:line="360" w:lineRule="auto"/>
              <w:rPr>
                <w:color w:val="000000"/>
              </w:rPr>
            </w:pPr>
            <w:r w:rsidRPr="00641A01">
              <w:rPr>
                <w:color w:val="000000"/>
              </w:rPr>
              <w:t>2.57</w:t>
            </w:r>
          </w:p>
        </w:tc>
        <w:tc>
          <w:tcPr>
            <w:tcW w:w="2233" w:type="dxa"/>
            <w:tcBorders>
              <w:top w:val="nil"/>
              <w:left w:val="nil"/>
              <w:bottom w:val="nil"/>
              <w:right w:val="nil"/>
            </w:tcBorders>
            <w:shd w:val="clear" w:color="auto" w:fill="auto"/>
            <w:noWrap/>
            <w:hideMark/>
          </w:tcPr>
          <w:p w14:paraId="0E34C00D" w14:textId="77777777" w:rsidR="00EE6446" w:rsidRPr="00641A01" w:rsidRDefault="00EE6446" w:rsidP="00641A01">
            <w:pPr>
              <w:tabs>
                <w:tab w:val="decimal" w:pos="943"/>
              </w:tabs>
              <w:spacing w:line="360" w:lineRule="auto"/>
              <w:rPr>
                <w:color w:val="000000"/>
              </w:rPr>
            </w:pPr>
            <w:r w:rsidRPr="00641A01">
              <w:rPr>
                <w:color w:val="000000"/>
              </w:rPr>
              <w:t>27.53</w:t>
            </w:r>
          </w:p>
        </w:tc>
      </w:tr>
      <w:tr w:rsidR="005B434B" w:rsidRPr="00641A01" w14:paraId="1A92746C" w14:textId="77777777" w:rsidTr="00A637D6">
        <w:tc>
          <w:tcPr>
            <w:tcW w:w="3258" w:type="dxa"/>
            <w:tcBorders>
              <w:top w:val="nil"/>
              <w:left w:val="nil"/>
              <w:bottom w:val="nil"/>
              <w:right w:val="nil"/>
            </w:tcBorders>
            <w:shd w:val="clear" w:color="auto" w:fill="auto"/>
            <w:noWrap/>
            <w:hideMark/>
          </w:tcPr>
          <w:p w14:paraId="73865798" w14:textId="77777777" w:rsidR="00EE6446" w:rsidRPr="00641A01" w:rsidRDefault="00EE6446" w:rsidP="00641A01">
            <w:pPr>
              <w:spacing w:line="360" w:lineRule="auto"/>
              <w:jc w:val="center"/>
              <w:rPr>
                <w:color w:val="000000"/>
              </w:rPr>
            </w:pPr>
            <w:r w:rsidRPr="00641A01">
              <w:rPr>
                <w:color w:val="000000"/>
              </w:rPr>
              <w:t>Madagascar</w:t>
            </w:r>
          </w:p>
        </w:tc>
        <w:tc>
          <w:tcPr>
            <w:tcW w:w="1011" w:type="dxa"/>
            <w:tcBorders>
              <w:top w:val="nil"/>
              <w:left w:val="nil"/>
              <w:bottom w:val="nil"/>
              <w:right w:val="nil"/>
            </w:tcBorders>
            <w:shd w:val="clear" w:color="auto" w:fill="auto"/>
            <w:noWrap/>
            <w:hideMark/>
          </w:tcPr>
          <w:p w14:paraId="03DB6652" w14:textId="77777777" w:rsidR="00EE6446" w:rsidRPr="00641A01" w:rsidRDefault="00EE6446" w:rsidP="00641A01">
            <w:pPr>
              <w:spacing w:line="360" w:lineRule="auto"/>
              <w:jc w:val="center"/>
              <w:rPr>
                <w:color w:val="000000"/>
              </w:rPr>
            </w:pPr>
            <w:r w:rsidRPr="00641A01">
              <w:rPr>
                <w:color w:val="000000"/>
              </w:rPr>
              <w:t>MDG</w:t>
            </w:r>
          </w:p>
        </w:tc>
        <w:tc>
          <w:tcPr>
            <w:tcW w:w="1011" w:type="dxa"/>
            <w:tcBorders>
              <w:top w:val="nil"/>
              <w:left w:val="nil"/>
              <w:bottom w:val="nil"/>
              <w:right w:val="nil"/>
            </w:tcBorders>
            <w:shd w:val="clear" w:color="auto" w:fill="auto"/>
            <w:noWrap/>
            <w:hideMark/>
          </w:tcPr>
          <w:p w14:paraId="12F1144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5A2F1D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7253C2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A812C44"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188BD17F" w14:textId="77777777" w:rsidR="00EE6446" w:rsidRPr="00641A01" w:rsidRDefault="00EE6446" w:rsidP="00641A01">
            <w:pPr>
              <w:tabs>
                <w:tab w:val="decimal" w:pos="943"/>
              </w:tabs>
              <w:spacing w:line="360" w:lineRule="auto"/>
              <w:rPr>
                <w:color w:val="000000"/>
              </w:rPr>
            </w:pPr>
            <w:r w:rsidRPr="00641A01">
              <w:rPr>
                <w:color w:val="000000"/>
              </w:rPr>
              <w:t>3.52</w:t>
            </w:r>
          </w:p>
        </w:tc>
        <w:tc>
          <w:tcPr>
            <w:tcW w:w="2233" w:type="dxa"/>
            <w:tcBorders>
              <w:top w:val="nil"/>
              <w:left w:val="nil"/>
              <w:bottom w:val="nil"/>
              <w:right w:val="nil"/>
            </w:tcBorders>
            <w:shd w:val="clear" w:color="auto" w:fill="auto"/>
            <w:noWrap/>
            <w:hideMark/>
          </w:tcPr>
          <w:p w14:paraId="46F0AFBB" w14:textId="77777777" w:rsidR="00EE6446" w:rsidRPr="00641A01" w:rsidRDefault="00EE6446" w:rsidP="00641A01">
            <w:pPr>
              <w:tabs>
                <w:tab w:val="decimal" w:pos="943"/>
              </w:tabs>
              <w:spacing w:line="360" w:lineRule="auto"/>
              <w:rPr>
                <w:color w:val="000000"/>
              </w:rPr>
            </w:pPr>
            <w:r w:rsidRPr="00641A01">
              <w:rPr>
                <w:color w:val="000000"/>
              </w:rPr>
              <w:t>26.35</w:t>
            </w:r>
          </w:p>
        </w:tc>
      </w:tr>
      <w:tr w:rsidR="005B434B" w:rsidRPr="00641A01" w14:paraId="2E8EC47D" w14:textId="77777777" w:rsidTr="00A637D6">
        <w:tc>
          <w:tcPr>
            <w:tcW w:w="3258" w:type="dxa"/>
            <w:tcBorders>
              <w:top w:val="nil"/>
              <w:left w:val="nil"/>
              <w:bottom w:val="nil"/>
              <w:right w:val="nil"/>
            </w:tcBorders>
            <w:shd w:val="clear" w:color="auto" w:fill="auto"/>
            <w:noWrap/>
            <w:hideMark/>
          </w:tcPr>
          <w:p w14:paraId="7F8924C1" w14:textId="77777777" w:rsidR="00EE6446" w:rsidRPr="00641A01" w:rsidRDefault="00EE6446" w:rsidP="00641A01">
            <w:pPr>
              <w:spacing w:line="360" w:lineRule="auto"/>
              <w:jc w:val="center"/>
              <w:rPr>
                <w:color w:val="000000"/>
              </w:rPr>
            </w:pPr>
            <w:r w:rsidRPr="00641A01">
              <w:rPr>
                <w:color w:val="000000"/>
              </w:rPr>
              <w:t>Maldives</w:t>
            </w:r>
          </w:p>
        </w:tc>
        <w:tc>
          <w:tcPr>
            <w:tcW w:w="1011" w:type="dxa"/>
            <w:tcBorders>
              <w:top w:val="nil"/>
              <w:left w:val="nil"/>
              <w:bottom w:val="nil"/>
              <w:right w:val="nil"/>
            </w:tcBorders>
            <w:shd w:val="clear" w:color="auto" w:fill="auto"/>
            <w:noWrap/>
            <w:hideMark/>
          </w:tcPr>
          <w:p w14:paraId="4B53F1EE" w14:textId="77777777" w:rsidR="00EE6446" w:rsidRPr="00641A01" w:rsidRDefault="00EE6446" w:rsidP="00641A01">
            <w:pPr>
              <w:spacing w:line="360" w:lineRule="auto"/>
              <w:jc w:val="center"/>
              <w:rPr>
                <w:color w:val="000000"/>
              </w:rPr>
            </w:pPr>
            <w:r w:rsidRPr="00641A01">
              <w:rPr>
                <w:color w:val="000000"/>
              </w:rPr>
              <w:t>MDV</w:t>
            </w:r>
          </w:p>
        </w:tc>
        <w:tc>
          <w:tcPr>
            <w:tcW w:w="1011" w:type="dxa"/>
            <w:tcBorders>
              <w:top w:val="nil"/>
              <w:left w:val="nil"/>
              <w:bottom w:val="nil"/>
              <w:right w:val="nil"/>
            </w:tcBorders>
            <w:shd w:val="clear" w:color="auto" w:fill="auto"/>
            <w:noWrap/>
            <w:hideMark/>
          </w:tcPr>
          <w:p w14:paraId="6E750E0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A70E5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2DDC84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159B0ED"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28E53942" w14:textId="77777777" w:rsidR="00EE6446" w:rsidRPr="00641A01" w:rsidRDefault="00EE6446" w:rsidP="00641A01">
            <w:pPr>
              <w:tabs>
                <w:tab w:val="decimal" w:pos="943"/>
              </w:tabs>
              <w:spacing w:line="360" w:lineRule="auto"/>
              <w:rPr>
                <w:color w:val="000000"/>
              </w:rPr>
            </w:pPr>
            <w:r w:rsidRPr="00641A01">
              <w:rPr>
                <w:color w:val="000000"/>
              </w:rPr>
              <w:t>3.06</w:t>
            </w:r>
          </w:p>
        </w:tc>
        <w:tc>
          <w:tcPr>
            <w:tcW w:w="2233" w:type="dxa"/>
            <w:tcBorders>
              <w:top w:val="nil"/>
              <w:left w:val="nil"/>
              <w:bottom w:val="nil"/>
              <w:right w:val="nil"/>
            </w:tcBorders>
            <w:shd w:val="clear" w:color="auto" w:fill="auto"/>
            <w:noWrap/>
            <w:hideMark/>
          </w:tcPr>
          <w:p w14:paraId="7CD2658D" w14:textId="77777777" w:rsidR="00EE6446" w:rsidRPr="00641A01" w:rsidRDefault="00EE6446" w:rsidP="00641A01">
            <w:pPr>
              <w:tabs>
                <w:tab w:val="decimal" w:pos="943"/>
              </w:tabs>
              <w:spacing w:line="360" w:lineRule="auto"/>
              <w:rPr>
                <w:color w:val="000000"/>
              </w:rPr>
            </w:pPr>
            <w:r w:rsidRPr="00641A01">
              <w:rPr>
                <w:color w:val="000000"/>
              </w:rPr>
              <w:t>35.33</w:t>
            </w:r>
          </w:p>
        </w:tc>
      </w:tr>
      <w:tr w:rsidR="005B434B" w:rsidRPr="00641A01" w14:paraId="62E52145" w14:textId="77777777" w:rsidTr="00A637D6">
        <w:tc>
          <w:tcPr>
            <w:tcW w:w="3258" w:type="dxa"/>
            <w:tcBorders>
              <w:top w:val="nil"/>
              <w:left w:val="nil"/>
              <w:bottom w:val="nil"/>
              <w:right w:val="nil"/>
            </w:tcBorders>
            <w:shd w:val="clear" w:color="auto" w:fill="auto"/>
            <w:noWrap/>
            <w:hideMark/>
          </w:tcPr>
          <w:p w14:paraId="3614C966" w14:textId="77777777" w:rsidR="00EE6446" w:rsidRPr="00641A01" w:rsidRDefault="00EE6446" w:rsidP="00641A01">
            <w:pPr>
              <w:spacing w:line="360" w:lineRule="auto"/>
              <w:jc w:val="center"/>
              <w:rPr>
                <w:color w:val="000000"/>
              </w:rPr>
            </w:pPr>
            <w:r w:rsidRPr="00641A01">
              <w:rPr>
                <w:color w:val="000000"/>
              </w:rPr>
              <w:t>Mexico</w:t>
            </w:r>
          </w:p>
        </w:tc>
        <w:tc>
          <w:tcPr>
            <w:tcW w:w="1011" w:type="dxa"/>
            <w:tcBorders>
              <w:top w:val="nil"/>
              <w:left w:val="nil"/>
              <w:bottom w:val="nil"/>
              <w:right w:val="nil"/>
            </w:tcBorders>
            <w:shd w:val="clear" w:color="auto" w:fill="auto"/>
            <w:noWrap/>
            <w:hideMark/>
          </w:tcPr>
          <w:p w14:paraId="567F2DAA" w14:textId="77777777" w:rsidR="00EE6446" w:rsidRPr="00641A01" w:rsidRDefault="00EE6446" w:rsidP="00641A01">
            <w:pPr>
              <w:spacing w:line="360" w:lineRule="auto"/>
              <w:jc w:val="center"/>
              <w:rPr>
                <w:color w:val="000000"/>
              </w:rPr>
            </w:pPr>
            <w:r w:rsidRPr="00641A01">
              <w:rPr>
                <w:color w:val="000000"/>
              </w:rPr>
              <w:t>MEX</w:t>
            </w:r>
          </w:p>
        </w:tc>
        <w:tc>
          <w:tcPr>
            <w:tcW w:w="1011" w:type="dxa"/>
            <w:tcBorders>
              <w:top w:val="nil"/>
              <w:left w:val="nil"/>
              <w:bottom w:val="nil"/>
              <w:right w:val="nil"/>
            </w:tcBorders>
            <w:shd w:val="clear" w:color="auto" w:fill="auto"/>
            <w:noWrap/>
            <w:hideMark/>
          </w:tcPr>
          <w:p w14:paraId="6807A3E7"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827CA42"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79870AA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CB1CB11"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5BC82FCE" w14:textId="77777777" w:rsidR="00EE6446" w:rsidRPr="00641A01" w:rsidRDefault="00EE6446" w:rsidP="00641A01">
            <w:pPr>
              <w:tabs>
                <w:tab w:val="decimal" w:pos="943"/>
              </w:tabs>
              <w:spacing w:line="360" w:lineRule="auto"/>
              <w:rPr>
                <w:color w:val="000000"/>
              </w:rPr>
            </w:pPr>
            <w:r w:rsidRPr="00641A01">
              <w:rPr>
                <w:color w:val="000000"/>
              </w:rPr>
              <w:t>3.97</w:t>
            </w:r>
          </w:p>
        </w:tc>
        <w:tc>
          <w:tcPr>
            <w:tcW w:w="2233" w:type="dxa"/>
            <w:tcBorders>
              <w:top w:val="nil"/>
              <w:left w:val="nil"/>
              <w:bottom w:val="nil"/>
              <w:right w:val="nil"/>
            </w:tcBorders>
            <w:shd w:val="clear" w:color="auto" w:fill="auto"/>
            <w:noWrap/>
            <w:hideMark/>
          </w:tcPr>
          <w:p w14:paraId="29DEC981" w14:textId="77777777" w:rsidR="00EE6446" w:rsidRPr="00641A01" w:rsidRDefault="00EE6446" w:rsidP="00641A01">
            <w:pPr>
              <w:tabs>
                <w:tab w:val="decimal" w:pos="943"/>
              </w:tabs>
              <w:spacing w:line="360" w:lineRule="auto"/>
              <w:rPr>
                <w:color w:val="000000"/>
              </w:rPr>
            </w:pPr>
            <w:r w:rsidRPr="00641A01">
              <w:rPr>
                <w:color w:val="000000"/>
              </w:rPr>
              <w:t>28.81</w:t>
            </w:r>
          </w:p>
        </w:tc>
      </w:tr>
      <w:tr w:rsidR="005B434B" w:rsidRPr="00641A01" w14:paraId="2D40F69E" w14:textId="77777777" w:rsidTr="00A637D6">
        <w:tc>
          <w:tcPr>
            <w:tcW w:w="3258" w:type="dxa"/>
            <w:tcBorders>
              <w:top w:val="nil"/>
              <w:left w:val="nil"/>
              <w:bottom w:val="nil"/>
              <w:right w:val="nil"/>
            </w:tcBorders>
            <w:shd w:val="clear" w:color="auto" w:fill="auto"/>
            <w:noWrap/>
            <w:hideMark/>
          </w:tcPr>
          <w:p w14:paraId="0B3A31E1" w14:textId="77777777" w:rsidR="00EE6446" w:rsidRPr="00641A01" w:rsidRDefault="00EE6446" w:rsidP="00641A01">
            <w:pPr>
              <w:spacing w:line="360" w:lineRule="auto"/>
              <w:jc w:val="center"/>
              <w:rPr>
                <w:color w:val="000000"/>
              </w:rPr>
            </w:pPr>
            <w:r w:rsidRPr="00641A01">
              <w:rPr>
                <w:color w:val="000000"/>
              </w:rPr>
              <w:lastRenderedPageBreak/>
              <w:t>Marshall Islands</w:t>
            </w:r>
          </w:p>
        </w:tc>
        <w:tc>
          <w:tcPr>
            <w:tcW w:w="1011" w:type="dxa"/>
            <w:tcBorders>
              <w:top w:val="nil"/>
              <w:left w:val="nil"/>
              <w:bottom w:val="nil"/>
              <w:right w:val="nil"/>
            </w:tcBorders>
            <w:shd w:val="clear" w:color="auto" w:fill="auto"/>
            <w:noWrap/>
            <w:hideMark/>
          </w:tcPr>
          <w:p w14:paraId="52984819" w14:textId="77777777" w:rsidR="00EE6446" w:rsidRPr="00641A01" w:rsidRDefault="00EE6446" w:rsidP="00641A01">
            <w:pPr>
              <w:spacing w:line="360" w:lineRule="auto"/>
              <w:jc w:val="center"/>
              <w:rPr>
                <w:color w:val="000000"/>
              </w:rPr>
            </w:pPr>
            <w:r w:rsidRPr="00641A01">
              <w:rPr>
                <w:color w:val="000000"/>
              </w:rPr>
              <w:t>MHL</w:t>
            </w:r>
          </w:p>
        </w:tc>
        <w:tc>
          <w:tcPr>
            <w:tcW w:w="1011" w:type="dxa"/>
            <w:tcBorders>
              <w:top w:val="nil"/>
              <w:left w:val="nil"/>
              <w:bottom w:val="nil"/>
              <w:right w:val="nil"/>
            </w:tcBorders>
            <w:shd w:val="clear" w:color="auto" w:fill="auto"/>
            <w:noWrap/>
            <w:hideMark/>
          </w:tcPr>
          <w:p w14:paraId="3712CC3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731FBE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398B7A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4CAAED5"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3EA1CC17" w14:textId="77777777" w:rsidR="00EE6446" w:rsidRPr="00641A01" w:rsidRDefault="00EE6446" w:rsidP="00641A01">
            <w:pPr>
              <w:tabs>
                <w:tab w:val="decimal" w:pos="943"/>
              </w:tabs>
              <w:spacing w:line="360" w:lineRule="auto"/>
              <w:rPr>
                <w:color w:val="000000"/>
              </w:rPr>
            </w:pPr>
            <w:r w:rsidRPr="00641A01">
              <w:rPr>
                <w:color w:val="000000"/>
              </w:rPr>
              <w:t>2.41</w:t>
            </w:r>
          </w:p>
        </w:tc>
        <w:tc>
          <w:tcPr>
            <w:tcW w:w="2233" w:type="dxa"/>
            <w:tcBorders>
              <w:top w:val="nil"/>
              <w:left w:val="nil"/>
              <w:bottom w:val="nil"/>
              <w:right w:val="nil"/>
            </w:tcBorders>
            <w:shd w:val="clear" w:color="auto" w:fill="auto"/>
            <w:noWrap/>
            <w:hideMark/>
          </w:tcPr>
          <w:p w14:paraId="601F565C" w14:textId="77777777" w:rsidR="00EE6446" w:rsidRPr="00641A01" w:rsidRDefault="00EE6446" w:rsidP="00641A01">
            <w:pPr>
              <w:tabs>
                <w:tab w:val="decimal" w:pos="943"/>
              </w:tabs>
              <w:spacing w:line="360" w:lineRule="auto"/>
              <w:rPr>
                <w:color w:val="000000"/>
              </w:rPr>
            </w:pPr>
            <w:r w:rsidRPr="00641A01">
              <w:rPr>
                <w:color w:val="000000"/>
              </w:rPr>
              <w:t>13.25</w:t>
            </w:r>
          </w:p>
        </w:tc>
      </w:tr>
      <w:tr w:rsidR="005B434B" w:rsidRPr="00641A01" w14:paraId="435FBDE3" w14:textId="77777777" w:rsidTr="00A637D6">
        <w:tc>
          <w:tcPr>
            <w:tcW w:w="3258" w:type="dxa"/>
            <w:tcBorders>
              <w:top w:val="nil"/>
              <w:left w:val="nil"/>
              <w:bottom w:val="nil"/>
              <w:right w:val="nil"/>
            </w:tcBorders>
            <w:shd w:val="clear" w:color="auto" w:fill="auto"/>
            <w:noWrap/>
            <w:hideMark/>
          </w:tcPr>
          <w:p w14:paraId="3041D428" w14:textId="795623C8" w:rsidR="00EE6446" w:rsidRPr="00641A01" w:rsidRDefault="00EE6446" w:rsidP="00641A01">
            <w:pPr>
              <w:spacing w:line="360" w:lineRule="auto"/>
              <w:jc w:val="center"/>
              <w:rPr>
                <w:color w:val="000000"/>
              </w:rPr>
            </w:pPr>
            <w:r w:rsidRPr="00641A01">
              <w:rPr>
                <w:color w:val="000000"/>
              </w:rPr>
              <w:t>Macedonia, FYR</w:t>
            </w:r>
          </w:p>
        </w:tc>
        <w:tc>
          <w:tcPr>
            <w:tcW w:w="1011" w:type="dxa"/>
            <w:tcBorders>
              <w:top w:val="nil"/>
              <w:left w:val="nil"/>
              <w:bottom w:val="nil"/>
              <w:right w:val="nil"/>
            </w:tcBorders>
            <w:shd w:val="clear" w:color="auto" w:fill="auto"/>
            <w:noWrap/>
            <w:hideMark/>
          </w:tcPr>
          <w:p w14:paraId="6874C451" w14:textId="77777777" w:rsidR="00EE6446" w:rsidRPr="00641A01" w:rsidRDefault="00EE6446" w:rsidP="00641A01">
            <w:pPr>
              <w:spacing w:line="360" w:lineRule="auto"/>
              <w:jc w:val="center"/>
              <w:rPr>
                <w:color w:val="000000"/>
              </w:rPr>
            </w:pPr>
            <w:r w:rsidRPr="00641A01">
              <w:rPr>
                <w:color w:val="000000"/>
              </w:rPr>
              <w:t>MKD</w:t>
            </w:r>
          </w:p>
        </w:tc>
        <w:tc>
          <w:tcPr>
            <w:tcW w:w="1011" w:type="dxa"/>
            <w:tcBorders>
              <w:top w:val="nil"/>
              <w:left w:val="nil"/>
              <w:bottom w:val="nil"/>
              <w:right w:val="nil"/>
            </w:tcBorders>
            <w:shd w:val="clear" w:color="auto" w:fill="auto"/>
            <w:noWrap/>
            <w:hideMark/>
          </w:tcPr>
          <w:p w14:paraId="629C43B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FDDEF9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03C305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01863CF"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2B9D7FE" w14:textId="77777777" w:rsidR="00EE6446" w:rsidRPr="00641A01" w:rsidRDefault="00EE6446" w:rsidP="00641A01">
            <w:pPr>
              <w:tabs>
                <w:tab w:val="decimal" w:pos="943"/>
              </w:tabs>
              <w:spacing w:line="360" w:lineRule="auto"/>
              <w:rPr>
                <w:color w:val="000000"/>
              </w:rPr>
            </w:pPr>
            <w:r w:rsidRPr="00641A01">
              <w:rPr>
                <w:color w:val="000000"/>
              </w:rPr>
              <w:t>2.73</w:t>
            </w:r>
          </w:p>
        </w:tc>
        <w:tc>
          <w:tcPr>
            <w:tcW w:w="2233" w:type="dxa"/>
            <w:tcBorders>
              <w:top w:val="nil"/>
              <w:left w:val="nil"/>
              <w:bottom w:val="nil"/>
              <w:right w:val="nil"/>
            </w:tcBorders>
            <w:shd w:val="clear" w:color="auto" w:fill="auto"/>
            <w:noWrap/>
            <w:hideMark/>
          </w:tcPr>
          <w:p w14:paraId="2E9FCBF2" w14:textId="77777777" w:rsidR="00EE6446" w:rsidRPr="00641A01" w:rsidRDefault="00EE6446" w:rsidP="00641A01">
            <w:pPr>
              <w:tabs>
                <w:tab w:val="decimal" w:pos="943"/>
              </w:tabs>
              <w:spacing w:line="360" w:lineRule="auto"/>
              <w:rPr>
                <w:color w:val="000000"/>
              </w:rPr>
            </w:pPr>
            <w:r w:rsidRPr="00641A01">
              <w:rPr>
                <w:color w:val="000000"/>
              </w:rPr>
              <w:t>23.57</w:t>
            </w:r>
          </w:p>
        </w:tc>
      </w:tr>
      <w:tr w:rsidR="005B434B" w:rsidRPr="00641A01" w14:paraId="13F6E5B8" w14:textId="77777777" w:rsidTr="00A637D6">
        <w:tc>
          <w:tcPr>
            <w:tcW w:w="3258" w:type="dxa"/>
            <w:tcBorders>
              <w:top w:val="nil"/>
              <w:left w:val="nil"/>
              <w:bottom w:val="nil"/>
              <w:right w:val="nil"/>
            </w:tcBorders>
            <w:shd w:val="clear" w:color="auto" w:fill="auto"/>
            <w:noWrap/>
            <w:hideMark/>
          </w:tcPr>
          <w:p w14:paraId="4B047612" w14:textId="77777777" w:rsidR="00EE6446" w:rsidRPr="00641A01" w:rsidRDefault="00EE6446" w:rsidP="00641A01">
            <w:pPr>
              <w:spacing w:line="360" w:lineRule="auto"/>
              <w:jc w:val="center"/>
              <w:rPr>
                <w:color w:val="000000"/>
              </w:rPr>
            </w:pPr>
            <w:r w:rsidRPr="00641A01">
              <w:rPr>
                <w:color w:val="000000"/>
              </w:rPr>
              <w:t>Mali</w:t>
            </w:r>
          </w:p>
        </w:tc>
        <w:tc>
          <w:tcPr>
            <w:tcW w:w="1011" w:type="dxa"/>
            <w:tcBorders>
              <w:top w:val="nil"/>
              <w:left w:val="nil"/>
              <w:bottom w:val="nil"/>
              <w:right w:val="nil"/>
            </w:tcBorders>
            <w:shd w:val="clear" w:color="auto" w:fill="auto"/>
            <w:noWrap/>
            <w:hideMark/>
          </w:tcPr>
          <w:p w14:paraId="05326AC2" w14:textId="77777777" w:rsidR="00EE6446" w:rsidRPr="00641A01" w:rsidRDefault="00EE6446" w:rsidP="00641A01">
            <w:pPr>
              <w:spacing w:line="360" w:lineRule="auto"/>
              <w:jc w:val="center"/>
              <w:rPr>
                <w:color w:val="000000"/>
              </w:rPr>
            </w:pPr>
            <w:r w:rsidRPr="00641A01">
              <w:rPr>
                <w:color w:val="000000"/>
              </w:rPr>
              <w:t>MLI</w:t>
            </w:r>
          </w:p>
        </w:tc>
        <w:tc>
          <w:tcPr>
            <w:tcW w:w="1011" w:type="dxa"/>
            <w:tcBorders>
              <w:top w:val="nil"/>
              <w:left w:val="nil"/>
              <w:bottom w:val="nil"/>
              <w:right w:val="nil"/>
            </w:tcBorders>
            <w:shd w:val="clear" w:color="auto" w:fill="auto"/>
            <w:noWrap/>
            <w:hideMark/>
          </w:tcPr>
          <w:p w14:paraId="7A363C4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DB2C17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DB5A8A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D142379" w14:textId="77777777" w:rsidR="00EE6446" w:rsidRPr="00641A01" w:rsidRDefault="00EE6446" w:rsidP="00641A01">
            <w:pPr>
              <w:spacing w:line="360" w:lineRule="auto"/>
              <w:jc w:val="center"/>
              <w:rPr>
                <w:color w:val="000000"/>
              </w:rPr>
            </w:pPr>
            <w:r w:rsidRPr="00641A01">
              <w:rPr>
                <w:color w:val="000000"/>
              </w:rPr>
              <w:t>25</w:t>
            </w:r>
          </w:p>
        </w:tc>
        <w:tc>
          <w:tcPr>
            <w:tcW w:w="2233" w:type="dxa"/>
            <w:tcBorders>
              <w:top w:val="nil"/>
              <w:left w:val="nil"/>
              <w:bottom w:val="nil"/>
              <w:right w:val="nil"/>
            </w:tcBorders>
            <w:shd w:val="clear" w:color="auto" w:fill="auto"/>
            <w:noWrap/>
            <w:hideMark/>
          </w:tcPr>
          <w:p w14:paraId="68A1CF1E" w14:textId="77777777" w:rsidR="00EE6446" w:rsidRPr="00641A01" w:rsidRDefault="00EE6446" w:rsidP="00641A01">
            <w:pPr>
              <w:tabs>
                <w:tab w:val="decimal" w:pos="943"/>
              </w:tabs>
              <w:spacing w:line="360" w:lineRule="auto"/>
              <w:rPr>
                <w:color w:val="000000"/>
              </w:rPr>
            </w:pPr>
            <w:r w:rsidRPr="00641A01">
              <w:rPr>
                <w:color w:val="000000"/>
              </w:rPr>
              <w:t>9.44</w:t>
            </w:r>
          </w:p>
        </w:tc>
        <w:tc>
          <w:tcPr>
            <w:tcW w:w="2233" w:type="dxa"/>
            <w:tcBorders>
              <w:top w:val="nil"/>
              <w:left w:val="nil"/>
              <w:bottom w:val="nil"/>
              <w:right w:val="nil"/>
            </w:tcBorders>
            <w:shd w:val="clear" w:color="auto" w:fill="auto"/>
            <w:noWrap/>
            <w:hideMark/>
          </w:tcPr>
          <w:p w14:paraId="22939CE6" w14:textId="77777777" w:rsidR="00EE6446" w:rsidRPr="00641A01" w:rsidRDefault="00EE6446" w:rsidP="00641A01">
            <w:pPr>
              <w:tabs>
                <w:tab w:val="decimal" w:pos="943"/>
              </w:tabs>
              <w:spacing w:line="360" w:lineRule="auto"/>
              <w:rPr>
                <w:color w:val="000000"/>
              </w:rPr>
            </w:pPr>
            <w:r w:rsidRPr="00641A01">
              <w:rPr>
                <w:color w:val="000000"/>
              </w:rPr>
              <w:t>74.51</w:t>
            </w:r>
          </w:p>
        </w:tc>
      </w:tr>
      <w:tr w:rsidR="005B434B" w:rsidRPr="00641A01" w14:paraId="12E12D3F" w14:textId="77777777" w:rsidTr="00A637D6">
        <w:tc>
          <w:tcPr>
            <w:tcW w:w="3258" w:type="dxa"/>
            <w:tcBorders>
              <w:top w:val="nil"/>
              <w:left w:val="nil"/>
              <w:bottom w:val="nil"/>
              <w:right w:val="nil"/>
            </w:tcBorders>
            <w:shd w:val="clear" w:color="auto" w:fill="auto"/>
            <w:noWrap/>
            <w:hideMark/>
          </w:tcPr>
          <w:p w14:paraId="01D7863C" w14:textId="77777777" w:rsidR="00EE6446" w:rsidRPr="00641A01" w:rsidRDefault="00EE6446" w:rsidP="00641A01">
            <w:pPr>
              <w:spacing w:line="360" w:lineRule="auto"/>
              <w:jc w:val="center"/>
              <w:rPr>
                <w:color w:val="000000"/>
              </w:rPr>
            </w:pPr>
            <w:r w:rsidRPr="00641A01">
              <w:rPr>
                <w:color w:val="000000"/>
              </w:rPr>
              <w:t>Malta</w:t>
            </w:r>
          </w:p>
        </w:tc>
        <w:tc>
          <w:tcPr>
            <w:tcW w:w="1011" w:type="dxa"/>
            <w:tcBorders>
              <w:top w:val="nil"/>
              <w:left w:val="nil"/>
              <w:bottom w:val="nil"/>
              <w:right w:val="nil"/>
            </w:tcBorders>
            <w:shd w:val="clear" w:color="auto" w:fill="auto"/>
            <w:noWrap/>
            <w:hideMark/>
          </w:tcPr>
          <w:p w14:paraId="44455CBA" w14:textId="77777777" w:rsidR="00EE6446" w:rsidRPr="00641A01" w:rsidRDefault="00EE6446" w:rsidP="00641A01">
            <w:pPr>
              <w:spacing w:line="360" w:lineRule="auto"/>
              <w:jc w:val="center"/>
              <w:rPr>
                <w:color w:val="000000"/>
              </w:rPr>
            </w:pPr>
            <w:r w:rsidRPr="00641A01">
              <w:rPr>
                <w:color w:val="000000"/>
              </w:rPr>
              <w:t>MLT</w:t>
            </w:r>
          </w:p>
        </w:tc>
        <w:tc>
          <w:tcPr>
            <w:tcW w:w="1011" w:type="dxa"/>
            <w:tcBorders>
              <w:top w:val="nil"/>
              <w:left w:val="nil"/>
              <w:bottom w:val="nil"/>
              <w:right w:val="nil"/>
            </w:tcBorders>
            <w:shd w:val="clear" w:color="auto" w:fill="auto"/>
            <w:noWrap/>
            <w:hideMark/>
          </w:tcPr>
          <w:p w14:paraId="3403168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830F8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FF8995F"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F20A2CF"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6212BC1C" w14:textId="77777777" w:rsidR="00EE6446" w:rsidRPr="00641A01" w:rsidRDefault="00EE6446" w:rsidP="00641A01">
            <w:pPr>
              <w:tabs>
                <w:tab w:val="decimal" w:pos="943"/>
              </w:tabs>
              <w:spacing w:line="360" w:lineRule="auto"/>
              <w:rPr>
                <w:color w:val="000000"/>
              </w:rPr>
            </w:pPr>
            <w:r w:rsidRPr="00641A01">
              <w:rPr>
                <w:color w:val="000000"/>
              </w:rPr>
              <w:t>6.10</w:t>
            </w:r>
          </w:p>
        </w:tc>
        <w:tc>
          <w:tcPr>
            <w:tcW w:w="2233" w:type="dxa"/>
            <w:tcBorders>
              <w:top w:val="nil"/>
              <w:left w:val="nil"/>
              <w:bottom w:val="nil"/>
              <w:right w:val="nil"/>
            </w:tcBorders>
            <w:shd w:val="clear" w:color="auto" w:fill="auto"/>
            <w:noWrap/>
            <w:hideMark/>
          </w:tcPr>
          <w:p w14:paraId="03C76102" w14:textId="77777777" w:rsidR="00EE6446" w:rsidRPr="00641A01" w:rsidRDefault="00EE6446" w:rsidP="00641A01">
            <w:pPr>
              <w:tabs>
                <w:tab w:val="decimal" w:pos="943"/>
              </w:tabs>
              <w:spacing w:line="360" w:lineRule="auto"/>
              <w:rPr>
                <w:color w:val="000000"/>
              </w:rPr>
            </w:pPr>
            <w:r w:rsidRPr="00641A01">
              <w:rPr>
                <w:color w:val="000000"/>
              </w:rPr>
              <w:t>48.38</w:t>
            </w:r>
          </w:p>
        </w:tc>
      </w:tr>
      <w:tr w:rsidR="005B434B" w:rsidRPr="00641A01" w14:paraId="68CAF5CD" w14:textId="77777777" w:rsidTr="00A637D6">
        <w:tc>
          <w:tcPr>
            <w:tcW w:w="3258" w:type="dxa"/>
            <w:tcBorders>
              <w:top w:val="nil"/>
              <w:left w:val="nil"/>
              <w:bottom w:val="nil"/>
              <w:right w:val="nil"/>
            </w:tcBorders>
            <w:shd w:val="clear" w:color="auto" w:fill="auto"/>
            <w:noWrap/>
            <w:hideMark/>
          </w:tcPr>
          <w:p w14:paraId="6391811B" w14:textId="77777777" w:rsidR="00EE6446" w:rsidRPr="00641A01" w:rsidRDefault="00EE6446" w:rsidP="00641A01">
            <w:pPr>
              <w:spacing w:line="360" w:lineRule="auto"/>
              <w:jc w:val="center"/>
              <w:rPr>
                <w:color w:val="000000"/>
              </w:rPr>
            </w:pPr>
            <w:r w:rsidRPr="00641A01">
              <w:rPr>
                <w:color w:val="000000"/>
              </w:rPr>
              <w:t>Myanmar</w:t>
            </w:r>
          </w:p>
        </w:tc>
        <w:tc>
          <w:tcPr>
            <w:tcW w:w="1011" w:type="dxa"/>
            <w:tcBorders>
              <w:top w:val="nil"/>
              <w:left w:val="nil"/>
              <w:bottom w:val="nil"/>
              <w:right w:val="nil"/>
            </w:tcBorders>
            <w:shd w:val="clear" w:color="auto" w:fill="auto"/>
            <w:noWrap/>
            <w:hideMark/>
          </w:tcPr>
          <w:p w14:paraId="6012E3FD" w14:textId="77777777" w:rsidR="00EE6446" w:rsidRPr="00641A01" w:rsidRDefault="00EE6446" w:rsidP="00641A01">
            <w:pPr>
              <w:spacing w:line="360" w:lineRule="auto"/>
              <w:jc w:val="center"/>
              <w:rPr>
                <w:color w:val="000000"/>
              </w:rPr>
            </w:pPr>
            <w:r w:rsidRPr="00641A01">
              <w:rPr>
                <w:color w:val="000000"/>
              </w:rPr>
              <w:t>MMR</w:t>
            </w:r>
          </w:p>
        </w:tc>
        <w:tc>
          <w:tcPr>
            <w:tcW w:w="1011" w:type="dxa"/>
            <w:tcBorders>
              <w:top w:val="nil"/>
              <w:left w:val="nil"/>
              <w:bottom w:val="nil"/>
              <w:right w:val="nil"/>
            </w:tcBorders>
            <w:shd w:val="clear" w:color="auto" w:fill="auto"/>
            <w:noWrap/>
            <w:hideMark/>
          </w:tcPr>
          <w:p w14:paraId="4FC1526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684008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116231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94C616C"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62425E0C" w14:textId="77777777" w:rsidR="00EE6446" w:rsidRPr="00641A01" w:rsidRDefault="00EE6446" w:rsidP="00641A01">
            <w:pPr>
              <w:tabs>
                <w:tab w:val="decimal" w:pos="943"/>
              </w:tabs>
              <w:spacing w:line="360" w:lineRule="auto"/>
              <w:rPr>
                <w:color w:val="000000"/>
              </w:rPr>
            </w:pPr>
            <w:r w:rsidRPr="00641A01">
              <w:rPr>
                <w:color w:val="000000"/>
              </w:rPr>
              <w:t>1.64</w:t>
            </w:r>
          </w:p>
        </w:tc>
        <w:tc>
          <w:tcPr>
            <w:tcW w:w="2233" w:type="dxa"/>
            <w:tcBorders>
              <w:top w:val="nil"/>
              <w:left w:val="nil"/>
              <w:bottom w:val="nil"/>
              <w:right w:val="nil"/>
            </w:tcBorders>
            <w:shd w:val="clear" w:color="auto" w:fill="auto"/>
            <w:noWrap/>
            <w:hideMark/>
          </w:tcPr>
          <w:p w14:paraId="271EEF31" w14:textId="77777777" w:rsidR="00EE6446" w:rsidRPr="00641A01" w:rsidRDefault="00EE6446" w:rsidP="00641A01">
            <w:pPr>
              <w:tabs>
                <w:tab w:val="decimal" w:pos="943"/>
              </w:tabs>
              <w:spacing w:line="360" w:lineRule="auto"/>
              <w:rPr>
                <w:color w:val="000000"/>
              </w:rPr>
            </w:pPr>
            <w:r w:rsidRPr="00641A01">
              <w:rPr>
                <w:color w:val="000000"/>
              </w:rPr>
              <w:t>10.35</w:t>
            </w:r>
          </w:p>
        </w:tc>
      </w:tr>
      <w:tr w:rsidR="005B434B" w:rsidRPr="00641A01" w14:paraId="1F1EA66D" w14:textId="77777777" w:rsidTr="00A637D6">
        <w:tc>
          <w:tcPr>
            <w:tcW w:w="3258" w:type="dxa"/>
            <w:tcBorders>
              <w:top w:val="nil"/>
              <w:left w:val="nil"/>
              <w:bottom w:val="nil"/>
              <w:right w:val="nil"/>
            </w:tcBorders>
            <w:shd w:val="clear" w:color="auto" w:fill="auto"/>
            <w:noWrap/>
            <w:hideMark/>
          </w:tcPr>
          <w:p w14:paraId="4D44B2DB" w14:textId="77777777" w:rsidR="00EE6446" w:rsidRPr="00641A01" w:rsidRDefault="00EE6446" w:rsidP="00641A01">
            <w:pPr>
              <w:spacing w:line="360" w:lineRule="auto"/>
              <w:jc w:val="center"/>
              <w:rPr>
                <w:color w:val="000000"/>
              </w:rPr>
            </w:pPr>
            <w:r w:rsidRPr="00641A01">
              <w:rPr>
                <w:color w:val="000000"/>
              </w:rPr>
              <w:t>Montenegro</w:t>
            </w:r>
          </w:p>
        </w:tc>
        <w:tc>
          <w:tcPr>
            <w:tcW w:w="1011" w:type="dxa"/>
            <w:tcBorders>
              <w:top w:val="nil"/>
              <w:left w:val="nil"/>
              <w:bottom w:val="nil"/>
              <w:right w:val="nil"/>
            </w:tcBorders>
            <w:shd w:val="clear" w:color="auto" w:fill="auto"/>
            <w:noWrap/>
            <w:hideMark/>
          </w:tcPr>
          <w:p w14:paraId="5F8E5F49" w14:textId="77777777" w:rsidR="00EE6446" w:rsidRPr="00641A01" w:rsidRDefault="00EE6446" w:rsidP="00641A01">
            <w:pPr>
              <w:spacing w:line="360" w:lineRule="auto"/>
              <w:jc w:val="center"/>
              <w:rPr>
                <w:color w:val="000000"/>
              </w:rPr>
            </w:pPr>
            <w:r w:rsidRPr="00641A01">
              <w:rPr>
                <w:color w:val="000000"/>
              </w:rPr>
              <w:t>MNE</w:t>
            </w:r>
          </w:p>
        </w:tc>
        <w:tc>
          <w:tcPr>
            <w:tcW w:w="1011" w:type="dxa"/>
            <w:tcBorders>
              <w:top w:val="nil"/>
              <w:left w:val="nil"/>
              <w:bottom w:val="nil"/>
              <w:right w:val="nil"/>
            </w:tcBorders>
            <w:shd w:val="clear" w:color="auto" w:fill="auto"/>
            <w:noWrap/>
            <w:hideMark/>
          </w:tcPr>
          <w:p w14:paraId="73EA6AA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30A818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517F16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295FD8D"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0F2CECFB" w14:textId="77777777" w:rsidR="00EE6446" w:rsidRPr="00641A01" w:rsidRDefault="00EE6446" w:rsidP="00641A01">
            <w:pPr>
              <w:tabs>
                <w:tab w:val="decimal" w:pos="943"/>
              </w:tabs>
              <w:spacing w:line="360" w:lineRule="auto"/>
              <w:rPr>
                <w:color w:val="000000"/>
              </w:rPr>
            </w:pPr>
            <w:r w:rsidRPr="00641A01">
              <w:rPr>
                <w:color w:val="000000"/>
              </w:rPr>
              <w:t>1.96</w:t>
            </w:r>
          </w:p>
        </w:tc>
        <w:tc>
          <w:tcPr>
            <w:tcW w:w="2233" w:type="dxa"/>
            <w:tcBorders>
              <w:top w:val="nil"/>
              <w:left w:val="nil"/>
              <w:bottom w:val="nil"/>
              <w:right w:val="nil"/>
            </w:tcBorders>
            <w:shd w:val="clear" w:color="auto" w:fill="auto"/>
            <w:noWrap/>
            <w:hideMark/>
          </w:tcPr>
          <w:p w14:paraId="498C1C18" w14:textId="77777777" w:rsidR="00EE6446" w:rsidRPr="00641A01" w:rsidRDefault="00EE6446" w:rsidP="00641A01">
            <w:pPr>
              <w:tabs>
                <w:tab w:val="decimal" w:pos="943"/>
              </w:tabs>
              <w:spacing w:line="360" w:lineRule="auto"/>
              <w:rPr>
                <w:color w:val="000000"/>
              </w:rPr>
            </w:pPr>
            <w:r w:rsidRPr="00641A01">
              <w:rPr>
                <w:color w:val="000000"/>
              </w:rPr>
              <w:t>16.73</w:t>
            </w:r>
          </w:p>
        </w:tc>
      </w:tr>
      <w:tr w:rsidR="005B434B" w:rsidRPr="00641A01" w14:paraId="4BEEE699" w14:textId="77777777" w:rsidTr="00A637D6">
        <w:tc>
          <w:tcPr>
            <w:tcW w:w="3258" w:type="dxa"/>
            <w:tcBorders>
              <w:top w:val="nil"/>
              <w:left w:val="nil"/>
              <w:bottom w:val="nil"/>
              <w:right w:val="nil"/>
            </w:tcBorders>
            <w:shd w:val="clear" w:color="auto" w:fill="auto"/>
            <w:noWrap/>
            <w:hideMark/>
          </w:tcPr>
          <w:p w14:paraId="75E3780A" w14:textId="77777777" w:rsidR="00EE6446" w:rsidRPr="00641A01" w:rsidRDefault="00EE6446" w:rsidP="00641A01">
            <w:pPr>
              <w:spacing w:line="360" w:lineRule="auto"/>
              <w:jc w:val="center"/>
              <w:rPr>
                <w:color w:val="000000"/>
              </w:rPr>
            </w:pPr>
            <w:r w:rsidRPr="00641A01">
              <w:rPr>
                <w:color w:val="000000"/>
              </w:rPr>
              <w:t>Mongolia</w:t>
            </w:r>
          </w:p>
        </w:tc>
        <w:tc>
          <w:tcPr>
            <w:tcW w:w="1011" w:type="dxa"/>
            <w:tcBorders>
              <w:top w:val="nil"/>
              <w:left w:val="nil"/>
              <w:bottom w:val="nil"/>
              <w:right w:val="nil"/>
            </w:tcBorders>
            <w:shd w:val="clear" w:color="auto" w:fill="auto"/>
            <w:noWrap/>
            <w:hideMark/>
          </w:tcPr>
          <w:p w14:paraId="32810CAC" w14:textId="77777777" w:rsidR="00EE6446" w:rsidRPr="00641A01" w:rsidRDefault="00EE6446" w:rsidP="00641A01">
            <w:pPr>
              <w:spacing w:line="360" w:lineRule="auto"/>
              <w:jc w:val="center"/>
              <w:rPr>
                <w:color w:val="000000"/>
              </w:rPr>
            </w:pPr>
            <w:r w:rsidRPr="00641A01">
              <w:rPr>
                <w:color w:val="000000"/>
              </w:rPr>
              <w:t>MNG</w:t>
            </w:r>
          </w:p>
        </w:tc>
        <w:tc>
          <w:tcPr>
            <w:tcW w:w="1011" w:type="dxa"/>
            <w:tcBorders>
              <w:top w:val="nil"/>
              <w:left w:val="nil"/>
              <w:bottom w:val="nil"/>
              <w:right w:val="nil"/>
            </w:tcBorders>
            <w:shd w:val="clear" w:color="auto" w:fill="auto"/>
            <w:noWrap/>
            <w:hideMark/>
          </w:tcPr>
          <w:p w14:paraId="1BCFF1D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37D5FE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BD6085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D0B24D5"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5F90EBCC" w14:textId="77777777" w:rsidR="00EE6446" w:rsidRPr="00641A01" w:rsidRDefault="00EE6446" w:rsidP="00641A01">
            <w:pPr>
              <w:tabs>
                <w:tab w:val="decimal" w:pos="943"/>
              </w:tabs>
              <w:spacing w:line="360" w:lineRule="auto"/>
              <w:rPr>
                <w:color w:val="000000"/>
              </w:rPr>
            </w:pPr>
            <w:r w:rsidRPr="00641A01">
              <w:rPr>
                <w:color w:val="000000"/>
              </w:rPr>
              <w:t>5.57</w:t>
            </w:r>
          </w:p>
        </w:tc>
        <w:tc>
          <w:tcPr>
            <w:tcW w:w="2233" w:type="dxa"/>
            <w:tcBorders>
              <w:top w:val="nil"/>
              <w:left w:val="nil"/>
              <w:bottom w:val="nil"/>
              <w:right w:val="nil"/>
            </w:tcBorders>
            <w:shd w:val="clear" w:color="auto" w:fill="auto"/>
            <w:noWrap/>
            <w:hideMark/>
          </w:tcPr>
          <w:p w14:paraId="55B2EB04" w14:textId="77777777" w:rsidR="00EE6446" w:rsidRPr="00641A01" w:rsidRDefault="00EE6446" w:rsidP="00641A01">
            <w:pPr>
              <w:tabs>
                <w:tab w:val="decimal" w:pos="943"/>
              </w:tabs>
              <w:spacing w:line="360" w:lineRule="auto"/>
              <w:rPr>
                <w:color w:val="000000"/>
              </w:rPr>
            </w:pPr>
            <w:r w:rsidRPr="00641A01">
              <w:rPr>
                <w:color w:val="000000"/>
              </w:rPr>
              <w:t>59.91</w:t>
            </w:r>
          </w:p>
        </w:tc>
      </w:tr>
      <w:tr w:rsidR="005B434B" w:rsidRPr="00641A01" w14:paraId="78C0E000" w14:textId="77777777" w:rsidTr="00A637D6">
        <w:tc>
          <w:tcPr>
            <w:tcW w:w="3258" w:type="dxa"/>
            <w:tcBorders>
              <w:top w:val="nil"/>
              <w:left w:val="nil"/>
              <w:bottom w:val="nil"/>
              <w:right w:val="nil"/>
            </w:tcBorders>
            <w:shd w:val="clear" w:color="auto" w:fill="auto"/>
            <w:noWrap/>
            <w:hideMark/>
          </w:tcPr>
          <w:p w14:paraId="271155DF" w14:textId="77777777" w:rsidR="00EE6446" w:rsidRPr="00641A01" w:rsidRDefault="00EE6446" w:rsidP="00641A01">
            <w:pPr>
              <w:spacing w:line="360" w:lineRule="auto"/>
              <w:jc w:val="center"/>
              <w:rPr>
                <w:color w:val="000000"/>
              </w:rPr>
            </w:pPr>
            <w:r w:rsidRPr="00641A01">
              <w:rPr>
                <w:color w:val="000000"/>
              </w:rPr>
              <w:t>Mozambique</w:t>
            </w:r>
          </w:p>
        </w:tc>
        <w:tc>
          <w:tcPr>
            <w:tcW w:w="1011" w:type="dxa"/>
            <w:tcBorders>
              <w:top w:val="nil"/>
              <w:left w:val="nil"/>
              <w:bottom w:val="nil"/>
              <w:right w:val="nil"/>
            </w:tcBorders>
            <w:shd w:val="clear" w:color="auto" w:fill="auto"/>
            <w:noWrap/>
            <w:hideMark/>
          </w:tcPr>
          <w:p w14:paraId="5F182121" w14:textId="77777777" w:rsidR="00EE6446" w:rsidRPr="00641A01" w:rsidRDefault="00EE6446" w:rsidP="00641A01">
            <w:pPr>
              <w:spacing w:line="360" w:lineRule="auto"/>
              <w:jc w:val="center"/>
              <w:rPr>
                <w:color w:val="000000"/>
              </w:rPr>
            </w:pPr>
            <w:r w:rsidRPr="00641A01">
              <w:rPr>
                <w:color w:val="000000"/>
              </w:rPr>
              <w:t>MOZ</w:t>
            </w:r>
          </w:p>
        </w:tc>
        <w:tc>
          <w:tcPr>
            <w:tcW w:w="1011" w:type="dxa"/>
            <w:tcBorders>
              <w:top w:val="nil"/>
              <w:left w:val="nil"/>
              <w:bottom w:val="nil"/>
              <w:right w:val="nil"/>
            </w:tcBorders>
            <w:shd w:val="clear" w:color="auto" w:fill="auto"/>
            <w:noWrap/>
            <w:hideMark/>
          </w:tcPr>
          <w:p w14:paraId="3BBBD60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00E27E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A1E8C1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0F0EB6D"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6584A0B8" w14:textId="77777777" w:rsidR="00EE6446" w:rsidRPr="00641A01" w:rsidRDefault="00EE6446" w:rsidP="00641A01">
            <w:pPr>
              <w:tabs>
                <w:tab w:val="decimal" w:pos="943"/>
              </w:tabs>
              <w:spacing w:line="360" w:lineRule="auto"/>
              <w:rPr>
                <w:color w:val="000000"/>
              </w:rPr>
            </w:pPr>
            <w:r w:rsidRPr="00641A01">
              <w:rPr>
                <w:color w:val="000000"/>
              </w:rPr>
              <w:t>4.08</w:t>
            </w:r>
          </w:p>
        </w:tc>
        <w:tc>
          <w:tcPr>
            <w:tcW w:w="2233" w:type="dxa"/>
            <w:tcBorders>
              <w:top w:val="nil"/>
              <w:left w:val="nil"/>
              <w:bottom w:val="nil"/>
              <w:right w:val="nil"/>
            </w:tcBorders>
            <w:shd w:val="clear" w:color="auto" w:fill="auto"/>
            <w:noWrap/>
            <w:hideMark/>
          </w:tcPr>
          <w:p w14:paraId="2C1690E1" w14:textId="77777777" w:rsidR="00EE6446" w:rsidRPr="00641A01" w:rsidRDefault="00EE6446" w:rsidP="00641A01">
            <w:pPr>
              <w:tabs>
                <w:tab w:val="decimal" w:pos="943"/>
              </w:tabs>
              <w:spacing w:line="360" w:lineRule="auto"/>
              <w:rPr>
                <w:color w:val="000000"/>
              </w:rPr>
            </w:pPr>
            <w:r w:rsidRPr="00641A01">
              <w:rPr>
                <w:color w:val="000000"/>
              </w:rPr>
              <w:t>41.16</w:t>
            </w:r>
          </w:p>
        </w:tc>
      </w:tr>
      <w:tr w:rsidR="005B434B" w:rsidRPr="00641A01" w14:paraId="5F411840" w14:textId="77777777" w:rsidTr="00A637D6">
        <w:tc>
          <w:tcPr>
            <w:tcW w:w="3258" w:type="dxa"/>
            <w:tcBorders>
              <w:top w:val="nil"/>
              <w:left w:val="nil"/>
              <w:bottom w:val="nil"/>
              <w:right w:val="nil"/>
            </w:tcBorders>
            <w:shd w:val="clear" w:color="auto" w:fill="auto"/>
            <w:noWrap/>
            <w:hideMark/>
          </w:tcPr>
          <w:p w14:paraId="1A5E5F28" w14:textId="77777777" w:rsidR="00EE6446" w:rsidRPr="00641A01" w:rsidRDefault="00EE6446" w:rsidP="00641A01">
            <w:pPr>
              <w:spacing w:line="360" w:lineRule="auto"/>
              <w:jc w:val="center"/>
              <w:rPr>
                <w:color w:val="000000"/>
              </w:rPr>
            </w:pPr>
            <w:r w:rsidRPr="00641A01">
              <w:rPr>
                <w:color w:val="000000"/>
              </w:rPr>
              <w:t>Mauritania</w:t>
            </w:r>
          </w:p>
        </w:tc>
        <w:tc>
          <w:tcPr>
            <w:tcW w:w="1011" w:type="dxa"/>
            <w:tcBorders>
              <w:top w:val="nil"/>
              <w:left w:val="nil"/>
              <w:bottom w:val="nil"/>
              <w:right w:val="nil"/>
            </w:tcBorders>
            <w:shd w:val="clear" w:color="auto" w:fill="auto"/>
            <w:noWrap/>
            <w:hideMark/>
          </w:tcPr>
          <w:p w14:paraId="31753E73" w14:textId="77777777" w:rsidR="00EE6446" w:rsidRPr="00641A01" w:rsidRDefault="00EE6446" w:rsidP="00641A01">
            <w:pPr>
              <w:spacing w:line="360" w:lineRule="auto"/>
              <w:jc w:val="center"/>
              <w:rPr>
                <w:color w:val="000000"/>
              </w:rPr>
            </w:pPr>
            <w:r w:rsidRPr="00641A01">
              <w:rPr>
                <w:color w:val="000000"/>
              </w:rPr>
              <w:t>MRT</w:t>
            </w:r>
          </w:p>
        </w:tc>
        <w:tc>
          <w:tcPr>
            <w:tcW w:w="1011" w:type="dxa"/>
            <w:tcBorders>
              <w:top w:val="nil"/>
              <w:left w:val="nil"/>
              <w:bottom w:val="nil"/>
              <w:right w:val="nil"/>
            </w:tcBorders>
            <w:shd w:val="clear" w:color="auto" w:fill="auto"/>
            <w:noWrap/>
            <w:hideMark/>
          </w:tcPr>
          <w:p w14:paraId="79E98F1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023C3A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7164E4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DC543B2"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53C2D7F5" w14:textId="77777777" w:rsidR="00EE6446" w:rsidRPr="00641A01" w:rsidRDefault="00EE6446" w:rsidP="00641A01">
            <w:pPr>
              <w:tabs>
                <w:tab w:val="decimal" w:pos="943"/>
              </w:tabs>
              <w:spacing w:line="360" w:lineRule="auto"/>
              <w:rPr>
                <w:color w:val="000000"/>
              </w:rPr>
            </w:pPr>
            <w:r w:rsidRPr="00641A01">
              <w:rPr>
                <w:color w:val="000000"/>
              </w:rPr>
              <w:t>1.06</w:t>
            </w:r>
          </w:p>
        </w:tc>
        <w:tc>
          <w:tcPr>
            <w:tcW w:w="2233" w:type="dxa"/>
            <w:tcBorders>
              <w:top w:val="nil"/>
              <w:left w:val="nil"/>
              <w:bottom w:val="nil"/>
              <w:right w:val="nil"/>
            </w:tcBorders>
            <w:shd w:val="clear" w:color="auto" w:fill="auto"/>
            <w:noWrap/>
            <w:hideMark/>
          </w:tcPr>
          <w:p w14:paraId="74E3B91A" w14:textId="77777777" w:rsidR="00EE6446" w:rsidRPr="00641A01" w:rsidRDefault="00EE6446" w:rsidP="00641A01">
            <w:pPr>
              <w:tabs>
                <w:tab w:val="decimal" w:pos="943"/>
              </w:tabs>
              <w:spacing w:line="360" w:lineRule="auto"/>
              <w:rPr>
                <w:color w:val="000000"/>
              </w:rPr>
            </w:pPr>
            <w:r w:rsidRPr="00641A01">
              <w:rPr>
                <w:color w:val="000000"/>
              </w:rPr>
              <w:t>14.08</w:t>
            </w:r>
          </w:p>
        </w:tc>
      </w:tr>
      <w:tr w:rsidR="005B434B" w:rsidRPr="00641A01" w14:paraId="108C8E85" w14:textId="77777777" w:rsidTr="00A637D6">
        <w:tc>
          <w:tcPr>
            <w:tcW w:w="3258" w:type="dxa"/>
            <w:tcBorders>
              <w:top w:val="nil"/>
              <w:left w:val="nil"/>
              <w:bottom w:val="nil"/>
              <w:right w:val="nil"/>
            </w:tcBorders>
            <w:shd w:val="clear" w:color="auto" w:fill="auto"/>
            <w:noWrap/>
            <w:hideMark/>
          </w:tcPr>
          <w:p w14:paraId="5F4C2830" w14:textId="77777777" w:rsidR="00EE6446" w:rsidRPr="00641A01" w:rsidRDefault="00EE6446" w:rsidP="00641A01">
            <w:pPr>
              <w:spacing w:line="360" w:lineRule="auto"/>
              <w:jc w:val="center"/>
              <w:rPr>
                <w:color w:val="000000"/>
              </w:rPr>
            </w:pPr>
            <w:r w:rsidRPr="00641A01">
              <w:rPr>
                <w:color w:val="000000"/>
              </w:rPr>
              <w:t>Mauritius</w:t>
            </w:r>
          </w:p>
        </w:tc>
        <w:tc>
          <w:tcPr>
            <w:tcW w:w="1011" w:type="dxa"/>
            <w:tcBorders>
              <w:top w:val="nil"/>
              <w:left w:val="nil"/>
              <w:bottom w:val="nil"/>
              <w:right w:val="nil"/>
            </w:tcBorders>
            <w:shd w:val="clear" w:color="auto" w:fill="auto"/>
            <w:noWrap/>
            <w:hideMark/>
          </w:tcPr>
          <w:p w14:paraId="07AEAA95" w14:textId="77777777" w:rsidR="00EE6446" w:rsidRPr="00641A01" w:rsidRDefault="00EE6446" w:rsidP="00641A01">
            <w:pPr>
              <w:spacing w:line="360" w:lineRule="auto"/>
              <w:jc w:val="center"/>
              <w:rPr>
                <w:color w:val="000000"/>
              </w:rPr>
            </w:pPr>
            <w:r w:rsidRPr="00641A01">
              <w:rPr>
                <w:color w:val="000000"/>
              </w:rPr>
              <w:t>MUS</w:t>
            </w:r>
          </w:p>
        </w:tc>
        <w:tc>
          <w:tcPr>
            <w:tcW w:w="1011" w:type="dxa"/>
            <w:tcBorders>
              <w:top w:val="nil"/>
              <w:left w:val="nil"/>
              <w:bottom w:val="nil"/>
              <w:right w:val="nil"/>
            </w:tcBorders>
            <w:shd w:val="clear" w:color="auto" w:fill="auto"/>
            <w:noWrap/>
            <w:hideMark/>
          </w:tcPr>
          <w:p w14:paraId="52D2D43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D253E9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8E0030D"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4E1C07E"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43A29982" w14:textId="77777777" w:rsidR="00EE6446" w:rsidRPr="00641A01" w:rsidRDefault="00EE6446" w:rsidP="00641A01">
            <w:pPr>
              <w:tabs>
                <w:tab w:val="decimal" w:pos="943"/>
              </w:tabs>
              <w:spacing w:line="360" w:lineRule="auto"/>
              <w:rPr>
                <w:color w:val="000000"/>
              </w:rPr>
            </w:pPr>
            <w:r w:rsidRPr="00641A01">
              <w:rPr>
                <w:color w:val="000000"/>
              </w:rPr>
              <w:t>4.02</w:t>
            </w:r>
          </w:p>
        </w:tc>
        <w:tc>
          <w:tcPr>
            <w:tcW w:w="2233" w:type="dxa"/>
            <w:tcBorders>
              <w:top w:val="nil"/>
              <w:left w:val="nil"/>
              <w:bottom w:val="nil"/>
              <w:right w:val="nil"/>
            </w:tcBorders>
            <w:shd w:val="clear" w:color="auto" w:fill="auto"/>
            <w:noWrap/>
            <w:hideMark/>
          </w:tcPr>
          <w:p w14:paraId="4FE7F41B" w14:textId="77777777" w:rsidR="00EE6446" w:rsidRPr="00641A01" w:rsidRDefault="00EE6446" w:rsidP="00641A01">
            <w:pPr>
              <w:tabs>
                <w:tab w:val="decimal" w:pos="943"/>
              </w:tabs>
              <w:spacing w:line="360" w:lineRule="auto"/>
              <w:rPr>
                <w:color w:val="000000"/>
              </w:rPr>
            </w:pPr>
            <w:r w:rsidRPr="00641A01">
              <w:rPr>
                <w:color w:val="000000"/>
              </w:rPr>
              <w:t>29.45</w:t>
            </w:r>
          </w:p>
        </w:tc>
      </w:tr>
      <w:tr w:rsidR="005B434B" w:rsidRPr="00641A01" w14:paraId="655ED624" w14:textId="77777777" w:rsidTr="00A637D6">
        <w:tc>
          <w:tcPr>
            <w:tcW w:w="3258" w:type="dxa"/>
            <w:tcBorders>
              <w:top w:val="nil"/>
              <w:left w:val="nil"/>
              <w:bottom w:val="nil"/>
              <w:right w:val="nil"/>
            </w:tcBorders>
            <w:shd w:val="clear" w:color="auto" w:fill="auto"/>
            <w:noWrap/>
            <w:hideMark/>
          </w:tcPr>
          <w:p w14:paraId="7B444E91" w14:textId="77777777" w:rsidR="00EE6446" w:rsidRPr="00641A01" w:rsidRDefault="00EE6446" w:rsidP="00641A01">
            <w:pPr>
              <w:spacing w:line="360" w:lineRule="auto"/>
              <w:jc w:val="center"/>
              <w:rPr>
                <w:color w:val="000000"/>
              </w:rPr>
            </w:pPr>
            <w:r w:rsidRPr="00641A01">
              <w:rPr>
                <w:color w:val="000000"/>
              </w:rPr>
              <w:t>Malawi</w:t>
            </w:r>
          </w:p>
        </w:tc>
        <w:tc>
          <w:tcPr>
            <w:tcW w:w="1011" w:type="dxa"/>
            <w:tcBorders>
              <w:top w:val="nil"/>
              <w:left w:val="nil"/>
              <w:bottom w:val="nil"/>
              <w:right w:val="nil"/>
            </w:tcBorders>
            <w:shd w:val="clear" w:color="auto" w:fill="auto"/>
            <w:noWrap/>
            <w:hideMark/>
          </w:tcPr>
          <w:p w14:paraId="0687111B" w14:textId="77777777" w:rsidR="00EE6446" w:rsidRPr="00641A01" w:rsidRDefault="00EE6446" w:rsidP="00641A01">
            <w:pPr>
              <w:spacing w:line="360" w:lineRule="auto"/>
              <w:jc w:val="center"/>
              <w:rPr>
                <w:color w:val="000000"/>
              </w:rPr>
            </w:pPr>
            <w:r w:rsidRPr="00641A01">
              <w:rPr>
                <w:color w:val="000000"/>
              </w:rPr>
              <w:t>MWI</w:t>
            </w:r>
          </w:p>
        </w:tc>
        <w:tc>
          <w:tcPr>
            <w:tcW w:w="1011" w:type="dxa"/>
            <w:tcBorders>
              <w:top w:val="nil"/>
              <w:left w:val="nil"/>
              <w:bottom w:val="nil"/>
              <w:right w:val="nil"/>
            </w:tcBorders>
            <w:shd w:val="clear" w:color="auto" w:fill="auto"/>
            <w:noWrap/>
            <w:hideMark/>
          </w:tcPr>
          <w:p w14:paraId="06A7F92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0EE7F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E51C6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B7EC3FB"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193128A3" w14:textId="77777777" w:rsidR="00EE6446" w:rsidRPr="00641A01" w:rsidRDefault="00EE6446" w:rsidP="00641A01">
            <w:pPr>
              <w:tabs>
                <w:tab w:val="decimal" w:pos="943"/>
              </w:tabs>
              <w:spacing w:line="360" w:lineRule="auto"/>
              <w:rPr>
                <w:color w:val="000000"/>
              </w:rPr>
            </w:pPr>
            <w:r w:rsidRPr="00641A01">
              <w:rPr>
                <w:color w:val="000000"/>
              </w:rPr>
              <w:t>4.98</w:t>
            </w:r>
          </w:p>
        </w:tc>
        <w:tc>
          <w:tcPr>
            <w:tcW w:w="2233" w:type="dxa"/>
            <w:tcBorders>
              <w:top w:val="nil"/>
              <w:left w:val="nil"/>
              <w:bottom w:val="nil"/>
              <w:right w:val="nil"/>
            </w:tcBorders>
            <w:shd w:val="clear" w:color="auto" w:fill="auto"/>
            <w:noWrap/>
            <w:hideMark/>
          </w:tcPr>
          <w:p w14:paraId="0DF0AE63" w14:textId="77777777" w:rsidR="00EE6446" w:rsidRPr="00641A01" w:rsidRDefault="00EE6446" w:rsidP="00641A01">
            <w:pPr>
              <w:tabs>
                <w:tab w:val="decimal" w:pos="943"/>
              </w:tabs>
              <w:spacing w:line="360" w:lineRule="auto"/>
              <w:rPr>
                <w:color w:val="000000"/>
              </w:rPr>
            </w:pPr>
            <w:r w:rsidRPr="00641A01">
              <w:rPr>
                <w:color w:val="000000"/>
              </w:rPr>
              <w:t>50.79</w:t>
            </w:r>
          </w:p>
        </w:tc>
      </w:tr>
      <w:tr w:rsidR="005B434B" w:rsidRPr="00641A01" w14:paraId="2A76E6EC" w14:textId="77777777" w:rsidTr="00A637D6">
        <w:tc>
          <w:tcPr>
            <w:tcW w:w="3258" w:type="dxa"/>
            <w:tcBorders>
              <w:top w:val="nil"/>
              <w:left w:val="nil"/>
              <w:bottom w:val="nil"/>
              <w:right w:val="nil"/>
            </w:tcBorders>
            <w:shd w:val="clear" w:color="auto" w:fill="auto"/>
            <w:noWrap/>
            <w:hideMark/>
          </w:tcPr>
          <w:p w14:paraId="024A1C8A" w14:textId="77777777" w:rsidR="00EE6446" w:rsidRPr="00641A01" w:rsidRDefault="00EE6446" w:rsidP="00641A01">
            <w:pPr>
              <w:spacing w:line="360" w:lineRule="auto"/>
              <w:jc w:val="center"/>
              <w:rPr>
                <w:color w:val="000000"/>
              </w:rPr>
            </w:pPr>
            <w:r w:rsidRPr="00641A01">
              <w:rPr>
                <w:color w:val="000000"/>
              </w:rPr>
              <w:t>Malaysia</w:t>
            </w:r>
          </w:p>
        </w:tc>
        <w:tc>
          <w:tcPr>
            <w:tcW w:w="1011" w:type="dxa"/>
            <w:tcBorders>
              <w:top w:val="nil"/>
              <w:left w:val="nil"/>
              <w:bottom w:val="nil"/>
              <w:right w:val="nil"/>
            </w:tcBorders>
            <w:shd w:val="clear" w:color="auto" w:fill="auto"/>
            <w:noWrap/>
            <w:hideMark/>
          </w:tcPr>
          <w:p w14:paraId="70359E77" w14:textId="77777777" w:rsidR="00EE6446" w:rsidRPr="00641A01" w:rsidRDefault="00EE6446" w:rsidP="00641A01">
            <w:pPr>
              <w:spacing w:line="360" w:lineRule="auto"/>
              <w:jc w:val="center"/>
              <w:rPr>
                <w:color w:val="000000"/>
              </w:rPr>
            </w:pPr>
            <w:r w:rsidRPr="00641A01">
              <w:rPr>
                <w:color w:val="000000"/>
              </w:rPr>
              <w:t>MYS</w:t>
            </w:r>
          </w:p>
        </w:tc>
        <w:tc>
          <w:tcPr>
            <w:tcW w:w="1011" w:type="dxa"/>
            <w:tcBorders>
              <w:top w:val="nil"/>
              <w:left w:val="nil"/>
              <w:bottom w:val="nil"/>
              <w:right w:val="nil"/>
            </w:tcBorders>
            <w:shd w:val="clear" w:color="auto" w:fill="auto"/>
            <w:noWrap/>
            <w:hideMark/>
          </w:tcPr>
          <w:p w14:paraId="540D2E3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8B410C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EF3D59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B54F583"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55B9AA1" w14:textId="77777777" w:rsidR="00EE6446" w:rsidRPr="00641A01" w:rsidRDefault="00EE6446" w:rsidP="00641A01">
            <w:pPr>
              <w:tabs>
                <w:tab w:val="decimal" w:pos="943"/>
              </w:tabs>
              <w:spacing w:line="360" w:lineRule="auto"/>
              <w:rPr>
                <w:color w:val="000000"/>
              </w:rPr>
            </w:pPr>
            <w:r w:rsidRPr="00641A01">
              <w:rPr>
                <w:color w:val="000000"/>
              </w:rPr>
              <w:t>3.56</w:t>
            </w:r>
          </w:p>
        </w:tc>
        <w:tc>
          <w:tcPr>
            <w:tcW w:w="2233" w:type="dxa"/>
            <w:tcBorders>
              <w:top w:val="nil"/>
              <w:left w:val="nil"/>
              <w:bottom w:val="nil"/>
              <w:right w:val="nil"/>
            </w:tcBorders>
            <w:shd w:val="clear" w:color="auto" w:fill="auto"/>
            <w:noWrap/>
            <w:hideMark/>
          </w:tcPr>
          <w:p w14:paraId="2647C5AB" w14:textId="77777777" w:rsidR="00EE6446" w:rsidRPr="00641A01" w:rsidRDefault="00EE6446" w:rsidP="00641A01">
            <w:pPr>
              <w:tabs>
                <w:tab w:val="decimal" w:pos="943"/>
              </w:tabs>
              <w:spacing w:line="360" w:lineRule="auto"/>
              <w:rPr>
                <w:color w:val="000000"/>
              </w:rPr>
            </w:pPr>
            <w:r w:rsidRPr="00641A01">
              <w:rPr>
                <w:color w:val="000000"/>
              </w:rPr>
              <w:t>43.27</w:t>
            </w:r>
          </w:p>
        </w:tc>
      </w:tr>
      <w:tr w:rsidR="005B434B" w:rsidRPr="00641A01" w14:paraId="2FD7A520" w14:textId="77777777" w:rsidTr="00A637D6">
        <w:tc>
          <w:tcPr>
            <w:tcW w:w="3258" w:type="dxa"/>
            <w:tcBorders>
              <w:top w:val="nil"/>
              <w:left w:val="nil"/>
              <w:bottom w:val="nil"/>
              <w:right w:val="nil"/>
            </w:tcBorders>
            <w:shd w:val="clear" w:color="auto" w:fill="auto"/>
            <w:noWrap/>
            <w:hideMark/>
          </w:tcPr>
          <w:p w14:paraId="2E85AF3F" w14:textId="77777777" w:rsidR="00EE6446" w:rsidRPr="00641A01" w:rsidRDefault="00EE6446" w:rsidP="00641A01">
            <w:pPr>
              <w:spacing w:line="360" w:lineRule="auto"/>
              <w:jc w:val="center"/>
              <w:rPr>
                <w:color w:val="000000"/>
              </w:rPr>
            </w:pPr>
            <w:r w:rsidRPr="00641A01">
              <w:rPr>
                <w:color w:val="000000"/>
              </w:rPr>
              <w:t>Namibia</w:t>
            </w:r>
          </w:p>
        </w:tc>
        <w:tc>
          <w:tcPr>
            <w:tcW w:w="1011" w:type="dxa"/>
            <w:tcBorders>
              <w:top w:val="nil"/>
              <w:left w:val="nil"/>
              <w:bottom w:val="nil"/>
              <w:right w:val="nil"/>
            </w:tcBorders>
            <w:shd w:val="clear" w:color="auto" w:fill="auto"/>
            <w:noWrap/>
            <w:hideMark/>
          </w:tcPr>
          <w:p w14:paraId="59A0D09D" w14:textId="77777777" w:rsidR="00EE6446" w:rsidRPr="00641A01" w:rsidRDefault="00EE6446" w:rsidP="00641A01">
            <w:pPr>
              <w:spacing w:line="360" w:lineRule="auto"/>
              <w:jc w:val="center"/>
              <w:rPr>
                <w:color w:val="000000"/>
              </w:rPr>
            </w:pPr>
            <w:r w:rsidRPr="00641A01">
              <w:rPr>
                <w:color w:val="000000"/>
              </w:rPr>
              <w:t>NAM</w:t>
            </w:r>
          </w:p>
        </w:tc>
        <w:tc>
          <w:tcPr>
            <w:tcW w:w="1011" w:type="dxa"/>
            <w:tcBorders>
              <w:top w:val="nil"/>
              <w:left w:val="nil"/>
              <w:bottom w:val="nil"/>
              <w:right w:val="nil"/>
            </w:tcBorders>
            <w:shd w:val="clear" w:color="auto" w:fill="auto"/>
            <w:noWrap/>
            <w:hideMark/>
          </w:tcPr>
          <w:p w14:paraId="096FF0E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678930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AAE0CB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22BEFFB"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6AA21592" w14:textId="77777777" w:rsidR="00EE6446" w:rsidRPr="00641A01" w:rsidRDefault="00EE6446" w:rsidP="00641A01">
            <w:pPr>
              <w:tabs>
                <w:tab w:val="decimal" w:pos="943"/>
              </w:tabs>
              <w:spacing w:line="360" w:lineRule="auto"/>
              <w:rPr>
                <w:color w:val="000000"/>
              </w:rPr>
            </w:pPr>
            <w:r w:rsidRPr="00641A01">
              <w:rPr>
                <w:color w:val="000000"/>
              </w:rPr>
              <w:t>6.03</w:t>
            </w:r>
          </w:p>
        </w:tc>
        <w:tc>
          <w:tcPr>
            <w:tcW w:w="2233" w:type="dxa"/>
            <w:tcBorders>
              <w:top w:val="nil"/>
              <w:left w:val="nil"/>
              <w:bottom w:val="nil"/>
              <w:right w:val="nil"/>
            </w:tcBorders>
            <w:shd w:val="clear" w:color="auto" w:fill="auto"/>
            <w:noWrap/>
            <w:hideMark/>
          </w:tcPr>
          <w:p w14:paraId="67227461" w14:textId="77777777" w:rsidR="00EE6446" w:rsidRPr="00641A01" w:rsidRDefault="00EE6446" w:rsidP="00641A01">
            <w:pPr>
              <w:tabs>
                <w:tab w:val="decimal" w:pos="943"/>
              </w:tabs>
              <w:spacing w:line="360" w:lineRule="auto"/>
              <w:rPr>
                <w:color w:val="000000"/>
              </w:rPr>
            </w:pPr>
            <w:r w:rsidRPr="00641A01">
              <w:rPr>
                <w:color w:val="000000"/>
              </w:rPr>
              <w:t>56.27</w:t>
            </w:r>
          </w:p>
        </w:tc>
      </w:tr>
      <w:tr w:rsidR="005B434B" w:rsidRPr="00641A01" w14:paraId="7D46374B" w14:textId="77777777" w:rsidTr="00A637D6">
        <w:tc>
          <w:tcPr>
            <w:tcW w:w="3258" w:type="dxa"/>
            <w:tcBorders>
              <w:top w:val="nil"/>
              <w:left w:val="nil"/>
              <w:bottom w:val="nil"/>
              <w:right w:val="nil"/>
            </w:tcBorders>
            <w:shd w:val="clear" w:color="auto" w:fill="auto"/>
            <w:noWrap/>
            <w:hideMark/>
          </w:tcPr>
          <w:p w14:paraId="7EE68813" w14:textId="77777777" w:rsidR="00EE6446" w:rsidRPr="00641A01" w:rsidRDefault="00EE6446" w:rsidP="00641A01">
            <w:pPr>
              <w:spacing w:line="360" w:lineRule="auto"/>
              <w:jc w:val="center"/>
              <w:rPr>
                <w:color w:val="000000"/>
              </w:rPr>
            </w:pPr>
            <w:r w:rsidRPr="00641A01">
              <w:rPr>
                <w:color w:val="000000"/>
              </w:rPr>
              <w:t>Niger</w:t>
            </w:r>
          </w:p>
        </w:tc>
        <w:tc>
          <w:tcPr>
            <w:tcW w:w="1011" w:type="dxa"/>
            <w:tcBorders>
              <w:top w:val="nil"/>
              <w:left w:val="nil"/>
              <w:bottom w:val="nil"/>
              <w:right w:val="nil"/>
            </w:tcBorders>
            <w:shd w:val="clear" w:color="auto" w:fill="auto"/>
            <w:noWrap/>
            <w:hideMark/>
          </w:tcPr>
          <w:p w14:paraId="6CFF3DBB" w14:textId="77777777" w:rsidR="00EE6446" w:rsidRPr="00641A01" w:rsidRDefault="00EE6446" w:rsidP="00641A01">
            <w:pPr>
              <w:spacing w:line="360" w:lineRule="auto"/>
              <w:jc w:val="center"/>
              <w:rPr>
                <w:color w:val="000000"/>
              </w:rPr>
            </w:pPr>
            <w:r w:rsidRPr="00641A01">
              <w:rPr>
                <w:color w:val="000000"/>
              </w:rPr>
              <w:t>NER</w:t>
            </w:r>
          </w:p>
        </w:tc>
        <w:tc>
          <w:tcPr>
            <w:tcW w:w="1011" w:type="dxa"/>
            <w:tcBorders>
              <w:top w:val="nil"/>
              <w:left w:val="nil"/>
              <w:bottom w:val="nil"/>
              <w:right w:val="nil"/>
            </w:tcBorders>
            <w:shd w:val="clear" w:color="auto" w:fill="auto"/>
            <w:noWrap/>
            <w:hideMark/>
          </w:tcPr>
          <w:p w14:paraId="16F0207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519BCD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76D33A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363816E"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2B694B27" w14:textId="77777777" w:rsidR="00EE6446" w:rsidRPr="00641A01" w:rsidRDefault="00EE6446" w:rsidP="00641A01">
            <w:pPr>
              <w:tabs>
                <w:tab w:val="decimal" w:pos="943"/>
              </w:tabs>
              <w:spacing w:line="360" w:lineRule="auto"/>
              <w:rPr>
                <w:color w:val="000000"/>
              </w:rPr>
            </w:pPr>
            <w:r w:rsidRPr="00641A01">
              <w:rPr>
                <w:color w:val="000000"/>
              </w:rPr>
              <w:t>1.50</w:t>
            </w:r>
          </w:p>
        </w:tc>
        <w:tc>
          <w:tcPr>
            <w:tcW w:w="2233" w:type="dxa"/>
            <w:tcBorders>
              <w:top w:val="nil"/>
              <w:left w:val="nil"/>
              <w:bottom w:val="nil"/>
              <w:right w:val="nil"/>
            </w:tcBorders>
            <w:shd w:val="clear" w:color="auto" w:fill="auto"/>
            <w:noWrap/>
            <w:hideMark/>
          </w:tcPr>
          <w:p w14:paraId="0174EA1E" w14:textId="77777777" w:rsidR="00EE6446" w:rsidRPr="00641A01" w:rsidRDefault="00EE6446" w:rsidP="00641A01">
            <w:pPr>
              <w:tabs>
                <w:tab w:val="decimal" w:pos="943"/>
              </w:tabs>
              <w:spacing w:line="360" w:lineRule="auto"/>
              <w:rPr>
                <w:color w:val="000000"/>
              </w:rPr>
            </w:pPr>
            <w:r w:rsidRPr="00641A01">
              <w:rPr>
                <w:color w:val="000000"/>
              </w:rPr>
              <w:t>27.67</w:t>
            </w:r>
          </w:p>
        </w:tc>
      </w:tr>
      <w:tr w:rsidR="005B434B" w:rsidRPr="00641A01" w14:paraId="599E80EA" w14:textId="77777777" w:rsidTr="00A637D6">
        <w:tc>
          <w:tcPr>
            <w:tcW w:w="3258" w:type="dxa"/>
            <w:tcBorders>
              <w:top w:val="nil"/>
              <w:left w:val="nil"/>
              <w:bottom w:val="nil"/>
              <w:right w:val="nil"/>
            </w:tcBorders>
            <w:shd w:val="clear" w:color="auto" w:fill="auto"/>
            <w:noWrap/>
            <w:hideMark/>
          </w:tcPr>
          <w:p w14:paraId="09C43382" w14:textId="77777777" w:rsidR="00EE6446" w:rsidRPr="00641A01" w:rsidRDefault="00EE6446" w:rsidP="00641A01">
            <w:pPr>
              <w:spacing w:line="360" w:lineRule="auto"/>
              <w:jc w:val="center"/>
              <w:rPr>
                <w:color w:val="000000"/>
              </w:rPr>
            </w:pPr>
            <w:r w:rsidRPr="00641A01">
              <w:rPr>
                <w:color w:val="000000"/>
              </w:rPr>
              <w:t>Nigeria</w:t>
            </w:r>
          </w:p>
        </w:tc>
        <w:tc>
          <w:tcPr>
            <w:tcW w:w="1011" w:type="dxa"/>
            <w:tcBorders>
              <w:top w:val="nil"/>
              <w:left w:val="nil"/>
              <w:bottom w:val="nil"/>
              <w:right w:val="nil"/>
            </w:tcBorders>
            <w:shd w:val="clear" w:color="auto" w:fill="auto"/>
            <w:noWrap/>
            <w:hideMark/>
          </w:tcPr>
          <w:p w14:paraId="46F8B999" w14:textId="77777777" w:rsidR="00EE6446" w:rsidRPr="00641A01" w:rsidRDefault="00EE6446" w:rsidP="00641A01">
            <w:pPr>
              <w:spacing w:line="360" w:lineRule="auto"/>
              <w:jc w:val="center"/>
              <w:rPr>
                <w:color w:val="000000"/>
              </w:rPr>
            </w:pPr>
            <w:r w:rsidRPr="00641A01">
              <w:rPr>
                <w:color w:val="000000"/>
              </w:rPr>
              <w:t>NGA</w:t>
            </w:r>
          </w:p>
        </w:tc>
        <w:tc>
          <w:tcPr>
            <w:tcW w:w="1011" w:type="dxa"/>
            <w:tcBorders>
              <w:top w:val="nil"/>
              <w:left w:val="nil"/>
              <w:bottom w:val="nil"/>
              <w:right w:val="nil"/>
            </w:tcBorders>
            <w:shd w:val="clear" w:color="auto" w:fill="auto"/>
            <w:noWrap/>
            <w:hideMark/>
          </w:tcPr>
          <w:p w14:paraId="4EF5055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8DA9D8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5D9B2A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BA7D1D6"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2029F3C8" w14:textId="77777777" w:rsidR="00EE6446" w:rsidRPr="00641A01" w:rsidRDefault="00EE6446" w:rsidP="00641A01">
            <w:pPr>
              <w:tabs>
                <w:tab w:val="decimal" w:pos="943"/>
              </w:tabs>
              <w:spacing w:line="360" w:lineRule="auto"/>
              <w:rPr>
                <w:color w:val="000000"/>
              </w:rPr>
            </w:pPr>
            <w:r w:rsidRPr="00641A01">
              <w:rPr>
                <w:color w:val="000000"/>
              </w:rPr>
              <w:t>1.47</w:t>
            </w:r>
          </w:p>
        </w:tc>
        <w:tc>
          <w:tcPr>
            <w:tcW w:w="2233" w:type="dxa"/>
            <w:tcBorders>
              <w:top w:val="nil"/>
              <w:left w:val="nil"/>
              <w:bottom w:val="nil"/>
              <w:right w:val="nil"/>
            </w:tcBorders>
            <w:shd w:val="clear" w:color="auto" w:fill="auto"/>
            <w:noWrap/>
            <w:hideMark/>
          </w:tcPr>
          <w:p w14:paraId="047A0F02" w14:textId="77777777" w:rsidR="00EE6446" w:rsidRPr="00641A01" w:rsidRDefault="00EE6446" w:rsidP="00641A01">
            <w:pPr>
              <w:tabs>
                <w:tab w:val="decimal" w:pos="943"/>
              </w:tabs>
              <w:spacing w:line="360" w:lineRule="auto"/>
              <w:rPr>
                <w:color w:val="000000"/>
              </w:rPr>
            </w:pPr>
            <w:r w:rsidRPr="00641A01">
              <w:rPr>
                <w:color w:val="000000"/>
              </w:rPr>
              <w:t>10.28</w:t>
            </w:r>
          </w:p>
        </w:tc>
      </w:tr>
      <w:tr w:rsidR="005B434B" w:rsidRPr="00641A01" w14:paraId="4BEB4CDD" w14:textId="77777777" w:rsidTr="00A637D6">
        <w:tc>
          <w:tcPr>
            <w:tcW w:w="3258" w:type="dxa"/>
            <w:tcBorders>
              <w:top w:val="nil"/>
              <w:left w:val="nil"/>
              <w:bottom w:val="nil"/>
              <w:right w:val="nil"/>
            </w:tcBorders>
            <w:shd w:val="clear" w:color="auto" w:fill="auto"/>
            <w:noWrap/>
            <w:hideMark/>
          </w:tcPr>
          <w:p w14:paraId="30C46BE6" w14:textId="77777777" w:rsidR="00EE6446" w:rsidRPr="00641A01" w:rsidRDefault="00EE6446" w:rsidP="00641A01">
            <w:pPr>
              <w:spacing w:line="360" w:lineRule="auto"/>
              <w:jc w:val="center"/>
              <w:rPr>
                <w:color w:val="000000"/>
              </w:rPr>
            </w:pPr>
            <w:r w:rsidRPr="00641A01">
              <w:rPr>
                <w:color w:val="000000"/>
              </w:rPr>
              <w:t>Nicaragua</w:t>
            </w:r>
          </w:p>
        </w:tc>
        <w:tc>
          <w:tcPr>
            <w:tcW w:w="1011" w:type="dxa"/>
            <w:tcBorders>
              <w:top w:val="nil"/>
              <w:left w:val="nil"/>
              <w:bottom w:val="nil"/>
              <w:right w:val="nil"/>
            </w:tcBorders>
            <w:shd w:val="clear" w:color="auto" w:fill="auto"/>
            <w:noWrap/>
            <w:hideMark/>
          </w:tcPr>
          <w:p w14:paraId="7A6C16B1" w14:textId="77777777" w:rsidR="00EE6446" w:rsidRPr="00641A01" w:rsidRDefault="00EE6446" w:rsidP="00641A01">
            <w:pPr>
              <w:spacing w:line="360" w:lineRule="auto"/>
              <w:jc w:val="center"/>
              <w:rPr>
                <w:color w:val="000000"/>
              </w:rPr>
            </w:pPr>
            <w:r w:rsidRPr="00641A01">
              <w:rPr>
                <w:color w:val="000000"/>
              </w:rPr>
              <w:t>NIC</w:t>
            </w:r>
          </w:p>
        </w:tc>
        <w:tc>
          <w:tcPr>
            <w:tcW w:w="1011" w:type="dxa"/>
            <w:tcBorders>
              <w:top w:val="nil"/>
              <w:left w:val="nil"/>
              <w:bottom w:val="nil"/>
              <w:right w:val="nil"/>
            </w:tcBorders>
            <w:shd w:val="clear" w:color="auto" w:fill="auto"/>
            <w:noWrap/>
            <w:hideMark/>
          </w:tcPr>
          <w:p w14:paraId="1FAF70B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8843CC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41B7FE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E064E7A"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32FD99E1" w14:textId="77777777" w:rsidR="00EE6446" w:rsidRPr="00641A01" w:rsidRDefault="00EE6446" w:rsidP="00641A01">
            <w:pPr>
              <w:tabs>
                <w:tab w:val="decimal" w:pos="943"/>
              </w:tabs>
              <w:spacing w:line="360" w:lineRule="auto"/>
              <w:rPr>
                <w:color w:val="000000"/>
              </w:rPr>
            </w:pPr>
            <w:r w:rsidRPr="00641A01">
              <w:rPr>
                <w:color w:val="000000"/>
              </w:rPr>
              <w:t>3.95</w:t>
            </w:r>
          </w:p>
        </w:tc>
        <w:tc>
          <w:tcPr>
            <w:tcW w:w="2233" w:type="dxa"/>
            <w:tcBorders>
              <w:top w:val="nil"/>
              <w:left w:val="nil"/>
              <w:bottom w:val="nil"/>
              <w:right w:val="nil"/>
            </w:tcBorders>
            <w:shd w:val="clear" w:color="auto" w:fill="auto"/>
            <w:noWrap/>
            <w:hideMark/>
          </w:tcPr>
          <w:p w14:paraId="4605145F" w14:textId="77777777" w:rsidR="00EE6446" w:rsidRPr="00641A01" w:rsidRDefault="00EE6446" w:rsidP="00641A01">
            <w:pPr>
              <w:tabs>
                <w:tab w:val="decimal" w:pos="943"/>
              </w:tabs>
              <w:spacing w:line="360" w:lineRule="auto"/>
              <w:rPr>
                <w:color w:val="000000"/>
              </w:rPr>
            </w:pPr>
            <w:r w:rsidRPr="00641A01">
              <w:rPr>
                <w:color w:val="000000"/>
              </w:rPr>
              <w:t>48.24</w:t>
            </w:r>
          </w:p>
        </w:tc>
      </w:tr>
      <w:tr w:rsidR="005B434B" w:rsidRPr="00641A01" w14:paraId="76811D0B" w14:textId="77777777" w:rsidTr="00A637D6">
        <w:tc>
          <w:tcPr>
            <w:tcW w:w="3258" w:type="dxa"/>
            <w:tcBorders>
              <w:top w:val="nil"/>
              <w:left w:val="nil"/>
              <w:bottom w:val="nil"/>
              <w:right w:val="nil"/>
            </w:tcBorders>
            <w:shd w:val="clear" w:color="auto" w:fill="auto"/>
            <w:noWrap/>
            <w:hideMark/>
          </w:tcPr>
          <w:p w14:paraId="1CF097A6" w14:textId="77777777" w:rsidR="00EE6446" w:rsidRPr="00641A01" w:rsidRDefault="00EE6446" w:rsidP="00641A01">
            <w:pPr>
              <w:spacing w:line="360" w:lineRule="auto"/>
              <w:jc w:val="center"/>
              <w:rPr>
                <w:color w:val="000000"/>
              </w:rPr>
            </w:pPr>
            <w:r w:rsidRPr="00641A01">
              <w:rPr>
                <w:color w:val="000000"/>
              </w:rPr>
              <w:t>Niue</w:t>
            </w:r>
          </w:p>
        </w:tc>
        <w:tc>
          <w:tcPr>
            <w:tcW w:w="1011" w:type="dxa"/>
            <w:tcBorders>
              <w:top w:val="nil"/>
              <w:left w:val="nil"/>
              <w:bottom w:val="nil"/>
              <w:right w:val="nil"/>
            </w:tcBorders>
            <w:shd w:val="clear" w:color="auto" w:fill="auto"/>
            <w:noWrap/>
            <w:hideMark/>
          </w:tcPr>
          <w:p w14:paraId="54F67B38" w14:textId="77777777" w:rsidR="00EE6446" w:rsidRPr="00641A01" w:rsidRDefault="00EE6446" w:rsidP="00641A01">
            <w:pPr>
              <w:spacing w:line="360" w:lineRule="auto"/>
              <w:jc w:val="center"/>
              <w:rPr>
                <w:color w:val="000000"/>
              </w:rPr>
            </w:pPr>
            <w:r w:rsidRPr="00641A01">
              <w:rPr>
                <w:color w:val="000000"/>
              </w:rPr>
              <w:t>NIU</w:t>
            </w:r>
          </w:p>
        </w:tc>
        <w:tc>
          <w:tcPr>
            <w:tcW w:w="1011" w:type="dxa"/>
            <w:tcBorders>
              <w:top w:val="nil"/>
              <w:left w:val="nil"/>
              <w:bottom w:val="nil"/>
              <w:right w:val="nil"/>
            </w:tcBorders>
            <w:shd w:val="clear" w:color="auto" w:fill="auto"/>
            <w:noWrap/>
            <w:hideMark/>
          </w:tcPr>
          <w:p w14:paraId="0EE1EAD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BFBD9C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DDA72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D62DF3B"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051AC6A2" w14:textId="77777777" w:rsidR="00EE6446" w:rsidRPr="00641A01" w:rsidRDefault="00EE6446" w:rsidP="00641A01">
            <w:pPr>
              <w:tabs>
                <w:tab w:val="decimal" w:pos="943"/>
              </w:tabs>
              <w:spacing w:line="360" w:lineRule="auto"/>
              <w:rPr>
                <w:color w:val="000000"/>
              </w:rPr>
            </w:pPr>
            <w:r w:rsidRPr="00641A01">
              <w:rPr>
                <w:color w:val="000000"/>
              </w:rPr>
              <w:t>2.75</w:t>
            </w:r>
          </w:p>
        </w:tc>
        <w:tc>
          <w:tcPr>
            <w:tcW w:w="2233" w:type="dxa"/>
            <w:tcBorders>
              <w:top w:val="nil"/>
              <w:left w:val="nil"/>
              <w:bottom w:val="nil"/>
              <w:right w:val="nil"/>
            </w:tcBorders>
            <w:shd w:val="clear" w:color="auto" w:fill="auto"/>
            <w:noWrap/>
            <w:hideMark/>
          </w:tcPr>
          <w:p w14:paraId="6F42F36A" w14:textId="77777777" w:rsidR="00EE6446" w:rsidRPr="00641A01" w:rsidRDefault="00EE6446" w:rsidP="00641A01">
            <w:pPr>
              <w:tabs>
                <w:tab w:val="decimal" w:pos="943"/>
              </w:tabs>
              <w:spacing w:line="360" w:lineRule="auto"/>
              <w:rPr>
                <w:color w:val="000000"/>
              </w:rPr>
            </w:pPr>
            <w:r w:rsidRPr="00641A01">
              <w:rPr>
                <w:color w:val="000000"/>
              </w:rPr>
              <w:t>24.30</w:t>
            </w:r>
          </w:p>
        </w:tc>
      </w:tr>
      <w:tr w:rsidR="005B434B" w:rsidRPr="00641A01" w14:paraId="24F53EB8" w14:textId="77777777" w:rsidTr="00A637D6">
        <w:tc>
          <w:tcPr>
            <w:tcW w:w="3258" w:type="dxa"/>
            <w:tcBorders>
              <w:top w:val="nil"/>
              <w:left w:val="nil"/>
              <w:bottom w:val="nil"/>
              <w:right w:val="nil"/>
            </w:tcBorders>
            <w:shd w:val="clear" w:color="auto" w:fill="auto"/>
            <w:noWrap/>
            <w:hideMark/>
          </w:tcPr>
          <w:p w14:paraId="524432CB" w14:textId="77777777" w:rsidR="00EE6446" w:rsidRPr="00641A01" w:rsidRDefault="00EE6446" w:rsidP="00641A01">
            <w:pPr>
              <w:spacing w:line="360" w:lineRule="auto"/>
              <w:jc w:val="center"/>
              <w:rPr>
                <w:color w:val="000000"/>
              </w:rPr>
            </w:pPr>
            <w:r w:rsidRPr="00641A01">
              <w:rPr>
                <w:color w:val="000000"/>
              </w:rPr>
              <w:t>Netherlands</w:t>
            </w:r>
          </w:p>
        </w:tc>
        <w:tc>
          <w:tcPr>
            <w:tcW w:w="1011" w:type="dxa"/>
            <w:tcBorders>
              <w:top w:val="nil"/>
              <w:left w:val="nil"/>
              <w:bottom w:val="nil"/>
              <w:right w:val="nil"/>
            </w:tcBorders>
            <w:shd w:val="clear" w:color="auto" w:fill="auto"/>
            <w:noWrap/>
            <w:hideMark/>
          </w:tcPr>
          <w:p w14:paraId="1D5D8312" w14:textId="77777777" w:rsidR="00EE6446" w:rsidRPr="00641A01" w:rsidRDefault="00EE6446" w:rsidP="00641A01">
            <w:pPr>
              <w:spacing w:line="360" w:lineRule="auto"/>
              <w:jc w:val="center"/>
              <w:rPr>
                <w:color w:val="000000"/>
              </w:rPr>
            </w:pPr>
            <w:r w:rsidRPr="00641A01">
              <w:rPr>
                <w:color w:val="000000"/>
              </w:rPr>
              <w:t>NLD</w:t>
            </w:r>
          </w:p>
        </w:tc>
        <w:tc>
          <w:tcPr>
            <w:tcW w:w="1011" w:type="dxa"/>
            <w:tcBorders>
              <w:top w:val="nil"/>
              <w:left w:val="nil"/>
              <w:bottom w:val="nil"/>
              <w:right w:val="nil"/>
            </w:tcBorders>
            <w:shd w:val="clear" w:color="auto" w:fill="auto"/>
            <w:noWrap/>
            <w:hideMark/>
          </w:tcPr>
          <w:p w14:paraId="2779FD8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007339"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2510E40"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A9C7E19" w14:textId="77777777" w:rsidR="00EE6446" w:rsidRPr="00641A01" w:rsidRDefault="00EE6446" w:rsidP="00641A01">
            <w:pPr>
              <w:spacing w:line="360" w:lineRule="auto"/>
              <w:jc w:val="center"/>
              <w:rPr>
                <w:color w:val="000000"/>
              </w:rPr>
            </w:pPr>
            <w:r w:rsidRPr="00641A01">
              <w:rPr>
                <w:color w:val="000000"/>
              </w:rPr>
              <w:t>16</w:t>
            </w:r>
          </w:p>
        </w:tc>
        <w:tc>
          <w:tcPr>
            <w:tcW w:w="2233" w:type="dxa"/>
            <w:tcBorders>
              <w:top w:val="nil"/>
              <w:left w:val="nil"/>
              <w:bottom w:val="nil"/>
              <w:right w:val="nil"/>
            </w:tcBorders>
            <w:shd w:val="clear" w:color="auto" w:fill="auto"/>
            <w:noWrap/>
            <w:hideMark/>
          </w:tcPr>
          <w:p w14:paraId="209E5E8C" w14:textId="77777777" w:rsidR="00EE6446" w:rsidRPr="00641A01" w:rsidRDefault="00EE6446" w:rsidP="00641A01">
            <w:pPr>
              <w:tabs>
                <w:tab w:val="decimal" w:pos="943"/>
              </w:tabs>
              <w:spacing w:line="360" w:lineRule="auto"/>
              <w:rPr>
                <w:color w:val="000000"/>
              </w:rPr>
            </w:pPr>
            <w:r w:rsidRPr="00641A01">
              <w:rPr>
                <w:color w:val="000000"/>
              </w:rPr>
              <w:t>13.82</w:t>
            </w:r>
          </w:p>
        </w:tc>
        <w:tc>
          <w:tcPr>
            <w:tcW w:w="2233" w:type="dxa"/>
            <w:tcBorders>
              <w:top w:val="nil"/>
              <w:left w:val="nil"/>
              <w:bottom w:val="nil"/>
              <w:right w:val="nil"/>
            </w:tcBorders>
            <w:shd w:val="clear" w:color="auto" w:fill="auto"/>
            <w:noWrap/>
            <w:hideMark/>
          </w:tcPr>
          <w:p w14:paraId="769DF60D" w14:textId="77777777" w:rsidR="00EE6446" w:rsidRPr="00641A01" w:rsidRDefault="00EE6446" w:rsidP="00641A01">
            <w:pPr>
              <w:tabs>
                <w:tab w:val="decimal" w:pos="943"/>
              </w:tabs>
              <w:spacing w:line="360" w:lineRule="auto"/>
              <w:rPr>
                <w:color w:val="000000"/>
              </w:rPr>
            </w:pPr>
            <w:r w:rsidRPr="00641A01">
              <w:rPr>
                <w:color w:val="000000"/>
              </w:rPr>
              <w:t>131.05</w:t>
            </w:r>
          </w:p>
        </w:tc>
      </w:tr>
      <w:tr w:rsidR="005B434B" w:rsidRPr="00641A01" w14:paraId="5EA1775C" w14:textId="77777777" w:rsidTr="00A637D6">
        <w:tc>
          <w:tcPr>
            <w:tcW w:w="3258" w:type="dxa"/>
            <w:tcBorders>
              <w:top w:val="nil"/>
              <w:left w:val="nil"/>
              <w:bottom w:val="nil"/>
              <w:right w:val="nil"/>
            </w:tcBorders>
            <w:shd w:val="clear" w:color="auto" w:fill="auto"/>
            <w:noWrap/>
            <w:hideMark/>
          </w:tcPr>
          <w:p w14:paraId="6F73E531" w14:textId="77777777" w:rsidR="00EE6446" w:rsidRPr="00641A01" w:rsidRDefault="00EE6446" w:rsidP="00641A01">
            <w:pPr>
              <w:spacing w:line="360" w:lineRule="auto"/>
              <w:jc w:val="center"/>
              <w:rPr>
                <w:color w:val="000000"/>
              </w:rPr>
            </w:pPr>
            <w:r w:rsidRPr="00641A01">
              <w:rPr>
                <w:color w:val="000000"/>
              </w:rPr>
              <w:t>Norway</w:t>
            </w:r>
          </w:p>
        </w:tc>
        <w:tc>
          <w:tcPr>
            <w:tcW w:w="1011" w:type="dxa"/>
            <w:tcBorders>
              <w:top w:val="nil"/>
              <w:left w:val="nil"/>
              <w:bottom w:val="nil"/>
              <w:right w:val="nil"/>
            </w:tcBorders>
            <w:shd w:val="clear" w:color="auto" w:fill="auto"/>
            <w:noWrap/>
            <w:hideMark/>
          </w:tcPr>
          <w:p w14:paraId="4C2C8C86" w14:textId="77777777" w:rsidR="00EE6446" w:rsidRPr="00641A01" w:rsidRDefault="00EE6446" w:rsidP="00641A01">
            <w:pPr>
              <w:spacing w:line="360" w:lineRule="auto"/>
              <w:jc w:val="center"/>
              <w:rPr>
                <w:color w:val="000000"/>
              </w:rPr>
            </w:pPr>
            <w:r w:rsidRPr="00641A01">
              <w:rPr>
                <w:color w:val="000000"/>
              </w:rPr>
              <w:t>NOR</w:t>
            </w:r>
          </w:p>
        </w:tc>
        <w:tc>
          <w:tcPr>
            <w:tcW w:w="1011" w:type="dxa"/>
            <w:tcBorders>
              <w:top w:val="nil"/>
              <w:left w:val="nil"/>
              <w:bottom w:val="nil"/>
              <w:right w:val="nil"/>
            </w:tcBorders>
            <w:shd w:val="clear" w:color="auto" w:fill="auto"/>
            <w:noWrap/>
            <w:hideMark/>
          </w:tcPr>
          <w:p w14:paraId="6417D71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1A40C44"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D773DE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28FBA44"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4EE989C6" w14:textId="77777777" w:rsidR="00EE6446" w:rsidRPr="00641A01" w:rsidRDefault="00EE6446" w:rsidP="00641A01">
            <w:pPr>
              <w:tabs>
                <w:tab w:val="decimal" w:pos="943"/>
              </w:tabs>
              <w:spacing w:line="360" w:lineRule="auto"/>
              <w:rPr>
                <w:color w:val="000000"/>
              </w:rPr>
            </w:pPr>
            <w:r w:rsidRPr="00641A01">
              <w:rPr>
                <w:color w:val="000000"/>
              </w:rPr>
              <w:t>15.22</w:t>
            </w:r>
          </w:p>
        </w:tc>
        <w:tc>
          <w:tcPr>
            <w:tcW w:w="2233" w:type="dxa"/>
            <w:tcBorders>
              <w:top w:val="nil"/>
              <w:left w:val="nil"/>
              <w:bottom w:val="nil"/>
              <w:right w:val="nil"/>
            </w:tcBorders>
            <w:shd w:val="clear" w:color="auto" w:fill="auto"/>
            <w:noWrap/>
            <w:hideMark/>
          </w:tcPr>
          <w:p w14:paraId="70574290" w14:textId="77777777" w:rsidR="00EE6446" w:rsidRPr="00641A01" w:rsidRDefault="00EE6446" w:rsidP="00641A01">
            <w:pPr>
              <w:tabs>
                <w:tab w:val="decimal" w:pos="943"/>
              </w:tabs>
              <w:spacing w:line="360" w:lineRule="auto"/>
              <w:rPr>
                <w:color w:val="000000"/>
              </w:rPr>
            </w:pPr>
            <w:r w:rsidRPr="00641A01">
              <w:rPr>
                <w:color w:val="000000"/>
              </w:rPr>
              <w:t>186.10</w:t>
            </w:r>
          </w:p>
        </w:tc>
      </w:tr>
      <w:tr w:rsidR="005B434B" w:rsidRPr="00641A01" w14:paraId="222556BE" w14:textId="77777777" w:rsidTr="00A637D6">
        <w:tc>
          <w:tcPr>
            <w:tcW w:w="3258" w:type="dxa"/>
            <w:tcBorders>
              <w:top w:val="nil"/>
              <w:left w:val="nil"/>
              <w:bottom w:val="nil"/>
              <w:right w:val="nil"/>
            </w:tcBorders>
            <w:shd w:val="clear" w:color="auto" w:fill="auto"/>
            <w:noWrap/>
            <w:hideMark/>
          </w:tcPr>
          <w:p w14:paraId="736CF7BC" w14:textId="77777777" w:rsidR="00EE6446" w:rsidRPr="00641A01" w:rsidRDefault="00EE6446" w:rsidP="00641A01">
            <w:pPr>
              <w:spacing w:line="360" w:lineRule="auto"/>
              <w:jc w:val="center"/>
              <w:rPr>
                <w:color w:val="000000"/>
              </w:rPr>
            </w:pPr>
            <w:r w:rsidRPr="00641A01">
              <w:rPr>
                <w:color w:val="000000"/>
              </w:rPr>
              <w:lastRenderedPageBreak/>
              <w:t>Nepal</w:t>
            </w:r>
          </w:p>
        </w:tc>
        <w:tc>
          <w:tcPr>
            <w:tcW w:w="1011" w:type="dxa"/>
            <w:tcBorders>
              <w:top w:val="nil"/>
              <w:left w:val="nil"/>
              <w:bottom w:val="nil"/>
              <w:right w:val="nil"/>
            </w:tcBorders>
            <w:shd w:val="clear" w:color="auto" w:fill="auto"/>
            <w:noWrap/>
            <w:hideMark/>
          </w:tcPr>
          <w:p w14:paraId="3668D60B" w14:textId="77777777" w:rsidR="00EE6446" w:rsidRPr="00641A01" w:rsidRDefault="00EE6446" w:rsidP="00641A01">
            <w:pPr>
              <w:spacing w:line="360" w:lineRule="auto"/>
              <w:jc w:val="center"/>
              <w:rPr>
                <w:color w:val="000000"/>
              </w:rPr>
            </w:pPr>
            <w:r w:rsidRPr="00641A01">
              <w:rPr>
                <w:color w:val="000000"/>
              </w:rPr>
              <w:t>NPL</w:t>
            </w:r>
          </w:p>
        </w:tc>
        <w:tc>
          <w:tcPr>
            <w:tcW w:w="1011" w:type="dxa"/>
            <w:tcBorders>
              <w:top w:val="nil"/>
              <w:left w:val="nil"/>
              <w:bottom w:val="nil"/>
              <w:right w:val="nil"/>
            </w:tcBorders>
            <w:shd w:val="clear" w:color="auto" w:fill="auto"/>
            <w:noWrap/>
            <w:hideMark/>
          </w:tcPr>
          <w:p w14:paraId="6EE8297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B8B2F9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5AD95C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F58295E"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2437E3D3" w14:textId="77777777" w:rsidR="00EE6446" w:rsidRPr="00641A01" w:rsidRDefault="00EE6446" w:rsidP="00641A01">
            <w:pPr>
              <w:tabs>
                <w:tab w:val="decimal" w:pos="943"/>
              </w:tabs>
              <w:spacing w:line="360" w:lineRule="auto"/>
              <w:rPr>
                <w:color w:val="000000"/>
              </w:rPr>
            </w:pPr>
            <w:r w:rsidRPr="00641A01">
              <w:rPr>
                <w:color w:val="000000"/>
              </w:rPr>
              <w:t>1.67</w:t>
            </w:r>
          </w:p>
        </w:tc>
        <w:tc>
          <w:tcPr>
            <w:tcW w:w="2233" w:type="dxa"/>
            <w:tcBorders>
              <w:top w:val="nil"/>
              <w:left w:val="nil"/>
              <w:bottom w:val="nil"/>
              <w:right w:val="nil"/>
            </w:tcBorders>
            <w:shd w:val="clear" w:color="auto" w:fill="auto"/>
            <w:noWrap/>
            <w:hideMark/>
          </w:tcPr>
          <w:p w14:paraId="0F2BE60E" w14:textId="77777777" w:rsidR="00EE6446" w:rsidRPr="00641A01" w:rsidRDefault="00EE6446" w:rsidP="00641A01">
            <w:pPr>
              <w:tabs>
                <w:tab w:val="decimal" w:pos="943"/>
              </w:tabs>
              <w:spacing w:line="360" w:lineRule="auto"/>
              <w:rPr>
                <w:color w:val="000000"/>
              </w:rPr>
            </w:pPr>
            <w:r w:rsidRPr="00641A01">
              <w:rPr>
                <w:color w:val="000000"/>
              </w:rPr>
              <w:t>22.70</w:t>
            </w:r>
          </w:p>
        </w:tc>
      </w:tr>
      <w:tr w:rsidR="005B434B" w:rsidRPr="00641A01" w14:paraId="438750BE" w14:textId="77777777" w:rsidTr="00A637D6">
        <w:tc>
          <w:tcPr>
            <w:tcW w:w="3258" w:type="dxa"/>
            <w:tcBorders>
              <w:top w:val="nil"/>
              <w:left w:val="nil"/>
              <w:bottom w:val="nil"/>
              <w:right w:val="nil"/>
            </w:tcBorders>
            <w:shd w:val="clear" w:color="auto" w:fill="auto"/>
            <w:noWrap/>
            <w:hideMark/>
          </w:tcPr>
          <w:p w14:paraId="0D7D7E95" w14:textId="77777777" w:rsidR="00EE6446" w:rsidRPr="00641A01" w:rsidRDefault="00EE6446" w:rsidP="00641A01">
            <w:pPr>
              <w:spacing w:line="360" w:lineRule="auto"/>
              <w:jc w:val="center"/>
              <w:rPr>
                <w:color w:val="000000"/>
              </w:rPr>
            </w:pPr>
            <w:r w:rsidRPr="00641A01">
              <w:rPr>
                <w:color w:val="000000"/>
              </w:rPr>
              <w:t>Nauru</w:t>
            </w:r>
          </w:p>
        </w:tc>
        <w:tc>
          <w:tcPr>
            <w:tcW w:w="1011" w:type="dxa"/>
            <w:tcBorders>
              <w:top w:val="nil"/>
              <w:left w:val="nil"/>
              <w:bottom w:val="nil"/>
              <w:right w:val="nil"/>
            </w:tcBorders>
            <w:shd w:val="clear" w:color="auto" w:fill="auto"/>
            <w:noWrap/>
            <w:hideMark/>
          </w:tcPr>
          <w:p w14:paraId="226DDF84" w14:textId="77777777" w:rsidR="00EE6446" w:rsidRPr="00641A01" w:rsidRDefault="00EE6446" w:rsidP="00641A01">
            <w:pPr>
              <w:spacing w:line="360" w:lineRule="auto"/>
              <w:jc w:val="center"/>
              <w:rPr>
                <w:color w:val="000000"/>
              </w:rPr>
            </w:pPr>
            <w:r w:rsidRPr="00641A01">
              <w:rPr>
                <w:color w:val="000000"/>
              </w:rPr>
              <w:t>NRU</w:t>
            </w:r>
          </w:p>
        </w:tc>
        <w:tc>
          <w:tcPr>
            <w:tcW w:w="1011" w:type="dxa"/>
            <w:tcBorders>
              <w:top w:val="nil"/>
              <w:left w:val="nil"/>
              <w:bottom w:val="nil"/>
              <w:right w:val="nil"/>
            </w:tcBorders>
            <w:shd w:val="clear" w:color="auto" w:fill="auto"/>
            <w:noWrap/>
            <w:hideMark/>
          </w:tcPr>
          <w:p w14:paraId="6C24861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038467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9F3381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2BB986F"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11D39825" w14:textId="77777777" w:rsidR="00EE6446" w:rsidRPr="00641A01" w:rsidRDefault="00EE6446" w:rsidP="00641A01">
            <w:pPr>
              <w:tabs>
                <w:tab w:val="decimal" w:pos="943"/>
              </w:tabs>
              <w:spacing w:line="360" w:lineRule="auto"/>
              <w:rPr>
                <w:color w:val="000000"/>
              </w:rPr>
            </w:pPr>
            <w:r w:rsidRPr="00641A01">
              <w:rPr>
                <w:color w:val="000000"/>
              </w:rPr>
              <w:t>1.77</w:t>
            </w:r>
          </w:p>
        </w:tc>
        <w:tc>
          <w:tcPr>
            <w:tcW w:w="2233" w:type="dxa"/>
            <w:tcBorders>
              <w:top w:val="nil"/>
              <w:left w:val="nil"/>
              <w:bottom w:val="nil"/>
              <w:right w:val="nil"/>
            </w:tcBorders>
            <w:shd w:val="clear" w:color="auto" w:fill="auto"/>
            <w:noWrap/>
            <w:hideMark/>
          </w:tcPr>
          <w:p w14:paraId="7D80714B" w14:textId="77777777" w:rsidR="00EE6446" w:rsidRPr="00641A01" w:rsidRDefault="00EE6446" w:rsidP="00641A01">
            <w:pPr>
              <w:tabs>
                <w:tab w:val="decimal" w:pos="943"/>
              </w:tabs>
              <w:spacing w:line="360" w:lineRule="auto"/>
              <w:rPr>
                <w:color w:val="000000"/>
              </w:rPr>
            </w:pPr>
            <w:r w:rsidRPr="00641A01">
              <w:rPr>
                <w:color w:val="000000"/>
              </w:rPr>
              <w:t>18.61</w:t>
            </w:r>
          </w:p>
        </w:tc>
      </w:tr>
      <w:tr w:rsidR="005B434B" w:rsidRPr="00641A01" w14:paraId="7C0EF48F" w14:textId="77777777" w:rsidTr="00A637D6">
        <w:tc>
          <w:tcPr>
            <w:tcW w:w="3258" w:type="dxa"/>
            <w:tcBorders>
              <w:top w:val="nil"/>
              <w:left w:val="nil"/>
              <w:bottom w:val="nil"/>
              <w:right w:val="nil"/>
            </w:tcBorders>
            <w:shd w:val="clear" w:color="auto" w:fill="auto"/>
            <w:noWrap/>
            <w:hideMark/>
          </w:tcPr>
          <w:p w14:paraId="393164A9" w14:textId="77777777" w:rsidR="00EE6446" w:rsidRPr="00641A01" w:rsidRDefault="00EE6446" w:rsidP="00641A01">
            <w:pPr>
              <w:spacing w:line="360" w:lineRule="auto"/>
              <w:jc w:val="center"/>
              <w:rPr>
                <w:color w:val="000000"/>
              </w:rPr>
            </w:pPr>
            <w:r w:rsidRPr="00641A01">
              <w:rPr>
                <w:color w:val="000000"/>
              </w:rPr>
              <w:t>New Zealand</w:t>
            </w:r>
          </w:p>
        </w:tc>
        <w:tc>
          <w:tcPr>
            <w:tcW w:w="1011" w:type="dxa"/>
            <w:tcBorders>
              <w:top w:val="nil"/>
              <w:left w:val="nil"/>
              <w:bottom w:val="nil"/>
              <w:right w:val="nil"/>
            </w:tcBorders>
            <w:shd w:val="clear" w:color="auto" w:fill="auto"/>
            <w:noWrap/>
            <w:hideMark/>
          </w:tcPr>
          <w:p w14:paraId="36EF86DB" w14:textId="77777777" w:rsidR="00EE6446" w:rsidRPr="00641A01" w:rsidRDefault="00EE6446" w:rsidP="00641A01">
            <w:pPr>
              <w:spacing w:line="360" w:lineRule="auto"/>
              <w:jc w:val="center"/>
              <w:rPr>
                <w:color w:val="000000"/>
              </w:rPr>
            </w:pPr>
            <w:r w:rsidRPr="00641A01">
              <w:rPr>
                <w:color w:val="000000"/>
              </w:rPr>
              <w:t>NZL</w:t>
            </w:r>
          </w:p>
        </w:tc>
        <w:tc>
          <w:tcPr>
            <w:tcW w:w="1011" w:type="dxa"/>
            <w:tcBorders>
              <w:top w:val="nil"/>
              <w:left w:val="nil"/>
              <w:bottom w:val="nil"/>
              <w:right w:val="nil"/>
            </w:tcBorders>
            <w:shd w:val="clear" w:color="auto" w:fill="auto"/>
            <w:noWrap/>
            <w:hideMark/>
          </w:tcPr>
          <w:p w14:paraId="1E1542C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0AF56C9"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1A120F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D7B0D5C"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64BC4388" w14:textId="77777777" w:rsidR="00EE6446" w:rsidRPr="00641A01" w:rsidRDefault="00EE6446" w:rsidP="00641A01">
            <w:pPr>
              <w:tabs>
                <w:tab w:val="decimal" w:pos="943"/>
              </w:tabs>
              <w:spacing w:line="360" w:lineRule="auto"/>
              <w:rPr>
                <w:color w:val="000000"/>
              </w:rPr>
            </w:pPr>
            <w:r w:rsidRPr="00641A01">
              <w:rPr>
                <w:color w:val="000000"/>
              </w:rPr>
              <w:t>8.75</w:t>
            </w:r>
          </w:p>
        </w:tc>
        <w:tc>
          <w:tcPr>
            <w:tcW w:w="2233" w:type="dxa"/>
            <w:tcBorders>
              <w:top w:val="nil"/>
              <w:left w:val="nil"/>
              <w:bottom w:val="nil"/>
              <w:right w:val="nil"/>
            </w:tcBorders>
            <w:shd w:val="clear" w:color="auto" w:fill="auto"/>
            <w:noWrap/>
            <w:hideMark/>
          </w:tcPr>
          <w:p w14:paraId="2577B2B1" w14:textId="77777777" w:rsidR="00EE6446" w:rsidRPr="00641A01" w:rsidRDefault="00EE6446" w:rsidP="00641A01">
            <w:pPr>
              <w:tabs>
                <w:tab w:val="decimal" w:pos="943"/>
              </w:tabs>
              <w:spacing w:line="360" w:lineRule="auto"/>
              <w:rPr>
                <w:color w:val="000000"/>
              </w:rPr>
            </w:pPr>
            <w:r w:rsidRPr="00641A01">
              <w:rPr>
                <w:color w:val="000000"/>
              </w:rPr>
              <w:t>101.82</w:t>
            </w:r>
          </w:p>
        </w:tc>
      </w:tr>
      <w:tr w:rsidR="005B434B" w:rsidRPr="00641A01" w14:paraId="7CE0F92E" w14:textId="77777777" w:rsidTr="00A637D6">
        <w:tc>
          <w:tcPr>
            <w:tcW w:w="3258" w:type="dxa"/>
            <w:tcBorders>
              <w:top w:val="nil"/>
              <w:left w:val="nil"/>
              <w:bottom w:val="nil"/>
              <w:right w:val="nil"/>
            </w:tcBorders>
            <w:shd w:val="clear" w:color="auto" w:fill="auto"/>
            <w:noWrap/>
            <w:hideMark/>
          </w:tcPr>
          <w:p w14:paraId="64C8FDFE" w14:textId="77777777" w:rsidR="00EE6446" w:rsidRPr="00641A01" w:rsidRDefault="00EE6446" w:rsidP="00641A01">
            <w:pPr>
              <w:spacing w:line="360" w:lineRule="auto"/>
              <w:jc w:val="center"/>
              <w:rPr>
                <w:color w:val="000000"/>
              </w:rPr>
            </w:pPr>
            <w:r w:rsidRPr="00641A01">
              <w:rPr>
                <w:color w:val="000000"/>
              </w:rPr>
              <w:t>Oman</w:t>
            </w:r>
          </w:p>
        </w:tc>
        <w:tc>
          <w:tcPr>
            <w:tcW w:w="1011" w:type="dxa"/>
            <w:tcBorders>
              <w:top w:val="nil"/>
              <w:left w:val="nil"/>
              <w:bottom w:val="nil"/>
              <w:right w:val="nil"/>
            </w:tcBorders>
            <w:shd w:val="clear" w:color="auto" w:fill="auto"/>
            <w:noWrap/>
            <w:hideMark/>
          </w:tcPr>
          <w:p w14:paraId="0DC4F6C8" w14:textId="77777777" w:rsidR="00EE6446" w:rsidRPr="00641A01" w:rsidRDefault="00EE6446" w:rsidP="00641A01">
            <w:pPr>
              <w:spacing w:line="360" w:lineRule="auto"/>
              <w:jc w:val="center"/>
              <w:rPr>
                <w:color w:val="000000"/>
              </w:rPr>
            </w:pPr>
            <w:r w:rsidRPr="00641A01">
              <w:rPr>
                <w:color w:val="000000"/>
              </w:rPr>
              <w:t>OMN</w:t>
            </w:r>
          </w:p>
        </w:tc>
        <w:tc>
          <w:tcPr>
            <w:tcW w:w="1011" w:type="dxa"/>
            <w:tcBorders>
              <w:top w:val="nil"/>
              <w:left w:val="nil"/>
              <w:bottom w:val="nil"/>
              <w:right w:val="nil"/>
            </w:tcBorders>
            <w:shd w:val="clear" w:color="auto" w:fill="auto"/>
            <w:noWrap/>
            <w:hideMark/>
          </w:tcPr>
          <w:p w14:paraId="583C13A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3CA9B9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EC023A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C25C805"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20771A52" w14:textId="77777777" w:rsidR="00EE6446" w:rsidRPr="00641A01" w:rsidRDefault="00EE6446" w:rsidP="00641A01">
            <w:pPr>
              <w:tabs>
                <w:tab w:val="decimal" w:pos="943"/>
              </w:tabs>
              <w:spacing w:line="360" w:lineRule="auto"/>
              <w:rPr>
                <w:color w:val="000000"/>
              </w:rPr>
            </w:pPr>
            <w:r w:rsidRPr="00641A01">
              <w:rPr>
                <w:color w:val="000000"/>
              </w:rPr>
              <w:t>2.36</w:t>
            </w:r>
          </w:p>
        </w:tc>
        <w:tc>
          <w:tcPr>
            <w:tcW w:w="2233" w:type="dxa"/>
            <w:tcBorders>
              <w:top w:val="nil"/>
              <w:left w:val="nil"/>
              <w:bottom w:val="nil"/>
              <w:right w:val="nil"/>
            </w:tcBorders>
            <w:shd w:val="clear" w:color="auto" w:fill="auto"/>
            <w:noWrap/>
            <w:hideMark/>
          </w:tcPr>
          <w:p w14:paraId="14397F9A" w14:textId="77777777" w:rsidR="00EE6446" w:rsidRPr="00641A01" w:rsidRDefault="00EE6446" w:rsidP="00641A01">
            <w:pPr>
              <w:tabs>
                <w:tab w:val="decimal" w:pos="943"/>
              </w:tabs>
              <w:spacing w:line="360" w:lineRule="auto"/>
              <w:rPr>
                <w:color w:val="000000"/>
              </w:rPr>
            </w:pPr>
            <w:r w:rsidRPr="00641A01">
              <w:rPr>
                <w:color w:val="000000"/>
              </w:rPr>
              <w:t>19.61</w:t>
            </w:r>
          </w:p>
        </w:tc>
      </w:tr>
      <w:tr w:rsidR="005B434B" w:rsidRPr="00641A01" w14:paraId="05F8F1FE" w14:textId="77777777" w:rsidTr="00A637D6">
        <w:tc>
          <w:tcPr>
            <w:tcW w:w="3258" w:type="dxa"/>
            <w:tcBorders>
              <w:top w:val="nil"/>
              <w:left w:val="nil"/>
              <w:bottom w:val="nil"/>
              <w:right w:val="nil"/>
            </w:tcBorders>
            <w:shd w:val="clear" w:color="auto" w:fill="auto"/>
            <w:noWrap/>
            <w:hideMark/>
          </w:tcPr>
          <w:p w14:paraId="5DC4496D" w14:textId="77777777" w:rsidR="00EE6446" w:rsidRPr="00641A01" w:rsidRDefault="00EE6446" w:rsidP="00641A01">
            <w:pPr>
              <w:spacing w:line="360" w:lineRule="auto"/>
              <w:jc w:val="center"/>
              <w:rPr>
                <w:color w:val="000000"/>
              </w:rPr>
            </w:pPr>
            <w:r w:rsidRPr="00641A01">
              <w:rPr>
                <w:color w:val="000000"/>
              </w:rPr>
              <w:t>Pakistan</w:t>
            </w:r>
          </w:p>
        </w:tc>
        <w:tc>
          <w:tcPr>
            <w:tcW w:w="1011" w:type="dxa"/>
            <w:tcBorders>
              <w:top w:val="nil"/>
              <w:left w:val="nil"/>
              <w:bottom w:val="nil"/>
              <w:right w:val="nil"/>
            </w:tcBorders>
            <w:shd w:val="clear" w:color="auto" w:fill="auto"/>
            <w:noWrap/>
            <w:hideMark/>
          </w:tcPr>
          <w:p w14:paraId="4E41D435" w14:textId="77777777" w:rsidR="00EE6446" w:rsidRPr="00641A01" w:rsidRDefault="00EE6446" w:rsidP="00641A01">
            <w:pPr>
              <w:spacing w:line="360" w:lineRule="auto"/>
              <w:jc w:val="center"/>
              <w:rPr>
                <w:color w:val="000000"/>
              </w:rPr>
            </w:pPr>
            <w:r w:rsidRPr="00641A01">
              <w:rPr>
                <w:color w:val="000000"/>
              </w:rPr>
              <w:t>PAK</w:t>
            </w:r>
          </w:p>
        </w:tc>
        <w:tc>
          <w:tcPr>
            <w:tcW w:w="1011" w:type="dxa"/>
            <w:tcBorders>
              <w:top w:val="nil"/>
              <w:left w:val="nil"/>
              <w:bottom w:val="nil"/>
              <w:right w:val="nil"/>
            </w:tcBorders>
            <w:shd w:val="clear" w:color="auto" w:fill="auto"/>
            <w:noWrap/>
            <w:hideMark/>
          </w:tcPr>
          <w:p w14:paraId="4E76C78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DD14A7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12217C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3F66297"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0E311107" w14:textId="77777777" w:rsidR="00EE6446" w:rsidRPr="00641A01" w:rsidRDefault="00EE6446" w:rsidP="00641A01">
            <w:pPr>
              <w:tabs>
                <w:tab w:val="decimal" w:pos="943"/>
              </w:tabs>
              <w:spacing w:line="360" w:lineRule="auto"/>
              <w:rPr>
                <w:color w:val="000000"/>
              </w:rPr>
            </w:pPr>
            <w:r w:rsidRPr="00641A01">
              <w:rPr>
                <w:color w:val="000000"/>
              </w:rPr>
              <w:t>3.78</w:t>
            </w:r>
          </w:p>
        </w:tc>
        <w:tc>
          <w:tcPr>
            <w:tcW w:w="2233" w:type="dxa"/>
            <w:tcBorders>
              <w:top w:val="nil"/>
              <w:left w:val="nil"/>
              <w:bottom w:val="nil"/>
              <w:right w:val="nil"/>
            </w:tcBorders>
            <w:shd w:val="clear" w:color="auto" w:fill="auto"/>
            <w:noWrap/>
            <w:hideMark/>
          </w:tcPr>
          <w:p w14:paraId="0B66E8AD" w14:textId="77777777" w:rsidR="00EE6446" w:rsidRPr="00641A01" w:rsidRDefault="00EE6446" w:rsidP="00641A01">
            <w:pPr>
              <w:tabs>
                <w:tab w:val="decimal" w:pos="943"/>
              </w:tabs>
              <w:spacing w:line="360" w:lineRule="auto"/>
              <w:rPr>
                <w:color w:val="000000"/>
              </w:rPr>
            </w:pPr>
            <w:r w:rsidRPr="00641A01">
              <w:rPr>
                <w:color w:val="000000"/>
              </w:rPr>
              <w:t>28.66</w:t>
            </w:r>
          </w:p>
        </w:tc>
      </w:tr>
      <w:tr w:rsidR="005B434B" w:rsidRPr="00641A01" w14:paraId="2C7866CF" w14:textId="77777777" w:rsidTr="00A637D6">
        <w:tc>
          <w:tcPr>
            <w:tcW w:w="3258" w:type="dxa"/>
            <w:tcBorders>
              <w:top w:val="nil"/>
              <w:left w:val="nil"/>
              <w:bottom w:val="nil"/>
              <w:right w:val="nil"/>
            </w:tcBorders>
            <w:shd w:val="clear" w:color="auto" w:fill="auto"/>
            <w:noWrap/>
            <w:hideMark/>
          </w:tcPr>
          <w:p w14:paraId="3A685924" w14:textId="77777777" w:rsidR="00EE6446" w:rsidRPr="00641A01" w:rsidRDefault="00EE6446" w:rsidP="00641A01">
            <w:pPr>
              <w:spacing w:line="360" w:lineRule="auto"/>
              <w:jc w:val="center"/>
              <w:rPr>
                <w:color w:val="000000"/>
              </w:rPr>
            </w:pPr>
            <w:r w:rsidRPr="00641A01">
              <w:rPr>
                <w:color w:val="000000"/>
              </w:rPr>
              <w:t>Panama</w:t>
            </w:r>
          </w:p>
        </w:tc>
        <w:tc>
          <w:tcPr>
            <w:tcW w:w="1011" w:type="dxa"/>
            <w:tcBorders>
              <w:top w:val="nil"/>
              <w:left w:val="nil"/>
              <w:bottom w:val="nil"/>
              <w:right w:val="nil"/>
            </w:tcBorders>
            <w:shd w:val="clear" w:color="auto" w:fill="auto"/>
            <w:noWrap/>
            <w:hideMark/>
          </w:tcPr>
          <w:p w14:paraId="503098F0" w14:textId="77777777" w:rsidR="00EE6446" w:rsidRPr="00641A01" w:rsidRDefault="00EE6446" w:rsidP="00641A01">
            <w:pPr>
              <w:spacing w:line="360" w:lineRule="auto"/>
              <w:jc w:val="center"/>
              <w:rPr>
                <w:color w:val="000000"/>
              </w:rPr>
            </w:pPr>
            <w:r w:rsidRPr="00641A01">
              <w:rPr>
                <w:color w:val="000000"/>
              </w:rPr>
              <w:t>PAN</w:t>
            </w:r>
          </w:p>
        </w:tc>
        <w:tc>
          <w:tcPr>
            <w:tcW w:w="1011" w:type="dxa"/>
            <w:tcBorders>
              <w:top w:val="nil"/>
              <w:left w:val="nil"/>
              <w:bottom w:val="nil"/>
              <w:right w:val="nil"/>
            </w:tcBorders>
            <w:shd w:val="clear" w:color="auto" w:fill="auto"/>
            <w:noWrap/>
            <w:hideMark/>
          </w:tcPr>
          <w:p w14:paraId="7368076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8EFE60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659B4C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A78FC5A"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6E75DC2A" w14:textId="77777777" w:rsidR="00EE6446" w:rsidRPr="00641A01" w:rsidRDefault="00EE6446" w:rsidP="00641A01">
            <w:pPr>
              <w:tabs>
                <w:tab w:val="decimal" w:pos="943"/>
              </w:tabs>
              <w:spacing w:line="360" w:lineRule="auto"/>
              <w:rPr>
                <w:color w:val="000000"/>
              </w:rPr>
            </w:pPr>
            <w:r w:rsidRPr="00641A01">
              <w:rPr>
                <w:color w:val="000000"/>
              </w:rPr>
              <w:t>4.83</w:t>
            </w:r>
          </w:p>
        </w:tc>
        <w:tc>
          <w:tcPr>
            <w:tcW w:w="2233" w:type="dxa"/>
            <w:tcBorders>
              <w:top w:val="nil"/>
              <w:left w:val="nil"/>
              <w:bottom w:val="nil"/>
              <w:right w:val="nil"/>
            </w:tcBorders>
            <w:shd w:val="clear" w:color="auto" w:fill="auto"/>
            <w:noWrap/>
            <w:hideMark/>
          </w:tcPr>
          <w:p w14:paraId="3A8C1E6F" w14:textId="77777777" w:rsidR="00EE6446" w:rsidRPr="00641A01" w:rsidRDefault="00EE6446" w:rsidP="00641A01">
            <w:pPr>
              <w:tabs>
                <w:tab w:val="decimal" w:pos="943"/>
              </w:tabs>
              <w:spacing w:line="360" w:lineRule="auto"/>
              <w:rPr>
                <w:color w:val="000000"/>
              </w:rPr>
            </w:pPr>
            <w:r w:rsidRPr="00641A01">
              <w:rPr>
                <w:color w:val="000000"/>
              </w:rPr>
              <w:t>49.56</w:t>
            </w:r>
          </w:p>
        </w:tc>
      </w:tr>
      <w:tr w:rsidR="005B434B" w:rsidRPr="00641A01" w14:paraId="46599007" w14:textId="77777777" w:rsidTr="00A637D6">
        <w:tc>
          <w:tcPr>
            <w:tcW w:w="3258" w:type="dxa"/>
            <w:tcBorders>
              <w:top w:val="nil"/>
              <w:left w:val="nil"/>
              <w:bottom w:val="nil"/>
              <w:right w:val="nil"/>
            </w:tcBorders>
            <w:shd w:val="clear" w:color="auto" w:fill="auto"/>
            <w:noWrap/>
            <w:hideMark/>
          </w:tcPr>
          <w:p w14:paraId="220CEEEA" w14:textId="77777777" w:rsidR="00EE6446" w:rsidRPr="00641A01" w:rsidRDefault="00EE6446" w:rsidP="00641A01">
            <w:pPr>
              <w:spacing w:line="360" w:lineRule="auto"/>
              <w:jc w:val="center"/>
              <w:rPr>
                <w:color w:val="000000"/>
              </w:rPr>
            </w:pPr>
            <w:r w:rsidRPr="00641A01">
              <w:rPr>
                <w:color w:val="000000"/>
              </w:rPr>
              <w:t>Peru</w:t>
            </w:r>
          </w:p>
        </w:tc>
        <w:tc>
          <w:tcPr>
            <w:tcW w:w="1011" w:type="dxa"/>
            <w:tcBorders>
              <w:top w:val="nil"/>
              <w:left w:val="nil"/>
              <w:bottom w:val="nil"/>
              <w:right w:val="nil"/>
            </w:tcBorders>
            <w:shd w:val="clear" w:color="auto" w:fill="auto"/>
            <w:noWrap/>
            <w:hideMark/>
          </w:tcPr>
          <w:p w14:paraId="65364712" w14:textId="77777777" w:rsidR="00EE6446" w:rsidRPr="00641A01" w:rsidRDefault="00EE6446" w:rsidP="00641A01">
            <w:pPr>
              <w:spacing w:line="360" w:lineRule="auto"/>
              <w:jc w:val="center"/>
              <w:rPr>
                <w:color w:val="000000"/>
              </w:rPr>
            </w:pPr>
            <w:r w:rsidRPr="00641A01">
              <w:rPr>
                <w:color w:val="000000"/>
              </w:rPr>
              <w:t>PER</w:t>
            </w:r>
          </w:p>
        </w:tc>
        <w:tc>
          <w:tcPr>
            <w:tcW w:w="1011" w:type="dxa"/>
            <w:tcBorders>
              <w:top w:val="nil"/>
              <w:left w:val="nil"/>
              <w:bottom w:val="nil"/>
              <w:right w:val="nil"/>
            </w:tcBorders>
            <w:shd w:val="clear" w:color="auto" w:fill="auto"/>
            <w:noWrap/>
            <w:hideMark/>
          </w:tcPr>
          <w:p w14:paraId="6E5162F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34F81D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C35E22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A3227CC" w14:textId="77777777" w:rsidR="00EE6446" w:rsidRPr="00641A01" w:rsidRDefault="00EE6446" w:rsidP="00641A01">
            <w:pPr>
              <w:spacing w:line="360" w:lineRule="auto"/>
              <w:jc w:val="center"/>
              <w:rPr>
                <w:color w:val="000000"/>
              </w:rPr>
            </w:pPr>
            <w:r w:rsidRPr="00641A01">
              <w:rPr>
                <w:color w:val="000000"/>
              </w:rPr>
              <w:t>16</w:t>
            </w:r>
          </w:p>
        </w:tc>
        <w:tc>
          <w:tcPr>
            <w:tcW w:w="2233" w:type="dxa"/>
            <w:tcBorders>
              <w:top w:val="nil"/>
              <w:left w:val="nil"/>
              <w:bottom w:val="nil"/>
              <w:right w:val="nil"/>
            </w:tcBorders>
            <w:shd w:val="clear" w:color="auto" w:fill="auto"/>
            <w:noWrap/>
            <w:hideMark/>
          </w:tcPr>
          <w:p w14:paraId="112D7BFA" w14:textId="77777777" w:rsidR="00EE6446" w:rsidRPr="00641A01" w:rsidRDefault="00EE6446" w:rsidP="00641A01">
            <w:pPr>
              <w:tabs>
                <w:tab w:val="decimal" w:pos="943"/>
              </w:tabs>
              <w:spacing w:line="360" w:lineRule="auto"/>
              <w:rPr>
                <w:color w:val="000000"/>
              </w:rPr>
            </w:pPr>
            <w:r w:rsidRPr="00641A01">
              <w:rPr>
                <w:color w:val="000000"/>
              </w:rPr>
              <w:t>6.22</w:t>
            </w:r>
          </w:p>
        </w:tc>
        <w:tc>
          <w:tcPr>
            <w:tcW w:w="2233" w:type="dxa"/>
            <w:tcBorders>
              <w:top w:val="nil"/>
              <w:left w:val="nil"/>
              <w:bottom w:val="nil"/>
              <w:right w:val="nil"/>
            </w:tcBorders>
            <w:shd w:val="clear" w:color="auto" w:fill="auto"/>
            <w:noWrap/>
            <w:hideMark/>
          </w:tcPr>
          <w:p w14:paraId="18F9E882" w14:textId="77777777" w:rsidR="00EE6446" w:rsidRPr="00641A01" w:rsidRDefault="00EE6446" w:rsidP="00641A01">
            <w:pPr>
              <w:tabs>
                <w:tab w:val="decimal" w:pos="943"/>
              </w:tabs>
              <w:spacing w:line="360" w:lineRule="auto"/>
              <w:rPr>
                <w:color w:val="000000"/>
              </w:rPr>
            </w:pPr>
            <w:r w:rsidRPr="00641A01">
              <w:rPr>
                <w:color w:val="000000"/>
              </w:rPr>
              <w:t>56.19</w:t>
            </w:r>
          </w:p>
        </w:tc>
      </w:tr>
      <w:tr w:rsidR="005B434B" w:rsidRPr="00641A01" w14:paraId="2E4CE369" w14:textId="77777777" w:rsidTr="00A637D6">
        <w:tc>
          <w:tcPr>
            <w:tcW w:w="3258" w:type="dxa"/>
            <w:tcBorders>
              <w:top w:val="nil"/>
              <w:left w:val="nil"/>
              <w:bottom w:val="nil"/>
              <w:right w:val="nil"/>
            </w:tcBorders>
            <w:shd w:val="clear" w:color="auto" w:fill="auto"/>
            <w:noWrap/>
            <w:hideMark/>
          </w:tcPr>
          <w:p w14:paraId="74F73D59" w14:textId="77777777" w:rsidR="00EE6446" w:rsidRPr="00641A01" w:rsidRDefault="00EE6446" w:rsidP="00641A01">
            <w:pPr>
              <w:spacing w:line="360" w:lineRule="auto"/>
              <w:jc w:val="center"/>
              <w:rPr>
                <w:color w:val="000000"/>
              </w:rPr>
            </w:pPr>
            <w:r w:rsidRPr="00641A01">
              <w:rPr>
                <w:color w:val="000000"/>
              </w:rPr>
              <w:t>Philippines</w:t>
            </w:r>
          </w:p>
        </w:tc>
        <w:tc>
          <w:tcPr>
            <w:tcW w:w="1011" w:type="dxa"/>
            <w:tcBorders>
              <w:top w:val="nil"/>
              <w:left w:val="nil"/>
              <w:bottom w:val="nil"/>
              <w:right w:val="nil"/>
            </w:tcBorders>
            <w:shd w:val="clear" w:color="auto" w:fill="auto"/>
            <w:noWrap/>
            <w:hideMark/>
          </w:tcPr>
          <w:p w14:paraId="4BF9733F" w14:textId="77777777" w:rsidR="00EE6446" w:rsidRPr="00641A01" w:rsidRDefault="00EE6446" w:rsidP="00641A01">
            <w:pPr>
              <w:spacing w:line="360" w:lineRule="auto"/>
              <w:jc w:val="center"/>
              <w:rPr>
                <w:color w:val="000000"/>
              </w:rPr>
            </w:pPr>
            <w:r w:rsidRPr="00641A01">
              <w:rPr>
                <w:color w:val="000000"/>
              </w:rPr>
              <w:t>PHL</w:t>
            </w:r>
          </w:p>
        </w:tc>
        <w:tc>
          <w:tcPr>
            <w:tcW w:w="1011" w:type="dxa"/>
            <w:tcBorders>
              <w:top w:val="nil"/>
              <w:left w:val="nil"/>
              <w:bottom w:val="nil"/>
              <w:right w:val="nil"/>
            </w:tcBorders>
            <w:shd w:val="clear" w:color="auto" w:fill="auto"/>
            <w:noWrap/>
            <w:hideMark/>
          </w:tcPr>
          <w:p w14:paraId="3BC711B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EFFDE3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8FDC9E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B37E43B" w14:textId="77777777" w:rsidR="00EE6446" w:rsidRPr="00641A01" w:rsidRDefault="00EE6446" w:rsidP="00641A01">
            <w:pPr>
              <w:spacing w:line="360" w:lineRule="auto"/>
              <w:jc w:val="center"/>
              <w:rPr>
                <w:color w:val="000000"/>
              </w:rPr>
            </w:pPr>
            <w:r w:rsidRPr="00641A01">
              <w:rPr>
                <w:color w:val="000000"/>
              </w:rPr>
              <w:t>16</w:t>
            </w:r>
          </w:p>
        </w:tc>
        <w:tc>
          <w:tcPr>
            <w:tcW w:w="2233" w:type="dxa"/>
            <w:tcBorders>
              <w:top w:val="nil"/>
              <w:left w:val="nil"/>
              <w:bottom w:val="nil"/>
              <w:right w:val="nil"/>
            </w:tcBorders>
            <w:shd w:val="clear" w:color="auto" w:fill="auto"/>
            <w:noWrap/>
            <w:hideMark/>
          </w:tcPr>
          <w:p w14:paraId="0A3B9D8E" w14:textId="77777777" w:rsidR="00EE6446" w:rsidRPr="00641A01" w:rsidRDefault="00EE6446" w:rsidP="00641A01">
            <w:pPr>
              <w:tabs>
                <w:tab w:val="decimal" w:pos="943"/>
              </w:tabs>
              <w:spacing w:line="360" w:lineRule="auto"/>
              <w:rPr>
                <w:color w:val="000000"/>
              </w:rPr>
            </w:pPr>
            <w:r w:rsidRPr="00641A01">
              <w:rPr>
                <w:color w:val="000000"/>
              </w:rPr>
              <w:t>6.73</w:t>
            </w:r>
          </w:p>
        </w:tc>
        <w:tc>
          <w:tcPr>
            <w:tcW w:w="2233" w:type="dxa"/>
            <w:tcBorders>
              <w:top w:val="nil"/>
              <w:left w:val="nil"/>
              <w:bottom w:val="nil"/>
              <w:right w:val="nil"/>
            </w:tcBorders>
            <w:shd w:val="clear" w:color="auto" w:fill="auto"/>
            <w:noWrap/>
            <w:hideMark/>
          </w:tcPr>
          <w:p w14:paraId="2C17F634" w14:textId="77777777" w:rsidR="00EE6446" w:rsidRPr="00641A01" w:rsidRDefault="00EE6446" w:rsidP="00641A01">
            <w:pPr>
              <w:tabs>
                <w:tab w:val="decimal" w:pos="943"/>
              </w:tabs>
              <w:spacing w:line="360" w:lineRule="auto"/>
              <w:rPr>
                <w:color w:val="000000"/>
              </w:rPr>
            </w:pPr>
            <w:r w:rsidRPr="00641A01">
              <w:rPr>
                <w:color w:val="000000"/>
              </w:rPr>
              <w:t>88.86</w:t>
            </w:r>
          </w:p>
        </w:tc>
      </w:tr>
      <w:tr w:rsidR="005B434B" w:rsidRPr="00641A01" w14:paraId="43BCD343" w14:textId="77777777" w:rsidTr="00A637D6">
        <w:tc>
          <w:tcPr>
            <w:tcW w:w="3258" w:type="dxa"/>
            <w:tcBorders>
              <w:top w:val="nil"/>
              <w:left w:val="nil"/>
              <w:bottom w:val="nil"/>
              <w:right w:val="nil"/>
            </w:tcBorders>
            <w:shd w:val="clear" w:color="auto" w:fill="auto"/>
            <w:noWrap/>
            <w:hideMark/>
          </w:tcPr>
          <w:p w14:paraId="56BD07AA" w14:textId="77777777" w:rsidR="00EE6446" w:rsidRPr="00641A01" w:rsidRDefault="00EE6446" w:rsidP="00641A01">
            <w:pPr>
              <w:spacing w:line="360" w:lineRule="auto"/>
              <w:jc w:val="center"/>
              <w:rPr>
                <w:color w:val="000000"/>
              </w:rPr>
            </w:pPr>
            <w:r w:rsidRPr="00641A01">
              <w:rPr>
                <w:color w:val="000000"/>
              </w:rPr>
              <w:t>Palau</w:t>
            </w:r>
          </w:p>
        </w:tc>
        <w:tc>
          <w:tcPr>
            <w:tcW w:w="1011" w:type="dxa"/>
            <w:tcBorders>
              <w:top w:val="nil"/>
              <w:left w:val="nil"/>
              <w:bottom w:val="nil"/>
              <w:right w:val="nil"/>
            </w:tcBorders>
            <w:shd w:val="clear" w:color="auto" w:fill="auto"/>
            <w:noWrap/>
            <w:hideMark/>
          </w:tcPr>
          <w:p w14:paraId="2CDBDA67" w14:textId="77777777" w:rsidR="00EE6446" w:rsidRPr="00641A01" w:rsidRDefault="00EE6446" w:rsidP="00641A01">
            <w:pPr>
              <w:spacing w:line="360" w:lineRule="auto"/>
              <w:jc w:val="center"/>
              <w:rPr>
                <w:color w:val="000000"/>
              </w:rPr>
            </w:pPr>
            <w:r w:rsidRPr="00641A01">
              <w:rPr>
                <w:color w:val="000000"/>
              </w:rPr>
              <w:t>PLW</w:t>
            </w:r>
          </w:p>
        </w:tc>
        <w:tc>
          <w:tcPr>
            <w:tcW w:w="1011" w:type="dxa"/>
            <w:tcBorders>
              <w:top w:val="nil"/>
              <w:left w:val="nil"/>
              <w:bottom w:val="nil"/>
              <w:right w:val="nil"/>
            </w:tcBorders>
            <w:shd w:val="clear" w:color="auto" w:fill="auto"/>
            <w:noWrap/>
            <w:hideMark/>
          </w:tcPr>
          <w:p w14:paraId="09566C8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38D1E2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7C9913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AD57BF2"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2B00C1E4" w14:textId="77777777" w:rsidR="00EE6446" w:rsidRPr="00641A01" w:rsidRDefault="00EE6446" w:rsidP="00641A01">
            <w:pPr>
              <w:tabs>
                <w:tab w:val="decimal" w:pos="943"/>
              </w:tabs>
              <w:spacing w:line="360" w:lineRule="auto"/>
              <w:rPr>
                <w:color w:val="000000"/>
              </w:rPr>
            </w:pPr>
            <w:r w:rsidRPr="00641A01">
              <w:rPr>
                <w:color w:val="000000"/>
              </w:rPr>
              <w:t>5.08</w:t>
            </w:r>
          </w:p>
        </w:tc>
        <w:tc>
          <w:tcPr>
            <w:tcW w:w="2233" w:type="dxa"/>
            <w:tcBorders>
              <w:top w:val="nil"/>
              <w:left w:val="nil"/>
              <w:bottom w:val="nil"/>
              <w:right w:val="nil"/>
            </w:tcBorders>
            <w:shd w:val="clear" w:color="auto" w:fill="auto"/>
            <w:noWrap/>
            <w:hideMark/>
          </w:tcPr>
          <w:p w14:paraId="571B0C89" w14:textId="77777777" w:rsidR="00EE6446" w:rsidRPr="00641A01" w:rsidRDefault="00EE6446" w:rsidP="00641A01">
            <w:pPr>
              <w:tabs>
                <w:tab w:val="decimal" w:pos="943"/>
              </w:tabs>
              <w:spacing w:line="360" w:lineRule="auto"/>
              <w:rPr>
                <w:color w:val="000000"/>
              </w:rPr>
            </w:pPr>
            <w:r w:rsidRPr="00641A01">
              <w:rPr>
                <w:color w:val="000000"/>
              </w:rPr>
              <w:t>57.22</w:t>
            </w:r>
          </w:p>
        </w:tc>
      </w:tr>
      <w:tr w:rsidR="005B434B" w:rsidRPr="00641A01" w14:paraId="66FDAF71" w14:textId="77777777" w:rsidTr="00A637D6">
        <w:tc>
          <w:tcPr>
            <w:tcW w:w="3258" w:type="dxa"/>
            <w:tcBorders>
              <w:top w:val="nil"/>
              <w:left w:val="nil"/>
              <w:bottom w:val="nil"/>
              <w:right w:val="nil"/>
            </w:tcBorders>
            <w:shd w:val="clear" w:color="auto" w:fill="auto"/>
            <w:noWrap/>
            <w:hideMark/>
          </w:tcPr>
          <w:p w14:paraId="3E0195F8" w14:textId="77777777" w:rsidR="00EE6446" w:rsidRPr="00641A01" w:rsidRDefault="00EE6446" w:rsidP="00641A01">
            <w:pPr>
              <w:spacing w:line="360" w:lineRule="auto"/>
              <w:jc w:val="center"/>
              <w:rPr>
                <w:color w:val="000000"/>
              </w:rPr>
            </w:pPr>
            <w:r w:rsidRPr="00641A01">
              <w:rPr>
                <w:color w:val="000000"/>
              </w:rPr>
              <w:t>Papua New Guinea</w:t>
            </w:r>
          </w:p>
        </w:tc>
        <w:tc>
          <w:tcPr>
            <w:tcW w:w="1011" w:type="dxa"/>
            <w:tcBorders>
              <w:top w:val="nil"/>
              <w:left w:val="nil"/>
              <w:bottom w:val="nil"/>
              <w:right w:val="nil"/>
            </w:tcBorders>
            <w:shd w:val="clear" w:color="auto" w:fill="auto"/>
            <w:noWrap/>
            <w:hideMark/>
          </w:tcPr>
          <w:p w14:paraId="5DE322C2" w14:textId="77777777" w:rsidR="00EE6446" w:rsidRPr="00641A01" w:rsidRDefault="00EE6446" w:rsidP="00641A01">
            <w:pPr>
              <w:spacing w:line="360" w:lineRule="auto"/>
              <w:jc w:val="center"/>
              <w:rPr>
                <w:color w:val="000000"/>
              </w:rPr>
            </w:pPr>
            <w:r w:rsidRPr="00641A01">
              <w:rPr>
                <w:color w:val="000000"/>
              </w:rPr>
              <w:t>PNG</w:t>
            </w:r>
          </w:p>
        </w:tc>
        <w:tc>
          <w:tcPr>
            <w:tcW w:w="1011" w:type="dxa"/>
            <w:tcBorders>
              <w:top w:val="nil"/>
              <w:left w:val="nil"/>
              <w:bottom w:val="nil"/>
              <w:right w:val="nil"/>
            </w:tcBorders>
            <w:shd w:val="clear" w:color="auto" w:fill="auto"/>
            <w:noWrap/>
            <w:hideMark/>
          </w:tcPr>
          <w:p w14:paraId="6DB95A3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AC800B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5CF966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7C93931"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2DA3F5DA" w14:textId="77777777" w:rsidR="00EE6446" w:rsidRPr="00641A01" w:rsidRDefault="00EE6446" w:rsidP="00641A01">
            <w:pPr>
              <w:tabs>
                <w:tab w:val="decimal" w:pos="943"/>
              </w:tabs>
              <w:spacing w:line="360" w:lineRule="auto"/>
              <w:rPr>
                <w:color w:val="000000"/>
              </w:rPr>
            </w:pPr>
            <w:r w:rsidRPr="00641A01">
              <w:rPr>
                <w:color w:val="000000"/>
              </w:rPr>
              <w:t>3.37</w:t>
            </w:r>
          </w:p>
        </w:tc>
        <w:tc>
          <w:tcPr>
            <w:tcW w:w="2233" w:type="dxa"/>
            <w:tcBorders>
              <w:top w:val="nil"/>
              <w:left w:val="nil"/>
              <w:bottom w:val="nil"/>
              <w:right w:val="nil"/>
            </w:tcBorders>
            <w:shd w:val="clear" w:color="auto" w:fill="auto"/>
            <w:noWrap/>
            <w:hideMark/>
          </w:tcPr>
          <w:p w14:paraId="061B7900" w14:textId="77777777" w:rsidR="00EE6446" w:rsidRPr="00641A01" w:rsidRDefault="00EE6446" w:rsidP="00641A01">
            <w:pPr>
              <w:tabs>
                <w:tab w:val="decimal" w:pos="943"/>
              </w:tabs>
              <w:spacing w:line="360" w:lineRule="auto"/>
              <w:rPr>
                <w:color w:val="000000"/>
              </w:rPr>
            </w:pPr>
            <w:r w:rsidRPr="00641A01">
              <w:rPr>
                <w:color w:val="000000"/>
              </w:rPr>
              <w:t>25.05</w:t>
            </w:r>
          </w:p>
        </w:tc>
      </w:tr>
      <w:tr w:rsidR="005B434B" w:rsidRPr="00641A01" w14:paraId="5D995075" w14:textId="77777777" w:rsidTr="00A637D6">
        <w:tc>
          <w:tcPr>
            <w:tcW w:w="3258" w:type="dxa"/>
            <w:tcBorders>
              <w:top w:val="nil"/>
              <w:left w:val="nil"/>
              <w:bottom w:val="nil"/>
              <w:right w:val="nil"/>
            </w:tcBorders>
            <w:shd w:val="clear" w:color="auto" w:fill="auto"/>
            <w:noWrap/>
            <w:hideMark/>
          </w:tcPr>
          <w:p w14:paraId="2D4075F7" w14:textId="77777777" w:rsidR="00EE6446" w:rsidRPr="00641A01" w:rsidRDefault="00EE6446" w:rsidP="00641A01">
            <w:pPr>
              <w:spacing w:line="360" w:lineRule="auto"/>
              <w:jc w:val="center"/>
              <w:rPr>
                <w:color w:val="000000"/>
              </w:rPr>
            </w:pPr>
            <w:r w:rsidRPr="00641A01">
              <w:rPr>
                <w:color w:val="000000"/>
              </w:rPr>
              <w:t>Poland</w:t>
            </w:r>
          </w:p>
        </w:tc>
        <w:tc>
          <w:tcPr>
            <w:tcW w:w="1011" w:type="dxa"/>
            <w:tcBorders>
              <w:top w:val="nil"/>
              <w:left w:val="nil"/>
              <w:bottom w:val="nil"/>
              <w:right w:val="nil"/>
            </w:tcBorders>
            <w:shd w:val="clear" w:color="auto" w:fill="auto"/>
            <w:noWrap/>
            <w:hideMark/>
          </w:tcPr>
          <w:p w14:paraId="1CFA5E7F" w14:textId="77777777" w:rsidR="00EE6446" w:rsidRPr="00641A01" w:rsidRDefault="00EE6446" w:rsidP="00641A01">
            <w:pPr>
              <w:spacing w:line="360" w:lineRule="auto"/>
              <w:jc w:val="center"/>
              <w:rPr>
                <w:color w:val="000000"/>
              </w:rPr>
            </w:pPr>
            <w:r w:rsidRPr="00641A01">
              <w:rPr>
                <w:color w:val="000000"/>
              </w:rPr>
              <w:t>POL</w:t>
            </w:r>
          </w:p>
        </w:tc>
        <w:tc>
          <w:tcPr>
            <w:tcW w:w="1011" w:type="dxa"/>
            <w:tcBorders>
              <w:top w:val="nil"/>
              <w:left w:val="nil"/>
              <w:bottom w:val="nil"/>
              <w:right w:val="nil"/>
            </w:tcBorders>
            <w:shd w:val="clear" w:color="auto" w:fill="auto"/>
            <w:noWrap/>
            <w:hideMark/>
          </w:tcPr>
          <w:p w14:paraId="4C07F8D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8E22D9D"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7FCD440"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49676A86"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1F6E7744" w14:textId="77777777" w:rsidR="00EE6446" w:rsidRPr="00641A01" w:rsidRDefault="00EE6446" w:rsidP="00641A01">
            <w:pPr>
              <w:tabs>
                <w:tab w:val="decimal" w:pos="943"/>
              </w:tabs>
              <w:spacing w:line="360" w:lineRule="auto"/>
              <w:rPr>
                <w:color w:val="000000"/>
              </w:rPr>
            </w:pPr>
            <w:r w:rsidRPr="00641A01">
              <w:rPr>
                <w:color w:val="000000"/>
              </w:rPr>
              <w:t>7.49</w:t>
            </w:r>
          </w:p>
        </w:tc>
        <w:tc>
          <w:tcPr>
            <w:tcW w:w="2233" w:type="dxa"/>
            <w:tcBorders>
              <w:top w:val="nil"/>
              <w:left w:val="nil"/>
              <w:bottom w:val="nil"/>
              <w:right w:val="nil"/>
            </w:tcBorders>
            <w:shd w:val="clear" w:color="auto" w:fill="auto"/>
            <w:noWrap/>
            <w:hideMark/>
          </w:tcPr>
          <w:p w14:paraId="6BE22459" w14:textId="77777777" w:rsidR="00EE6446" w:rsidRPr="00641A01" w:rsidRDefault="00EE6446" w:rsidP="00641A01">
            <w:pPr>
              <w:tabs>
                <w:tab w:val="decimal" w:pos="943"/>
              </w:tabs>
              <w:spacing w:line="360" w:lineRule="auto"/>
              <w:rPr>
                <w:color w:val="000000"/>
              </w:rPr>
            </w:pPr>
            <w:r w:rsidRPr="00641A01">
              <w:rPr>
                <w:color w:val="000000"/>
              </w:rPr>
              <w:t>79.69</w:t>
            </w:r>
          </w:p>
        </w:tc>
      </w:tr>
      <w:tr w:rsidR="005B434B" w:rsidRPr="00641A01" w14:paraId="2B0E5594" w14:textId="77777777" w:rsidTr="00A637D6">
        <w:tc>
          <w:tcPr>
            <w:tcW w:w="3258" w:type="dxa"/>
            <w:tcBorders>
              <w:top w:val="nil"/>
              <w:left w:val="nil"/>
              <w:bottom w:val="nil"/>
              <w:right w:val="nil"/>
            </w:tcBorders>
            <w:shd w:val="clear" w:color="auto" w:fill="auto"/>
            <w:noWrap/>
            <w:hideMark/>
          </w:tcPr>
          <w:p w14:paraId="5DB08885" w14:textId="77777777" w:rsidR="00EE6446" w:rsidRPr="00641A01" w:rsidRDefault="00EE6446" w:rsidP="00641A01">
            <w:pPr>
              <w:spacing w:line="360" w:lineRule="auto"/>
              <w:jc w:val="center"/>
              <w:rPr>
                <w:color w:val="000000"/>
              </w:rPr>
            </w:pPr>
            <w:r w:rsidRPr="00641A01">
              <w:rPr>
                <w:color w:val="000000"/>
              </w:rPr>
              <w:t>Korea, North</w:t>
            </w:r>
          </w:p>
        </w:tc>
        <w:tc>
          <w:tcPr>
            <w:tcW w:w="1011" w:type="dxa"/>
            <w:tcBorders>
              <w:top w:val="nil"/>
              <w:left w:val="nil"/>
              <w:bottom w:val="nil"/>
              <w:right w:val="nil"/>
            </w:tcBorders>
            <w:shd w:val="clear" w:color="auto" w:fill="auto"/>
            <w:noWrap/>
            <w:hideMark/>
          </w:tcPr>
          <w:p w14:paraId="5872455C" w14:textId="77777777" w:rsidR="00EE6446" w:rsidRPr="00641A01" w:rsidRDefault="00EE6446" w:rsidP="00641A01">
            <w:pPr>
              <w:spacing w:line="360" w:lineRule="auto"/>
              <w:jc w:val="center"/>
              <w:rPr>
                <w:color w:val="000000"/>
              </w:rPr>
            </w:pPr>
            <w:r w:rsidRPr="00641A01">
              <w:rPr>
                <w:color w:val="000000"/>
              </w:rPr>
              <w:t>PRK</w:t>
            </w:r>
          </w:p>
        </w:tc>
        <w:tc>
          <w:tcPr>
            <w:tcW w:w="1011" w:type="dxa"/>
            <w:tcBorders>
              <w:top w:val="nil"/>
              <w:left w:val="nil"/>
              <w:bottom w:val="nil"/>
              <w:right w:val="nil"/>
            </w:tcBorders>
            <w:shd w:val="clear" w:color="auto" w:fill="auto"/>
            <w:noWrap/>
            <w:hideMark/>
          </w:tcPr>
          <w:p w14:paraId="32DBBB9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2B8F35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C5C15C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3BBCCC7"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06ABE0B6" w14:textId="77777777" w:rsidR="00EE6446" w:rsidRPr="00641A01" w:rsidRDefault="00EE6446" w:rsidP="00641A01">
            <w:pPr>
              <w:tabs>
                <w:tab w:val="decimal" w:pos="943"/>
              </w:tabs>
              <w:spacing w:line="360" w:lineRule="auto"/>
              <w:rPr>
                <w:color w:val="000000"/>
              </w:rPr>
            </w:pPr>
            <w:r w:rsidRPr="00641A01">
              <w:rPr>
                <w:color w:val="000000"/>
              </w:rPr>
              <w:t>0.95</w:t>
            </w:r>
          </w:p>
        </w:tc>
        <w:tc>
          <w:tcPr>
            <w:tcW w:w="2233" w:type="dxa"/>
            <w:tcBorders>
              <w:top w:val="nil"/>
              <w:left w:val="nil"/>
              <w:bottom w:val="nil"/>
              <w:right w:val="nil"/>
            </w:tcBorders>
            <w:shd w:val="clear" w:color="auto" w:fill="auto"/>
            <w:noWrap/>
            <w:hideMark/>
          </w:tcPr>
          <w:p w14:paraId="0AD867AF" w14:textId="77777777" w:rsidR="00EE6446" w:rsidRPr="00641A01" w:rsidRDefault="00EE6446" w:rsidP="00641A01">
            <w:pPr>
              <w:tabs>
                <w:tab w:val="decimal" w:pos="943"/>
              </w:tabs>
              <w:spacing w:line="360" w:lineRule="auto"/>
              <w:rPr>
                <w:color w:val="000000"/>
              </w:rPr>
            </w:pPr>
            <w:r w:rsidRPr="00641A01">
              <w:rPr>
                <w:color w:val="000000"/>
              </w:rPr>
              <w:t>12.06</w:t>
            </w:r>
          </w:p>
        </w:tc>
      </w:tr>
      <w:tr w:rsidR="005B434B" w:rsidRPr="00641A01" w14:paraId="1F5F92A6" w14:textId="77777777" w:rsidTr="00A637D6">
        <w:tc>
          <w:tcPr>
            <w:tcW w:w="3258" w:type="dxa"/>
            <w:tcBorders>
              <w:top w:val="nil"/>
              <w:left w:val="nil"/>
              <w:bottom w:val="nil"/>
              <w:right w:val="nil"/>
            </w:tcBorders>
            <w:shd w:val="clear" w:color="auto" w:fill="auto"/>
            <w:noWrap/>
            <w:hideMark/>
          </w:tcPr>
          <w:p w14:paraId="5FF5E0A9" w14:textId="77777777" w:rsidR="00EE6446" w:rsidRPr="00641A01" w:rsidRDefault="00EE6446" w:rsidP="00641A01">
            <w:pPr>
              <w:spacing w:line="360" w:lineRule="auto"/>
              <w:jc w:val="center"/>
              <w:rPr>
                <w:color w:val="000000"/>
              </w:rPr>
            </w:pPr>
            <w:r w:rsidRPr="00641A01">
              <w:rPr>
                <w:color w:val="000000"/>
              </w:rPr>
              <w:t>Portugal</w:t>
            </w:r>
          </w:p>
        </w:tc>
        <w:tc>
          <w:tcPr>
            <w:tcW w:w="1011" w:type="dxa"/>
            <w:tcBorders>
              <w:top w:val="nil"/>
              <w:left w:val="nil"/>
              <w:bottom w:val="nil"/>
              <w:right w:val="nil"/>
            </w:tcBorders>
            <w:shd w:val="clear" w:color="auto" w:fill="auto"/>
            <w:noWrap/>
            <w:hideMark/>
          </w:tcPr>
          <w:p w14:paraId="76B8A1B0" w14:textId="77777777" w:rsidR="00EE6446" w:rsidRPr="00641A01" w:rsidRDefault="00EE6446" w:rsidP="00641A01">
            <w:pPr>
              <w:spacing w:line="360" w:lineRule="auto"/>
              <w:jc w:val="center"/>
              <w:rPr>
                <w:color w:val="000000"/>
              </w:rPr>
            </w:pPr>
            <w:r w:rsidRPr="00641A01">
              <w:rPr>
                <w:color w:val="000000"/>
              </w:rPr>
              <w:t>PRT</w:t>
            </w:r>
          </w:p>
        </w:tc>
        <w:tc>
          <w:tcPr>
            <w:tcW w:w="1011" w:type="dxa"/>
            <w:tcBorders>
              <w:top w:val="nil"/>
              <w:left w:val="nil"/>
              <w:bottom w:val="nil"/>
              <w:right w:val="nil"/>
            </w:tcBorders>
            <w:shd w:val="clear" w:color="auto" w:fill="auto"/>
            <w:noWrap/>
            <w:hideMark/>
          </w:tcPr>
          <w:p w14:paraId="241FC52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1DBA935"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2F74500"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31ED676"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41162EF4" w14:textId="77777777" w:rsidR="00EE6446" w:rsidRPr="00641A01" w:rsidRDefault="00EE6446" w:rsidP="00641A01">
            <w:pPr>
              <w:tabs>
                <w:tab w:val="decimal" w:pos="943"/>
              </w:tabs>
              <w:spacing w:line="360" w:lineRule="auto"/>
              <w:rPr>
                <w:color w:val="000000"/>
              </w:rPr>
            </w:pPr>
            <w:r w:rsidRPr="00641A01">
              <w:rPr>
                <w:color w:val="000000"/>
              </w:rPr>
              <w:t>10.78</w:t>
            </w:r>
          </w:p>
        </w:tc>
        <w:tc>
          <w:tcPr>
            <w:tcW w:w="2233" w:type="dxa"/>
            <w:tcBorders>
              <w:top w:val="nil"/>
              <w:left w:val="nil"/>
              <w:bottom w:val="nil"/>
              <w:right w:val="nil"/>
            </w:tcBorders>
            <w:shd w:val="clear" w:color="auto" w:fill="auto"/>
            <w:noWrap/>
            <w:hideMark/>
          </w:tcPr>
          <w:p w14:paraId="0B14286D" w14:textId="77777777" w:rsidR="00EE6446" w:rsidRPr="00641A01" w:rsidRDefault="00EE6446" w:rsidP="00641A01">
            <w:pPr>
              <w:tabs>
                <w:tab w:val="decimal" w:pos="943"/>
              </w:tabs>
              <w:spacing w:line="360" w:lineRule="auto"/>
              <w:rPr>
                <w:color w:val="000000"/>
              </w:rPr>
            </w:pPr>
            <w:r w:rsidRPr="00641A01">
              <w:rPr>
                <w:color w:val="000000"/>
              </w:rPr>
              <w:t>101.29</w:t>
            </w:r>
          </w:p>
        </w:tc>
      </w:tr>
      <w:tr w:rsidR="005B434B" w:rsidRPr="00641A01" w14:paraId="5093EC97" w14:textId="77777777" w:rsidTr="00A637D6">
        <w:tc>
          <w:tcPr>
            <w:tcW w:w="3258" w:type="dxa"/>
            <w:tcBorders>
              <w:top w:val="nil"/>
              <w:left w:val="nil"/>
              <w:bottom w:val="nil"/>
              <w:right w:val="nil"/>
            </w:tcBorders>
            <w:shd w:val="clear" w:color="auto" w:fill="auto"/>
            <w:noWrap/>
            <w:hideMark/>
          </w:tcPr>
          <w:p w14:paraId="3089B4DC" w14:textId="77777777" w:rsidR="00EE6446" w:rsidRPr="00641A01" w:rsidRDefault="00EE6446" w:rsidP="00641A01">
            <w:pPr>
              <w:spacing w:line="360" w:lineRule="auto"/>
              <w:jc w:val="center"/>
              <w:rPr>
                <w:color w:val="000000"/>
              </w:rPr>
            </w:pPr>
            <w:r w:rsidRPr="00641A01">
              <w:rPr>
                <w:color w:val="000000"/>
              </w:rPr>
              <w:t>Paraguay</w:t>
            </w:r>
          </w:p>
        </w:tc>
        <w:tc>
          <w:tcPr>
            <w:tcW w:w="1011" w:type="dxa"/>
            <w:tcBorders>
              <w:top w:val="nil"/>
              <w:left w:val="nil"/>
              <w:bottom w:val="nil"/>
              <w:right w:val="nil"/>
            </w:tcBorders>
            <w:shd w:val="clear" w:color="auto" w:fill="auto"/>
            <w:noWrap/>
            <w:hideMark/>
          </w:tcPr>
          <w:p w14:paraId="2DEC2B7F" w14:textId="77777777" w:rsidR="00EE6446" w:rsidRPr="00641A01" w:rsidRDefault="00EE6446" w:rsidP="00641A01">
            <w:pPr>
              <w:spacing w:line="360" w:lineRule="auto"/>
              <w:jc w:val="center"/>
              <w:rPr>
                <w:color w:val="000000"/>
              </w:rPr>
            </w:pPr>
            <w:r w:rsidRPr="00641A01">
              <w:rPr>
                <w:color w:val="000000"/>
              </w:rPr>
              <w:t>PRY</w:t>
            </w:r>
          </w:p>
        </w:tc>
        <w:tc>
          <w:tcPr>
            <w:tcW w:w="1011" w:type="dxa"/>
            <w:tcBorders>
              <w:top w:val="nil"/>
              <w:left w:val="nil"/>
              <w:bottom w:val="nil"/>
              <w:right w:val="nil"/>
            </w:tcBorders>
            <w:shd w:val="clear" w:color="auto" w:fill="auto"/>
            <w:noWrap/>
            <w:hideMark/>
          </w:tcPr>
          <w:p w14:paraId="584D7D3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FCA0EF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ACB4A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D9A6657"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27552080" w14:textId="77777777" w:rsidR="00EE6446" w:rsidRPr="00641A01" w:rsidRDefault="00EE6446" w:rsidP="00641A01">
            <w:pPr>
              <w:tabs>
                <w:tab w:val="decimal" w:pos="943"/>
              </w:tabs>
              <w:spacing w:line="360" w:lineRule="auto"/>
              <w:rPr>
                <w:color w:val="000000"/>
              </w:rPr>
            </w:pPr>
            <w:r w:rsidRPr="00641A01">
              <w:rPr>
                <w:color w:val="000000"/>
              </w:rPr>
              <w:t>3.98</w:t>
            </w:r>
          </w:p>
        </w:tc>
        <w:tc>
          <w:tcPr>
            <w:tcW w:w="2233" w:type="dxa"/>
            <w:tcBorders>
              <w:top w:val="nil"/>
              <w:left w:val="nil"/>
              <w:bottom w:val="nil"/>
              <w:right w:val="nil"/>
            </w:tcBorders>
            <w:shd w:val="clear" w:color="auto" w:fill="auto"/>
            <w:noWrap/>
            <w:hideMark/>
          </w:tcPr>
          <w:p w14:paraId="07CCA2F3" w14:textId="77777777" w:rsidR="00EE6446" w:rsidRPr="00641A01" w:rsidRDefault="00EE6446" w:rsidP="00641A01">
            <w:pPr>
              <w:tabs>
                <w:tab w:val="decimal" w:pos="943"/>
              </w:tabs>
              <w:spacing w:line="360" w:lineRule="auto"/>
              <w:rPr>
                <w:color w:val="000000"/>
              </w:rPr>
            </w:pPr>
            <w:r w:rsidRPr="00641A01">
              <w:rPr>
                <w:color w:val="000000"/>
              </w:rPr>
              <w:t>45.47</w:t>
            </w:r>
          </w:p>
        </w:tc>
      </w:tr>
      <w:tr w:rsidR="005B434B" w:rsidRPr="00641A01" w14:paraId="7195E313" w14:textId="77777777" w:rsidTr="00A637D6">
        <w:tc>
          <w:tcPr>
            <w:tcW w:w="3258" w:type="dxa"/>
            <w:tcBorders>
              <w:top w:val="nil"/>
              <w:left w:val="nil"/>
              <w:bottom w:val="nil"/>
              <w:right w:val="nil"/>
            </w:tcBorders>
            <w:shd w:val="clear" w:color="auto" w:fill="auto"/>
            <w:noWrap/>
            <w:hideMark/>
          </w:tcPr>
          <w:p w14:paraId="55E82C0E" w14:textId="77777777" w:rsidR="00EE6446" w:rsidRPr="00641A01" w:rsidRDefault="00EE6446" w:rsidP="00641A01">
            <w:pPr>
              <w:spacing w:line="360" w:lineRule="auto"/>
              <w:jc w:val="center"/>
              <w:rPr>
                <w:color w:val="000000"/>
              </w:rPr>
            </w:pPr>
            <w:r w:rsidRPr="00641A01">
              <w:rPr>
                <w:color w:val="000000"/>
              </w:rPr>
              <w:t>Qatar</w:t>
            </w:r>
          </w:p>
        </w:tc>
        <w:tc>
          <w:tcPr>
            <w:tcW w:w="1011" w:type="dxa"/>
            <w:tcBorders>
              <w:top w:val="nil"/>
              <w:left w:val="nil"/>
              <w:bottom w:val="nil"/>
              <w:right w:val="nil"/>
            </w:tcBorders>
            <w:shd w:val="clear" w:color="auto" w:fill="auto"/>
            <w:noWrap/>
            <w:hideMark/>
          </w:tcPr>
          <w:p w14:paraId="46EEEEB3" w14:textId="77777777" w:rsidR="00EE6446" w:rsidRPr="00641A01" w:rsidRDefault="00EE6446" w:rsidP="00641A01">
            <w:pPr>
              <w:spacing w:line="360" w:lineRule="auto"/>
              <w:jc w:val="center"/>
              <w:rPr>
                <w:color w:val="000000"/>
              </w:rPr>
            </w:pPr>
            <w:r w:rsidRPr="00641A01">
              <w:rPr>
                <w:color w:val="000000"/>
              </w:rPr>
              <w:t>QAT</w:t>
            </w:r>
          </w:p>
        </w:tc>
        <w:tc>
          <w:tcPr>
            <w:tcW w:w="1011" w:type="dxa"/>
            <w:tcBorders>
              <w:top w:val="nil"/>
              <w:left w:val="nil"/>
              <w:bottom w:val="nil"/>
              <w:right w:val="nil"/>
            </w:tcBorders>
            <w:shd w:val="clear" w:color="auto" w:fill="auto"/>
            <w:noWrap/>
            <w:hideMark/>
          </w:tcPr>
          <w:p w14:paraId="57482C2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6D2E04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2F31D9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3C43315"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38E869B2" w14:textId="77777777" w:rsidR="00EE6446" w:rsidRPr="00641A01" w:rsidRDefault="00EE6446" w:rsidP="00641A01">
            <w:pPr>
              <w:tabs>
                <w:tab w:val="decimal" w:pos="943"/>
              </w:tabs>
              <w:spacing w:line="360" w:lineRule="auto"/>
              <w:rPr>
                <w:color w:val="000000"/>
              </w:rPr>
            </w:pPr>
            <w:r w:rsidRPr="00641A01">
              <w:rPr>
                <w:color w:val="000000"/>
              </w:rPr>
              <w:t>1.24</w:t>
            </w:r>
          </w:p>
        </w:tc>
        <w:tc>
          <w:tcPr>
            <w:tcW w:w="2233" w:type="dxa"/>
            <w:tcBorders>
              <w:top w:val="nil"/>
              <w:left w:val="nil"/>
              <w:bottom w:val="nil"/>
              <w:right w:val="nil"/>
            </w:tcBorders>
            <w:shd w:val="clear" w:color="auto" w:fill="auto"/>
            <w:noWrap/>
            <w:hideMark/>
          </w:tcPr>
          <w:p w14:paraId="472BACED" w14:textId="77777777" w:rsidR="00EE6446" w:rsidRPr="00641A01" w:rsidRDefault="00EE6446" w:rsidP="00641A01">
            <w:pPr>
              <w:tabs>
                <w:tab w:val="decimal" w:pos="943"/>
              </w:tabs>
              <w:spacing w:line="360" w:lineRule="auto"/>
              <w:rPr>
                <w:color w:val="000000"/>
              </w:rPr>
            </w:pPr>
            <w:r w:rsidRPr="00641A01">
              <w:rPr>
                <w:color w:val="000000"/>
              </w:rPr>
              <w:t>18.83</w:t>
            </w:r>
          </w:p>
        </w:tc>
      </w:tr>
      <w:tr w:rsidR="005B434B" w:rsidRPr="00641A01" w14:paraId="068C4DAF" w14:textId="77777777" w:rsidTr="00A637D6">
        <w:tc>
          <w:tcPr>
            <w:tcW w:w="3258" w:type="dxa"/>
            <w:tcBorders>
              <w:top w:val="nil"/>
              <w:left w:val="nil"/>
              <w:bottom w:val="nil"/>
              <w:right w:val="nil"/>
            </w:tcBorders>
            <w:shd w:val="clear" w:color="auto" w:fill="auto"/>
            <w:noWrap/>
            <w:hideMark/>
          </w:tcPr>
          <w:p w14:paraId="1E354E15" w14:textId="77777777" w:rsidR="00EE6446" w:rsidRPr="00641A01" w:rsidRDefault="00EE6446" w:rsidP="00641A01">
            <w:pPr>
              <w:spacing w:line="360" w:lineRule="auto"/>
              <w:jc w:val="center"/>
              <w:rPr>
                <w:color w:val="000000"/>
              </w:rPr>
            </w:pPr>
            <w:r w:rsidRPr="00641A01">
              <w:rPr>
                <w:color w:val="000000"/>
              </w:rPr>
              <w:t>Russia</w:t>
            </w:r>
          </w:p>
        </w:tc>
        <w:tc>
          <w:tcPr>
            <w:tcW w:w="1011" w:type="dxa"/>
            <w:tcBorders>
              <w:top w:val="nil"/>
              <w:left w:val="nil"/>
              <w:bottom w:val="nil"/>
              <w:right w:val="nil"/>
            </w:tcBorders>
            <w:shd w:val="clear" w:color="auto" w:fill="auto"/>
            <w:noWrap/>
            <w:hideMark/>
          </w:tcPr>
          <w:p w14:paraId="7E0150F8" w14:textId="77777777" w:rsidR="00EE6446" w:rsidRPr="00641A01" w:rsidRDefault="00EE6446" w:rsidP="00641A01">
            <w:pPr>
              <w:spacing w:line="360" w:lineRule="auto"/>
              <w:jc w:val="center"/>
              <w:rPr>
                <w:color w:val="000000"/>
              </w:rPr>
            </w:pPr>
            <w:r w:rsidRPr="00641A01">
              <w:rPr>
                <w:color w:val="000000"/>
              </w:rPr>
              <w:t>RUS</w:t>
            </w:r>
          </w:p>
        </w:tc>
        <w:tc>
          <w:tcPr>
            <w:tcW w:w="1011" w:type="dxa"/>
            <w:tcBorders>
              <w:top w:val="nil"/>
              <w:left w:val="nil"/>
              <w:bottom w:val="nil"/>
              <w:right w:val="nil"/>
            </w:tcBorders>
            <w:shd w:val="clear" w:color="auto" w:fill="auto"/>
            <w:noWrap/>
            <w:hideMark/>
          </w:tcPr>
          <w:p w14:paraId="138C3607"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5016EC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3049A8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2A8B750"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1D8D271F" w14:textId="77777777" w:rsidR="00EE6446" w:rsidRPr="00641A01" w:rsidRDefault="00EE6446" w:rsidP="00641A01">
            <w:pPr>
              <w:tabs>
                <w:tab w:val="decimal" w:pos="943"/>
              </w:tabs>
              <w:spacing w:line="360" w:lineRule="auto"/>
              <w:rPr>
                <w:color w:val="000000"/>
              </w:rPr>
            </w:pPr>
            <w:r w:rsidRPr="00641A01">
              <w:rPr>
                <w:color w:val="000000"/>
              </w:rPr>
              <w:t>4.09</w:t>
            </w:r>
          </w:p>
        </w:tc>
        <w:tc>
          <w:tcPr>
            <w:tcW w:w="2233" w:type="dxa"/>
            <w:tcBorders>
              <w:top w:val="nil"/>
              <w:left w:val="nil"/>
              <w:bottom w:val="nil"/>
              <w:right w:val="nil"/>
            </w:tcBorders>
            <w:shd w:val="clear" w:color="auto" w:fill="auto"/>
            <w:noWrap/>
            <w:hideMark/>
          </w:tcPr>
          <w:p w14:paraId="4B228670" w14:textId="77777777" w:rsidR="00EE6446" w:rsidRPr="00641A01" w:rsidRDefault="00EE6446" w:rsidP="00641A01">
            <w:pPr>
              <w:tabs>
                <w:tab w:val="decimal" w:pos="943"/>
              </w:tabs>
              <w:spacing w:line="360" w:lineRule="auto"/>
              <w:rPr>
                <w:color w:val="000000"/>
              </w:rPr>
            </w:pPr>
            <w:r w:rsidRPr="00641A01">
              <w:rPr>
                <w:color w:val="000000"/>
              </w:rPr>
              <w:t>40.94</w:t>
            </w:r>
          </w:p>
        </w:tc>
      </w:tr>
      <w:tr w:rsidR="005B434B" w:rsidRPr="00641A01" w14:paraId="47E43458" w14:textId="77777777" w:rsidTr="00A637D6">
        <w:tc>
          <w:tcPr>
            <w:tcW w:w="3258" w:type="dxa"/>
            <w:tcBorders>
              <w:top w:val="nil"/>
              <w:left w:val="nil"/>
              <w:bottom w:val="nil"/>
              <w:right w:val="nil"/>
            </w:tcBorders>
            <w:shd w:val="clear" w:color="auto" w:fill="auto"/>
            <w:noWrap/>
            <w:hideMark/>
          </w:tcPr>
          <w:p w14:paraId="4F8CE1A1" w14:textId="77777777" w:rsidR="00EE6446" w:rsidRPr="00641A01" w:rsidRDefault="00EE6446" w:rsidP="00641A01">
            <w:pPr>
              <w:spacing w:line="360" w:lineRule="auto"/>
              <w:jc w:val="center"/>
              <w:rPr>
                <w:color w:val="000000"/>
              </w:rPr>
            </w:pPr>
            <w:r w:rsidRPr="00641A01">
              <w:rPr>
                <w:color w:val="000000"/>
              </w:rPr>
              <w:t>Rwanda</w:t>
            </w:r>
          </w:p>
        </w:tc>
        <w:tc>
          <w:tcPr>
            <w:tcW w:w="1011" w:type="dxa"/>
            <w:tcBorders>
              <w:top w:val="nil"/>
              <w:left w:val="nil"/>
              <w:bottom w:val="nil"/>
              <w:right w:val="nil"/>
            </w:tcBorders>
            <w:shd w:val="clear" w:color="auto" w:fill="auto"/>
            <w:noWrap/>
            <w:hideMark/>
          </w:tcPr>
          <w:p w14:paraId="6AB8BA06" w14:textId="77777777" w:rsidR="00EE6446" w:rsidRPr="00641A01" w:rsidRDefault="00EE6446" w:rsidP="00641A01">
            <w:pPr>
              <w:spacing w:line="360" w:lineRule="auto"/>
              <w:jc w:val="center"/>
              <w:rPr>
                <w:color w:val="000000"/>
              </w:rPr>
            </w:pPr>
            <w:r w:rsidRPr="00641A01">
              <w:rPr>
                <w:color w:val="000000"/>
              </w:rPr>
              <w:t>RWA</w:t>
            </w:r>
          </w:p>
        </w:tc>
        <w:tc>
          <w:tcPr>
            <w:tcW w:w="1011" w:type="dxa"/>
            <w:tcBorders>
              <w:top w:val="nil"/>
              <w:left w:val="nil"/>
              <w:bottom w:val="nil"/>
              <w:right w:val="nil"/>
            </w:tcBorders>
            <w:shd w:val="clear" w:color="auto" w:fill="auto"/>
            <w:noWrap/>
            <w:hideMark/>
          </w:tcPr>
          <w:p w14:paraId="4BC55E8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DC865E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BF9B78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6030F8F"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6E78C666" w14:textId="77777777" w:rsidR="00EE6446" w:rsidRPr="00641A01" w:rsidRDefault="00EE6446" w:rsidP="00641A01">
            <w:pPr>
              <w:tabs>
                <w:tab w:val="decimal" w:pos="943"/>
              </w:tabs>
              <w:spacing w:line="360" w:lineRule="auto"/>
              <w:rPr>
                <w:color w:val="000000"/>
              </w:rPr>
            </w:pPr>
            <w:r w:rsidRPr="00641A01">
              <w:rPr>
                <w:color w:val="000000"/>
              </w:rPr>
              <w:t>3.30</w:t>
            </w:r>
          </w:p>
        </w:tc>
        <w:tc>
          <w:tcPr>
            <w:tcW w:w="2233" w:type="dxa"/>
            <w:tcBorders>
              <w:top w:val="nil"/>
              <w:left w:val="nil"/>
              <w:bottom w:val="nil"/>
              <w:right w:val="nil"/>
            </w:tcBorders>
            <w:shd w:val="clear" w:color="auto" w:fill="auto"/>
            <w:noWrap/>
            <w:hideMark/>
          </w:tcPr>
          <w:p w14:paraId="2A603529" w14:textId="77777777" w:rsidR="00EE6446" w:rsidRPr="00641A01" w:rsidRDefault="00EE6446" w:rsidP="00641A01">
            <w:pPr>
              <w:tabs>
                <w:tab w:val="decimal" w:pos="943"/>
              </w:tabs>
              <w:spacing w:line="360" w:lineRule="auto"/>
              <w:rPr>
                <w:color w:val="000000"/>
              </w:rPr>
            </w:pPr>
            <w:r w:rsidRPr="00641A01">
              <w:rPr>
                <w:color w:val="000000"/>
              </w:rPr>
              <w:t>32.94</w:t>
            </w:r>
          </w:p>
        </w:tc>
      </w:tr>
      <w:tr w:rsidR="005B434B" w:rsidRPr="00641A01" w14:paraId="709F6273" w14:textId="77777777" w:rsidTr="00A637D6">
        <w:tc>
          <w:tcPr>
            <w:tcW w:w="3258" w:type="dxa"/>
            <w:tcBorders>
              <w:top w:val="nil"/>
              <w:left w:val="nil"/>
              <w:bottom w:val="nil"/>
              <w:right w:val="nil"/>
            </w:tcBorders>
            <w:shd w:val="clear" w:color="auto" w:fill="auto"/>
            <w:noWrap/>
            <w:hideMark/>
          </w:tcPr>
          <w:p w14:paraId="18B8F4A1" w14:textId="77777777" w:rsidR="00EE6446" w:rsidRPr="00641A01" w:rsidRDefault="00EE6446" w:rsidP="00641A01">
            <w:pPr>
              <w:spacing w:line="360" w:lineRule="auto"/>
              <w:jc w:val="center"/>
              <w:rPr>
                <w:color w:val="000000"/>
              </w:rPr>
            </w:pPr>
            <w:r w:rsidRPr="00641A01">
              <w:rPr>
                <w:color w:val="000000"/>
              </w:rPr>
              <w:t>Saudi Arabia</w:t>
            </w:r>
          </w:p>
        </w:tc>
        <w:tc>
          <w:tcPr>
            <w:tcW w:w="1011" w:type="dxa"/>
            <w:tcBorders>
              <w:top w:val="nil"/>
              <w:left w:val="nil"/>
              <w:bottom w:val="nil"/>
              <w:right w:val="nil"/>
            </w:tcBorders>
            <w:shd w:val="clear" w:color="auto" w:fill="auto"/>
            <w:noWrap/>
            <w:hideMark/>
          </w:tcPr>
          <w:p w14:paraId="0A8D841B" w14:textId="77777777" w:rsidR="00EE6446" w:rsidRPr="00641A01" w:rsidRDefault="00EE6446" w:rsidP="00641A01">
            <w:pPr>
              <w:spacing w:line="360" w:lineRule="auto"/>
              <w:jc w:val="center"/>
              <w:rPr>
                <w:color w:val="000000"/>
              </w:rPr>
            </w:pPr>
            <w:r w:rsidRPr="00641A01">
              <w:rPr>
                <w:color w:val="000000"/>
              </w:rPr>
              <w:t>SAU</w:t>
            </w:r>
          </w:p>
        </w:tc>
        <w:tc>
          <w:tcPr>
            <w:tcW w:w="1011" w:type="dxa"/>
            <w:tcBorders>
              <w:top w:val="nil"/>
              <w:left w:val="nil"/>
              <w:bottom w:val="nil"/>
              <w:right w:val="nil"/>
            </w:tcBorders>
            <w:shd w:val="clear" w:color="auto" w:fill="auto"/>
            <w:noWrap/>
            <w:hideMark/>
          </w:tcPr>
          <w:p w14:paraId="7211BB7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D511B1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894C5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D42C9FF"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064C2969" w14:textId="77777777" w:rsidR="00EE6446" w:rsidRPr="00641A01" w:rsidRDefault="00EE6446" w:rsidP="00641A01">
            <w:pPr>
              <w:tabs>
                <w:tab w:val="decimal" w:pos="943"/>
              </w:tabs>
              <w:spacing w:line="360" w:lineRule="auto"/>
              <w:rPr>
                <w:color w:val="000000"/>
              </w:rPr>
            </w:pPr>
            <w:r w:rsidRPr="00641A01">
              <w:rPr>
                <w:color w:val="000000"/>
              </w:rPr>
              <w:t>1.61</w:t>
            </w:r>
          </w:p>
        </w:tc>
        <w:tc>
          <w:tcPr>
            <w:tcW w:w="2233" w:type="dxa"/>
            <w:tcBorders>
              <w:top w:val="nil"/>
              <w:left w:val="nil"/>
              <w:bottom w:val="nil"/>
              <w:right w:val="nil"/>
            </w:tcBorders>
            <w:shd w:val="clear" w:color="auto" w:fill="auto"/>
            <w:noWrap/>
            <w:hideMark/>
          </w:tcPr>
          <w:p w14:paraId="32DD58AB" w14:textId="77777777" w:rsidR="00EE6446" w:rsidRPr="00641A01" w:rsidRDefault="00EE6446" w:rsidP="00641A01">
            <w:pPr>
              <w:tabs>
                <w:tab w:val="decimal" w:pos="943"/>
              </w:tabs>
              <w:spacing w:line="360" w:lineRule="auto"/>
              <w:rPr>
                <w:color w:val="000000"/>
              </w:rPr>
            </w:pPr>
            <w:r w:rsidRPr="00641A01">
              <w:rPr>
                <w:color w:val="000000"/>
              </w:rPr>
              <w:t>13.45</w:t>
            </w:r>
          </w:p>
        </w:tc>
      </w:tr>
      <w:tr w:rsidR="005B434B" w:rsidRPr="00641A01" w14:paraId="4810200C" w14:textId="77777777" w:rsidTr="00A637D6">
        <w:tc>
          <w:tcPr>
            <w:tcW w:w="3258" w:type="dxa"/>
            <w:tcBorders>
              <w:top w:val="nil"/>
              <w:left w:val="nil"/>
              <w:bottom w:val="nil"/>
              <w:right w:val="nil"/>
            </w:tcBorders>
            <w:shd w:val="clear" w:color="auto" w:fill="auto"/>
            <w:noWrap/>
            <w:hideMark/>
          </w:tcPr>
          <w:p w14:paraId="2D90B6D0" w14:textId="77777777" w:rsidR="00EE6446" w:rsidRPr="00641A01" w:rsidRDefault="00EE6446" w:rsidP="00641A01">
            <w:pPr>
              <w:spacing w:line="360" w:lineRule="auto"/>
              <w:jc w:val="center"/>
              <w:rPr>
                <w:color w:val="000000"/>
              </w:rPr>
            </w:pPr>
            <w:r w:rsidRPr="00641A01">
              <w:rPr>
                <w:color w:val="000000"/>
              </w:rPr>
              <w:t>Sudan</w:t>
            </w:r>
          </w:p>
        </w:tc>
        <w:tc>
          <w:tcPr>
            <w:tcW w:w="1011" w:type="dxa"/>
            <w:tcBorders>
              <w:top w:val="nil"/>
              <w:left w:val="nil"/>
              <w:bottom w:val="nil"/>
              <w:right w:val="nil"/>
            </w:tcBorders>
            <w:shd w:val="clear" w:color="auto" w:fill="auto"/>
            <w:noWrap/>
            <w:hideMark/>
          </w:tcPr>
          <w:p w14:paraId="23C205BB" w14:textId="77777777" w:rsidR="00EE6446" w:rsidRPr="00641A01" w:rsidRDefault="00EE6446" w:rsidP="00641A01">
            <w:pPr>
              <w:spacing w:line="360" w:lineRule="auto"/>
              <w:jc w:val="center"/>
              <w:rPr>
                <w:color w:val="000000"/>
              </w:rPr>
            </w:pPr>
            <w:r w:rsidRPr="00641A01">
              <w:rPr>
                <w:color w:val="000000"/>
              </w:rPr>
              <w:t>SDN</w:t>
            </w:r>
          </w:p>
        </w:tc>
        <w:tc>
          <w:tcPr>
            <w:tcW w:w="1011" w:type="dxa"/>
            <w:tcBorders>
              <w:top w:val="nil"/>
              <w:left w:val="nil"/>
              <w:bottom w:val="nil"/>
              <w:right w:val="nil"/>
            </w:tcBorders>
            <w:shd w:val="clear" w:color="auto" w:fill="auto"/>
            <w:noWrap/>
            <w:hideMark/>
          </w:tcPr>
          <w:p w14:paraId="6562AB4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552970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C79545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5A480AA"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42E8E069" w14:textId="77777777" w:rsidR="00EE6446" w:rsidRPr="00641A01" w:rsidRDefault="00EE6446" w:rsidP="00641A01">
            <w:pPr>
              <w:tabs>
                <w:tab w:val="decimal" w:pos="943"/>
              </w:tabs>
              <w:spacing w:line="360" w:lineRule="auto"/>
              <w:rPr>
                <w:color w:val="000000"/>
              </w:rPr>
            </w:pPr>
            <w:r w:rsidRPr="00641A01">
              <w:rPr>
                <w:color w:val="000000"/>
              </w:rPr>
              <w:t>0.23</w:t>
            </w:r>
          </w:p>
        </w:tc>
        <w:tc>
          <w:tcPr>
            <w:tcW w:w="2233" w:type="dxa"/>
            <w:tcBorders>
              <w:top w:val="nil"/>
              <w:left w:val="nil"/>
              <w:bottom w:val="nil"/>
              <w:right w:val="nil"/>
            </w:tcBorders>
            <w:shd w:val="clear" w:color="auto" w:fill="auto"/>
            <w:noWrap/>
            <w:hideMark/>
          </w:tcPr>
          <w:p w14:paraId="7AF5F049" w14:textId="77777777" w:rsidR="00EE6446" w:rsidRPr="00641A01" w:rsidRDefault="00EE6446" w:rsidP="00641A01">
            <w:pPr>
              <w:tabs>
                <w:tab w:val="decimal" w:pos="943"/>
              </w:tabs>
              <w:spacing w:line="360" w:lineRule="auto"/>
              <w:rPr>
                <w:color w:val="000000"/>
              </w:rPr>
            </w:pPr>
            <w:r w:rsidRPr="00641A01">
              <w:rPr>
                <w:color w:val="000000"/>
              </w:rPr>
              <w:t>3.14</w:t>
            </w:r>
          </w:p>
        </w:tc>
      </w:tr>
      <w:tr w:rsidR="005B434B" w:rsidRPr="00641A01" w14:paraId="4B85053B" w14:textId="77777777" w:rsidTr="00A637D6">
        <w:tc>
          <w:tcPr>
            <w:tcW w:w="3258" w:type="dxa"/>
            <w:tcBorders>
              <w:top w:val="nil"/>
              <w:left w:val="nil"/>
              <w:bottom w:val="nil"/>
              <w:right w:val="nil"/>
            </w:tcBorders>
            <w:shd w:val="clear" w:color="auto" w:fill="auto"/>
            <w:noWrap/>
            <w:hideMark/>
          </w:tcPr>
          <w:p w14:paraId="2DAA4C32" w14:textId="77777777" w:rsidR="00EE6446" w:rsidRPr="00641A01" w:rsidRDefault="00EE6446" w:rsidP="00641A01">
            <w:pPr>
              <w:spacing w:line="360" w:lineRule="auto"/>
              <w:jc w:val="center"/>
              <w:rPr>
                <w:color w:val="000000"/>
              </w:rPr>
            </w:pPr>
            <w:r w:rsidRPr="00641A01">
              <w:rPr>
                <w:color w:val="000000"/>
              </w:rPr>
              <w:lastRenderedPageBreak/>
              <w:t>Senegal</w:t>
            </w:r>
          </w:p>
        </w:tc>
        <w:tc>
          <w:tcPr>
            <w:tcW w:w="1011" w:type="dxa"/>
            <w:tcBorders>
              <w:top w:val="nil"/>
              <w:left w:val="nil"/>
              <w:bottom w:val="nil"/>
              <w:right w:val="nil"/>
            </w:tcBorders>
            <w:shd w:val="clear" w:color="auto" w:fill="auto"/>
            <w:noWrap/>
            <w:hideMark/>
          </w:tcPr>
          <w:p w14:paraId="7939D9DA" w14:textId="77777777" w:rsidR="00EE6446" w:rsidRPr="00641A01" w:rsidRDefault="00EE6446" w:rsidP="00641A01">
            <w:pPr>
              <w:spacing w:line="360" w:lineRule="auto"/>
              <w:jc w:val="center"/>
              <w:rPr>
                <w:color w:val="000000"/>
              </w:rPr>
            </w:pPr>
            <w:r w:rsidRPr="00641A01">
              <w:rPr>
                <w:color w:val="000000"/>
              </w:rPr>
              <w:t>SEN</w:t>
            </w:r>
          </w:p>
        </w:tc>
        <w:tc>
          <w:tcPr>
            <w:tcW w:w="1011" w:type="dxa"/>
            <w:tcBorders>
              <w:top w:val="nil"/>
              <w:left w:val="nil"/>
              <w:bottom w:val="nil"/>
              <w:right w:val="nil"/>
            </w:tcBorders>
            <w:shd w:val="clear" w:color="auto" w:fill="auto"/>
            <w:noWrap/>
            <w:hideMark/>
          </w:tcPr>
          <w:p w14:paraId="3B67692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93A82E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4BC50B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771B8A0"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10C4AFCA" w14:textId="77777777" w:rsidR="00EE6446" w:rsidRPr="00641A01" w:rsidRDefault="00EE6446" w:rsidP="00641A01">
            <w:pPr>
              <w:tabs>
                <w:tab w:val="decimal" w:pos="943"/>
              </w:tabs>
              <w:spacing w:line="360" w:lineRule="auto"/>
              <w:rPr>
                <w:color w:val="000000"/>
              </w:rPr>
            </w:pPr>
            <w:r w:rsidRPr="00641A01">
              <w:rPr>
                <w:color w:val="000000"/>
              </w:rPr>
              <w:t>7.59</w:t>
            </w:r>
          </w:p>
        </w:tc>
        <w:tc>
          <w:tcPr>
            <w:tcW w:w="2233" w:type="dxa"/>
            <w:tcBorders>
              <w:top w:val="nil"/>
              <w:left w:val="nil"/>
              <w:bottom w:val="nil"/>
              <w:right w:val="nil"/>
            </w:tcBorders>
            <w:shd w:val="clear" w:color="auto" w:fill="auto"/>
            <w:noWrap/>
            <w:hideMark/>
          </w:tcPr>
          <w:p w14:paraId="64988DCE" w14:textId="77777777" w:rsidR="00EE6446" w:rsidRPr="00641A01" w:rsidRDefault="00EE6446" w:rsidP="00641A01">
            <w:pPr>
              <w:tabs>
                <w:tab w:val="decimal" w:pos="943"/>
              </w:tabs>
              <w:spacing w:line="360" w:lineRule="auto"/>
              <w:rPr>
                <w:color w:val="000000"/>
              </w:rPr>
            </w:pPr>
            <w:r w:rsidRPr="00641A01">
              <w:rPr>
                <w:color w:val="000000"/>
              </w:rPr>
              <w:t>80.31</w:t>
            </w:r>
          </w:p>
        </w:tc>
      </w:tr>
      <w:tr w:rsidR="005B434B" w:rsidRPr="00641A01" w14:paraId="35D0661A" w14:textId="77777777" w:rsidTr="00A637D6">
        <w:tc>
          <w:tcPr>
            <w:tcW w:w="3258" w:type="dxa"/>
            <w:tcBorders>
              <w:top w:val="nil"/>
              <w:left w:val="nil"/>
              <w:bottom w:val="nil"/>
              <w:right w:val="nil"/>
            </w:tcBorders>
            <w:shd w:val="clear" w:color="auto" w:fill="auto"/>
            <w:noWrap/>
            <w:hideMark/>
          </w:tcPr>
          <w:p w14:paraId="492689C4" w14:textId="77777777" w:rsidR="00EE6446" w:rsidRPr="00641A01" w:rsidRDefault="00EE6446" w:rsidP="00641A01">
            <w:pPr>
              <w:spacing w:line="360" w:lineRule="auto"/>
              <w:jc w:val="center"/>
              <w:rPr>
                <w:color w:val="000000"/>
              </w:rPr>
            </w:pPr>
            <w:r w:rsidRPr="00641A01">
              <w:rPr>
                <w:color w:val="000000"/>
              </w:rPr>
              <w:t>Singapore</w:t>
            </w:r>
          </w:p>
        </w:tc>
        <w:tc>
          <w:tcPr>
            <w:tcW w:w="1011" w:type="dxa"/>
            <w:tcBorders>
              <w:top w:val="nil"/>
              <w:left w:val="nil"/>
              <w:bottom w:val="nil"/>
              <w:right w:val="nil"/>
            </w:tcBorders>
            <w:shd w:val="clear" w:color="auto" w:fill="auto"/>
            <w:noWrap/>
            <w:hideMark/>
          </w:tcPr>
          <w:p w14:paraId="667FFC2B" w14:textId="77777777" w:rsidR="00EE6446" w:rsidRPr="00641A01" w:rsidRDefault="00EE6446" w:rsidP="00641A01">
            <w:pPr>
              <w:spacing w:line="360" w:lineRule="auto"/>
              <w:jc w:val="center"/>
              <w:rPr>
                <w:color w:val="000000"/>
              </w:rPr>
            </w:pPr>
            <w:r w:rsidRPr="00641A01">
              <w:rPr>
                <w:color w:val="000000"/>
              </w:rPr>
              <w:t>SGP</w:t>
            </w:r>
          </w:p>
        </w:tc>
        <w:tc>
          <w:tcPr>
            <w:tcW w:w="1011" w:type="dxa"/>
            <w:tcBorders>
              <w:top w:val="nil"/>
              <w:left w:val="nil"/>
              <w:bottom w:val="nil"/>
              <w:right w:val="nil"/>
            </w:tcBorders>
            <w:shd w:val="clear" w:color="auto" w:fill="auto"/>
            <w:noWrap/>
            <w:hideMark/>
          </w:tcPr>
          <w:p w14:paraId="56F9E0E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B35CB3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9C2F4B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7341A73"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24E7B087" w14:textId="77777777" w:rsidR="00EE6446" w:rsidRPr="00641A01" w:rsidRDefault="00EE6446" w:rsidP="00641A01">
            <w:pPr>
              <w:tabs>
                <w:tab w:val="decimal" w:pos="943"/>
              </w:tabs>
              <w:spacing w:line="360" w:lineRule="auto"/>
              <w:rPr>
                <w:color w:val="000000"/>
              </w:rPr>
            </w:pPr>
            <w:r w:rsidRPr="00641A01">
              <w:rPr>
                <w:color w:val="000000"/>
              </w:rPr>
              <w:t>7.42</w:t>
            </w:r>
          </w:p>
        </w:tc>
        <w:tc>
          <w:tcPr>
            <w:tcW w:w="2233" w:type="dxa"/>
            <w:tcBorders>
              <w:top w:val="nil"/>
              <w:left w:val="nil"/>
              <w:bottom w:val="nil"/>
              <w:right w:val="nil"/>
            </w:tcBorders>
            <w:shd w:val="clear" w:color="auto" w:fill="auto"/>
            <w:noWrap/>
            <w:hideMark/>
          </w:tcPr>
          <w:p w14:paraId="676C0388" w14:textId="77777777" w:rsidR="00EE6446" w:rsidRPr="00641A01" w:rsidRDefault="00EE6446" w:rsidP="00641A01">
            <w:pPr>
              <w:tabs>
                <w:tab w:val="decimal" w:pos="943"/>
              </w:tabs>
              <w:spacing w:line="360" w:lineRule="auto"/>
              <w:rPr>
                <w:color w:val="000000"/>
              </w:rPr>
            </w:pPr>
            <w:r w:rsidRPr="00641A01">
              <w:rPr>
                <w:color w:val="000000"/>
              </w:rPr>
              <w:t>84.86</w:t>
            </w:r>
          </w:p>
        </w:tc>
      </w:tr>
      <w:tr w:rsidR="005B434B" w:rsidRPr="00641A01" w14:paraId="0699ABC9" w14:textId="77777777" w:rsidTr="00A637D6">
        <w:tc>
          <w:tcPr>
            <w:tcW w:w="3258" w:type="dxa"/>
            <w:tcBorders>
              <w:top w:val="nil"/>
              <w:left w:val="nil"/>
              <w:bottom w:val="nil"/>
              <w:right w:val="nil"/>
            </w:tcBorders>
            <w:shd w:val="clear" w:color="auto" w:fill="auto"/>
            <w:noWrap/>
            <w:hideMark/>
          </w:tcPr>
          <w:p w14:paraId="16E9CA4A" w14:textId="77777777" w:rsidR="00EE6446" w:rsidRPr="00641A01" w:rsidRDefault="00EE6446" w:rsidP="00641A01">
            <w:pPr>
              <w:spacing w:line="360" w:lineRule="auto"/>
              <w:jc w:val="center"/>
              <w:rPr>
                <w:color w:val="000000"/>
              </w:rPr>
            </w:pPr>
            <w:r w:rsidRPr="00641A01">
              <w:rPr>
                <w:color w:val="000000"/>
              </w:rPr>
              <w:t>Solomon Islands</w:t>
            </w:r>
          </w:p>
        </w:tc>
        <w:tc>
          <w:tcPr>
            <w:tcW w:w="1011" w:type="dxa"/>
            <w:tcBorders>
              <w:top w:val="nil"/>
              <w:left w:val="nil"/>
              <w:bottom w:val="nil"/>
              <w:right w:val="nil"/>
            </w:tcBorders>
            <w:shd w:val="clear" w:color="auto" w:fill="auto"/>
            <w:noWrap/>
            <w:hideMark/>
          </w:tcPr>
          <w:p w14:paraId="2202405E" w14:textId="77777777" w:rsidR="00EE6446" w:rsidRPr="00641A01" w:rsidRDefault="00EE6446" w:rsidP="00641A01">
            <w:pPr>
              <w:spacing w:line="360" w:lineRule="auto"/>
              <w:jc w:val="center"/>
              <w:rPr>
                <w:color w:val="000000"/>
              </w:rPr>
            </w:pPr>
            <w:r w:rsidRPr="00641A01">
              <w:rPr>
                <w:color w:val="000000"/>
              </w:rPr>
              <w:t>SLB</w:t>
            </w:r>
          </w:p>
        </w:tc>
        <w:tc>
          <w:tcPr>
            <w:tcW w:w="1011" w:type="dxa"/>
            <w:tcBorders>
              <w:top w:val="nil"/>
              <w:left w:val="nil"/>
              <w:bottom w:val="nil"/>
              <w:right w:val="nil"/>
            </w:tcBorders>
            <w:shd w:val="clear" w:color="auto" w:fill="auto"/>
            <w:noWrap/>
            <w:hideMark/>
          </w:tcPr>
          <w:p w14:paraId="4B6C149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C5DBDE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34B9F8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7342955"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77225E32" w14:textId="77777777" w:rsidR="00EE6446" w:rsidRPr="00641A01" w:rsidRDefault="00EE6446" w:rsidP="00641A01">
            <w:pPr>
              <w:tabs>
                <w:tab w:val="decimal" w:pos="943"/>
              </w:tabs>
              <w:spacing w:line="360" w:lineRule="auto"/>
              <w:rPr>
                <w:color w:val="000000"/>
              </w:rPr>
            </w:pPr>
            <w:r w:rsidRPr="00641A01">
              <w:rPr>
                <w:color w:val="000000"/>
              </w:rPr>
              <w:t>2.38</w:t>
            </w:r>
          </w:p>
        </w:tc>
        <w:tc>
          <w:tcPr>
            <w:tcW w:w="2233" w:type="dxa"/>
            <w:tcBorders>
              <w:top w:val="nil"/>
              <w:left w:val="nil"/>
              <w:bottom w:val="nil"/>
              <w:right w:val="nil"/>
            </w:tcBorders>
            <w:shd w:val="clear" w:color="auto" w:fill="auto"/>
            <w:noWrap/>
            <w:hideMark/>
          </w:tcPr>
          <w:p w14:paraId="7C849D76" w14:textId="77777777" w:rsidR="00EE6446" w:rsidRPr="00641A01" w:rsidRDefault="00EE6446" w:rsidP="00641A01">
            <w:pPr>
              <w:tabs>
                <w:tab w:val="decimal" w:pos="943"/>
              </w:tabs>
              <w:spacing w:line="360" w:lineRule="auto"/>
              <w:rPr>
                <w:color w:val="000000"/>
              </w:rPr>
            </w:pPr>
            <w:r w:rsidRPr="00641A01">
              <w:rPr>
                <w:color w:val="000000"/>
              </w:rPr>
              <w:t>18.94</w:t>
            </w:r>
          </w:p>
        </w:tc>
      </w:tr>
      <w:tr w:rsidR="005B434B" w:rsidRPr="00641A01" w14:paraId="444BCD4C" w14:textId="77777777" w:rsidTr="00A637D6">
        <w:tc>
          <w:tcPr>
            <w:tcW w:w="3258" w:type="dxa"/>
            <w:tcBorders>
              <w:top w:val="nil"/>
              <w:left w:val="nil"/>
              <w:bottom w:val="nil"/>
              <w:right w:val="nil"/>
            </w:tcBorders>
            <w:shd w:val="clear" w:color="auto" w:fill="auto"/>
            <w:noWrap/>
            <w:hideMark/>
          </w:tcPr>
          <w:p w14:paraId="505FF17F" w14:textId="77777777" w:rsidR="00EE6446" w:rsidRPr="00641A01" w:rsidRDefault="00EE6446" w:rsidP="00641A01">
            <w:pPr>
              <w:spacing w:line="360" w:lineRule="auto"/>
              <w:jc w:val="center"/>
              <w:rPr>
                <w:color w:val="000000"/>
              </w:rPr>
            </w:pPr>
            <w:r w:rsidRPr="00641A01">
              <w:rPr>
                <w:color w:val="000000"/>
              </w:rPr>
              <w:t>Sierra Leone</w:t>
            </w:r>
          </w:p>
        </w:tc>
        <w:tc>
          <w:tcPr>
            <w:tcW w:w="1011" w:type="dxa"/>
            <w:tcBorders>
              <w:top w:val="nil"/>
              <w:left w:val="nil"/>
              <w:bottom w:val="nil"/>
              <w:right w:val="nil"/>
            </w:tcBorders>
            <w:shd w:val="clear" w:color="auto" w:fill="auto"/>
            <w:noWrap/>
            <w:hideMark/>
          </w:tcPr>
          <w:p w14:paraId="0BC066D0" w14:textId="77777777" w:rsidR="00EE6446" w:rsidRPr="00641A01" w:rsidRDefault="00EE6446" w:rsidP="00641A01">
            <w:pPr>
              <w:spacing w:line="360" w:lineRule="auto"/>
              <w:jc w:val="center"/>
              <w:rPr>
                <w:color w:val="000000"/>
              </w:rPr>
            </w:pPr>
            <w:r w:rsidRPr="00641A01">
              <w:rPr>
                <w:color w:val="000000"/>
              </w:rPr>
              <w:t>SLE</w:t>
            </w:r>
          </w:p>
        </w:tc>
        <w:tc>
          <w:tcPr>
            <w:tcW w:w="1011" w:type="dxa"/>
            <w:tcBorders>
              <w:top w:val="nil"/>
              <w:left w:val="nil"/>
              <w:bottom w:val="nil"/>
              <w:right w:val="nil"/>
            </w:tcBorders>
            <w:shd w:val="clear" w:color="auto" w:fill="auto"/>
            <w:noWrap/>
            <w:hideMark/>
          </w:tcPr>
          <w:p w14:paraId="6F34EC9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C652B1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0329062"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ED9CB95"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2463CDA6" w14:textId="77777777" w:rsidR="00EE6446" w:rsidRPr="00641A01" w:rsidRDefault="00EE6446" w:rsidP="00641A01">
            <w:pPr>
              <w:tabs>
                <w:tab w:val="decimal" w:pos="943"/>
              </w:tabs>
              <w:spacing w:line="360" w:lineRule="auto"/>
              <w:rPr>
                <w:color w:val="000000"/>
              </w:rPr>
            </w:pPr>
            <w:r w:rsidRPr="00641A01">
              <w:rPr>
                <w:color w:val="000000"/>
              </w:rPr>
              <w:t>2.54</w:t>
            </w:r>
          </w:p>
        </w:tc>
        <w:tc>
          <w:tcPr>
            <w:tcW w:w="2233" w:type="dxa"/>
            <w:tcBorders>
              <w:top w:val="nil"/>
              <w:left w:val="nil"/>
              <w:bottom w:val="nil"/>
              <w:right w:val="nil"/>
            </w:tcBorders>
            <w:shd w:val="clear" w:color="auto" w:fill="auto"/>
            <w:noWrap/>
            <w:hideMark/>
          </w:tcPr>
          <w:p w14:paraId="23D52DD3" w14:textId="77777777" w:rsidR="00EE6446" w:rsidRPr="00641A01" w:rsidRDefault="00EE6446" w:rsidP="00641A01">
            <w:pPr>
              <w:tabs>
                <w:tab w:val="decimal" w:pos="943"/>
              </w:tabs>
              <w:spacing w:line="360" w:lineRule="auto"/>
              <w:rPr>
                <w:color w:val="000000"/>
              </w:rPr>
            </w:pPr>
            <w:r w:rsidRPr="00641A01">
              <w:rPr>
                <w:color w:val="000000"/>
              </w:rPr>
              <w:t>21.96</w:t>
            </w:r>
          </w:p>
        </w:tc>
      </w:tr>
      <w:tr w:rsidR="005B434B" w:rsidRPr="00641A01" w14:paraId="605BB493" w14:textId="77777777" w:rsidTr="00A637D6">
        <w:tc>
          <w:tcPr>
            <w:tcW w:w="3258" w:type="dxa"/>
            <w:tcBorders>
              <w:top w:val="nil"/>
              <w:left w:val="nil"/>
              <w:bottom w:val="nil"/>
              <w:right w:val="nil"/>
            </w:tcBorders>
            <w:shd w:val="clear" w:color="auto" w:fill="auto"/>
            <w:noWrap/>
            <w:hideMark/>
          </w:tcPr>
          <w:p w14:paraId="2B0FA7B0" w14:textId="77777777" w:rsidR="00EE6446" w:rsidRPr="00641A01" w:rsidRDefault="00EE6446" w:rsidP="00641A01">
            <w:pPr>
              <w:spacing w:line="360" w:lineRule="auto"/>
              <w:jc w:val="center"/>
              <w:rPr>
                <w:color w:val="000000"/>
              </w:rPr>
            </w:pPr>
            <w:r w:rsidRPr="00641A01">
              <w:rPr>
                <w:color w:val="000000"/>
              </w:rPr>
              <w:t>El Salvador</w:t>
            </w:r>
          </w:p>
        </w:tc>
        <w:tc>
          <w:tcPr>
            <w:tcW w:w="1011" w:type="dxa"/>
            <w:tcBorders>
              <w:top w:val="nil"/>
              <w:left w:val="nil"/>
              <w:bottom w:val="nil"/>
              <w:right w:val="nil"/>
            </w:tcBorders>
            <w:shd w:val="clear" w:color="auto" w:fill="auto"/>
            <w:noWrap/>
            <w:hideMark/>
          </w:tcPr>
          <w:p w14:paraId="12A0E4EE" w14:textId="77777777" w:rsidR="00EE6446" w:rsidRPr="00641A01" w:rsidRDefault="00EE6446" w:rsidP="00641A01">
            <w:pPr>
              <w:spacing w:line="360" w:lineRule="auto"/>
              <w:jc w:val="center"/>
              <w:rPr>
                <w:color w:val="000000"/>
              </w:rPr>
            </w:pPr>
            <w:r w:rsidRPr="00641A01">
              <w:rPr>
                <w:color w:val="000000"/>
              </w:rPr>
              <w:t>SLV</w:t>
            </w:r>
          </w:p>
        </w:tc>
        <w:tc>
          <w:tcPr>
            <w:tcW w:w="1011" w:type="dxa"/>
            <w:tcBorders>
              <w:top w:val="nil"/>
              <w:left w:val="nil"/>
              <w:bottom w:val="nil"/>
              <w:right w:val="nil"/>
            </w:tcBorders>
            <w:shd w:val="clear" w:color="auto" w:fill="auto"/>
            <w:noWrap/>
            <w:hideMark/>
          </w:tcPr>
          <w:p w14:paraId="417B37B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F14EBE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0AACBE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35CD4E7"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5B606B0C" w14:textId="77777777" w:rsidR="00EE6446" w:rsidRPr="00641A01" w:rsidRDefault="00EE6446" w:rsidP="00641A01">
            <w:pPr>
              <w:tabs>
                <w:tab w:val="decimal" w:pos="943"/>
              </w:tabs>
              <w:spacing w:line="360" w:lineRule="auto"/>
              <w:rPr>
                <w:color w:val="000000"/>
              </w:rPr>
            </w:pPr>
            <w:r w:rsidRPr="00641A01">
              <w:rPr>
                <w:color w:val="000000"/>
              </w:rPr>
              <w:t>2.93</w:t>
            </w:r>
          </w:p>
        </w:tc>
        <w:tc>
          <w:tcPr>
            <w:tcW w:w="2233" w:type="dxa"/>
            <w:tcBorders>
              <w:top w:val="nil"/>
              <w:left w:val="nil"/>
              <w:bottom w:val="nil"/>
              <w:right w:val="nil"/>
            </w:tcBorders>
            <w:shd w:val="clear" w:color="auto" w:fill="auto"/>
            <w:noWrap/>
            <w:hideMark/>
          </w:tcPr>
          <w:p w14:paraId="1CF78FFE" w14:textId="77777777" w:rsidR="00EE6446" w:rsidRPr="00641A01" w:rsidRDefault="00EE6446" w:rsidP="00641A01">
            <w:pPr>
              <w:tabs>
                <w:tab w:val="decimal" w:pos="943"/>
              </w:tabs>
              <w:spacing w:line="360" w:lineRule="auto"/>
              <w:rPr>
                <w:color w:val="000000"/>
              </w:rPr>
            </w:pPr>
            <w:r w:rsidRPr="00641A01">
              <w:rPr>
                <w:color w:val="000000"/>
              </w:rPr>
              <w:t>30.66</w:t>
            </w:r>
          </w:p>
        </w:tc>
      </w:tr>
      <w:tr w:rsidR="005B434B" w:rsidRPr="00641A01" w14:paraId="49C266A3" w14:textId="77777777" w:rsidTr="00A637D6">
        <w:tc>
          <w:tcPr>
            <w:tcW w:w="3258" w:type="dxa"/>
            <w:tcBorders>
              <w:top w:val="nil"/>
              <w:left w:val="nil"/>
              <w:bottom w:val="nil"/>
              <w:right w:val="nil"/>
            </w:tcBorders>
            <w:shd w:val="clear" w:color="auto" w:fill="auto"/>
            <w:noWrap/>
            <w:hideMark/>
          </w:tcPr>
          <w:p w14:paraId="392B592C" w14:textId="77777777" w:rsidR="00EE6446" w:rsidRPr="00641A01" w:rsidRDefault="00EE6446" w:rsidP="00641A01">
            <w:pPr>
              <w:spacing w:line="360" w:lineRule="auto"/>
              <w:jc w:val="center"/>
              <w:rPr>
                <w:color w:val="000000"/>
              </w:rPr>
            </w:pPr>
            <w:r w:rsidRPr="00641A01">
              <w:rPr>
                <w:color w:val="000000"/>
              </w:rPr>
              <w:t>San Marino</w:t>
            </w:r>
          </w:p>
        </w:tc>
        <w:tc>
          <w:tcPr>
            <w:tcW w:w="1011" w:type="dxa"/>
            <w:tcBorders>
              <w:top w:val="nil"/>
              <w:left w:val="nil"/>
              <w:bottom w:val="nil"/>
              <w:right w:val="nil"/>
            </w:tcBorders>
            <w:shd w:val="clear" w:color="auto" w:fill="auto"/>
            <w:noWrap/>
            <w:hideMark/>
          </w:tcPr>
          <w:p w14:paraId="4F08CACB" w14:textId="77777777" w:rsidR="00EE6446" w:rsidRPr="00641A01" w:rsidRDefault="00EE6446" w:rsidP="00641A01">
            <w:pPr>
              <w:spacing w:line="360" w:lineRule="auto"/>
              <w:jc w:val="center"/>
              <w:rPr>
                <w:color w:val="000000"/>
              </w:rPr>
            </w:pPr>
            <w:r w:rsidRPr="00641A01">
              <w:rPr>
                <w:color w:val="000000"/>
              </w:rPr>
              <w:t>SMR</w:t>
            </w:r>
          </w:p>
        </w:tc>
        <w:tc>
          <w:tcPr>
            <w:tcW w:w="1011" w:type="dxa"/>
            <w:tcBorders>
              <w:top w:val="nil"/>
              <w:left w:val="nil"/>
              <w:bottom w:val="nil"/>
              <w:right w:val="nil"/>
            </w:tcBorders>
            <w:shd w:val="clear" w:color="auto" w:fill="auto"/>
            <w:noWrap/>
            <w:hideMark/>
          </w:tcPr>
          <w:p w14:paraId="1F58B77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9835BC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F639078"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9AA1C85"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2E14D463" w14:textId="77777777" w:rsidR="00EE6446" w:rsidRPr="00641A01" w:rsidRDefault="00EE6446" w:rsidP="00641A01">
            <w:pPr>
              <w:tabs>
                <w:tab w:val="decimal" w:pos="943"/>
              </w:tabs>
              <w:spacing w:line="360" w:lineRule="auto"/>
              <w:rPr>
                <w:color w:val="000000"/>
              </w:rPr>
            </w:pPr>
            <w:r w:rsidRPr="00641A01">
              <w:rPr>
                <w:color w:val="000000"/>
              </w:rPr>
              <w:t>2.06</w:t>
            </w:r>
          </w:p>
        </w:tc>
        <w:tc>
          <w:tcPr>
            <w:tcW w:w="2233" w:type="dxa"/>
            <w:tcBorders>
              <w:top w:val="nil"/>
              <w:left w:val="nil"/>
              <w:bottom w:val="nil"/>
              <w:right w:val="nil"/>
            </w:tcBorders>
            <w:shd w:val="clear" w:color="auto" w:fill="auto"/>
            <w:noWrap/>
            <w:hideMark/>
          </w:tcPr>
          <w:p w14:paraId="7024AB09" w14:textId="77777777" w:rsidR="00EE6446" w:rsidRPr="00641A01" w:rsidRDefault="00EE6446" w:rsidP="00641A01">
            <w:pPr>
              <w:tabs>
                <w:tab w:val="decimal" w:pos="943"/>
              </w:tabs>
              <w:spacing w:line="360" w:lineRule="auto"/>
              <w:rPr>
                <w:color w:val="000000"/>
              </w:rPr>
            </w:pPr>
            <w:r w:rsidRPr="00641A01">
              <w:rPr>
                <w:color w:val="000000"/>
              </w:rPr>
              <w:t>18.32</w:t>
            </w:r>
          </w:p>
        </w:tc>
      </w:tr>
      <w:tr w:rsidR="005B434B" w:rsidRPr="00641A01" w14:paraId="6492CC68" w14:textId="77777777" w:rsidTr="00A637D6">
        <w:tc>
          <w:tcPr>
            <w:tcW w:w="3258" w:type="dxa"/>
            <w:tcBorders>
              <w:top w:val="nil"/>
              <w:left w:val="nil"/>
              <w:bottom w:val="nil"/>
              <w:right w:val="nil"/>
            </w:tcBorders>
            <w:shd w:val="clear" w:color="auto" w:fill="auto"/>
            <w:noWrap/>
            <w:hideMark/>
          </w:tcPr>
          <w:p w14:paraId="41E86A7C" w14:textId="77777777" w:rsidR="00EE6446" w:rsidRPr="00641A01" w:rsidRDefault="00EE6446" w:rsidP="00641A01">
            <w:pPr>
              <w:spacing w:line="360" w:lineRule="auto"/>
              <w:jc w:val="center"/>
              <w:rPr>
                <w:color w:val="000000"/>
              </w:rPr>
            </w:pPr>
            <w:r w:rsidRPr="00641A01">
              <w:rPr>
                <w:color w:val="000000"/>
              </w:rPr>
              <w:t>Serbia</w:t>
            </w:r>
          </w:p>
        </w:tc>
        <w:tc>
          <w:tcPr>
            <w:tcW w:w="1011" w:type="dxa"/>
            <w:tcBorders>
              <w:top w:val="nil"/>
              <w:left w:val="nil"/>
              <w:bottom w:val="nil"/>
              <w:right w:val="nil"/>
            </w:tcBorders>
            <w:shd w:val="clear" w:color="auto" w:fill="auto"/>
            <w:noWrap/>
            <w:hideMark/>
          </w:tcPr>
          <w:p w14:paraId="0C49E6C6" w14:textId="77777777" w:rsidR="00EE6446" w:rsidRPr="00641A01" w:rsidRDefault="00EE6446" w:rsidP="00641A01">
            <w:pPr>
              <w:spacing w:line="360" w:lineRule="auto"/>
              <w:jc w:val="center"/>
              <w:rPr>
                <w:color w:val="000000"/>
              </w:rPr>
            </w:pPr>
            <w:r w:rsidRPr="00641A01">
              <w:rPr>
                <w:color w:val="000000"/>
              </w:rPr>
              <w:t>SRB</w:t>
            </w:r>
          </w:p>
        </w:tc>
        <w:tc>
          <w:tcPr>
            <w:tcW w:w="1011" w:type="dxa"/>
            <w:tcBorders>
              <w:top w:val="nil"/>
              <w:left w:val="nil"/>
              <w:bottom w:val="nil"/>
              <w:right w:val="nil"/>
            </w:tcBorders>
            <w:shd w:val="clear" w:color="auto" w:fill="auto"/>
            <w:noWrap/>
            <w:hideMark/>
          </w:tcPr>
          <w:p w14:paraId="0A26F79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3F56ED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9AAFCA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FABBA35"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3A1362CA" w14:textId="77777777" w:rsidR="00EE6446" w:rsidRPr="00641A01" w:rsidRDefault="00EE6446" w:rsidP="00641A01">
            <w:pPr>
              <w:tabs>
                <w:tab w:val="decimal" w:pos="943"/>
              </w:tabs>
              <w:spacing w:line="360" w:lineRule="auto"/>
              <w:rPr>
                <w:color w:val="000000"/>
              </w:rPr>
            </w:pPr>
            <w:r w:rsidRPr="00641A01">
              <w:rPr>
                <w:color w:val="000000"/>
              </w:rPr>
              <w:t>2.21</w:t>
            </w:r>
          </w:p>
        </w:tc>
        <w:tc>
          <w:tcPr>
            <w:tcW w:w="2233" w:type="dxa"/>
            <w:tcBorders>
              <w:top w:val="nil"/>
              <w:left w:val="nil"/>
              <w:bottom w:val="nil"/>
              <w:right w:val="nil"/>
            </w:tcBorders>
            <w:shd w:val="clear" w:color="auto" w:fill="auto"/>
            <w:noWrap/>
            <w:hideMark/>
          </w:tcPr>
          <w:p w14:paraId="14C1A991" w14:textId="77777777" w:rsidR="00EE6446" w:rsidRPr="00641A01" w:rsidRDefault="00EE6446" w:rsidP="00641A01">
            <w:pPr>
              <w:tabs>
                <w:tab w:val="decimal" w:pos="943"/>
              </w:tabs>
              <w:spacing w:line="360" w:lineRule="auto"/>
              <w:rPr>
                <w:color w:val="000000"/>
              </w:rPr>
            </w:pPr>
            <w:r w:rsidRPr="00641A01">
              <w:rPr>
                <w:color w:val="000000"/>
              </w:rPr>
              <w:t>15.15</w:t>
            </w:r>
          </w:p>
        </w:tc>
      </w:tr>
      <w:tr w:rsidR="005B434B" w:rsidRPr="00641A01" w14:paraId="75EA7415" w14:textId="77777777" w:rsidTr="00A637D6">
        <w:tc>
          <w:tcPr>
            <w:tcW w:w="3258" w:type="dxa"/>
            <w:tcBorders>
              <w:top w:val="nil"/>
              <w:left w:val="nil"/>
              <w:bottom w:val="nil"/>
              <w:right w:val="nil"/>
            </w:tcBorders>
            <w:shd w:val="clear" w:color="auto" w:fill="auto"/>
            <w:noWrap/>
            <w:hideMark/>
          </w:tcPr>
          <w:p w14:paraId="6EB89C7A" w14:textId="77777777" w:rsidR="00EE6446" w:rsidRPr="00641A01" w:rsidRDefault="00EE6446" w:rsidP="00641A01">
            <w:pPr>
              <w:spacing w:line="360" w:lineRule="auto"/>
              <w:jc w:val="center"/>
              <w:rPr>
                <w:color w:val="000000"/>
              </w:rPr>
            </w:pPr>
            <w:r w:rsidRPr="00641A01">
              <w:rPr>
                <w:color w:val="000000"/>
              </w:rPr>
              <w:t>South Sudan</w:t>
            </w:r>
          </w:p>
        </w:tc>
        <w:tc>
          <w:tcPr>
            <w:tcW w:w="1011" w:type="dxa"/>
            <w:tcBorders>
              <w:top w:val="nil"/>
              <w:left w:val="nil"/>
              <w:bottom w:val="nil"/>
              <w:right w:val="nil"/>
            </w:tcBorders>
            <w:shd w:val="clear" w:color="auto" w:fill="auto"/>
            <w:noWrap/>
            <w:hideMark/>
          </w:tcPr>
          <w:p w14:paraId="3B57E756" w14:textId="77777777" w:rsidR="00EE6446" w:rsidRPr="00641A01" w:rsidRDefault="00EE6446" w:rsidP="00641A01">
            <w:pPr>
              <w:spacing w:line="360" w:lineRule="auto"/>
              <w:jc w:val="center"/>
              <w:rPr>
                <w:color w:val="000000"/>
              </w:rPr>
            </w:pPr>
            <w:r w:rsidRPr="00641A01">
              <w:rPr>
                <w:color w:val="000000"/>
              </w:rPr>
              <w:t>SSD</w:t>
            </w:r>
          </w:p>
        </w:tc>
        <w:tc>
          <w:tcPr>
            <w:tcW w:w="1011" w:type="dxa"/>
            <w:tcBorders>
              <w:top w:val="nil"/>
              <w:left w:val="nil"/>
              <w:bottom w:val="nil"/>
              <w:right w:val="nil"/>
            </w:tcBorders>
            <w:shd w:val="clear" w:color="auto" w:fill="auto"/>
            <w:noWrap/>
            <w:hideMark/>
          </w:tcPr>
          <w:p w14:paraId="3652A13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AFE8B3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22EF86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EFD195B"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5EC294E5" w14:textId="77777777" w:rsidR="00EE6446" w:rsidRPr="00641A01" w:rsidRDefault="00EE6446" w:rsidP="00641A01">
            <w:pPr>
              <w:tabs>
                <w:tab w:val="decimal" w:pos="943"/>
              </w:tabs>
              <w:spacing w:line="360" w:lineRule="auto"/>
              <w:rPr>
                <w:color w:val="000000"/>
              </w:rPr>
            </w:pPr>
            <w:r w:rsidRPr="00641A01">
              <w:rPr>
                <w:color w:val="000000"/>
              </w:rPr>
              <w:t>0.26</w:t>
            </w:r>
          </w:p>
        </w:tc>
        <w:tc>
          <w:tcPr>
            <w:tcW w:w="2233" w:type="dxa"/>
            <w:tcBorders>
              <w:top w:val="nil"/>
              <w:left w:val="nil"/>
              <w:bottom w:val="nil"/>
              <w:right w:val="nil"/>
            </w:tcBorders>
            <w:shd w:val="clear" w:color="auto" w:fill="auto"/>
            <w:noWrap/>
            <w:hideMark/>
          </w:tcPr>
          <w:p w14:paraId="69D6F10D" w14:textId="77777777" w:rsidR="00EE6446" w:rsidRPr="00641A01" w:rsidRDefault="00EE6446" w:rsidP="00641A01">
            <w:pPr>
              <w:tabs>
                <w:tab w:val="decimal" w:pos="943"/>
              </w:tabs>
              <w:spacing w:line="360" w:lineRule="auto"/>
              <w:rPr>
                <w:color w:val="000000"/>
              </w:rPr>
            </w:pPr>
            <w:r w:rsidRPr="00641A01">
              <w:rPr>
                <w:color w:val="000000"/>
              </w:rPr>
              <w:t>1.54</w:t>
            </w:r>
          </w:p>
        </w:tc>
      </w:tr>
      <w:tr w:rsidR="005B434B" w:rsidRPr="00641A01" w14:paraId="11DA505D" w14:textId="77777777" w:rsidTr="00A637D6">
        <w:tc>
          <w:tcPr>
            <w:tcW w:w="3258" w:type="dxa"/>
            <w:tcBorders>
              <w:top w:val="nil"/>
              <w:left w:val="nil"/>
              <w:bottom w:val="nil"/>
              <w:right w:val="nil"/>
            </w:tcBorders>
            <w:shd w:val="clear" w:color="auto" w:fill="auto"/>
            <w:noWrap/>
            <w:hideMark/>
          </w:tcPr>
          <w:p w14:paraId="3E744D34" w14:textId="77777777" w:rsidR="00EE6446" w:rsidRPr="00641A01" w:rsidRDefault="00EE6446" w:rsidP="00641A01">
            <w:pPr>
              <w:spacing w:line="360" w:lineRule="auto"/>
              <w:jc w:val="center"/>
              <w:rPr>
                <w:color w:val="000000"/>
              </w:rPr>
            </w:pPr>
            <w:r w:rsidRPr="00641A01">
              <w:rPr>
                <w:color w:val="000000"/>
              </w:rPr>
              <w:t>Sao Tome and Principe</w:t>
            </w:r>
          </w:p>
        </w:tc>
        <w:tc>
          <w:tcPr>
            <w:tcW w:w="1011" w:type="dxa"/>
            <w:tcBorders>
              <w:top w:val="nil"/>
              <w:left w:val="nil"/>
              <w:bottom w:val="nil"/>
              <w:right w:val="nil"/>
            </w:tcBorders>
            <w:shd w:val="clear" w:color="auto" w:fill="auto"/>
            <w:noWrap/>
            <w:hideMark/>
          </w:tcPr>
          <w:p w14:paraId="0EC29C3C" w14:textId="77777777" w:rsidR="00EE6446" w:rsidRPr="00641A01" w:rsidRDefault="00EE6446" w:rsidP="00641A01">
            <w:pPr>
              <w:spacing w:line="360" w:lineRule="auto"/>
              <w:jc w:val="center"/>
              <w:rPr>
                <w:color w:val="000000"/>
              </w:rPr>
            </w:pPr>
            <w:r w:rsidRPr="00641A01">
              <w:rPr>
                <w:color w:val="000000"/>
              </w:rPr>
              <w:t>STP</w:t>
            </w:r>
          </w:p>
        </w:tc>
        <w:tc>
          <w:tcPr>
            <w:tcW w:w="1011" w:type="dxa"/>
            <w:tcBorders>
              <w:top w:val="nil"/>
              <w:left w:val="nil"/>
              <w:bottom w:val="nil"/>
              <w:right w:val="nil"/>
            </w:tcBorders>
            <w:shd w:val="clear" w:color="auto" w:fill="auto"/>
            <w:noWrap/>
            <w:hideMark/>
          </w:tcPr>
          <w:p w14:paraId="5AF0633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31A2DE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E5F243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2FC7DFD" w14:textId="77777777" w:rsidR="00EE6446" w:rsidRPr="00641A01" w:rsidRDefault="00EE6446" w:rsidP="00641A01">
            <w:pPr>
              <w:spacing w:line="360" w:lineRule="auto"/>
              <w:jc w:val="center"/>
              <w:rPr>
                <w:color w:val="000000"/>
              </w:rPr>
            </w:pPr>
            <w:r w:rsidRPr="00641A01">
              <w:rPr>
                <w:color w:val="000000"/>
              </w:rPr>
              <w:t>2</w:t>
            </w:r>
          </w:p>
        </w:tc>
        <w:tc>
          <w:tcPr>
            <w:tcW w:w="2233" w:type="dxa"/>
            <w:tcBorders>
              <w:top w:val="nil"/>
              <w:left w:val="nil"/>
              <w:bottom w:val="nil"/>
              <w:right w:val="nil"/>
            </w:tcBorders>
            <w:shd w:val="clear" w:color="auto" w:fill="auto"/>
            <w:noWrap/>
            <w:hideMark/>
          </w:tcPr>
          <w:p w14:paraId="7B7A14FE" w14:textId="77777777" w:rsidR="00EE6446" w:rsidRPr="00641A01" w:rsidRDefault="00EE6446" w:rsidP="00641A01">
            <w:pPr>
              <w:tabs>
                <w:tab w:val="decimal" w:pos="943"/>
              </w:tabs>
              <w:spacing w:line="360" w:lineRule="auto"/>
              <w:rPr>
                <w:color w:val="000000"/>
              </w:rPr>
            </w:pPr>
            <w:r w:rsidRPr="00641A01">
              <w:rPr>
                <w:color w:val="000000"/>
              </w:rPr>
              <w:t>0.69</w:t>
            </w:r>
          </w:p>
        </w:tc>
        <w:tc>
          <w:tcPr>
            <w:tcW w:w="2233" w:type="dxa"/>
            <w:tcBorders>
              <w:top w:val="nil"/>
              <w:left w:val="nil"/>
              <w:bottom w:val="nil"/>
              <w:right w:val="nil"/>
            </w:tcBorders>
            <w:shd w:val="clear" w:color="auto" w:fill="auto"/>
            <w:noWrap/>
            <w:hideMark/>
          </w:tcPr>
          <w:p w14:paraId="15845C6C" w14:textId="77777777" w:rsidR="00EE6446" w:rsidRPr="00641A01" w:rsidRDefault="00EE6446" w:rsidP="00641A01">
            <w:pPr>
              <w:tabs>
                <w:tab w:val="decimal" w:pos="943"/>
              </w:tabs>
              <w:spacing w:line="360" w:lineRule="auto"/>
              <w:rPr>
                <w:color w:val="000000"/>
              </w:rPr>
            </w:pPr>
            <w:r w:rsidRPr="00641A01">
              <w:rPr>
                <w:color w:val="000000"/>
              </w:rPr>
              <w:t>5.58</w:t>
            </w:r>
          </w:p>
        </w:tc>
      </w:tr>
      <w:tr w:rsidR="005B434B" w:rsidRPr="00641A01" w14:paraId="11FED4E6" w14:textId="77777777" w:rsidTr="00A637D6">
        <w:tc>
          <w:tcPr>
            <w:tcW w:w="3258" w:type="dxa"/>
            <w:tcBorders>
              <w:top w:val="nil"/>
              <w:left w:val="nil"/>
              <w:bottom w:val="nil"/>
              <w:right w:val="nil"/>
            </w:tcBorders>
            <w:shd w:val="clear" w:color="auto" w:fill="auto"/>
            <w:noWrap/>
            <w:hideMark/>
          </w:tcPr>
          <w:p w14:paraId="7F49AAF1" w14:textId="77777777" w:rsidR="00EE6446" w:rsidRPr="00641A01" w:rsidRDefault="00EE6446" w:rsidP="00641A01">
            <w:pPr>
              <w:spacing w:line="360" w:lineRule="auto"/>
              <w:jc w:val="center"/>
              <w:rPr>
                <w:color w:val="000000"/>
              </w:rPr>
            </w:pPr>
            <w:r w:rsidRPr="00641A01">
              <w:rPr>
                <w:color w:val="000000"/>
              </w:rPr>
              <w:t>Suriname</w:t>
            </w:r>
          </w:p>
        </w:tc>
        <w:tc>
          <w:tcPr>
            <w:tcW w:w="1011" w:type="dxa"/>
            <w:tcBorders>
              <w:top w:val="nil"/>
              <w:left w:val="nil"/>
              <w:bottom w:val="nil"/>
              <w:right w:val="nil"/>
            </w:tcBorders>
            <w:shd w:val="clear" w:color="auto" w:fill="auto"/>
            <w:noWrap/>
            <w:hideMark/>
          </w:tcPr>
          <w:p w14:paraId="482FD15E" w14:textId="77777777" w:rsidR="00EE6446" w:rsidRPr="00641A01" w:rsidRDefault="00EE6446" w:rsidP="00641A01">
            <w:pPr>
              <w:spacing w:line="360" w:lineRule="auto"/>
              <w:jc w:val="center"/>
              <w:rPr>
                <w:color w:val="000000"/>
              </w:rPr>
            </w:pPr>
            <w:r w:rsidRPr="00641A01">
              <w:rPr>
                <w:color w:val="000000"/>
              </w:rPr>
              <w:t>SUR</w:t>
            </w:r>
          </w:p>
        </w:tc>
        <w:tc>
          <w:tcPr>
            <w:tcW w:w="1011" w:type="dxa"/>
            <w:tcBorders>
              <w:top w:val="nil"/>
              <w:left w:val="nil"/>
              <w:bottom w:val="nil"/>
              <w:right w:val="nil"/>
            </w:tcBorders>
            <w:shd w:val="clear" w:color="auto" w:fill="auto"/>
            <w:noWrap/>
            <w:hideMark/>
          </w:tcPr>
          <w:p w14:paraId="6D7FD9B0"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CCF2D4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308A57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DC12B5C"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06A953CC" w14:textId="77777777" w:rsidR="00EE6446" w:rsidRPr="00641A01" w:rsidRDefault="00EE6446" w:rsidP="00641A01">
            <w:pPr>
              <w:tabs>
                <w:tab w:val="decimal" w:pos="943"/>
              </w:tabs>
              <w:spacing w:line="360" w:lineRule="auto"/>
              <w:rPr>
                <w:color w:val="000000"/>
              </w:rPr>
            </w:pPr>
            <w:r w:rsidRPr="00641A01">
              <w:rPr>
                <w:color w:val="000000"/>
              </w:rPr>
              <w:t>1.39</w:t>
            </w:r>
          </w:p>
        </w:tc>
        <w:tc>
          <w:tcPr>
            <w:tcW w:w="2233" w:type="dxa"/>
            <w:tcBorders>
              <w:top w:val="nil"/>
              <w:left w:val="nil"/>
              <w:bottom w:val="nil"/>
              <w:right w:val="nil"/>
            </w:tcBorders>
            <w:shd w:val="clear" w:color="auto" w:fill="auto"/>
            <w:noWrap/>
            <w:hideMark/>
          </w:tcPr>
          <w:p w14:paraId="290077C0" w14:textId="77777777" w:rsidR="00EE6446" w:rsidRPr="00641A01" w:rsidRDefault="00EE6446" w:rsidP="00641A01">
            <w:pPr>
              <w:tabs>
                <w:tab w:val="decimal" w:pos="943"/>
              </w:tabs>
              <w:spacing w:line="360" w:lineRule="auto"/>
              <w:rPr>
                <w:color w:val="000000"/>
              </w:rPr>
            </w:pPr>
            <w:r w:rsidRPr="00641A01">
              <w:rPr>
                <w:color w:val="000000"/>
              </w:rPr>
              <w:t>10.98</w:t>
            </w:r>
          </w:p>
        </w:tc>
      </w:tr>
      <w:tr w:rsidR="005B434B" w:rsidRPr="00641A01" w14:paraId="5C500756" w14:textId="77777777" w:rsidTr="00A637D6">
        <w:tc>
          <w:tcPr>
            <w:tcW w:w="3258" w:type="dxa"/>
            <w:tcBorders>
              <w:top w:val="nil"/>
              <w:left w:val="nil"/>
              <w:bottom w:val="nil"/>
              <w:right w:val="nil"/>
            </w:tcBorders>
            <w:shd w:val="clear" w:color="auto" w:fill="auto"/>
            <w:noWrap/>
            <w:hideMark/>
          </w:tcPr>
          <w:p w14:paraId="783A2E5A" w14:textId="77777777" w:rsidR="00EE6446" w:rsidRPr="00641A01" w:rsidRDefault="00EE6446" w:rsidP="00641A01">
            <w:pPr>
              <w:spacing w:line="360" w:lineRule="auto"/>
              <w:jc w:val="center"/>
              <w:rPr>
                <w:color w:val="000000"/>
              </w:rPr>
            </w:pPr>
            <w:r w:rsidRPr="00641A01">
              <w:rPr>
                <w:color w:val="000000"/>
              </w:rPr>
              <w:t>Slovakia</w:t>
            </w:r>
          </w:p>
        </w:tc>
        <w:tc>
          <w:tcPr>
            <w:tcW w:w="1011" w:type="dxa"/>
            <w:tcBorders>
              <w:top w:val="nil"/>
              <w:left w:val="nil"/>
              <w:bottom w:val="nil"/>
              <w:right w:val="nil"/>
            </w:tcBorders>
            <w:shd w:val="clear" w:color="auto" w:fill="auto"/>
            <w:noWrap/>
            <w:hideMark/>
          </w:tcPr>
          <w:p w14:paraId="6B1138BD" w14:textId="77777777" w:rsidR="00EE6446" w:rsidRPr="00641A01" w:rsidRDefault="00EE6446" w:rsidP="00641A01">
            <w:pPr>
              <w:spacing w:line="360" w:lineRule="auto"/>
              <w:jc w:val="center"/>
              <w:rPr>
                <w:color w:val="000000"/>
              </w:rPr>
            </w:pPr>
            <w:r w:rsidRPr="00641A01">
              <w:rPr>
                <w:color w:val="000000"/>
              </w:rPr>
              <w:t>SVK</w:t>
            </w:r>
          </w:p>
        </w:tc>
        <w:tc>
          <w:tcPr>
            <w:tcW w:w="1011" w:type="dxa"/>
            <w:tcBorders>
              <w:top w:val="nil"/>
              <w:left w:val="nil"/>
              <w:bottom w:val="nil"/>
              <w:right w:val="nil"/>
            </w:tcBorders>
            <w:shd w:val="clear" w:color="auto" w:fill="auto"/>
            <w:noWrap/>
            <w:hideMark/>
          </w:tcPr>
          <w:p w14:paraId="0EBAA93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9FA74E1"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862A3AC"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4B2DBF59"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35128636" w14:textId="77777777" w:rsidR="00EE6446" w:rsidRPr="00641A01" w:rsidRDefault="00EE6446" w:rsidP="00641A01">
            <w:pPr>
              <w:tabs>
                <w:tab w:val="decimal" w:pos="943"/>
              </w:tabs>
              <w:spacing w:line="360" w:lineRule="auto"/>
              <w:rPr>
                <w:color w:val="000000"/>
              </w:rPr>
            </w:pPr>
            <w:r w:rsidRPr="00641A01">
              <w:rPr>
                <w:color w:val="000000"/>
              </w:rPr>
              <w:t>10.30</w:t>
            </w:r>
          </w:p>
        </w:tc>
        <w:tc>
          <w:tcPr>
            <w:tcW w:w="2233" w:type="dxa"/>
            <w:tcBorders>
              <w:top w:val="nil"/>
              <w:left w:val="nil"/>
              <w:bottom w:val="nil"/>
              <w:right w:val="nil"/>
            </w:tcBorders>
            <w:shd w:val="clear" w:color="auto" w:fill="auto"/>
            <w:noWrap/>
            <w:hideMark/>
          </w:tcPr>
          <w:p w14:paraId="22B38708" w14:textId="77777777" w:rsidR="00EE6446" w:rsidRPr="00641A01" w:rsidRDefault="00EE6446" w:rsidP="00641A01">
            <w:pPr>
              <w:tabs>
                <w:tab w:val="decimal" w:pos="943"/>
              </w:tabs>
              <w:spacing w:line="360" w:lineRule="auto"/>
              <w:rPr>
                <w:color w:val="000000"/>
              </w:rPr>
            </w:pPr>
            <w:r w:rsidRPr="00641A01">
              <w:rPr>
                <w:color w:val="000000"/>
              </w:rPr>
              <w:t>103.58</w:t>
            </w:r>
          </w:p>
        </w:tc>
      </w:tr>
      <w:tr w:rsidR="005B434B" w:rsidRPr="00641A01" w14:paraId="7DC07FD2" w14:textId="77777777" w:rsidTr="00A637D6">
        <w:tc>
          <w:tcPr>
            <w:tcW w:w="3258" w:type="dxa"/>
            <w:tcBorders>
              <w:top w:val="nil"/>
              <w:left w:val="nil"/>
              <w:bottom w:val="nil"/>
              <w:right w:val="nil"/>
            </w:tcBorders>
            <w:shd w:val="clear" w:color="auto" w:fill="auto"/>
            <w:noWrap/>
            <w:hideMark/>
          </w:tcPr>
          <w:p w14:paraId="05364863" w14:textId="77777777" w:rsidR="00EE6446" w:rsidRPr="00641A01" w:rsidRDefault="00EE6446" w:rsidP="00641A01">
            <w:pPr>
              <w:spacing w:line="360" w:lineRule="auto"/>
              <w:jc w:val="center"/>
              <w:rPr>
                <w:color w:val="000000"/>
              </w:rPr>
            </w:pPr>
            <w:r w:rsidRPr="00641A01">
              <w:rPr>
                <w:color w:val="000000"/>
              </w:rPr>
              <w:t>Slovenia</w:t>
            </w:r>
          </w:p>
        </w:tc>
        <w:tc>
          <w:tcPr>
            <w:tcW w:w="1011" w:type="dxa"/>
            <w:tcBorders>
              <w:top w:val="nil"/>
              <w:left w:val="nil"/>
              <w:bottom w:val="nil"/>
              <w:right w:val="nil"/>
            </w:tcBorders>
            <w:shd w:val="clear" w:color="auto" w:fill="auto"/>
            <w:noWrap/>
            <w:hideMark/>
          </w:tcPr>
          <w:p w14:paraId="0E839EC9" w14:textId="77777777" w:rsidR="00EE6446" w:rsidRPr="00641A01" w:rsidRDefault="00EE6446" w:rsidP="00641A01">
            <w:pPr>
              <w:spacing w:line="360" w:lineRule="auto"/>
              <w:jc w:val="center"/>
              <w:rPr>
                <w:color w:val="000000"/>
              </w:rPr>
            </w:pPr>
            <w:r w:rsidRPr="00641A01">
              <w:rPr>
                <w:color w:val="000000"/>
              </w:rPr>
              <w:t>SVN</w:t>
            </w:r>
          </w:p>
        </w:tc>
        <w:tc>
          <w:tcPr>
            <w:tcW w:w="1011" w:type="dxa"/>
            <w:tcBorders>
              <w:top w:val="nil"/>
              <w:left w:val="nil"/>
              <w:bottom w:val="nil"/>
              <w:right w:val="nil"/>
            </w:tcBorders>
            <w:shd w:val="clear" w:color="auto" w:fill="auto"/>
            <w:noWrap/>
            <w:hideMark/>
          </w:tcPr>
          <w:p w14:paraId="6A6F4DE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B0D4CD2"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848F851"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026B2813"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63ED22EA" w14:textId="77777777" w:rsidR="00EE6446" w:rsidRPr="00641A01" w:rsidRDefault="00EE6446" w:rsidP="00641A01">
            <w:pPr>
              <w:tabs>
                <w:tab w:val="decimal" w:pos="943"/>
              </w:tabs>
              <w:spacing w:line="360" w:lineRule="auto"/>
              <w:rPr>
                <w:color w:val="000000"/>
              </w:rPr>
            </w:pPr>
            <w:r w:rsidRPr="00641A01">
              <w:rPr>
                <w:color w:val="000000"/>
              </w:rPr>
              <w:t>4.92</w:t>
            </w:r>
          </w:p>
        </w:tc>
        <w:tc>
          <w:tcPr>
            <w:tcW w:w="2233" w:type="dxa"/>
            <w:tcBorders>
              <w:top w:val="nil"/>
              <w:left w:val="nil"/>
              <w:bottom w:val="nil"/>
              <w:right w:val="nil"/>
            </w:tcBorders>
            <w:shd w:val="clear" w:color="auto" w:fill="auto"/>
            <w:noWrap/>
            <w:hideMark/>
          </w:tcPr>
          <w:p w14:paraId="1B6145D3" w14:textId="77777777" w:rsidR="00EE6446" w:rsidRPr="00641A01" w:rsidRDefault="00EE6446" w:rsidP="00641A01">
            <w:pPr>
              <w:tabs>
                <w:tab w:val="decimal" w:pos="943"/>
              </w:tabs>
              <w:spacing w:line="360" w:lineRule="auto"/>
              <w:rPr>
                <w:color w:val="000000"/>
              </w:rPr>
            </w:pPr>
            <w:r w:rsidRPr="00641A01">
              <w:rPr>
                <w:color w:val="000000"/>
              </w:rPr>
              <w:t>43.58</w:t>
            </w:r>
          </w:p>
        </w:tc>
      </w:tr>
      <w:tr w:rsidR="005B434B" w:rsidRPr="00641A01" w14:paraId="34FBEADF" w14:textId="77777777" w:rsidTr="00A637D6">
        <w:tc>
          <w:tcPr>
            <w:tcW w:w="3258" w:type="dxa"/>
            <w:tcBorders>
              <w:top w:val="nil"/>
              <w:left w:val="nil"/>
              <w:bottom w:val="nil"/>
              <w:right w:val="nil"/>
            </w:tcBorders>
            <w:shd w:val="clear" w:color="auto" w:fill="auto"/>
            <w:noWrap/>
            <w:hideMark/>
          </w:tcPr>
          <w:p w14:paraId="5CF4A920" w14:textId="77777777" w:rsidR="00EE6446" w:rsidRPr="00641A01" w:rsidRDefault="00EE6446" w:rsidP="00641A01">
            <w:pPr>
              <w:spacing w:line="360" w:lineRule="auto"/>
              <w:jc w:val="center"/>
              <w:rPr>
                <w:color w:val="000000"/>
              </w:rPr>
            </w:pPr>
            <w:r w:rsidRPr="00641A01">
              <w:rPr>
                <w:color w:val="000000"/>
              </w:rPr>
              <w:t>Sweden</w:t>
            </w:r>
          </w:p>
        </w:tc>
        <w:tc>
          <w:tcPr>
            <w:tcW w:w="1011" w:type="dxa"/>
            <w:tcBorders>
              <w:top w:val="nil"/>
              <w:left w:val="nil"/>
              <w:bottom w:val="nil"/>
              <w:right w:val="nil"/>
            </w:tcBorders>
            <w:shd w:val="clear" w:color="auto" w:fill="auto"/>
            <w:noWrap/>
            <w:hideMark/>
          </w:tcPr>
          <w:p w14:paraId="31092AFC" w14:textId="77777777" w:rsidR="00EE6446" w:rsidRPr="00641A01" w:rsidRDefault="00EE6446" w:rsidP="00641A01">
            <w:pPr>
              <w:spacing w:line="360" w:lineRule="auto"/>
              <w:jc w:val="center"/>
              <w:rPr>
                <w:color w:val="000000"/>
              </w:rPr>
            </w:pPr>
            <w:r w:rsidRPr="00641A01">
              <w:rPr>
                <w:color w:val="000000"/>
              </w:rPr>
              <w:t>SWE</w:t>
            </w:r>
          </w:p>
        </w:tc>
        <w:tc>
          <w:tcPr>
            <w:tcW w:w="1011" w:type="dxa"/>
            <w:tcBorders>
              <w:top w:val="nil"/>
              <w:left w:val="nil"/>
              <w:bottom w:val="nil"/>
              <w:right w:val="nil"/>
            </w:tcBorders>
            <w:shd w:val="clear" w:color="auto" w:fill="auto"/>
            <w:noWrap/>
            <w:hideMark/>
          </w:tcPr>
          <w:p w14:paraId="47C2D0C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7D023DC"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6FC5FED" w14:textId="77777777" w:rsidR="00EE6446" w:rsidRPr="00641A01" w:rsidRDefault="00EE6446" w:rsidP="00641A01">
            <w:pPr>
              <w:spacing w:line="360" w:lineRule="auto"/>
              <w:jc w:val="center"/>
              <w:rPr>
                <w:color w:val="000000"/>
              </w:rPr>
            </w:pPr>
            <w:r w:rsidRPr="00641A01">
              <w:rPr>
                <w:color w:val="000000"/>
              </w:rPr>
              <w:t>1</w:t>
            </w:r>
          </w:p>
        </w:tc>
        <w:tc>
          <w:tcPr>
            <w:tcW w:w="1550" w:type="dxa"/>
            <w:tcBorders>
              <w:top w:val="nil"/>
              <w:left w:val="nil"/>
              <w:bottom w:val="nil"/>
              <w:right w:val="nil"/>
            </w:tcBorders>
            <w:shd w:val="clear" w:color="auto" w:fill="auto"/>
            <w:noWrap/>
            <w:hideMark/>
          </w:tcPr>
          <w:p w14:paraId="3AF8D8FF"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77A97691" w14:textId="77777777" w:rsidR="00EE6446" w:rsidRPr="00641A01" w:rsidRDefault="00EE6446" w:rsidP="00641A01">
            <w:pPr>
              <w:tabs>
                <w:tab w:val="decimal" w:pos="943"/>
              </w:tabs>
              <w:spacing w:line="360" w:lineRule="auto"/>
              <w:rPr>
                <w:color w:val="000000"/>
              </w:rPr>
            </w:pPr>
            <w:r w:rsidRPr="00641A01">
              <w:rPr>
                <w:color w:val="000000"/>
              </w:rPr>
              <w:t>9.80</w:t>
            </w:r>
          </w:p>
        </w:tc>
        <w:tc>
          <w:tcPr>
            <w:tcW w:w="2233" w:type="dxa"/>
            <w:tcBorders>
              <w:top w:val="nil"/>
              <w:left w:val="nil"/>
              <w:bottom w:val="nil"/>
              <w:right w:val="nil"/>
            </w:tcBorders>
            <w:shd w:val="clear" w:color="auto" w:fill="auto"/>
            <w:noWrap/>
            <w:hideMark/>
          </w:tcPr>
          <w:p w14:paraId="3B3680E7" w14:textId="77777777" w:rsidR="00EE6446" w:rsidRPr="00641A01" w:rsidRDefault="00EE6446" w:rsidP="00641A01">
            <w:pPr>
              <w:tabs>
                <w:tab w:val="decimal" w:pos="943"/>
              </w:tabs>
              <w:spacing w:line="360" w:lineRule="auto"/>
              <w:rPr>
                <w:color w:val="000000"/>
              </w:rPr>
            </w:pPr>
            <w:r w:rsidRPr="00641A01">
              <w:rPr>
                <w:color w:val="000000"/>
              </w:rPr>
              <w:t>108.61</w:t>
            </w:r>
          </w:p>
        </w:tc>
      </w:tr>
      <w:tr w:rsidR="005B434B" w:rsidRPr="00641A01" w14:paraId="2C4C62EA" w14:textId="77777777" w:rsidTr="00A637D6">
        <w:tc>
          <w:tcPr>
            <w:tcW w:w="3258" w:type="dxa"/>
            <w:tcBorders>
              <w:top w:val="nil"/>
              <w:left w:val="nil"/>
              <w:bottom w:val="nil"/>
              <w:right w:val="nil"/>
            </w:tcBorders>
            <w:shd w:val="clear" w:color="auto" w:fill="auto"/>
            <w:noWrap/>
            <w:hideMark/>
          </w:tcPr>
          <w:p w14:paraId="3F6E3565" w14:textId="77777777" w:rsidR="00EE6446" w:rsidRPr="00641A01" w:rsidRDefault="00EE6446" w:rsidP="00641A01">
            <w:pPr>
              <w:spacing w:line="360" w:lineRule="auto"/>
              <w:jc w:val="center"/>
              <w:rPr>
                <w:color w:val="000000"/>
              </w:rPr>
            </w:pPr>
            <w:r w:rsidRPr="00641A01">
              <w:rPr>
                <w:color w:val="000000"/>
              </w:rPr>
              <w:t>Swaziland</w:t>
            </w:r>
          </w:p>
        </w:tc>
        <w:tc>
          <w:tcPr>
            <w:tcW w:w="1011" w:type="dxa"/>
            <w:tcBorders>
              <w:top w:val="nil"/>
              <w:left w:val="nil"/>
              <w:bottom w:val="nil"/>
              <w:right w:val="nil"/>
            </w:tcBorders>
            <w:shd w:val="clear" w:color="auto" w:fill="auto"/>
            <w:noWrap/>
            <w:hideMark/>
          </w:tcPr>
          <w:p w14:paraId="02032901" w14:textId="77777777" w:rsidR="00EE6446" w:rsidRPr="00641A01" w:rsidRDefault="00EE6446" w:rsidP="00641A01">
            <w:pPr>
              <w:spacing w:line="360" w:lineRule="auto"/>
              <w:jc w:val="center"/>
              <w:rPr>
                <w:color w:val="000000"/>
              </w:rPr>
            </w:pPr>
            <w:r w:rsidRPr="00641A01">
              <w:rPr>
                <w:color w:val="000000"/>
              </w:rPr>
              <w:t>SWZ</w:t>
            </w:r>
          </w:p>
        </w:tc>
        <w:tc>
          <w:tcPr>
            <w:tcW w:w="1011" w:type="dxa"/>
            <w:tcBorders>
              <w:top w:val="nil"/>
              <w:left w:val="nil"/>
              <w:bottom w:val="nil"/>
              <w:right w:val="nil"/>
            </w:tcBorders>
            <w:shd w:val="clear" w:color="auto" w:fill="auto"/>
            <w:noWrap/>
            <w:hideMark/>
          </w:tcPr>
          <w:p w14:paraId="4E48BF8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E7EE9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7B9EEB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30737EC"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36F92BFB" w14:textId="77777777" w:rsidR="00EE6446" w:rsidRPr="00641A01" w:rsidRDefault="00EE6446" w:rsidP="00641A01">
            <w:pPr>
              <w:tabs>
                <w:tab w:val="decimal" w:pos="943"/>
              </w:tabs>
              <w:spacing w:line="360" w:lineRule="auto"/>
              <w:rPr>
                <w:color w:val="000000"/>
              </w:rPr>
            </w:pPr>
            <w:r w:rsidRPr="00641A01">
              <w:rPr>
                <w:color w:val="000000"/>
              </w:rPr>
              <w:t>1.58</w:t>
            </w:r>
          </w:p>
        </w:tc>
        <w:tc>
          <w:tcPr>
            <w:tcW w:w="2233" w:type="dxa"/>
            <w:tcBorders>
              <w:top w:val="nil"/>
              <w:left w:val="nil"/>
              <w:bottom w:val="nil"/>
              <w:right w:val="nil"/>
            </w:tcBorders>
            <w:shd w:val="clear" w:color="auto" w:fill="auto"/>
            <w:noWrap/>
            <w:hideMark/>
          </w:tcPr>
          <w:p w14:paraId="10190E75" w14:textId="77777777" w:rsidR="00EE6446" w:rsidRPr="00641A01" w:rsidRDefault="00EE6446" w:rsidP="00641A01">
            <w:pPr>
              <w:tabs>
                <w:tab w:val="decimal" w:pos="943"/>
              </w:tabs>
              <w:spacing w:line="360" w:lineRule="auto"/>
              <w:rPr>
                <w:color w:val="000000"/>
              </w:rPr>
            </w:pPr>
            <w:r w:rsidRPr="00641A01">
              <w:rPr>
                <w:color w:val="000000"/>
              </w:rPr>
              <w:t>19.89</w:t>
            </w:r>
          </w:p>
        </w:tc>
      </w:tr>
      <w:tr w:rsidR="005B434B" w:rsidRPr="00641A01" w14:paraId="2D22E7C1" w14:textId="77777777" w:rsidTr="00A637D6">
        <w:tc>
          <w:tcPr>
            <w:tcW w:w="3258" w:type="dxa"/>
            <w:tcBorders>
              <w:top w:val="nil"/>
              <w:left w:val="nil"/>
              <w:bottom w:val="nil"/>
              <w:right w:val="nil"/>
            </w:tcBorders>
            <w:shd w:val="clear" w:color="auto" w:fill="auto"/>
            <w:noWrap/>
            <w:hideMark/>
          </w:tcPr>
          <w:p w14:paraId="097B7EA2" w14:textId="77777777" w:rsidR="00EE6446" w:rsidRPr="00641A01" w:rsidRDefault="00EE6446" w:rsidP="00641A01">
            <w:pPr>
              <w:spacing w:line="360" w:lineRule="auto"/>
              <w:jc w:val="center"/>
              <w:rPr>
                <w:color w:val="000000"/>
              </w:rPr>
            </w:pPr>
            <w:r w:rsidRPr="00641A01">
              <w:rPr>
                <w:color w:val="000000"/>
              </w:rPr>
              <w:t>Seychelles</w:t>
            </w:r>
          </w:p>
        </w:tc>
        <w:tc>
          <w:tcPr>
            <w:tcW w:w="1011" w:type="dxa"/>
            <w:tcBorders>
              <w:top w:val="nil"/>
              <w:left w:val="nil"/>
              <w:bottom w:val="nil"/>
              <w:right w:val="nil"/>
            </w:tcBorders>
            <w:shd w:val="clear" w:color="auto" w:fill="auto"/>
            <w:noWrap/>
            <w:hideMark/>
          </w:tcPr>
          <w:p w14:paraId="61B5B53C" w14:textId="77777777" w:rsidR="00EE6446" w:rsidRPr="00641A01" w:rsidRDefault="00EE6446" w:rsidP="00641A01">
            <w:pPr>
              <w:spacing w:line="360" w:lineRule="auto"/>
              <w:jc w:val="center"/>
              <w:rPr>
                <w:color w:val="000000"/>
              </w:rPr>
            </w:pPr>
            <w:r w:rsidRPr="00641A01">
              <w:rPr>
                <w:color w:val="000000"/>
              </w:rPr>
              <w:t>SYC</w:t>
            </w:r>
          </w:p>
        </w:tc>
        <w:tc>
          <w:tcPr>
            <w:tcW w:w="1011" w:type="dxa"/>
            <w:tcBorders>
              <w:top w:val="nil"/>
              <w:left w:val="nil"/>
              <w:bottom w:val="nil"/>
              <w:right w:val="nil"/>
            </w:tcBorders>
            <w:shd w:val="clear" w:color="auto" w:fill="auto"/>
            <w:noWrap/>
            <w:hideMark/>
          </w:tcPr>
          <w:p w14:paraId="12F6BB5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E7D5B0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A193F3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59B9CAA"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7DD6049D" w14:textId="77777777" w:rsidR="00EE6446" w:rsidRPr="00641A01" w:rsidRDefault="00EE6446" w:rsidP="00641A01">
            <w:pPr>
              <w:tabs>
                <w:tab w:val="decimal" w:pos="943"/>
              </w:tabs>
              <w:spacing w:line="360" w:lineRule="auto"/>
              <w:rPr>
                <w:color w:val="000000"/>
              </w:rPr>
            </w:pPr>
            <w:r w:rsidRPr="00641A01">
              <w:rPr>
                <w:color w:val="000000"/>
              </w:rPr>
              <w:t>3.64</w:t>
            </w:r>
          </w:p>
        </w:tc>
        <w:tc>
          <w:tcPr>
            <w:tcW w:w="2233" w:type="dxa"/>
            <w:tcBorders>
              <w:top w:val="nil"/>
              <w:left w:val="nil"/>
              <w:bottom w:val="nil"/>
              <w:right w:val="nil"/>
            </w:tcBorders>
            <w:shd w:val="clear" w:color="auto" w:fill="auto"/>
            <w:noWrap/>
            <w:hideMark/>
          </w:tcPr>
          <w:p w14:paraId="167BF998" w14:textId="77777777" w:rsidR="00EE6446" w:rsidRPr="00641A01" w:rsidRDefault="00EE6446" w:rsidP="00641A01">
            <w:pPr>
              <w:tabs>
                <w:tab w:val="decimal" w:pos="943"/>
              </w:tabs>
              <w:spacing w:line="360" w:lineRule="auto"/>
              <w:rPr>
                <w:color w:val="000000"/>
              </w:rPr>
            </w:pPr>
            <w:r w:rsidRPr="00641A01">
              <w:rPr>
                <w:color w:val="000000"/>
              </w:rPr>
              <w:t>26.11</w:t>
            </w:r>
          </w:p>
        </w:tc>
      </w:tr>
      <w:tr w:rsidR="005B434B" w:rsidRPr="00641A01" w14:paraId="3FE8CE16" w14:textId="77777777" w:rsidTr="00A637D6">
        <w:tc>
          <w:tcPr>
            <w:tcW w:w="3258" w:type="dxa"/>
            <w:tcBorders>
              <w:top w:val="nil"/>
              <w:left w:val="nil"/>
              <w:bottom w:val="nil"/>
              <w:right w:val="nil"/>
            </w:tcBorders>
            <w:shd w:val="clear" w:color="auto" w:fill="auto"/>
            <w:noWrap/>
            <w:hideMark/>
          </w:tcPr>
          <w:p w14:paraId="2F219F0C" w14:textId="77777777" w:rsidR="00EE6446" w:rsidRPr="00641A01" w:rsidRDefault="00EE6446" w:rsidP="00641A01">
            <w:pPr>
              <w:spacing w:line="360" w:lineRule="auto"/>
              <w:jc w:val="center"/>
              <w:rPr>
                <w:color w:val="000000"/>
              </w:rPr>
            </w:pPr>
            <w:r w:rsidRPr="00641A01">
              <w:rPr>
                <w:color w:val="000000"/>
              </w:rPr>
              <w:t>Syrian Arab Republic</w:t>
            </w:r>
          </w:p>
        </w:tc>
        <w:tc>
          <w:tcPr>
            <w:tcW w:w="1011" w:type="dxa"/>
            <w:tcBorders>
              <w:top w:val="nil"/>
              <w:left w:val="nil"/>
              <w:bottom w:val="nil"/>
              <w:right w:val="nil"/>
            </w:tcBorders>
            <w:shd w:val="clear" w:color="auto" w:fill="auto"/>
            <w:noWrap/>
            <w:hideMark/>
          </w:tcPr>
          <w:p w14:paraId="37DF5139" w14:textId="77777777" w:rsidR="00EE6446" w:rsidRPr="00641A01" w:rsidRDefault="00EE6446" w:rsidP="00641A01">
            <w:pPr>
              <w:spacing w:line="360" w:lineRule="auto"/>
              <w:jc w:val="center"/>
              <w:rPr>
                <w:color w:val="000000"/>
              </w:rPr>
            </w:pPr>
            <w:r w:rsidRPr="00641A01">
              <w:rPr>
                <w:color w:val="000000"/>
              </w:rPr>
              <w:t>SYR</w:t>
            </w:r>
          </w:p>
        </w:tc>
        <w:tc>
          <w:tcPr>
            <w:tcW w:w="1011" w:type="dxa"/>
            <w:tcBorders>
              <w:top w:val="nil"/>
              <w:left w:val="nil"/>
              <w:bottom w:val="nil"/>
              <w:right w:val="nil"/>
            </w:tcBorders>
            <w:shd w:val="clear" w:color="auto" w:fill="auto"/>
            <w:noWrap/>
            <w:hideMark/>
          </w:tcPr>
          <w:p w14:paraId="0D3BC49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8F16FE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15EE0B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FDF8041"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1C482B3C" w14:textId="77777777" w:rsidR="00EE6446" w:rsidRPr="00641A01" w:rsidRDefault="00EE6446" w:rsidP="00641A01">
            <w:pPr>
              <w:tabs>
                <w:tab w:val="decimal" w:pos="943"/>
              </w:tabs>
              <w:spacing w:line="360" w:lineRule="auto"/>
              <w:rPr>
                <w:color w:val="000000"/>
              </w:rPr>
            </w:pPr>
            <w:r w:rsidRPr="00641A01">
              <w:rPr>
                <w:color w:val="000000"/>
              </w:rPr>
              <w:t>1.20</w:t>
            </w:r>
          </w:p>
        </w:tc>
        <w:tc>
          <w:tcPr>
            <w:tcW w:w="2233" w:type="dxa"/>
            <w:tcBorders>
              <w:top w:val="nil"/>
              <w:left w:val="nil"/>
              <w:bottom w:val="nil"/>
              <w:right w:val="nil"/>
            </w:tcBorders>
            <w:shd w:val="clear" w:color="auto" w:fill="auto"/>
            <w:noWrap/>
            <w:hideMark/>
          </w:tcPr>
          <w:p w14:paraId="17AF6CAC" w14:textId="77777777" w:rsidR="00EE6446" w:rsidRPr="00641A01" w:rsidRDefault="00EE6446" w:rsidP="00641A01">
            <w:pPr>
              <w:tabs>
                <w:tab w:val="decimal" w:pos="943"/>
              </w:tabs>
              <w:spacing w:line="360" w:lineRule="auto"/>
              <w:rPr>
                <w:color w:val="000000"/>
              </w:rPr>
            </w:pPr>
            <w:r w:rsidRPr="00641A01">
              <w:rPr>
                <w:color w:val="000000"/>
              </w:rPr>
              <w:t>9.77</w:t>
            </w:r>
          </w:p>
        </w:tc>
      </w:tr>
      <w:tr w:rsidR="005B434B" w:rsidRPr="00641A01" w14:paraId="39526EE0" w14:textId="77777777" w:rsidTr="00A637D6">
        <w:tc>
          <w:tcPr>
            <w:tcW w:w="3258" w:type="dxa"/>
            <w:tcBorders>
              <w:top w:val="nil"/>
              <w:left w:val="nil"/>
              <w:bottom w:val="nil"/>
              <w:right w:val="nil"/>
            </w:tcBorders>
            <w:shd w:val="clear" w:color="auto" w:fill="auto"/>
            <w:noWrap/>
            <w:hideMark/>
          </w:tcPr>
          <w:p w14:paraId="61370665" w14:textId="77777777" w:rsidR="00EE6446" w:rsidRPr="00641A01" w:rsidRDefault="00EE6446" w:rsidP="00641A01">
            <w:pPr>
              <w:spacing w:line="360" w:lineRule="auto"/>
              <w:jc w:val="center"/>
              <w:rPr>
                <w:color w:val="000000"/>
              </w:rPr>
            </w:pPr>
            <w:r w:rsidRPr="00641A01">
              <w:rPr>
                <w:color w:val="000000"/>
              </w:rPr>
              <w:t>Chad</w:t>
            </w:r>
          </w:p>
        </w:tc>
        <w:tc>
          <w:tcPr>
            <w:tcW w:w="1011" w:type="dxa"/>
            <w:tcBorders>
              <w:top w:val="nil"/>
              <w:left w:val="nil"/>
              <w:bottom w:val="nil"/>
              <w:right w:val="nil"/>
            </w:tcBorders>
            <w:shd w:val="clear" w:color="auto" w:fill="auto"/>
            <w:noWrap/>
            <w:hideMark/>
          </w:tcPr>
          <w:p w14:paraId="16FD39D2" w14:textId="77777777" w:rsidR="00EE6446" w:rsidRPr="00641A01" w:rsidRDefault="00EE6446" w:rsidP="00641A01">
            <w:pPr>
              <w:spacing w:line="360" w:lineRule="auto"/>
              <w:jc w:val="center"/>
              <w:rPr>
                <w:color w:val="000000"/>
              </w:rPr>
            </w:pPr>
            <w:r w:rsidRPr="00641A01">
              <w:rPr>
                <w:color w:val="000000"/>
              </w:rPr>
              <w:t>TCD</w:t>
            </w:r>
          </w:p>
        </w:tc>
        <w:tc>
          <w:tcPr>
            <w:tcW w:w="1011" w:type="dxa"/>
            <w:tcBorders>
              <w:top w:val="nil"/>
              <w:left w:val="nil"/>
              <w:bottom w:val="nil"/>
              <w:right w:val="nil"/>
            </w:tcBorders>
            <w:shd w:val="clear" w:color="auto" w:fill="auto"/>
            <w:noWrap/>
            <w:hideMark/>
          </w:tcPr>
          <w:p w14:paraId="0B9FDAB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E95BB5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141399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E4C5F01"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32E585D3" w14:textId="77777777" w:rsidR="00EE6446" w:rsidRPr="00641A01" w:rsidRDefault="00EE6446" w:rsidP="00641A01">
            <w:pPr>
              <w:tabs>
                <w:tab w:val="decimal" w:pos="943"/>
              </w:tabs>
              <w:spacing w:line="360" w:lineRule="auto"/>
              <w:rPr>
                <w:color w:val="000000"/>
              </w:rPr>
            </w:pPr>
            <w:r w:rsidRPr="00641A01">
              <w:rPr>
                <w:color w:val="000000"/>
              </w:rPr>
              <w:t>0.72</w:t>
            </w:r>
          </w:p>
        </w:tc>
        <w:tc>
          <w:tcPr>
            <w:tcW w:w="2233" w:type="dxa"/>
            <w:tcBorders>
              <w:top w:val="nil"/>
              <w:left w:val="nil"/>
              <w:bottom w:val="nil"/>
              <w:right w:val="nil"/>
            </w:tcBorders>
            <w:shd w:val="clear" w:color="auto" w:fill="auto"/>
            <w:noWrap/>
            <w:hideMark/>
          </w:tcPr>
          <w:p w14:paraId="2A4BCF0A" w14:textId="77777777" w:rsidR="00EE6446" w:rsidRPr="00641A01" w:rsidRDefault="00EE6446" w:rsidP="00641A01">
            <w:pPr>
              <w:tabs>
                <w:tab w:val="decimal" w:pos="943"/>
              </w:tabs>
              <w:spacing w:line="360" w:lineRule="auto"/>
              <w:rPr>
                <w:color w:val="000000"/>
              </w:rPr>
            </w:pPr>
            <w:r w:rsidRPr="00641A01">
              <w:rPr>
                <w:color w:val="000000"/>
              </w:rPr>
              <w:t>3.88</w:t>
            </w:r>
          </w:p>
        </w:tc>
      </w:tr>
      <w:tr w:rsidR="005B434B" w:rsidRPr="00641A01" w14:paraId="2FA343F9" w14:textId="77777777" w:rsidTr="00A637D6">
        <w:tc>
          <w:tcPr>
            <w:tcW w:w="3258" w:type="dxa"/>
            <w:tcBorders>
              <w:top w:val="nil"/>
              <w:left w:val="nil"/>
              <w:bottom w:val="nil"/>
              <w:right w:val="nil"/>
            </w:tcBorders>
            <w:shd w:val="clear" w:color="auto" w:fill="auto"/>
            <w:noWrap/>
            <w:hideMark/>
          </w:tcPr>
          <w:p w14:paraId="2A7462B7" w14:textId="77777777" w:rsidR="00EE6446" w:rsidRPr="00641A01" w:rsidRDefault="00EE6446" w:rsidP="00641A01">
            <w:pPr>
              <w:spacing w:line="360" w:lineRule="auto"/>
              <w:jc w:val="center"/>
              <w:rPr>
                <w:color w:val="000000"/>
              </w:rPr>
            </w:pPr>
            <w:r w:rsidRPr="00641A01">
              <w:rPr>
                <w:color w:val="000000"/>
              </w:rPr>
              <w:t>Togo</w:t>
            </w:r>
          </w:p>
        </w:tc>
        <w:tc>
          <w:tcPr>
            <w:tcW w:w="1011" w:type="dxa"/>
            <w:tcBorders>
              <w:top w:val="nil"/>
              <w:left w:val="nil"/>
              <w:bottom w:val="nil"/>
              <w:right w:val="nil"/>
            </w:tcBorders>
            <w:shd w:val="clear" w:color="auto" w:fill="auto"/>
            <w:noWrap/>
            <w:hideMark/>
          </w:tcPr>
          <w:p w14:paraId="4DFBCA11" w14:textId="77777777" w:rsidR="00EE6446" w:rsidRPr="00641A01" w:rsidRDefault="00EE6446" w:rsidP="00641A01">
            <w:pPr>
              <w:spacing w:line="360" w:lineRule="auto"/>
              <w:jc w:val="center"/>
              <w:rPr>
                <w:color w:val="000000"/>
              </w:rPr>
            </w:pPr>
            <w:r w:rsidRPr="00641A01">
              <w:rPr>
                <w:color w:val="000000"/>
              </w:rPr>
              <w:t>TGO</w:t>
            </w:r>
          </w:p>
        </w:tc>
        <w:tc>
          <w:tcPr>
            <w:tcW w:w="1011" w:type="dxa"/>
            <w:tcBorders>
              <w:top w:val="nil"/>
              <w:left w:val="nil"/>
              <w:bottom w:val="nil"/>
              <w:right w:val="nil"/>
            </w:tcBorders>
            <w:shd w:val="clear" w:color="auto" w:fill="auto"/>
            <w:noWrap/>
            <w:hideMark/>
          </w:tcPr>
          <w:p w14:paraId="4F83C1DF"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CB15DB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B65A0FC"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4DD930D"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535F39B4" w14:textId="77777777" w:rsidR="00EE6446" w:rsidRPr="00641A01" w:rsidRDefault="00EE6446" w:rsidP="00641A01">
            <w:pPr>
              <w:tabs>
                <w:tab w:val="decimal" w:pos="943"/>
              </w:tabs>
              <w:spacing w:line="360" w:lineRule="auto"/>
              <w:rPr>
                <w:color w:val="000000"/>
              </w:rPr>
            </w:pPr>
            <w:r w:rsidRPr="00641A01">
              <w:rPr>
                <w:color w:val="000000"/>
              </w:rPr>
              <w:t>4.68</w:t>
            </w:r>
          </w:p>
        </w:tc>
        <w:tc>
          <w:tcPr>
            <w:tcW w:w="2233" w:type="dxa"/>
            <w:tcBorders>
              <w:top w:val="nil"/>
              <w:left w:val="nil"/>
              <w:bottom w:val="nil"/>
              <w:right w:val="nil"/>
            </w:tcBorders>
            <w:shd w:val="clear" w:color="auto" w:fill="auto"/>
            <w:noWrap/>
            <w:hideMark/>
          </w:tcPr>
          <w:p w14:paraId="0735A262" w14:textId="77777777" w:rsidR="00EE6446" w:rsidRPr="00641A01" w:rsidRDefault="00EE6446" w:rsidP="00641A01">
            <w:pPr>
              <w:tabs>
                <w:tab w:val="decimal" w:pos="943"/>
              </w:tabs>
              <w:spacing w:line="360" w:lineRule="auto"/>
              <w:rPr>
                <w:color w:val="000000"/>
              </w:rPr>
            </w:pPr>
            <w:r w:rsidRPr="00641A01">
              <w:rPr>
                <w:color w:val="000000"/>
              </w:rPr>
              <w:t>42.32</w:t>
            </w:r>
          </w:p>
        </w:tc>
      </w:tr>
      <w:tr w:rsidR="005B434B" w:rsidRPr="00641A01" w14:paraId="1136ED13" w14:textId="77777777" w:rsidTr="00A637D6">
        <w:tc>
          <w:tcPr>
            <w:tcW w:w="3258" w:type="dxa"/>
            <w:tcBorders>
              <w:top w:val="nil"/>
              <w:left w:val="nil"/>
              <w:bottom w:val="nil"/>
              <w:right w:val="nil"/>
            </w:tcBorders>
            <w:shd w:val="clear" w:color="auto" w:fill="auto"/>
            <w:noWrap/>
            <w:hideMark/>
          </w:tcPr>
          <w:p w14:paraId="25736E0B" w14:textId="77777777" w:rsidR="00EE6446" w:rsidRPr="00641A01" w:rsidRDefault="00EE6446" w:rsidP="00641A01">
            <w:pPr>
              <w:spacing w:line="360" w:lineRule="auto"/>
              <w:jc w:val="center"/>
              <w:rPr>
                <w:color w:val="000000"/>
              </w:rPr>
            </w:pPr>
            <w:r w:rsidRPr="00641A01">
              <w:rPr>
                <w:color w:val="000000"/>
              </w:rPr>
              <w:t>Thailand</w:t>
            </w:r>
          </w:p>
        </w:tc>
        <w:tc>
          <w:tcPr>
            <w:tcW w:w="1011" w:type="dxa"/>
            <w:tcBorders>
              <w:top w:val="nil"/>
              <w:left w:val="nil"/>
              <w:bottom w:val="nil"/>
              <w:right w:val="nil"/>
            </w:tcBorders>
            <w:shd w:val="clear" w:color="auto" w:fill="auto"/>
            <w:noWrap/>
            <w:hideMark/>
          </w:tcPr>
          <w:p w14:paraId="58515384" w14:textId="77777777" w:rsidR="00EE6446" w:rsidRPr="00641A01" w:rsidRDefault="00EE6446" w:rsidP="00641A01">
            <w:pPr>
              <w:spacing w:line="360" w:lineRule="auto"/>
              <w:jc w:val="center"/>
              <w:rPr>
                <w:color w:val="000000"/>
              </w:rPr>
            </w:pPr>
            <w:r w:rsidRPr="00641A01">
              <w:rPr>
                <w:color w:val="000000"/>
              </w:rPr>
              <w:t>THA</w:t>
            </w:r>
          </w:p>
        </w:tc>
        <w:tc>
          <w:tcPr>
            <w:tcW w:w="1011" w:type="dxa"/>
            <w:tcBorders>
              <w:top w:val="nil"/>
              <w:left w:val="nil"/>
              <w:bottom w:val="nil"/>
              <w:right w:val="nil"/>
            </w:tcBorders>
            <w:shd w:val="clear" w:color="auto" w:fill="auto"/>
            <w:noWrap/>
            <w:hideMark/>
          </w:tcPr>
          <w:p w14:paraId="42FDDFA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0799DFA"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4AE3BE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5B3D4D68" w14:textId="77777777" w:rsidR="00EE6446" w:rsidRPr="00641A01" w:rsidRDefault="00EE6446" w:rsidP="00641A01">
            <w:pPr>
              <w:spacing w:line="360" w:lineRule="auto"/>
              <w:jc w:val="center"/>
              <w:rPr>
                <w:color w:val="000000"/>
              </w:rPr>
            </w:pPr>
            <w:r w:rsidRPr="00641A01">
              <w:rPr>
                <w:color w:val="000000"/>
              </w:rPr>
              <w:t>10</w:t>
            </w:r>
          </w:p>
        </w:tc>
        <w:tc>
          <w:tcPr>
            <w:tcW w:w="2233" w:type="dxa"/>
            <w:tcBorders>
              <w:top w:val="nil"/>
              <w:left w:val="nil"/>
              <w:bottom w:val="nil"/>
              <w:right w:val="nil"/>
            </w:tcBorders>
            <w:shd w:val="clear" w:color="auto" w:fill="auto"/>
            <w:noWrap/>
            <w:hideMark/>
          </w:tcPr>
          <w:p w14:paraId="59CF810C" w14:textId="77777777" w:rsidR="00EE6446" w:rsidRPr="00641A01" w:rsidRDefault="00EE6446" w:rsidP="00641A01">
            <w:pPr>
              <w:tabs>
                <w:tab w:val="decimal" w:pos="943"/>
              </w:tabs>
              <w:spacing w:line="360" w:lineRule="auto"/>
              <w:rPr>
                <w:color w:val="000000"/>
              </w:rPr>
            </w:pPr>
            <w:r w:rsidRPr="00641A01">
              <w:rPr>
                <w:color w:val="000000"/>
              </w:rPr>
              <w:t>4.71</w:t>
            </w:r>
          </w:p>
        </w:tc>
        <w:tc>
          <w:tcPr>
            <w:tcW w:w="2233" w:type="dxa"/>
            <w:tcBorders>
              <w:top w:val="nil"/>
              <w:left w:val="nil"/>
              <w:bottom w:val="nil"/>
              <w:right w:val="nil"/>
            </w:tcBorders>
            <w:shd w:val="clear" w:color="auto" w:fill="auto"/>
            <w:noWrap/>
            <w:hideMark/>
          </w:tcPr>
          <w:p w14:paraId="08968347" w14:textId="77777777" w:rsidR="00EE6446" w:rsidRPr="00641A01" w:rsidRDefault="00EE6446" w:rsidP="00641A01">
            <w:pPr>
              <w:tabs>
                <w:tab w:val="decimal" w:pos="943"/>
              </w:tabs>
              <w:spacing w:line="360" w:lineRule="auto"/>
              <w:rPr>
                <w:color w:val="000000"/>
              </w:rPr>
            </w:pPr>
            <w:r w:rsidRPr="00641A01">
              <w:rPr>
                <w:color w:val="000000"/>
              </w:rPr>
              <w:t>50.84</w:t>
            </w:r>
          </w:p>
        </w:tc>
      </w:tr>
      <w:tr w:rsidR="005B434B" w:rsidRPr="00641A01" w14:paraId="0EA20811" w14:textId="77777777" w:rsidTr="00A637D6">
        <w:tc>
          <w:tcPr>
            <w:tcW w:w="3258" w:type="dxa"/>
            <w:tcBorders>
              <w:top w:val="nil"/>
              <w:left w:val="nil"/>
              <w:bottom w:val="nil"/>
              <w:right w:val="nil"/>
            </w:tcBorders>
            <w:shd w:val="clear" w:color="auto" w:fill="auto"/>
            <w:noWrap/>
            <w:hideMark/>
          </w:tcPr>
          <w:p w14:paraId="0331A0D0" w14:textId="77777777" w:rsidR="00EE6446" w:rsidRPr="00641A01" w:rsidRDefault="00EE6446" w:rsidP="00641A01">
            <w:pPr>
              <w:spacing w:line="360" w:lineRule="auto"/>
              <w:jc w:val="center"/>
              <w:rPr>
                <w:color w:val="000000"/>
              </w:rPr>
            </w:pPr>
            <w:r w:rsidRPr="00641A01">
              <w:rPr>
                <w:color w:val="000000"/>
              </w:rPr>
              <w:lastRenderedPageBreak/>
              <w:t>Tajikistan</w:t>
            </w:r>
          </w:p>
        </w:tc>
        <w:tc>
          <w:tcPr>
            <w:tcW w:w="1011" w:type="dxa"/>
            <w:tcBorders>
              <w:top w:val="nil"/>
              <w:left w:val="nil"/>
              <w:bottom w:val="nil"/>
              <w:right w:val="nil"/>
            </w:tcBorders>
            <w:shd w:val="clear" w:color="auto" w:fill="auto"/>
            <w:noWrap/>
            <w:hideMark/>
          </w:tcPr>
          <w:p w14:paraId="21F2F3CD" w14:textId="77777777" w:rsidR="00EE6446" w:rsidRPr="00641A01" w:rsidRDefault="00EE6446" w:rsidP="00641A01">
            <w:pPr>
              <w:spacing w:line="360" w:lineRule="auto"/>
              <w:jc w:val="center"/>
              <w:rPr>
                <w:color w:val="000000"/>
              </w:rPr>
            </w:pPr>
            <w:r w:rsidRPr="00641A01">
              <w:rPr>
                <w:color w:val="000000"/>
              </w:rPr>
              <w:t>TJK</w:t>
            </w:r>
          </w:p>
        </w:tc>
        <w:tc>
          <w:tcPr>
            <w:tcW w:w="1011" w:type="dxa"/>
            <w:tcBorders>
              <w:top w:val="nil"/>
              <w:left w:val="nil"/>
              <w:bottom w:val="nil"/>
              <w:right w:val="nil"/>
            </w:tcBorders>
            <w:shd w:val="clear" w:color="auto" w:fill="auto"/>
            <w:noWrap/>
            <w:hideMark/>
          </w:tcPr>
          <w:p w14:paraId="007FC7B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11D3921"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92580A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EC66269"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2BBA2FC3" w14:textId="77777777" w:rsidR="00EE6446" w:rsidRPr="00641A01" w:rsidRDefault="00EE6446" w:rsidP="00641A01">
            <w:pPr>
              <w:tabs>
                <w:tab w:val="decimal" w:pos="943"/>
              </w:tabs>
              <w:spacing w:line="360" w:lineRule="auto"/>
              <w:rPr>
                <w:color w:val="000000"/>
              </w:rPr>
            </w:pPr>
            <w:r w:rsidRPr="00641A01">
              <w:rPr>
                <w:color w:val="000000"/>
              </w:rPr>
              <w:t>1.72</w:t>
            </w:r>
          </w:p>
        </w:tc>
        <w:tc>
          <w:tcPr>
            <w:tcW w:w="2233" w:type="dxa"/>
            <w:tcBorders>
              <w:top w:val="nil"/>
              <w:left w:val="nil"/>
              <w:bottom w:val="nil"/>
              <w:right w:val="nil"/>
            </w:tcBorders>
            <w:shd w:val="clear" w:color="auto" w:fill="auto"/>
            <w:noWrap/>
            <w:hideMark/>
          </w:tcPr>
          <w:p w14:paraId="20C7089C" w14:textId="77777777" w:rsidR="00EE6446" w:rsidRPr="00641A01" w:rsidRDefault="00EE6446" w:rsidP="00641A01">
            <w:pPr>
              <w:tabs>
                <w:tab w:val="decimal" w:pos="943"/>
              </w:tabs>
              <w:spacing w:line="360" w:lineRule="auto"/>
              <w:rPr>
                <w:color w:val="000000"/>
              </w:rPr>
            </w:pPr>
            <w:r w:rsidRPr="00641A01">
              <w:rPr>
                <w:color w:val="000000"/>
              </w:rPr>
              <w:t>26.44</w:t>
            </w:r>
          </w:p>
        </w:tc>
      </w:tr>
      <w:tr w:rsidR="005B434B" w:rsidRPr="00641A01" w14:paraId="2E95E2B1" w14:textId="77777777" w:rsidTr="00A637D6">
        <w:tc>
          <w:tcPr>
            <w:tcW w:w="3258" w:type="dxa"/>
            <w:tcBorders>
              <w:top w:val="nil"/>
              <w:left w:val="nil"/>
              <w:bottom w:val="nil"/>
              <w:right w:val="nil"/>
            </w:tcBorders>
            <w:shd w:val="clear" w:color="auto" w:fill="auto"/>
            <w:noWrap/>
            <w:hideMark/>
          </w:tcPr>
          <w:p w14:paraId="791C1AE9" w14:textId="77777777" w:rsidR="00EE6446" w:rsidRPr="00641A01" w:rsidRDefault="00EE6446" w:rsidP="00641A01">
            <w:pPr>
              <w:spacing w:line="360" w:lineRule="auto"/>
              <w:jc w:val="center"/>
              <w:rPr>
                <w:color w:val="000000"/>
              </w:rPr>
            </w:pPr>
            <w:r w:rsidRPr="00641A01">
              <w:rPr>
                <w:color w:val="000000"/>
              </w:rPr>
              <w:t>Turkmenistan</w:t>
            </w:r>
          </w:p>
        </w:tc>
        <w:tc>
          <w:tcPr>
            <w:tcW w:w="1011" w:type="dxa"/>
            <w:tcBorders>
              <w:top w:val="nil"/>
              <w:left w:val="nil"/>
              <w:bottom w:val="nil"/>
              <w:right w:val="nil"/>
            </w:tcBorders>
            <w:shd w:val="clear" w:color="auto" w:fill="auto"/>
            <w:noWrap/>
            <w:hideMark/>
          </w:tcPr>
          <w:p w14:paraId="46415953" w14:textId="77777777" w:rsidR="00EE6446" w:rsidRPr="00641A01" w:rsidRDefault="00EE6446" w:rsidP="00641A01">
            <w:pPr>
              <w:spacing w:line="360" w:lineRule="auto"/>
              <w:jc w:val="center"/>
              <w:rPr>
                <w:color w:val="000000"/>
              </w:rPr>
            </w:pPr>
            <w:r w:rsidRPr="00641A01">
              <w:rPr>
                <w:color w:val="000000"/>
              </w:rPr>
              <w:t>TKM</w:t>
            </w:r>
          </w:p>
        </w:tc>
        <w:tc>
          <w:tcPr>
            <w:tcW w:w="1011" w:type="dxa"/>
            <w:tcBorders>
              <w:top w:val="nil"/>
              <w:left w:val="nil"/>
              <w:bottom w:val="nil"/>
              <w:right w:val="nil"/>
            </w:tcBorders>
            <w:shd w:val="clear" w:color="auto" w:fill="auto"/>
            <w:noWrap/>
            <w:hideMark/>
          </w:tcPr>
          <w:p w14:paraId="540CA89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4AC376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DD5DA4F"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024E083" w14:textId="77777777" w:rsidR="00EE6446" w:rsidRPr="00641A01" w:rsidRDefault="00EE6446" w:rsidP="00641A01">
            <w:pPr>
              <w:spacing w:line="360" w:lineRule="auto"/>
              <w:jc w:val="center"/>
              <w:rPr>
                <w:color w:val="000000"/>
              </w:rPr>
            </w:pPr>
            <w:r w:rsidRPr="00641A01">
              <w:rPr>
                <w:color w:val="000000"/>
              </w:rPr>
              <w:t>1</w:t>
            </w:r>
          </w:p>
        </w:tc>
        <w:tc>
          <w:tcPr>
            <w:tcW w:w="2233" w:type="dxa"/>
            <w:tcBorders>
              <w:top w:val="nil"/>
              <w:left w:val="nil"/>
              <w:bottom w:val="nil"/>
              <w:right w:val="nil"/>
            </w:tcBorders>
            <w:shd w:val="clear" w:color="auto" w:fill="auto"/>
            <w:noWrap/>
            <w:hideMark/>
          </w:tcPr>
          <w:p w14:paraId="51C5FD4C" w14:textId="77777777" w:rsidR="00EE6446" w:rsidRPr="00641A01" w:rsidRDefault="00EE6446" w:rsidP="00641A01">
            <w:pPr>
              <w:tabs>
                <w:tab w:val="decimal" w:pos="943"/>
              </w:tabs>
              <w:spacing w:line="360" w:lineRule="auto"/>
              <w:rPr>
                <w:color w:val="000000"/>
              </w:rPr>
            </w:pPr>
            <w:r w:rsidRPr="00641A01">
              <w:rPr>
                <w:color w:val="000000"/>
              </w:rPr>
              <w:t>0.22</w:t>
            </w:r>
          </w:p>
        </w:tc>
        <w:tc>
          <w:tcPr>
            <w:tcW w:w="2233" w:type="dxa"/>
            <w:tcBorders>
              <w:top w:val="nil"/>
              <w:left w:val="nil"/>
              <w:bottom w:val="nil"/>
              <w:right w:val="nil"/>
            </w:tcBorders>
            <w:shd w:val="clear" w:color="auto" w:fill="auto"/>
            <w:noWrap/>
            <w:hideMark/>
          </w:tcPr>
          <w:p w14:paraId="33932241" w14:textId="77777777" w:rsidR="00EE6446" w:rsidRPr="00641A01" w:rsidRDefault="00EE6446" w:rsidP="00641A01">
            <w:pPr>
              <w:tabs>
                <w:tab w:val="decimal" w:pos="943"/>
              </w:tabs>
              <w:spacing w:line="360" w:lineRule="auto"/>
              <w:rPr>
                <w:color w:val="000000"/>
              </w:rPr>
            </w:pPr>
            <w:r w:rsidRPr="00641A01">
              <w:rPr>
                <w:color w:val="000000"/>
              </w:rPr>
              <w:t>1.65</w:t>
            </w:r>
          </w:p>
        </w:tc>
      </w:tr>
      <w:tr w:rsidR="005B434B" w:rsidRPr="00641A01" w14:paraId="2789C0D0" w14:textId="77777777" w:rsidTr="00A637D6">
        <w:tc>
          <w:tcPr>
            <w:tcW w:w="3258" w:type="dxa"/>
            <w:tcBorders>
              <w:top w:val="nil"/>
              <w:left w:val="nil"/>
              <w:bottom w:val="nil"/>
              <w:right w:val="nil"/>
            </w:tcBorders>
            <w:shd w:val="clear" w:color="auto" w:fill="auto"/>
            <w:noWrap/>
            <w:hideMark/>
          </w:tcPr>
          <w:p w14:paraId="47267A4A" w14:textId="77777777" w:rsidR="00EE6446" w:rsidRPr="00641A01" w:rsidRDefault="00EE6446" w:rsidP="00641A01">
            <w:pPr>
              <w:spacing w:line="360" w:lineRule="auto"/>
              <w:jc w:val="center"/>
              <w:rPr>
                <w:color w:val="000000"/>
              </w:rPr>
            </w:pPr>
            <w:r w:rsidRPr="00641A01">
              <w:rPr>
                <w:color w:val="000000"/>
              </w:rPr>
              <w:t>Tonga</w:t>
            </w:r>
          </w:p>
        </w:tc>
        <w:tc>
          <w:tcPr>
            <w:tcW w:w="1011" w:type="dxa"/>
            <w:tcBorders>
              <w:top w:val="nil"/>
              <w:left w:val="nil"/>
              <w:bottom w:val="nil"/>
              <w:right w:val="nil"/>
            </w:tcBorders>
            <w:shd w:val="clear" w:color="auto" w:fill="auto"/>
            <w:noWrap/>
            <w:hideMark/>
          </w:tcPr>
          <w:p w14:paraId="2A2E487E" w14:textId="77777777" w:rsidR="00EE6446" w:rsidRPr="00641A01" w:rsidRDefault="00EE6446" w:rsidP="00641A01">
            <w:pPr>
              <w:spacing w:line="360" w:lineRule="auto"/>
              <w:jc w:val="center"/>
              <w:rPr>
                <w:color w:val="000000"/>
              </w:rPr>
            </w:pPr>
            <w:r w:rsidRPr="00641A01">
              <w:rPr>
                <w:color w:val="000000"/>
              </w:rPr>
              <w:t>TON</w:t>
            </w:r>
          </w:p>
        </w:tc>
        <w:tc>
          <w:tcPr>
            <w:tcW w:w="1011" w:type="dxa"/>
            <w:tcBorders>
              <w:top w:val="nil"/>
              <w:left w:val="nil"/>
              <w:bottom w:val="nil"/>
              <w:right w:val="nil"/>
            </w:tcBorders>
            <w:shd w:val="clear" w:color="auto" w:fill="auto"/>
            <w:noWrap/>
            <w:hideMark/>
          </w:tcPr>
          <w:p w14:paraId="4C9FDAE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B9E5EB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A430D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6F1FE26"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7CAFB611" w14:textId="77777777" w:rsidR="00EE6446" w:rsidRPr="00641A01" w:rsidRDefault="00EE6446" w:rsidP="00641A01">
            <w:pPr>
              <w:tabs>
                <w:tab w:val="decimal" w:pos="943"/>
              </w:tabs>
              <w:spacing w:line="360" w:lineRule="auto"/>
              <w:rPr>
                <w:color w:val="000000"/>
              </w:rPr>
            </w:pPr>
            <w:r w:rsidRPr="00641A01">
              <w:rPr>
                <w:color w:val="000000"/>
              </w:rPr>
              <w:t>3.04</w:t>
            </w:r>
          </w:p>
        </w:tc>
        <w:tc>
          <w:tcPr>
            <w:tcW w:w="2233" w:type="dxa"/>
            <w:tcBorders>
              <w:top w:val="nil"/>
              <w:left w:val="nil"/>
              <w:bottom w:val="nil"/>
              <w:right w:val="nil"/>
            </w:tcBorders>
            <w:shd w:val="clear" w:color="auto" w:fill="auto"/>
            <w:noWrap/>
            <w:hideMark/>
          </w:tcPr>
          <w:p w14:paraId="7BE8A834" w14:textId="77777777" w:rsidR="00EE6446" w:rsidRPr="00641A01" w:rsidRDefault="00EE6446" w:rsidP="00641A01">
            <w:pPr>
              <w:tabs>
                <w:tab w:val="decimal" w:pos="943"/>
              </w:tabs>
              <w:spacing w:line="360" w:lineRule="auto"/>
              <w:rPr>
                <w:color w:val="000000"/>
              </w:rPr>
            </w:pPr>
            <w:r w:rsidRPr="00641A01">
              <w:rPr>
                <w:color w:val="000000"/>
              </w:rPr>
              <w:t>28.81</w:t>
            </w:r>
          </w:p>
        </w:tc>
      </w:tr>
      <w:tr w:rsidR="005B434B" w:rsidRPr="00641A01" w14:paraId="410CEC2D" w14:textId="77777777" w:rsidTr="00A637D6">
        <w:tc>
          <w:tcPr>
            <w:tcW w:w="3258" w:type="dxa"/>
            <w:tcBorders>
              <w:top w:val="nil"/>
              <w:left w:val="nil"/>
              <w:bottom w:val="nil"/>
              <w:right w:val="nil"/>
            </w:tcBorders>
            <w:shd w:val="clear" w:color="auto" w:fill="auto"/>
            <w:noWrap/>
            <w:hideMark/>
          </w:tcPr>
          <w:p w14:paraId="6AB6B105" w14:textId="77777777" w:rsidR="00EE6446" w:rsidRPr="00641A01" w:rsidRDefault="00EE6446" w:rsidP="00641A01">
            <w:pPr>
              <w:spacing w:line="360" w:lineRule="auto"/>
              <w:jc w:val="center"/>
              <w:rPr>
                <w:color w:val="000000"/>
              </w:rPr>
            </w:pPr>
            <w:r w:rsidRPr="00641A01">
              <w:rPr>
                <w:color w:val="000000"/>
              </w:rPr>
              <w:t>Trinidad and Tobago</w:t>
            </w:r>
          </w:p>
        </w:tc>
        <w:tc>
          <w:tcPr>
            <w:tcW w:w="1011" w:type="dxa"/>
            <w:tcBorders>
              <w:top w:val="nil"/>
              <w:left w:val="nil"/>
              <w:bottom w:val="nil"/>
              <w:right w:val="nil"/>
            </w:tcBorders>
            <w:shd w:val="clear" w:color="auto" w:fill="auto"/>
            <w:noWrap/>
            <w:hideMark/>
          </w:tcPr>
          <w:p w14:paraId="7DB1F543" w14:textId="77777777" w:rsidR="00EE6446" w:rsidRPr="00641A01" w:rsidRDefault="00EE6446" w:rsidP="00641A01">
            <w:pPr>
              <w:spacing w:line="360" w:lineRule="auto"/>
              <w:jc w:val="center"/>
              <w:rPr>
                <w:color w:val="000000"/>
              </w:rPr>
            </w:pPr>
            <w:r w:rsidRPr="00641A01">
              <w:rPr>
                <w:color w:val="000000"/>
              </w:rPr>
              <w:t>TTO</w:t>
            </w:r>
          </w:p>
        </w:tc>
        <w:tc>
          <w:tcPr>
            <w:tcW w:w="1011" w:type="dxa"/>
            <w:tcBorders>
              <w:top w:val="nil"/>
              <w:left w:val="nil"/>
              <w:bottom w:val="nil"/>
              <w:right w:val="nil"/>
            </w:tcBorders>
            <w:shd w:val="clear" w:color="auto" w:fill="auto"/>
            <w:noWrap/>
            <w:hideMark/>
          </w:tcPr>
          <w:p w14:paraId="2F1B137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CC7578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675F44B"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629ACB3"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77D3257E" w14:textId="77777777" w:rsidR="00EE6446" w:rsidRPr="00641A01" w:rsidRDefault="00EE6446" w:rsidP="00641A01">
            <w:pPr>
              <w:tabs>
                <w:tab w:val="decimal" w:pos="943"/>
              </w:tabs>
              <w:spacing w:line="360" w:lineRule="auto"/>
              <w:rPr>
                <w:color w:val="000000"/>
              </w:rPr>
            </w:pPr>
            <w:r w:rsidRPr="00641A01">
              <w:rPr>
                <w:color w:val="000000"/>
              </w:rPr>
              <w:t>2.92</w:t>
            </w:r>
          </w:p>
        </w:tc>
        <w:tc>
          <w:tcPr>
            <w:tcW w:w="2233" w:type="dxa"/>
            <w:tcBorders>
              <w:top w:val="nil"/>
              <w:left w:val="nil"/>
              <w:bottom w:val="nil"/>
              <w:right w:val="nil"/>
            </w:tcBorders>
            <w:shd w:val="clear" w:color="auto" w:fill="auto"/>
            <w:noWrap/>
            <w:hideMark/>
          </w:tcPr>
          <w:p w14:paraId="7A524423" w14:textId="77777777" w:rsidR="00EE6446" w:rsidRPr="00641A01" w:rsidRDefault="00EE6446" w:rsidP="00641A01">
            <w:pPr>
              <w:tabs>
                <w:tab w:val="decimal" w:pos="943"/>
              </w:tabs>
              <w:spacing w:line="360" w:lineRule="auto"/>
              <w:rPr>
                <w:color w:val="000000"/>
              </w:rPr>
            </w:pPr>
            <w:r w:rsidRPr="00641A01">
              <w:rPr>
                <w:color w:val="000000"/>
              </w:rPr>
              <w:t>37.79</w:t>
            </w:r>
          </w:p>
        </w:tc>
      </w:tr>
      <w:tr w:rsidR="005B434B" w:rsidRPr="00641A01" w14:paraId="03AF3688" w14:textId="77777777" w:rsidTr="00A637D6">
        <w:tc>
          <w:tcPr>
            <w:tcW w:w="3258" w:type="dxa"/>
            <w:tcBorders>
              <w:top w:val="nil"/>
              <w:left w:val="nil"/>
              <w:bottom w:val="nil"/>
              <w:right w:val="nil"/>
            </w:tcBorders>
            <w:shd w:val="clear" w:color="auto" w:fill="auto"/>
            <w:noWrap/>
            <w:hideMark/>
          </w:tcPr>
          <w:p w14:paraId="27CD3EC2" w14:textId="77777777" w:rsidR="00EE6446" w:rsidRPr="00641A01" w:rsidRDefault="00EE6446" w:rsidP="00641A01">
            <w:pPr>
              <w:spacing w:line="360" w:lineRule="auto"/>
              <w:jc w:val="center"/>
              <w:rPr>
                <w:color w:val="000000"/>
              </w:rPr>
            </w:pPr>
            <w:r w:rsidRPr="00641A01">
              <w:rPr>
                <w:color w:val="000000"/>
              </w:rPr>
              <w:t>Tunisia</w:t>
            </w:r>
          </w:p>
        </w:tc>
        <w:tc>
          <w:tcPr>
            <w:tcW w:w="1011" w:type="dxa"/>
            <w:tcBorders>
              <w:top w:val="nil"/>
              <w:left w:val="nil"/>
              <w:bottom w:val="nil"/>
              <w:right w:val="nil"/>
            </w:tcBorders>
            <w:shd w:val="clear" w:color="auto" w:fill="auto"/>
            <w:noWrap/>
            <w:hideMark/>
          </w:tcPr>
          <w:p w14:paraId="07ED6C1A" w14:textId="77777777" w:rsidR="00EE6446" w:rsidRPr="00641A01" w:rsidRDefault="00EE6446" w:rsidP="00641A01">
            <w:pPr>
              <w:spacing w:line="360" w:lineRule="auto"/>
              <w:jc w:val="center"/>
              <w:rPr>
                <w:color w:val="000000"/>
              </w:rPr>
            </w:pPr>
            <w:r w:rsidRPr="00641A01">
              <w:rPr>
                <w:color w:val="000000"/>
              </w:rPr>
              <w:t>TUN</w:t>
            </w:r>
          </w:p>
        </w:tc>
        <w:tc>
          <w:tcPr>
            <w:tcW w:w="1011" w:type="dxa"/>
            <w:tcBorders>
              <w:top w:val="nil"/>
              <w:left w:val="nil"/>
              <w:bottom w:val="nil"/>
              <w:right w:val="nil"/>
            </w:tcBorders>
            <w:shd w:val="clear" w:color="auto" w:fill="auto"/>
            <w:noWrap/>
            <w:hideMark/>
          </w:tcPr>
          <w:p w14:paraId="3A58C9D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B43C68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224BE5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6A76647"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5F0B74B4" w14:textId="77777777" w:rsidR="00EE6446" w:rsidRPr="00641A01" w:rsidRDefault="00EE6446" w:rsidP="00641A01">
            <w:pPr>
              <w:tabs>
                <w:tab w:val="decimal" w:pos="943"/>
              </w:tabs>
              <w:spacing w:line="360" w:lineRule="auto"/>
              <w:rPr>
                <w:color w:val="000000"/>
              </w:rPr>
            </w:pPr>
            <w:r w:rsidRPr="00641A01">
              <w:rPr>
                <w:color w:val="000000"/>
              </w:rPr>
              <w:t>1.99</w:t>
            </w:r>
          </w:p>
        </w:tc>
        <w:tc>
          <w:tcPr>
            <w:tcW w:w="2233" w:type="dxa"/>
            <w:tcBorders>
              <w:top w:val="nil"/>
              <w:left w:val="nil"/>
              <w:bottom w:val="nil"/>
              <w:right w:val="nil"/>
            </w:tcBorders>
            <w:shd w:val="clear" w:color="auto" w:fill="auto"/>
            <w:noWrap/>
            <w:hideMark/>
          </w:tcPr>
          <w:p w14:paraId="5588FF19" w14:textId="77777777" w:rsidR="00EE6446" w:rsidRPr="00641A01" w:rsidRDefault="00EE6446" w:rsidP="00641A01">
            <w:pPr>
              <w:tabs>
                <w:tab w:val="decimal" w:pos="943"/>
              </w:tabs>
              <w:spacing w:line="360" w:lineRule="auto"/>
              <w:rPr>
                <w:color w:val="000000"/>
              </w:rPr>
            </w:pPr>
            <w:r w:rsidRPr="00641A01">
              <w:rPr>
                <w:color w:val="000000"/>
              </w:rPr>
              <w:t>19.58</w:t>
            </w:r>
          </w:p>
        </w:tc>
      </w:tr>
      <w:tr w:rsidR="005B434B" w:rsidRPr="00641A01" w14:paraId="7BACD4B4" w14:textId="77777777" w:rsidTr="00A637D6">
        <w:tc>
          <w:tcPr>
            <w:tcW w:w="3258" w:type="dxa"/>
            <w:tcBorders>
              <w:top w:val="nil"/>
              <w:left w:val="nil"/>
              <w:bottom w:val="nil"/>
              <w:right w:val="nil"/>
            </w:tcBorders>
            <w:shd w:val="clear" w:color="auto" w:fill="auto"/>
            <w:noWrap/>
            <w:hideMark/>
          </w:tcPr>
          <w:p w14:paraId="73CBA7B7" w14:textId="77777777" w:rsidR="00EE6446" w:rsidRPr="00641A01" w:rsidRDefault="00EE6446" w:rsidP="00641A01">
            <w:pPr>
              <w:spacing w:line="360" w:lineRule="auto"/>
              <w:jc w:val="center"/>
              <w:rPr>
                <w:color w:val="000000"/>
              </w:rPr>
            </w:pPr>
            <w:r w:rsidRPr="00641A01">
              <w:rPr>
                <w:color w:val="000000"/>
              </w:rPr>
              <w:t>Turkey</w:t>
            </w:r>
          </w:p>
        </w:tc>
        <w:tc>
          <w:tcPr>
            <w:tcW w:w="1011" w:type="dxa"/>
            <w:tcBorders>
              <w:top w:val="nil"/>
              <w:left w:val="nil"/>
              <w:bottom w:val="nil"/>
              <w:right w:val="nil"/>
            </w:tcBorders>
            <w:shd w:val="clear" w:color="auto" w:fill="auto"/>
            <w:noWrap/>
            <w:hideMark/>
          </w:tcPr>
          <w:p w14:paraId="66EE0D0A" w14:textId="77777777" w:rsidR="00EE6446" w:rsidRPr="00641A01" w:rsidRDefault="00EE6446" w:rsidP="00641A01">
            <w:pPr>
              <w:spacing w:line="360" w:lineRule="auto"/>
              <w:jc w:val="center"/>
              <w:rPr>
                <w:color w:val="000000"/>
              </w:rPr>
            </w:pPr>
            <w:r w:rsidRPr="00641A01">
              <w:rPr>
                <w:color w:val="000000"/>
              </w:rPr>
              <w:t>TUR</w:t>
            </w:r>
          </w:p>
        </w:tc>
        <w:tc>
          <w:tcPr>
            <w:tcW w:w="1011" w:type="dxa"/>
            <w:tcBorders>
              <w:top w:val="nil"/>
              <w:left w:val="nil"/>
              <w:bottom w:val="nil"/>
              <w:right w:val="nil"/>
            </w:tcBorders>
            <w:shd w:val="clear" w:color="auto" w:fill="auto"/>
            <w:noWrap/>
            <w:hideMark/>
          </w:tcPr>
          <w:p w14:paraId="557738A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59C67BAC"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2E83571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7FB1E75F"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670620AB" w14:textId="77777777" w:rsidR="00EE6446" w:rsidRPr="00641A01" w:rsidRDefault="00EE6446" w:rsidP="00641A01">
            <w:pPr>
              <w:tabs>
                <w:tab w:val="decimal" w:pos="943"/>
              </w:tabs>
              <w:spacing w:line="360" w:lineRule="auto"/>
              <w:rPr>
                <w:color w:val="000000"/>
              </w:rPr>
            </w:pPr>
            <w:r w:rsidRPr="00641A01">
              <w:rPr>
                <w:color w:val="000000"/>
              </w:rPr>
              <w:t>7.13</w:t>
            </w:r>
          </w:p>
        </w:tc>
        <w:tc>
          <w:tcPr>
            <w:tcW w:w="2233" w:type="dxa"/>
            <w:tcBorders>
              <w:top w:val="nil"/>
              <w:left w:val="nil"/>
              <w:bottom w:val="nil"/>
              <w:right w:val="nil"/>
            </w:tcBorders>
            <w:shd w:val="clear" w:color="auto" w:fill="auto"/>
            <w:noWrap/>
            <w:hideMark/>
          </w:tcPr>
          <w:p w14:paraId="71203562" w14:textId="77777777" w:rsidR="00EE6446" w:rsidRPr="00641A01" w:rsidRDefault="00EE6446" w:rsidP="00641A01">
            <w:pPr>
              <w:tabs>
                <w:tab w:val="decimal" w:pos="943"/>
              </w:tabs>
              <w:spacing w:line="360" w:lineRule="auto"/>
              <w:rPr>
                <w:color w:val="000000"/>
              </w:rPr>
            </w:pPr>
            <w:r w:rsidRPr="00641A01">
              <w:rPr>
                <w:color w:val="000000"/>
              </w:rPr>
              <w:t>67.31</w:t>
            </w:r>
          </w:p>
        </w:tc>
      </w:tr>
      <w:tr w:rsidR="005B434B" w:rsidRPr="00641A01" w14:paraId="55FB5FE8" w14:textId="77777777" w:rsidTr="00A637D6">
        <w:tc>
          <w:tcPr>
            <w:tcW w:w="3258" w:type="dxa"/>
            <w:tcBorders>
              <w:top w:val="nil"/>
              <w:left w:val="nil"/>
              <w:bottom w:val="nil"/>
              <w:right w:val="nil"/>
            </w:tcBorders>
            <w:shd w:val="clear" w:color="auto" w:fill="auto"/>
            <w:noWrap/>
            <w:hideMark/>
          </w:tcPr>
          <w:p w14:paraId="3068F102" w14:textId="77777777" w:rsidR="00EE6446" w:rsidRPr="00641A01" w:rsidRDefault="00EE6446" w:rsidP="00641A01">
            <w:pPr>
              <w:spacing w:line="360" w:lineRule="auto"/>
              <w:jc w:val="center"/>
              <w:rPr>
                <w:color w:val="000000"/>
              </w:rPr>
            </w:pPr>
            <w:r w:rsidRPr="00641A01">
              <w:rPr>
                <w:color w:val="000000"/>
              </w:rPr>
              <w:t>Tuvalu</w:t>
            </w:r>
          </w:p>
        </w:tc>
        <w:tc>
          <w:tcPr>
            <w:tcW w:w="1011" w:type="dxa"/>
            <w:tcBorders>
              <w:top w:val="nil"/>
              <w:left w:val="nil"/>
              <w:bottom w:val="nil"/>
              <w:right w:val="nil"/>
            </w:tcBorders>
            <w:shd w:val="clear" w:color="auto" w:fill="auto"/>
            <w:noWrap/>
            <w:hideMark/>
          </w:tcPr>
          <w:p w14:paraId="44F297B1" w14:textId="77777777" w:rsidR="00EE6446" w:rsidRPr="00641A01" w:rsidRDefault="00EE6446" w:rsidP="00641A01">
            <w:pPr>
              <w:spacing w:line="360" w:lineRule="auto"/>
              <w:jc w:val="center"/>
              <w:rPr>
                <w:color w:val="000000"/>
              </w:rPr>
            </w:pPr>
            <w:r w:rsidRPr="00641A01">
              <w:rPr>
                <w:color w:val="000000"/>
              </w:rPr>
              <w:t>TUV</w:t>
            </w:r>
          </w:p>
        </w:tc>
        <w:tc>
          <w:tcPr>
            <w:tcW w:w="1011" w:type="dxa"/>
            <w:tcBorders>
              <w:top w:val="nil"/>
              <w:left w:val="nil"/>
              <w:bottom w:val="nil"/>
              <w:right w:val="nil"/>
            </w:tcBorders>
            <w:shd w:val="clear" w:color="auto" w:fill="auto"/>
            <w:noWrap/>
            <w:hideMark/>
          </w:tcPr>
          <w:p w14:paraId="29B2437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6D2B76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CD27A0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19F49D0" w14:textId="77777777" w:rsidR="00EE6446" w:rsidRPr="00641A01" w:rsidRDefault="00EE6446" w:rsidP="00641A01">
            <w:pPr>
              <w:spacing w:line="360" w:lineRule="auto"/>
              <w:jc w:val="center"/>
              <w:rPr>
                <w:color w:val="000000"/>
              </w:rPr>
            </w:pPr>
            <w:r w:rsidRPr="00641A01">
              <w:rPr>
                <w:color w:val="000000"/>
              </w:rPr>
              <w:t>8</w:t>
            </w:r>
          </w:p>
        </w:tc>
        <w:tc>
          <w:tcPr>
            <w:tcW w:w="2233" w:type="dxa"/>
            <w:tcBorders>
              <w:top w:val="nil"/>
              <w:left w:val="nil"/>
              <w:bottom w:val="nil"/>
              <w:right w:val="nil"/>
            </w:tcBorders>
            <w:shd w:val="clear" w:color="auto" w:fill="auto"/>
            <w:noWrap/>
            <w:hideMark/>
          </w:tcPr>
          <w:p w14:paraId="16DF750D" w14:textId="77777777" w:rsidR="00EE6446" w:rsidRPr="00641A01" w:rsidRDefault="00EE6446" w:rsidP="00641A01">
            <w:pPr>
              <w:tabs>
                <w:tab w:val="decimal" w:pos="943"/>
              </w:tabs>
              <w:spacing w:line="360" w:lineRule="auto"/>
              <w:rPr>
                <w:color w:val="000000"/>
              </w:rPr>
            </w:pPr>
            <w:r w:rsidRPr="00641A01">
              <w:rPr>
                <w:color w:val="000000"/>
              </w:rPr>
              <w:t>5.35</w:t>
            </w:r>
          </w:p>
        </w:tc>
        <w:tc>
          <w:tcPr>
            <w:tcW w:w="2233" w:type="dxa"/>
            <w:tcBorders>
              <w:top w:val="nil"/>
              <w:left w:val="nil"/>
              <w:bottom w:val="nil"/>
              <w:right w:val="nil"/>
            </w:tcBorders>
            <w:shd w:val="clear" w:color="auto" w:fill="auto"/>
            <w:noWrap/>
            <w:hideMark/>
          </w:tcPr>
          <w:p w14:paraId="159A27F3" w14:textId="77777777" w:rsidR="00EE6446" w:rsidRPr="00641A01" w:rsidRDefault="00EE6446" w:rsidP="00641A01">
            <w:pPr>
              <w:tabs>
                <w:tab w:val="decimal" w:pos="943"/>
              </w:tabs>
              <w:spacing w:line="360" w:lineRule="auto"/>
              <w:rPr>
                <w:color w:val="000000"/>
              </w:rPr>
            </w:pPr>
            <w:r w:rsidRPr="00641A01">
              <w:rPr>
                <w:color w:val="000000"/>
              </w:rPr>
              <w:t>56.71</w:t>
            </w:r>
          </w:p>
        </w:tc>
      </w:tr>
      <w:tr w:rsidR="005B434B" w:rsidRPr="00641A01" w14:paraId="52A89205" w14:textId="77777777" w:rsidTr="00A637D6">
        <w:tc>
          <w:tcPr>
            <w:tcW w:w="3258" w:type="dxa"/>
            <w:tcBorders>
              <w:top w:val="nil"/>
              <w:left w:val="nil"/>
              <w:bottom w:val="nil"/>
              <w:right w:val="nil"/>
            </w:tcBorders>
            <w:shd w:val="clear" w:color="auto" w:fill="auto"/>
            <w:noWrap/>
            <w:hideMark/>
          </w:tcPr>
          <w:p w14:paraId="279B1DD3" w14:textId="77777777" w:rsidR="00EE6446" w:rsidRPr="00641A01" w:rsidRDefault="00EE6446" w:rsidP="00641A01">
            <w:pPr>
              <w:spacing w:line="360" w:lineRule="auto"/>
              <w:jc w:val="center"/>
              <w:rPr>
                <w:color w:val="000000"/>
              </w:rPr>
            </w:pPr>
            <w:r w:rsidRPr="00641A01">
              <w:rPr>
                <w:color w:val="000000"/>
              </w:rPr>
              <w:t>Taiwan</w:t>
            </w:r>
          </w:p>
        </w:tc>
        <w:tc>
          <w:tcPr>
            <w:tcW w:w="1011" w:type="dxa"/>
            <w:tcBorders>
              <w:top w:val="nil"/>
              <w:left w:val="nil"/>
              <w:bottom w:val="nil"/>
              <w:right w:val="nil"/>
            </w:tcBorders>
            <w:shd w:val="clear" w:color="auto" w:fill="auto"/>
            <w:noWrap/>
            <w:hideMark/>
          </w:tcPr>
          <w:p w14:paraId="04D3F9A1" w14:textId="77777777" w:rsidR="00EE6446" w:rsidRPr="00641A01" w:rsidRDefault="00EE6446" w:rsidP="00641A01">
            <w:pPr>
              <w:spacing w:line="360" w:lineRule="auto"/>
              <w:jc w:val="center"/>
              <w:rPr>
                <w:color w:val="000000"/>
              </w:rPr>
            </w:pPr>
            <w:r w:rsidRPr="00641A01">
              <w:rPr>
                <w:color w:val="000000"/>
              </w:rPr>
              <w:t>TWN</w:t>
            </w:r>
          </w:p>
        </w:tc>
        <w:tc>
          <w:tcPr>
            <w:tcW w:w="1011" w:type="dxa"/>
            <w:tcBorders>
              <w:top w:val="nil"/>
              <w:left w:val="nil"/>
              <w:bottom w:val="nil"/>
              <w:right w:val="nil"/>
            </w:tcBorders>
            <w:shd w:val="clear" w:color="auto" w:fill="auto"/>
            <w:noWrap/>
            <w:hideMark/>
          </w:tcPr>
          <w:p w14:paraId="531C3E0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D84504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808CDC5"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4CAE2E5" w14:textId="77777777" w:rsidR="00EE6446" w:rsidRPr="00641A01" w:rsidRDefault="00EE6446" w:rsidP="00641A01">
            <w:pPr>
              <w:spacing w:line="360" w:lineRule="auto"/>
              <w:jc w:val="center"/>
              <w:rPr>
                <w:color w:val="000000"/>
              </w:rPr>
            </w:pPr>
            <w:r w:rsidRPr="00641A01">
              <w:rPr>
                <w:color w:val="000000"/>
              </w:rPr>
              <w:t>5</w:t>
            </w:r>
          </w:p>
        </w:tc>
        <w:tc>
          <w:tcPr>
            <w:tcW w:w="2233" w:type="dxa"/>
            <w:tcBorders>
              <w:top w:val="nil"/>
              <w:left w:val="nil"/>
              <w:bottom w:val="nil"/>
              <w:right w:val="nil"/>
            </w:tcBorders>
            <w:shd w:val="clear" w:color="auto" w:fill="auto"/>
            <w:noWrap/>
            <w:hideMark/>
          </w:tcPr>
          <w:p w14:paraId="566F4D59" w14:textId="77777777" w:rsidR="00EE6446" w:rsidRPr="00641A01" w:rsidRDefault="00EE6446" w:rsidP="00641A01">
            <w:pPr>
              <w:tabs>
                <w:tab w:val="decimal" w:pos="943"/>
              </w:tabs>
              <w:spacing w:line="360" w:lineRule="auto"/>
              <w:rPr>
                <w:color w:val="000000"/>
              </w:rPr>
            </w:pPr>
            <w:r w:rsidRPr="00641A01">
              <w:rPr>
                <w:color w:val="000000"/>
              </w:rPr>
              <w:t>3.48</w:t>
            </w:r>
          </w:p>
        </w:tc>
        <w:tc>
          <w:tcPr>
            <w:tcW w:w="2233" w:type="dxa"/>
            <w:tcBorders>
              <w:top w:val="nil"/>
              <w:left w:val="nil"/>
              <w:bottom w:val="nil"/>
              <w:right w:val="nil"/>
            </w:tcBorders>
            <w:shd w:val="clear" w:color="auto" w:fill="auto"/>
            <w:noWrap/>
            <w:hideMark/>
          </w:tcPr>
          <w:p w14:paraId="06F7273A" w14:textId="77777777" w:rsidR="00EE6446" w:rsidRPr="00641A01" w:rsidRDefault="00EE6446" w:rsidP="00641A01">
            <w:pPr>
              <w:tabs>
                <w:tab w:val="decimal" w:pos="943"/>
              </w:tabs>
              <w:spacing w:line="360" w:lineRule="auto"/>
              <w:rPr>
                <w:color w:val="000000"/>
              </w:rPr>
            </w:pPr>
            <w:r w:rsidRPr="00641A01">
              <w:rPr>
                <w:color w:val="000000"/>
              </w:rPr>
              <w:t>27.78</w:t>
            </w:r>
          </w:p>
        </w:tc>
      </w:tr>
      <w:tr w:rsidR="005B434B" w:rsidRPr="00641A01" w14:paraId="3F00E7B9" w14:textId="77777777" w:rsidTr="00A637D6">
        <w:tc>
          <w:tcPr>
            <w:tcW w:w="3258" w:type="dxa"/>
            <w:tcBorders>
              <w:top w:val="nil"/>
              <w:left w:val="nil"/>
              <w:bottom w:val="nil"/>
              <w:right w:val="nil"/>
            </w:tcBorders>
            <w:shd w:val="clear" w:color="auto" w:fill="auto"/>
            <w:noWrap/>
            <w:hideMark/>
          </w:tcPr>
          <w:p w14:paraId="27F69B44" w14:textId="77777777" w:rsidR="00EE6446" w:rsidRPr="00641A01" w:rsidRDefault="00EE6446" w:rsidP="00641A01">
            <w:pPr>
              <w:spacing w:line="360" w:lineRule="auto"/>
              <w:jc w:val="center"/>
              <w:rPr>
                <w:color w:val="000000"/>
              </w:rPr>
            </w:pPr>
            <w:r w:rsidRPr="00641A01">
              <w:rPr>
                <w:color w:val="000000"/>
              </w:rPr>
              <w:t>Tanzania</w:t>
            </w:r>
          </w:p>
        </w:tc>
        <w:tc>
          <w:tcPr>
            <w:tcW w:w="1011" w:type="dxa"/>
            <w:tcBorders>
              <w:top w:val="nil"/>
              <w:left w:val="nil"/>
              <w:bottom w:val="nil"/>
              <w:right w:val="nil"/>
            </w:tcBorders>
            <w:shd w:val="clear" w:color="auto" w:fill="auto"/>
            <w:noWrap/>
            <w:hideMark/>
          </w:tcPr>
          <w:p w14:paraId="3AAF4430" w14:textId="77777777" w:rsidR="00EE6446" w:rsidRPr="00641A01" w:rsidRDefault="00EE6446" w:rsidP="00641A01">
            <w:pPr>
              <w:spacing w:line="360" w:lineRule="auto"/>
              <w:jc w:val="center"/>
              <w:rPr>
                <w:color w:val="000000"/>
              </w:rPr>
            </w:pPr>
            <w:r w:rsidRPr="00641A01">
              <w:rPr>
                <w:color w:val="000000"/>
              </w:rPr>
              <w:t>TZA</w:t>
            </w:r>
          </w:p>
        </w:tc>
        <w:tc>
          <w:tcPr>
            <w:tcW w:w="1011" w:type="dxa"/>
            <w:tcBorders>
              <w:top w:val="nil"/>
              <w:left w:val="nil"/>
              <w:bottom w:val="nil"/>
              <w:right w:val="nil"/>
            </w:tcBorders>
            <w:shd w:val="clear" w:color="auto" w:fill="auto"/>
            <w:noWrap/>
            <w:hideMark/>
          </w:tcPr>
          <w:p w14:paraId="70D7C00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FEE972D"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F2A498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4539204" w14:textId="77777777" w:rsidR="00EE6446" w:rsidRPr="00641A01" w:rsidRDefault="00EE6446" w:rsidP="00641A01">
            <w:pPr>
              <w:spacing w:line="360" w:lineRule="auto"/>
              <w:jc w:val="center"/>
              <w:rPr>
                <w:color w:val="000000"/>
              </w:rPr>
            </w:pPr>
            <w:r w:rsidRPr="00641A01">
              <w:rPr>
                <w:color w:val="000000"/>
              </w:rPr>
              <w:t>14</w:t>
            </w:r>
          </w:p>
        </w:tc>
        <w:tc>
          <w:tcPr>
            <w:tcW w:w="2233" w:type="dxa"/>
            <w:tcBorders>
              <w:top w:val="nil"/>
              <w:left w:val="nil"/>
              <w:bottom w:val="nil"/>
              <w:right w:val="nil"/>
            </w:tcBorders>
            <w:shd w:val="clear" w:color="auto" w:fill="auto"/>
            <w:noWrap/>
            <w:hideMark/>
          </w:tcPr>
          <w:p w14:paraId="0515725B" w14:textId="77777777" w:rsidR="00EE6446" w:rsidRPr="00641A01" w:rsidRDefault="00EE6446" w:rsidP="00641A01">
            <w:pPr>
              <w:tabs>
                <w:tab w:val="decimal" w:pos="943"/>
              </w:tabs>
              <w:spacing w:line="360" w:lineRule="auto"/>
              <w:rPr>
                <w:color w:val="000000"/>
              </w:rPr>
            </w:pPr>
            <w:r w:rsidRPr="00641A01">
              <w:rPr>
                <w:color w:val="000000"/>
              </w:rPr>
              <w:t>5.80</w:t>
            </w:r>
          </w:p>
        </w:tc>
        <w:tc>
          <w:tcPr>
            <w:tcW w:w="2233" w:type="dxa"/>
            <w:tcBorders>
              <w:top w:val="nil"/>
              <w:left w:val="nil"/>
              <w:bottom w:val="nil"/>
              <w:right w:val="nil"/>
            </w:tcBorders>
            <w:shd w:val="clear" w:color="auto" w:fill="auto"/>
            <w:noWrap/>
            <w:hideMark/>
          </w:tcPr>
          <w:p w14:paraId="22D0CACD" w14:textId="77777777" w:rsidR="00EE6446" w:rsidRPr="00641A01" w:rsidRDefault="00EE6446" w:rsidP="00641A01">
            <w:pPr>
              <w:tabs>
                <w:tab w:val="decimal" w:pos="943"/>
              </w:tabs>
              <w:spacing w:line="360" w:lineRule="auto"/>
              <w:rPr>
                <w:color w:val="000000"/>
              </w:rPr>
            </w:pPr>
            <w:r w:rsidRPr="00641A01">
              <w:rPr>
                <w:color w:val="000000"/>
              </w:rPr>
              <w:t>48.16</w:t>
            </w:r>
          </w:p>
        </w:tc>
      </w:tr>
      <w:tr w:rsidR="005B434B" w:rsidRPr="00641A01" w14:paraId="05D6FB5F" w14:textId="77777777" w:rsidTr="00A637D6">
        <w:tc>
          <w:tcPr>
            <w:tcW w:w="3258" w:type="dxa"/>
            <w:tcBorders>
              <w:top w:val="nil"/>
              <w:left w:val="nil"/>
              <w:bottom w:val="nil"/>
              <w:right w:val="nil"/>
            </w:tcBorders>
            <w:shd w:val="clear" w:color="auto" w:fill="auto"/>
            <w:noWrap/>
            <w:hideMark/>
          </w:tcPr>
          <w:p w14:paraId="20C68877" w14:textId="77777777" w:rsidR="00EE6446" w:rsidRPr="00641A01" w:rsidRDefault="00EE6446" w:rsidP="00641A01">
            <w:pPr>
              <w:spacing w:line="360" w:lineRule="auto"/>
              <w:jc w:val="center"/>
              <w:rPr>
                <w:color w:val="000000"/>
              </w:rPr>
            </w:pPr>
            <w:r w:rsidRPr="00641A01">
              <w:rPr>
                <w:color w:val="000000"/>
              </w:rPr>
              <w:t>Uganda</w:t>
            </w:r>
          </w:p>
        </w:tc>
        <w:tc>
          <w:tcPr>
            <w:tcW w:w="1011" w:type="dxa"/>
            <w:tcBorders>
              <w:top w:val="nil"/>
              <w:left w:val="nil"/>
              <w:bottom w:val="nil"/>
              <w:right w:val="nil"/>
            </w:tcBorders>
            <w:shd w:val="clear" w:color="auto" w:fill="auto"/>
            <w:noWrap/>
            <w:hideMark/>
          </w:tcPr>
          <w:p w14:paraId="7B6DF20D" w14:textId="77777777" w:rsidR="00EE6446" w:rsidRPr="00641A01" w:rsidRDefault="00EE6446" w:rsidP="00641A01">
            <w:pPr>
              <w:spacing w:line="360" w:lineRule="auto"/>
              <w:jc w:val="center"/>
              <w:rPr>
                <w:color w:val="000000"/>
              </w:rPr>
            </w:pPr>
            <w:r w:rsidRPr="00641A01">
              <w:rPr>
                <w:color w:val="000000"/>
              </w:rPr>
              <w:t>UGA</w:t>
            </w:r>
          </w:p>
        </w:tc>
        <w:tc>
          <w:tcPr>
            <w:tcW w:w="1011" w:type="dxa"/>
            <w:tcBorders>
              <w:top w:val="nil"/>
              <w:left w:val="nil"/>
              <w:bottom w:val="nil"/>
              <w:right w:val="nil"/>
            </w:tcBorders>
            <w:shd w:val="clear" w:color="auto" w:fill="auto"/>
            <w:noWrap/>
            <w:hideMark/>
          </w:tcPr>
          <w:p w14:paraId="43EBDF1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ADA9E0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FECFAC9"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15DCA1D"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61F6CE4" w14:textId="77777777" w:rsidR="00EE6446" w:rsidRPr="00641A01" w:rsidRDefault="00EE6446" w:rsidP="00641A01">
            <w:pPr>
              <w:tabs>
                <w:tab w:val="decimal" w:pos="943"/>
              </w:tabs>
              <w:spacing w:line="360" w:lineRule="auto"/>
              <w:rPr>
                <w:color w:val="000000"/>
              </w:rPr>
            </w:pPr>
            <w:r w:rsidRPr="00641A01">
              <w:rPr>
                <w:color w:val="000000"/>
              </w:rPr>
              <w:t>2.56</w:t>
            </w:r>
          </w:p>
        </w:tc>
        <w:tc>
          <w:tcPr>
            <w:tcW w:w="2233" w:type="dxa"/>
            <w:tcBorders>
              <w:top w:val="nil"/>
              <w:left w:val="nil"/>
              <w:bottom w:val="nil"/>
              <w:right w:val="nil"/>
            </w:tcBorders>
            <w:shd w:val="clear" w:color="auto" w:fill="auto"/>
            <w:noWrap/>
            <w:hideMark/>
          </w:tcPr>
          <w:p w14:paraId="7EA11CB3" w14:textId="77777777" w:rsidR="00EE6446" w:rsidRPr="00641A01" w:rsidRDefault="00EE6446" w:rsidP="00641A01">
            <w:pPr>
              <w:tabs>
                <w:tab w:val="decimal" w:pos="943"/>
              </w:tabs>
              <w:spacing w:line="360" w:lineRule="auto"/>
              <w:rPr>
                <w:color w:val="000000"/>
              </w:rPr>
            </w:pPr>
            <w:r w:rsidRPr="00641A01">
              <w:rPr>
                <w:color w:val="000000"/>
              </w:rPr>
              <w:t>30.54</w:t>
            </w:r>
          </w:p>
        </w:tc>
      </w:tr>
      <w:tr w:rsidR="005B434B" w:rsidRPr="00641A01" w14:paraId="6060F54F" w14:textId="77777777" w:rsidTr="00A637D6">
        <w:tc>
          <w:tcPr>
            <w:tcW w:w="3258" w:type="dxa"/>
            <w:tcBorders>
              <w:top w:val="nil"/>
              <w:left w:val="nil"/>
              <w:bottom w:val="nil"/>
              <w:right w:val="nil"/>
            </w:tcBorders>
            <w:shd w:val="clear" w:color="auto" w:fill="auto"/>
            <w:noWrap/>
            <w:hideMark/>
          </w:tcPr>
          <w:p w14:paraId="237614CD" w14:textId="77777777" w:rsidR="00EE6446" w:rsidRPr="00641A01" w:rsidRDefault="00EE6446" w:rsidP="00641A01">
            <w:pPr>
              <w:spacing w:line="360" w:lineRule="auto"/>
              <w:jc w:val="center"/>
              <w:rPr>
                <w:color w:val="000000"/>
              </w:rPr>
            </w:pPr>
            <w:r w:rsidRPr="00641A01">
              <w:rPr>
                <w:color w:val="000000"/>
              </w:rPr>
              <w:t>Ukraine</w:t>
            </w:r>
          </w:p>
        </w:tc>
        <w:tc>
          <w:tcPr>
            <w:tcW w:w="1011" w:type="dxa"/>
            <w:tcBorders>
              <w:top w:val="nil"/>
              <w:left w:val="nil"/>
              <w:bottom w:val="nil"/>
              <w:right w:val="nil"/>
            </w:tcBorders>
            <w:shd w:val="clear" w:color="auto" w:fill="auto"/>
            <w:noWrap/>
            <w:hideMark/>
          </w:tcPr>
          <w:p w14:paraId="0408B32D" w14:textId="77777777" w:rsidR="00EE6446" w:rsidRPr="00641A01" w:rsidRDefault="00EE6446" w:rsidP="00641A01">
            <w:pPr>
              <w:spacing w:line="360" w:lineRule="auto"/>
              <w:jc w:val="center"/>
              <w:rPr>
                <w:color w:val="000000"/>
              </w:rPr>
            </w:pPr>
            <w:r w:rsidRPr="00641A01">
              <w:rPr>
                <w:color w:val="000000"/>
              </w:rPr>
              <w:t>UKR</w:t>
            </w:r>
          </w:p>
        </w:tc>
        <w:tc>
          <w:tcPr>
            <w:tcW w:w="1011" w:type="dxa"/>
            <w:tcBorders>
              <w:top w:val="nil"/>
              <w:left w:val="nil"/>
              <w:bottom w:val="nil"/>
              <w:right w:val="nil"/>
            </w:tcBorders>
            <w:shd w:val="clear" w:color="auto" w:fill="auto"/>
            <w:noWrap/>
            <w:hideMark/>
          </w:tcPr>
          <w:p w14:paraId="5CCE696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5ADE2F6"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2AE8FC1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71AE607" w14:textId="77777777" w:rsidR="00EE6446" w:rsidRPr="00641A01" w:rsidRDefault="00EE6446" w:rsidP="00641A01">
            <w:pPr>
              <w:spacing w:line="360" w:lineRule="auto"/>
              <w:jc w:val="center"/>
              <w:rPr>
                <w:color w:val="000000"/>
              </w:rPr>
            </w:pPr>
            <w:r w:rsidRPr="00641A01">
              <w:rPr>
                <w:color w:val="000000"/>
              </w:rPr>
              <w:t>13</w:t>
            </w:r>
          </w:p>
        </w:tc>
        <w:tc>
          <w:tcPr>
            <w:tcW w:w="2233" w:type="dxa"/>
            <w:tcBorders>
              <w:top w:val="nil"/>
              <w:left w:val="nil"/>
              <w:bottom w:val="nil"/>
              <w:right w:val="nil"/>
            </w:tcBorders>
            <w:shd w:val="clear" w:color="auto" w:fill="auto"/>
            <w:noWrap/>
            <w:hideMark/>
          </w:tcPr>
          <w:p w14:paraId="6DF769D1" w14:textId="77777777" w:rsidR="00EE6446" w:rsidRPr="00641A01" w:rsidRDefault="00EE6446" w:rsidP="00641A01">
            <w:pPr>
              <w:tabs>
                <w:tab w:val="decimal" w:pos="943"/>
              </w:tabs>
              <w:spacing w:line="360" w:lineRule="auto"/>
              <w:rPr>
                <w:color w:val="000000"/>
              </w:rPr>
            </w:pPr>
            <w:r w:rsidRPr="00641A01">
              <w:rPr>
                <w:color w:val="000000"/>
              </w:rPr>
              <w:t>4.18</w:t>
            </w:r>
          </w:p>
        </w:tc>
        <w:tc>
          <w:tcPr>
            <w:tcW w:w="2233" w:type="dxa"/>
            <w:tcBorders>
              <w:top w:val="nil"/>
              <w:left w:val="nil"/>
              <w:bottom w:val="nil"/>
              <w:right w:val="nil"/>
            </w:tcBorders>
            <w:shd w:val="clear" w:color="auto" w:fill="auto"/>
            <w:noWrap/>
            <w:hideMark/>
          </w:tcPr>
          <w:p w14:paraId="47A35782" w14:textId="77777777" w:rsidR="00EE6446" w:rsidRPr="00641A01" w:rsidRDefault="00EE6446" w:rsidP="00641A01">
            <w:pPr>
              <w:tabs>
                <w:tab w:val="decimal" w:pos="943"/>
              </w:tabs>
              <w:spacing w:line="360" w:lineRule="auto"/>
              <w:rPr>
                <w:color w:val="000000"/>
              </w:rPr>
            </w:pPr>
            <w:r w:rsidRPr="00641A01">
              <w:rPr>
                <w:color w:val="000000"/>
              </w:rPr>
              <w:t>63.17</w:t>
            </w:r>
          </w:p>
        </w:tc>
      </w:tr>
      <w:tr w:rsidR="005B434B" w:rsidRPr="00641A01" w14:paraId="1334E18A" w14:textId="77777777" w:rsidTr="00A637D6">
        <w:tc>
          <w:tcPr>
            <w:tcW w:w="3258" w:type="dxa"/>
            <w:tcBorders>
              <w:top w:val="nil"/>
              <w:left w:val="nil"/>
              <w:bottom w:val="nil"/>
              <w:right w:val="nil"/>
            </w:tcBorders>
            <w:shd w:val="clear" w:color="auto" w:fill="auto"/>
            <w:noWrap/>
            <w:hideMark/>
          </w:tcPr>
          <w:p w14:paraId="02AFC4CD" w14:textId="77777777" w:rsidR="00EE6446" w:rsidRPr="00641A01" w:rsidRDefault="00EE6446" w:rsidP="00641A01">
            <w:pPr>
              <w:spacing w:line="360" w:lineRule="auto"/>
              <w:jc w:val="center"/>
              <w:rPr>
                <w:color w:val="000000"/>
              </w:rPr>
            </w:pPr>
            <w:r w:rsidRPr="00641A01">
              <w:rPr>
                <w:color w:val="000000"/>
              </w:rPr>
              <w:t>Uruguay</w:t>
            </w:r>
          </w:p>
        </w:tc>
        <w:tc>
          <w:tcPr>
            <w:tcW w:w="1011" w:type="dxa"/>
            <w:tcBorders>
              <w:top w:val="nil"/>
              <w:left w:val="nil"/>
              <w:bottom w:val="nil"/>
              <w:right w:val="nil"/>
            </w:tcBorders>
            <w:shd w:val="clear" w:color="auto" w:fill="auto"/>
            <w:noWrap/>
            <w:hideMark/>
          </w:tcPr>
          <w:p w14:paraId="2C1D8B92" w14:textId="77777777" w:rsidR="00EE6446" w:rsidRPr="00641A01" w:rsidRDefault="00EE6446" w:rsidP="00641A01">
            <w:pPr>
              <w:spacing w:line="360" w:lineRule="auto"/>
              <w:jc w:val="center"/>
              <w:rPr>
                <w:color w:val="000000"/>
              </w:rPr>
            </w:pPr>
            <w:r w:rsidRPr="00641A01">
              <w:rPr>
                <w:color w:val="000000"/>
              </w:rPr>
              <w:t>URY</w:t>
            </w:r>
          </w:p>
        </w:tc>
        <w:tc>
          <w:tcPr>
            <w:tcW w:w="1011" w:type="dxa"/>
            <w:tcBorders>
              <w:top w:val="nil"/>
              <w:left w:val="nil"/>
              <w:bottom w:val="nil"/>
              <w:right w:val="nil"/>
            </w:tcBorders>
            <w:shd w:val="clear" w:color="auto" w:fill="auto"/>
            <w:noWrap/>
            <w:hideMark/>
          </w:tcPr>
          <w:p w14:paraId="0480222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2AA1E6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35D747E"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34AD128" w14:textId="77777777" w:rsidR="00EE6446" w:rsidRPr="00641A01" w:rsidRDefault="00EE6446" w:rsidP="00641A01">
            <w:pPr>
              <w:spacing w:line="360" w:lineRule="auto"/>
              <w:jc w:val="center"/>
              <w:rPr>
                <w:color w:val="000000"/>
              </w:rPr>
            </w:pPr>
            <w:r w:rsidRPr="00641A01">
              <w:rPr>
                <w:color w:val="000000"/>
              </w:rPr>
              <w:t>17</w:t>
            </w:r>
          </w:p>
        </w:tc>
        <w:tc>
          <w:tcPr>
            <w:tcW w:w="2233" w:type="dxa"/>
            <w:tcBorders>
              <w:top w:val="nil"/>
              <w:left w:val="nil"/>
              <w:bottom w:val="nil"/>
              <w:right w:val="nil"/>
            </w:tcBorders>
            <w:shd w:val="clear" w:color="auto" w:fill="auto"/>
            <w:noWrap/>
            <w:hideMark/>
          </w:tcPr>
          <w:p w14:paraId="684694AA" w14:textId="77777777" w:rsidR="00EE6446" w:rsidRPr="00641A01" w:rsidRDefault="00EE6446" w:rsidP="00641A01">
            <w:pPr>
              <w:tabs>
                <w:tab w:val="decimal" w:pos="943"/>
              </w:tabs>
              <w:spacing w:line="360" w:lineRule="auto"/>
              <w:rPr>
                <w:color w:val="000000"/>
              </w:rPr>
            </w:pPr>
            <w:r w:rsidRPr="00641A01">
              <w:rPr>
                <w:color w:val="000000"/>
              </w:rPr>
              <w:t>10.71</w:t>
            </w:r>
          </w:p>
        </w:tc>
        <w:tc>
          <w:tcPr>
            <w:tcW w:w="2233" w:type="dxa"/>
            <w:tcBorders>
              <w:top w:val="nil"/>
              <w:left w:val="nil"/>
              <w:bottom w:val="nil"/>
              <w:right w:val="nil"/>
            </w:tcBorders>
            <w:shd w:val="clear" w:color="auto" w:fill="auto"/>
            <w:noWrap/>
            <w:hideMark/>
          </w:tcPr>
          <w:p w14:paraId="76C2333F" w14:textId="77777777" w:rsidR="00EE6446" w:rsidRPr="00641A01" w:rsidRDefault="00EE6446" w:rsidP="00641A01">
            <w:pPr>
              <w:tabs>
                <w:tab w:val="decimal" w:pos="943"/>
              </w:tabs>
              <w:spacing w:line="360" w:lineRule="auto"/>
              <w:rPr>
                <w:color w:val="000000"/>
              </w:rPr>
            </w:pPr>
            <w:r w:rsidRPr="00641A01">
              <w:rPr>
                <w:color w:val="000000"/>
              </w:rPr>
              <w:t>96.72</w:t>
            </w:r>
          </w:p>
        </w:tc>
      </w:tr>
      <w:tr w:rsidR="005B434B" w:rsidRPr="00641A01" w14:paraId="58FA00B6" w14:textId="77777777" w:rsidTr="00A637D6">
        <w:tc>
          <w:tcPr>
            <w:tcW w:w="3258" w:type="dxa"/>
            <w:tcBorders>
              <w:top w:val="nil"/>
              <w:left w:val="nil"/>
              <w:bottom w:val="nil"/>
              <w:right w:val="nil"/>
            </w:tcBorders>
            <w:shd w:val="clear" w:color="auto" w:fill="auto"/>
            <w:noWrap/>
            <w:hideMark/>
          </w:tcPr>
          <w:p w14:paraId="6EBD231A" w14:textId="77777777" w:rsidR="00EE6446" w:rsidRPr="00641A01" w:rsidRDefault="00EE6446" w:rsidP="00641A01">
            <w:pPr>
              <w:spacing w:line="360" w:lineRule="auto"/>
              <w:jc w:val="center"/>
              <w:rPr>
                <w:color w:val="000000"/>
              </w:rPr>
            </w:pPr>
            <w:r w:rsidRPr="00641A01">
              <w:rPr>
                <w:color w:val="000000"/>
              </w:rPr>
              <w:t>United States of America</w:t>
            </w:r>
          </w:p>
        </w:tc>
        <w:tc>
          <w:tcPr>
            <w:tcW w:w="1011" w:type="dxa"/>
            <w:tcBorders>
              <w:top w:val="nil"/>
              <w:left w:val="nil"/>
              <w:bottom w:val="nil"/>
              <w:right w:val="nil"/>
            </w:tcBorders>
            <w:shd w:val="clear" w:color="auto" w:fill="auto"/>
            <w:noWrap/>
            <w:hideMark/>
          </w:tcPr>
          <w:p w14:paraId="68F89095" w14:textId="77777777" w:rsidR="00EE6446" w:rsidRPr="00641A01" w:rsidRDefault="00EE6446" w:rsidP="00641A01">
            <w:pPr>
              <w:spacing w:line="360" w:lineRule="auto"/>
              <w:jc w:val="center"/>
              <w:rPr>
                <w:color w:val="000000"/>
              </w:rPr>
            </w:pPr>
            <w:r w:rsidRPr="00641A01">
              <w:rPr>
                <w:color w:val="000000"/>
              </w:rPr>
              <w:t>USA</w:t>
            </w:r>
          </w:p>
        </w:tc>
        <w:tc>
          <w:tcPr>
            <w:tcW w:w="1011" w:type="dxa"/>
            <w:tcBorders>
              <w:top w:val="nil"/>
              <w:left w:val="nil"/>
              <w:bottom w:val="nil"/>
              <w:right w:val="nil"/>
            </w:tcBorders>
            <w:shd w:val="clear" w:color="auto" w:fill="auto"/>
            <w:noWrap/>
            <w:hideMark/>
          </w:tcPr>
          <w:p w14:paraId="22CF92F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1045408F"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4BCA5DF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2D842A38" w14:textId="77777777" w:rsidR="00EE6446" w:rsidRPr="00641A01" w:rsidRDefault="00EE6446" w:rsidP="00641A01">
            <w:pPr>
              <w:spacing w:line="360" w:lineRule="auto"/>
              <w:jc w:val="center"/>
              <w:rPr>
                <w:color w:val="000000"/>
              </w:rPr>
            </w:pPr>
            <w:r w:rsidRPr="00641A01">
              <w:rPr>
                <w:color w:val="000000"/>
              </w:rPr>
              <w:t>11</w:t>
            </w:r>
          </w:p>
        </w:tc>
        <w:tc>
          <w:tcPr>
            <w:tcW w:w="2233" w:type="dxa"/>
            <w:tcBorders>
              <w:top w:val="nil"/>
              <w:left w:val="nil"/>
              <w:bottom w:val="nil"/>
              <w:right w:val="nil"/>
            </w:tcBorders>
            <w:shd w:val="clear" w:color="auto" w:fill="auto"/>
            <w:noWrap/>
            <w:hideMark/>
          </w:tcPr>
          <w:p w14:paraId="42547D7C" w14:textId="77777777" w:rsidR="00EE6446" w:rsidRPr="00641A01" w:rsidRDefault="00EE6446" w:rsidP="00641A01">
            <w:pPr>
              <w:tabs>
                <w:tab w:val="decimal" w:pos="943"/>
              </w:tabs>
              <w:spacing w:line="360" w:lineRule="auto"/>
              <w:rPr>
                <w:color w:val="000000"/>
              </w:rPr>
            </w:pPr>
            <w:r w:rsidRPr="00641A01">
              <w:rPr>
                <w:color w:val="000000"/>
              </w:rPr>
              <w:t>9.03</w:t>
            </w:r>
          </w:p>
        </w:tc>
        <w:tc>
          <w:tcPr>
            <w:tcW w:w="2233" w:type="dxa"/>
            <w:tcBorders>
              <w:top w:val="nil"/>
              <w:left w:val="nil"/>
              <w:bottom w:val="nil"/>
              <w:right w:val="nil"/>
            </w:tcBorders>
            <w:shd w:val="clear" w:color="auto" w:fill="auto"/>
            <w:noWrap/>
            <w:hideMark/>
          </w:tcPr>
          <w:p w14:paraId="3E5EE167" w14:textId="77777777" w:rsidR="00EE6446" w:rsidRPr="00641A01" w:rsidRDefault="00EE6446" w:rsidP="00641A01">
            <w:pPr>
              <w:tabs>
                <w:tab w:val="decimal" w:pos="943"/>
              </w:tabs>
              <w:spacing w:line="360" w:lineRule="auto"/>
              <w:rPr>
                <w:color w:val="000000"/>
              </w:rPr>
            </w:pPr>
            <w:r w:rsidRPr="00641A01">
              <w:rPr>
                <w:color w:val="000000"/>
              </w:rPr>
              <w:t>102.86</w:t>
            </w:r>
          </w:p>
        </w:tc>
      </w:tr>
      <w:tr w:rsidR="005B434B" w:rsidRPr="00641A01" w14:paraId="4CFDE19D" w14:textId="77777777" w:rsidTr="00A637D6">
        <w:tc>
          <w:tcPr>
            <w:tcW w:w="3258" w:type="dxa"/>
            <w:tcBorders>
              <w:top w:val="nil"/>
              <w:left w:val="nil"/>
              <w:bottom w:val="nil"/>
              <w:right w:val="nil"/>
            </w:tcBorders>
            <w:shd w:val="clear" w:color="auto" w:fill="auto"/>
            <w:noWrap/>
            <w:hideMark/>
          </w:tcPr>
          <w:p w14:paraId="09FA2D39" w14:textId="77777777" w:rsidR="00EE6446" w:rsidRPr="00641A01" w:rsidRDefault="00EE6446" w:rsidP="00641A01">
            <w:pPr>
              <w:spacing w:line="360" w:lineRule="auto"/>
              <w:jc w:val="center"/>
              <w:rPr>
                <w:color w:val="000000"/>
              </w:rPr>
            </w:pPr>
            <w:r w:rsidRPr="00641A01">
              <w:rPr>
                <w:color w:val="000000"/>
              </w:rPr>
              <w:t>Uzbekistan</w:t>
            </w:r>
          </w:p>
        </w:tc>
        <w:tc>
          <w:tcPr>
            <w:tcW w:w="1011" w:type="dxa"/>
            <w:tcBorders>
              <w:top w:val="nil"/>
              <w:left w:val="nil"/>
              <w:bottom w:val="nil"/>
              <w:right w:val="nil"/>
            </w:tcBorders>
            <w:shd w:val="clear" w:color="auto" w:fill="auto"/>
            <w:noWrap/>
            <w:hideMark/>
          </w:tcPr>
          <w:p w14:paraId="5DA594C9" w14:textId="77777777" w:rsidR="00EE6446" w:rsidRPr="00641A01" w:rsidRDefault="00EE6446" w:rsidP="00641A01">
            <w:pPr>
              <w:spacing w:line="360" w:lineRule="auto"/>
              <w:jc w:val="center"/>
              <w:rPr>
                <w:color w:val="000000"/>
              </w:rPr>
            </w:pPr>
            <w:r w:rsidRPr="00641A01">
              <w:rPr>
                <w:color w:val="000000"/>
              </w:rPr>
              <w:t>UZB</w:t>
            </w:r>
          </w:p>
        </w:tc>
        <w:tc>
          <w:tcPr>
            <w:tcW w:w="1011" w:type="dxa"/>
            <w:tcBorders>
              <w:top w:val="nil"/>
              <w:left w:val="nil"/>
              <w:bottom w:val="nil"/>
              <w:right w:val="nil"/>
            </w:tcBorders>
            <w:shd w:val="clear" w:color="auto" w:fill="auto"/>
            <w:noWrap/>
            <w:hideMark/>
          </w:tcPr>
          <w:p w14:paraId="3449BBE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BB9B74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EB8E10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59DB943"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4ED91296" w14:textId="77777777" w:rsidR="00EE6446" w:rsidRPr="00641A01" w:rsidRDefault="00EE6446" w:rsidP="00641A01">
            <w:pPr>
              <w:tabs>
                <w:tab w:val="decimal" w:pos="943"/>
              </w:tabs>
              <w:spacing w:line="360" w:lineRule="auto"/>
              <w:rPr>
                <w:color w:val="000000"/>
              </w:rPr>
            </w:pPr>
            <w:r w:rsidRPr="00641A01">
              <w:rPr>
                <w:color w:val="000000"/>
              </w:rPr>
              <w:t>1.50</w:t>
            </w:r>
          </w:p>
        </w:tc>
        <w:tc>
          <w:tcPr>
            <w:tcW w:w="2233" w:type="dxa"/>
            <w:tcBorders>
              <w:top w:val="nil"/>
              <w:left w:val="nil"/>
              <w:bottom w:val="nil"/>
              <w:right w:val="nil"/>
            </w:tcBorders>
            <w:shd w:val="clear" w:color="auto" w:fill="auto"/>
            <w:noWrap/>
            <w:hideMark/>
          </w:tcPr>
          <w:p w14:paraId="78AAD6C3" w14:textId="77777777" w:rsidR="00EE6446" w:rsidRPr="00641A01" w:rsidRDefault="00EE6446" w:rsidP="00641A01">
            <w:pPr>
              <w:tabs>
                <w:tab w:val="decimal" w:pos="943"/>
              </w:tabs>
              <w:spacing w:line="360" w:lineRule="auto"/>
              <w:rPr>
                <w:color w:val="000000"/>
              </w:rPr>
            </w:pPr>
            <w:r w:rsidRPr="00641A01">
              <w:rPr>
                <w:color w:val="000000"/>
              </w:rPr>
              <w:t>16.99</w:t>
            </w:r>
          </w:p>
        </w:tc>
      </w:tr>
      <w:tr w:rsidR="005B434B" w:rsidRPr="00641A01" w14:paraId="7258D2D2" w14:textId="77777777" w:rsidTr="00A637D6">
        <w:tc>
          <w:tcPr>
            <w:tcW w:w="3258" w:type="dxa"/>
            <w:tcBorders>
              <w:top w:val="nil"/>
              <w:left w:val="nil"/>
              <w:bottom w:val="nil"/>
              <w:right w:val="nil"/>
            </w:tcBorders>
            <w:shd w:val="clear" w:color="auto" w:fill="auto"/>
            <w:noWrap/>
            <w:hideMark/>
          </w:tcPr>
          <w:p w14:paraId="42C517BB" w14:textId="77777777" w:rsidR="00EE6446" w:rsidRPr="00641A01" w:rsidRDefault="00EE6446" w:rsidP="00641A01">
            <w:pPr>
              <w:spacing w:line="360" w:lineRule="auto"/>
              <w:jc w:val="center"/>
              <w:rPr>
                <w:color w:val="000000"/>
              </w:rPr>
            </w:pPr>
            <w:r w:rsidRPr="00641A01">
              <w:rPr>
                <w:color w:val="000000"/>
              </w:rPr>
              <w:t>Saint Vincent and the Grenadines</w:t>
            </w:r>
          </w:p>
        </w:tc>
        <w:tc>
          <w:tcPr>
            <w:tcW w:w="1011" w:type="dxa"/>
            <w:tcBorders>
              <w:top w:val="nil"/>
              <w:left w:val="nil"/>
              <w:bottom w:val="nil"/>
              <w:right w:val="nil"/>
            </w:tcBorders>
            <w:shd w:val="clear" w:color="auto" w:fill="auto"/>
            <w:noWrap/>
            <w:hideMark/>
          </w:tcPr>
          <w:p w14:paraId="1E2C36A7" w14:textId="77777777" w:rsidR="00EE6446" w:rsidRPr="00641A01" w:rsidRDefault="00EE6446" w:rsidP="00641A01">
            <w:pPr>
              <w:spacing w:line="360" w:lineRule="auto"/>
              <w:jc w:val="center"/>
              <w:rPr>
                <w:color w:val="000000"/>
              </w:rPr>
            </w:pPr>
            <w:r w:rsidRPr="00641A01">
              <w:rPr>
                <w:color w:val="000000"/>
              </w:rPr>
              <w:t>VCT</w:t>
            </w:r>
          </w:p>
        </w:tc>
        <w:tc>
          <w:tcPr>
            <w:tcW w:w="1011" w:type="dxa"/>
            <w:tcBorders>
              <w:top w:val="nil"/>
              <w:left w:val="nil"/>
              <w:bottom w:val="nil"/>
              <w:right w:val="nil"/>
            </w:tcBorders>
            <w:shd w:val="clear" w:color="auto" w:fill="auto"/>
            <w:noWrap/>
            <w:hideMark/>
          </w:tcPr>
          <w:p w14:paraId="213976B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8C2059"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7EC1D650"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D47AF0D" w14:textId="77777777" w:rsidR="00EE6446" w:rsidRPr="00641A01" w:rsidRDefault="00EE6446" w:rsidP="00641A01">
            <w:pPr>
              <w:spacing w:line="360" w:lineRule="auto"/>
              <w:jc w:val="center"/>
              <w:rPr>
                <w:color w:val="000000"/>
              </w:rPr>
            </w:pPr>
            <w:r w:rsidRPr="00641A01">
              <w:rPr>
                <w:color w:val="000000"/>
              </w:rPr>
              <w:t>3</w:t>
            </w:r>
          </w:p>
        </w:tc>
        <w:tc>
          <w:tcPr>
            <w:tcW w:w="2233" w:type="dxa"/>
            <w:tcBorders>
              <w:top w:val="nil"/>
              <w:left w:val="nil"/>
              <w:bottom w:val="nil"/>
              <w:right w:val="nil"/>
            </w:tcBorders>
            <w:shd w:val="clear" w:color="auto" w:fill="auto"/>
            <w:noWrap/>
            <w:hideMark/>
          </w:tcPr>
          <w:p w14:paraId="72136674" w14:textId="77777777" w:rsidR="00EE6446" w:rsidRPr="00641A01" w:rsidRDefault="00EE6446" w:rsidP="00641A01">
            <w:pPr>
              <w:tabs>
                <w:tab w:val="decimal" w:pos="943"/>
              </w:tabs>
              <w:spacing w:line="360" w:lineRule="auto"/>
              <w:rPr>
                <w:color w:val="000000"/>
              </w:rPr>
            </w:pPr>
            <w:r w:rsidRPr="00641A01">
              <w:rPr>
                <w:color w:val="000000"/>
              </w:rPr>
              <w:t>1.97</w:t>
            </w:r>
          </w:p>
        </w:tc>
        <w:tc>
          <w:tcPr>
            <w:tcW w:w="2233" w:type="dxa"/>
            <w:tcBorders>
              <w:top w:val="nil"/>
              <w:left w:val="nil"/>
              <w:bottom w:val="nil"/>
              <w:right w:val="nil"/>
            </w:tcBorders>
            <w:shd w:val="clear" w:color="auto" w:fill="auto"/>
            <w:noWrap/>
            <w:hideMark/>
          </w:tcPr>
          <w:p w14:paraId="6D4E5D29" w14:textId="77777777" w:rsidR="00EE6446" w:rsidRPr="00641A01" w:rsidRDefault="00EE6446" w:rsidP="00641A01">
            <w:pPr>
              <w:tabs>
                <w:tab w:val="decimal" w:pos="943"/>
              </w:tabs>
              <w:spacing w:line="360" w:lineRule="auto"/>
              <w:rPr>
                <w:color w:val="000000"/>
              </w:rPr>
            </w:pPr>
            <w:r w:rsidRPr="00641A01">
              <w:rPr>
                <w:color w:val="000000"/>
              </w:rPr>
              <w:t>14.80</w:t>
            </w:r>
          </w:p>
        </w:tc>
      </w:tr>
      <w:tr w:rsidR="005B434B" w:rsidRPr="00641A01" w14:paraId="16A2448F" w14:textId="77777777" w:rsidTr="00A637D6">
        <w:tc>
          <w:tcPr>
            <w:tcW w:w="3258" w:type="dxa"/>
            <w:tcBorders>
              <w:top w:val="nil"/>
              <w:left w:val="nil"/>
              <w:bottom w:val="nil"/>
              <w:right w:val="nil"/>
            </w:tcBorders>
            <w:shd w:val="clear" w:color="auto" w:fill="auto"/>
            <w:noWrap/>
            <w:hideMark/>
          </w:tcPr>
          <w:p w14:paraId="549CB5E7" w14:textId="77777777" w:rsidR="00EE6446" w:rsidRPr="00641A01" w:rsidRDefault="00EE6446" w:rsidP="00641A01">
            <w:pPr>
              <w:spacing w:line="360" w:lineRule="auto"/>
              <w:jc w:val="center"/>
              <w:rPr>
                <w:color w:val="000000"/>
              </w:rPr>
            </w:pPr>
            <w:r w:rsidRPr="00641A01">
              <w:rPr>
                <w:color w:val="000000"/>
              </w:rPr>
              <w:t>Venezuela</w:t>
            </w:r>
          </w:p>
        </w:tc>
        <w:tc>
          <w:tcPr>
            <w:tcW w:w="1011" w:type="dxa"/>
            <w:tcBorders>
              <w:top w:val="nil"/>
              <w:left w:val="nil"/>
              <w:bottom w:val="nil"/>
              <w:right w:val="nil"/>
            </w:tcBorders>
            <w:shd w:val="clear" w:color="auto" w:fill="auto"/>
            <w:noWrap/>
            <w:hideMark/>
          </w:tcPr>
          <w:p w14:paraId="1AFB4340" w14:textId="77777777" w:rsidR="00EE6446" w:rsidRPr="00641A01" w:rsidRDefault="00EE6446" w:rsidP="00641A01">
            <w:pPr>
              <w:spacing w:line="360" w:lineRule="auto"/>
              <w:jc w:val="center"/>
              <w:rPr>
                <w:color w:val="000000"/>
              </w:rPr>
            </w:pPr>
            <w:r w:rsidRPr="00641A01">
              <w:rPr>
                <w:color w:val="000000"/>
              </w:rPr>
              <w:t>VEN</w:t>
            </w:r>
          </w:p>
        </w:tc>
        <w:tc>
          <w:tcPr>
            <w:tcW w:w="1011" w:type="dxa"/>
            <w:tcBorders>
              <w:top w:val="nil"/>
              <w:left w:val="nil"/>
              <w:bottom w:val="nil"/>
              <w:right w:val="nil"/>
            </w:tcBorders>
            <w:shd w:val="clear" w:color="auto" w:fill="auto"/>
            <w:noWrap/>
            <w:hideMark/>
          </w:tcPr>
          <w:p w14:paraId="344FAA0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F3B3FE2"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F0EC3C7"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04797ABE" w14:textId="77777777" w:rsidR="00EE6446" w:rsidRPr="00641A01" w:rsidRDefault="00EE6446" w:rsidP="00641A01">
            <w:pPr>
              <w:spacing w:line="360" w:lineRule="auto"/>
              <w:jc w:val="center"/>
              <w:rPr>
                <w:color w:val="000000"/>
              </w:rPr>
            </w:pPr>
            <w:r w:rsidRPr="00641A01">
              <w:rPr>
                <w:color w:val="000000"/>
              </w:rPr>
              <w:t>4</w:t>
            </w:r>
          </w:p>
        </w:tc>
        <w:tc>
          <w:tcPr>
            <w:tcW w:w="2233" w:type="dxa"/>
            <w:tcBorders>
              <w:top w:val="nil"/>
              <w:left w:val="nil"/>
              <w:bottom w:val="nil"/>
              <w:right w:val="nil"/>
            </w:tcBorders>
            <w:shd w:val="clear" w:color="auto" w:fill="auto"/>
            <w:noWrap/>
            <w:hideMark/>
          </w:tcPr>
          <w:p w14:paraId="43668F82" w14:textId="77777777" w:rsidR="00EE6446" w:rsidRPr="00641A01" w:rsidRDefault="00EE6446" w:rsidP="00641A01">
            <w:pPr>
              <w:tabs>
                <w:tab w:val="decimal" w:pos="943"/>
              </w:tabs>
              <w:spacing w:line="360" w:lineRule="auto"/>
              <w:rPr>
                <w:color w:val="000000"/>
              </w:rPr>
            </w:pPr>
            <w:r w:rsidRPr="00641A01">
              <w:rPr>
                <w:color w:val="000000"/>
              </w:rPr>
              <w:t>0.69</w:t>
            </w:r>
          </w:p>
        </w:tc>
        <w:tc>
          <w:tcPr>
            <w:tcW w:w="2233" w:type="dxa"/>
            <w:tcBorders>
              <w:top w:val="nil"/>
              <w:left w:val="nil"/>
              <w:bottom w:val="nil"/>
              <w:right w:val="nil"/>
            </w:tcBorders>
            <w:shd w:val="clear" w:color="auto" w:fill="auto"/>
            <w:noWrap/>
            <w:hideMark/>
          </w:tcPr>
          <w:p w14:paraId="509C48D0" w14:textId="77777777" w:rsidR="00EE6446" w:rsidRPr="00641A01" w:rsidRDefault="00EE6446" w:rsidP="00641A01">
            <w:pPr>
              <w:tabs>
                <w:tab w:val="decimal" w:pos="943"/>
              </w:tabs>
              <w:spacing w:line="360" w:lineRule="auto"/>
              <w:rPr>
                <w:color w:val="000000"/>
              </w:rPr>
            </w:pPr>
            <w:r w:rsidRPr="00641A01">
              <w:rPr>
                <w:color w:val="000000"/>
              </w:rPr>
              <w:t>7.76</w:t>
            </w:r>
          </w:p>
        </w:tc>
      </w:tr>
      <w:tr w:rsidR="005B434B" w:rsidRPr="00641A01" w14:paraId="3E3E76DF" w14:textId="77777777" w:rsidTr="00A637D6">
        <w:tc>
          <w:tcPr>
            <w:tcW w:w="3258" w:type="dxa"/>
            <w:tcBorders>
              <w:top w:val="nil"/>
              <w:left w:val="nil"/>
              <w:bottom w:val="nil"/>
              <w:right w:val="nil"/>
            </w:tcBorders>
            <w:shd w:val="clear" w:color="auto" w:fill="auto"/>
            <w:noWrap/>
            <w:hideMark/>
          </w:tcPr>
          <w:p w14:paraId="6A2CD220" w14:textId="77777777" w:rsidR="00EE6446" w:rsidRPr="00641A01" w:rsidRDefault="00EE6446" w:rsidP="00641A01">
            <w:pPr>
              <w:spacing w:line="360" w:lineRule="auto"/>
              <w:jc w:val="center"/>
              <w:rPr>
                <w:color w:val="000000"/>
              </w:rPr>
            </w:pPr>
            <w:r w:rsidRPr="00641A01">
              <w:rPr>
                <w:color w:val="000000"/>
              </w:rPr>
              <w:t>Vietnam</w:t>
            </w:r>
          </w:p>
        </w:tc>
        <w:tc>
          <w:tcPr>
            <w:tcW w:w="1011" w:type="dxa"/>
            <w:tcBorders>
              <w:top w:val="nil"/>
              <w:left w:val="nil"/>
              <w:bottom w:val="nil"/>
              <w:right w:val="nil"/>
            </w:tcBorders>
            <w:shd w:val="clear" w:color="auto" w:fill="auto"/>
            <w:noWrap/>
            <w:hideMark/>
          </w:tcPr>
          <w:p w14:paraId="54860DF5" w14:textId="77777777" w:rsidR="00EE6446" w:rsidRPr="00641A01" w:rsidRDefault="00EE6446" w:rsidP="00641A01">
            <w:pPr>
              <w:spacing w:line="360" w:lineRule="auto"/>
              <w:jc w:val="center"/>
              <w:rPr>
                <w:color w:val="000000"/>
              </w:rPr>
            </w:pPr>
            <w:r w:rsidRPr="00641A01">
              <w:rPr>
                <w:color w:val="000000"/>
              </w:rPr>
              <w:t>VNM</w:t>
            </w:r>
          </w:p>
        </w:tc>
        <w:tc>
          <w:tcPr>
            <w:tcW w:w="1011" w:type="dxa"/>
            <w:tcBorders>
              <w:top w:val="nil"/>
              <w:left w:val="nil"/>
              <w:bottom w:val="nil"/>
              <w:right w:val="nil"/>
            </w:tcBorders>
            <w:shd w:val="clear" w:color="auto" w:fill="auto"/>
            <w:noWrap/>
            <w:hideMark/>
          </w:tcPr>
          <w:p w14:paraId="35D2654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383C5C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1486373"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11C1708"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0DAC6919" w14:textId="77777777" w:rsidR="00EE6446" w:rsidRPr="00641A01" w:rsidRDefault="00EE6446" w:rsidP="00641A01">
            <w:pPr>
              <w:tabs>
                <w:tab w:val="decimal" w:pos="943"/>
              </w:tabs>
              <w:spacing w:line="360" w:lineRule="auto"/>
              <w:rPr>
                <w:color w:val="000000"/>
              </w:rPr>
            </w:pPr>
            <w:r w:rsidRPr="00641A01">
              <w:rPr>
                <w:color w:val="000000"/>
              </w:rPr>
              <w:t>6.09</w:t>
            </w:r>
          </w:p>
        </w:tc>
        <w:tc>
          <w:tcPr>
            <w:tcW w:w="2233" w:type="dxa"/>
            <w:tcBorders>
              <w:top w:val="nil"/>
              <w:left w:val="nil"/>
              <w:bottom w:val="nil"/>
              <w:right w:val="nil"/>
            </w:tcBorders>
            <w:shd w:val="clear" w:color="auto" w:fill="auto"/>
            <w:noWrap/>
            <w:hideMark/>
          </w:tcPr>
          <w:p w14:paraId="2A4899BB" w14:textId="77777777" w:rsidR="00EE6446" w:rsidRPr="00641A01" w:rsidRDefault="00EE6446" w:rsidP="00641A01">
            <w:pPr>
              <w:tabs>
                <w:tab w:val="decimal" w:pos="943"/>
              </w:tabs>
              <w:spacing w:line="360" w:lineRule="auto"/>
              <w:rPr>
                <w:color w:val="000000"/>
              </w:rPr>
            </w:pPr>
            <w:r w:rsidRPr="00641A01">
              <w:rPr>
                <w:color w:val="000000"/>
              </w:rPr>
              <w:t>58.11</w:t>
            </w:r>
          </w:p>
        </w:tc>
      </w:tr>
      <w:tr w:rsidR="005B434B" w:rsidRPr="00641A01" w14:paraId="3E16E6B1" w14:textId="77777777" w:rsidTr="00A637D6">
        <w:tc>
          <w:tcPr>
            <w:tcW w:w="3258" w:type="dxa"/>
            <w:tcBorders>
              <w:top w:val="nil"/>
              <w:left w:val="nil"/>
              <w:bottom w:val="nil"/>
              <w:right w:val="nil"/>
            </w:tcBorders>
            <w:shd w:val="clear" w:color="auto" w:fill="auto"/>
            <w:noWrap/>
            <w:hideMark/>
          </w:tcPr>
          <w:p w14:paraId="7D631DFA" w14:textId="77777777" w:rsidR="00EE6446" w:rsidRPr="00641A01" w:rsidRDefault="00EE6446" w:rsidP="00641A01">
            <w:pPr>
              <w:spacing w:line="360" w:lineRule="auto"/>
              <w:jc w:val="center"/>
              <w:rPr>
                <w:color w:val="000000"/>
              </w:rPr>
            </w:pPr>
            <w:r w:rsidRPr="00641A01">
              <w:rPr>
                <w:color w:val="000000"/>
              </w:rPr>
              <w:t>Vanuatu</w:t>
            </w:r>
          </w:p>
        </w:tc>
        <w:tc>
          <w:tcPr>
            <w:tcW w:w="1011" w:type="dxa"/>
            <w:tcBorders>
              <w:top w:val="nil"/>
              <w:left w:val="nil"/>
              <w:bottom w:val="nil"/>
              <w:right w:val="nil"/>
            </w:tcBorders>
            <w:shd w:val="clear" w:color="auto" w:fill="auto"/>
            <w:noWrap/>
            <w:hideMark/>
          </w:tcPr>
          <w:p w14:paraId="5E81FF46" w14:textId="77777777" w:rsidR="00EE6446" w:rsidRPr="00641A01" w:rsidRDefault="00EE6446" w:rsidP="00641A01">
            <w:pPr>
              <w:spacing w:line="360" w:lineRule="auto"/>
              <w:jc w:val="center"/>
              <w:rPr>
                <w:color w:val="000000"/>
              </w:rPr>
            </w:pPr>
            <w:r w:rsidRPr="00641A01">
              <w:rPr>
                <w:color w:val="000000"/>
              </w:rPr>
              <w:t>VUT</w:t>
            </w:r>
          </w:p>
        </w:tc>
        <w:tc>
          <w:tcPr>
            <w:tcW w:w="1011" w:type="dxa"/>
            <w:tcBorders>
              <w:top w:val="nil"/>
              <w:left w:val="nil"/>
              <w:bottom w:val="nil"/>
              <w:right w:val="nil"/>
            </w:tcBorders>
            <w:shd w:val="clear" w:color="auto" w:fill="auto"/>
            <w:noWrap/>
            <w:hideMark/>
          </w:tcPr>
          <w:p w14:paraId="3C2AF938"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7A7BC8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58F93394"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B3CA41B" w14:textId="77777777" w:rsidR="00EE6446" w:rsidRPr="00641A01" w:rsidRDefault="00EE6446" w:rsidP="00641A01">
            <w:pPr>
              <w:spacing w:line="360" w:lineRule="auto"/>
              <w:jc w:val="center"/>
              <w:rPr>
                <w:color w:val="000000"/>
              </w:rPr>
            </w:pPr>
            <w:r w:rsidRPr="00641A01">
              <w:rPr>
                <w:color w:val="000000"/>
              </w:rPr>
              <w:t>7</w:t>
            </w:r>
          </w:p>
        </w:tc>
        <w:tc>
          <w:tcPr>
            <w:tcW w:w="2233" w:type="dxa"/>
            <w:tcBorders>
              <w:top w:val="nil"/>
              <w:left w:val="nil"/>
              <w:bottom w:val="nil"/>
              <w:right w:val="nil"/>
            </w:tcBorders>
            <w:shd w:val="clear" w:color="auto" w:fill="auto"/>
            <w:noWrap/>
            <w:hideMark/>
          </w:tcPr>
          <w:p w14:paraId="10709CDE" w14:textId="77777777" w:rsidR="00EE6446" w:rsidRPr="00641A01" w:rsidRDefault="00EE6446" w:rsidP="00641A01">
            <w:pPr>
              <w:tabs>
                <w:tab w:val="decimal" w:pos="943"/>
              </w:tabs>
              <w:spacing w:line="360" w:lineRule="auto"/>
              <w:rPr>
                <w:color w:val="000000"/>
              </w:rPr>
            </w:pPr>
            <w:r w:rsidRPr="00641A01">
              <w:rPr>
                <w:color w:val="000000"/>
              </w:rPr>
              <w:t>3.96</w:t>
            </w:r>
          </w:p>
        </w:tc>
        <w:tc>
          <w:tcPr>
            <w:tcW w:w="2233" w:type="dxa"/>
            <w:tcBorders>
              <w:top w:val="nil"/>
              <w:left w:val="nil"/>
              <w:bottom w:val="nil"/>
              <w:right w:val="nil"/>
            </w:tcBorders>
            <w:shd w:val="clear" w:color="auto" w:fill="auto"/>
            <w:noWrap/>
            <w:hideMark/>
          </w:tcPr>
          <w:p w14:paraId="4B3EAA45" w14:textId="77777777" w:rsidR="00EE6446" w:rsidRPr="00641A01" w:rsidRDefault="00EE6446" w:rsidP="00641A01">
            <w:pPr>
              <w:tabs>
                <w:tab w:val="decimal" w:pos="943"/>
              </w:tabs>
              <w:spacing w:line="360" w:lineRule="auto"/>
              <w:rPr>
                <w:color w:val="000000"/>
              </w:rPr>
            </w:pPr>
            <w:r w:rsidRPr="00641A01">
              <w:rPr>
                <w:color w:val="000000"/>
              </w:rPr>
              <w:t>34.29</w:t>
            </w:r>
          </w:p>
        </w:tc>
      </w:tr>
      <w:tr w:rsidR="005B434B" w:rsidRPr="00641A01" w14:paraId="10917E78" w14:textId="77777777" w:rsidTr="00A637D6">
        <w:tc>
          <w:tcPr>
            <w:tcW w:w="3258" w:type="dxa"/>
            <w:tcBorders>
              <w:top w:val="nil"/>
              <w:left w:val="nil"/>
              <w:bottom w:val="nil"/>
              <w:right w:val="nil"/>
            </w:tcBorders>
            <w:shd w:val="clear" w:color="auto" w:fill="auto"/>
            <w:noWrap/>
            <w:hideMark/>
          </w:tcPr>
          <w:p w14:paraId="0F9CF509" w14:textId="77777777" w:rsidR="00EE6446" w:rsidRPr="00641A01" w:rsidRDefault="00EE6446" w:rsidP="00641A01">
            <w:pPr>
              <w:spacing w:line="360" w:lineRule="auto"/>
              <w:jc w:val="center"/>
              <w:rPr>
                <w:color w:val="000000"/>
              </w:rPr>
            </w:pPr>
            <w:r w:rsidRPr="00641A01">
              <w:rPr>
                <w:color w:val="000000"/>
              </w:rPr>
              <w:lastRenderedPageBreak/>
              <w:t>Samoa</w:t>
            </w:r>
          </w:p>
        </w:tc>
        <w:tc>
          <w:tcPr>
            <w:tcW w:w="1011" w:type="dxa"/>
            <w:tcBorders>
              <w:top w:val="nil"/>
              <w:left w:val="nil"/>
              <w:bottom w:val="nil"/>
              <w:right w:val="nil"/>
            </w:tcBorders>
            <w:shd w:val="clear" w:color="auto" w:fill="auto"/>
            <w:noWrap/>
            <w:hideMark/>
          </w:tcPr>
          <w:p w14:paraId="137120DB" w14:textId="77777777" w:rsidR="00EE6446" w:rsidRPr="00641A01" w:rsidRDefault="00EE6446" w:rsidP="00641A01">
            <w:pPr>
              <w:spacing w:line="360" w:lineRule="auto"/>
              <w:jc w:val="center"/>
              <w:rPr>
                <w:color w:val="000000"/>
              </w:rPr>
            </w:pPr>
            <w:r w:rsidRPr="00641A01">
              <w:rPr>
                <w:color w:val="000000"/>
              </w:rPr>
              <w:t>WSM</w:t>
            </w:r>
          </w:p>
        </w:tc>
        <w:tc>
          <w:tcPr>
            <w:tcW w:w="1011" w:type="dxa"/>
            <w:tcBorders>
              <w:top w:val="nil"/>
              <w:left w:val="nil"/>
              <w:bottom w:val="nil"/>
              <w:right w:val="nil"/>
            </w:tcBorders>
            <w:shd w:val="clear" w:color="auto" w:fill="auto"/>
            <w:noWrap/>
            <w:hideMark/>
          </w:tcPr>
          <w:p w14:paraId="76062914"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6562D4F5"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1B909C0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15BEE7BA"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bottom w:val="nil"/>
              <w:right w:val="nil"/>
            </w:tcBorders>
            <w:shd w:val="clear" w:color="auto" w:fill="auto"/>
            <w:noWrap/>
            <w:hideMark/>
          </w:tcPr>
          <w:p w14:paraId="57CC97F8" w14:textId="77777777" w:rsidR="00EE6446" w:rsidRPr="00641A01" w:rsidRDefault="00EE6446" w:rsidP="00641A01">
            <w:pPr>
              <w:tabs>
                <w:tab w:val="decimal" w:pos="943"/>
              </w:tabs>
              <w:spacing w:line="360" w:lineRule="auto"/>
              <w:rPr>
                <w:color w:val="000000"/>
              </w:rPr>
            </w:pPr>
            <w:r w:rsidRPr="00641A01">
              <w:rPr>
                <w:color w:val="000000"/>
              </w:rPr>
              <w:t>5.85</w:t>
            </w:r>
          </w:p>
        </w:tc>
        <w:tc>
          <w:tcPr>
            <w:tcW w:w="2233" w:type="dxa"/>
            <w:tcBorders>
              <w:top w:val="nil"/>
              <w:left w:val="nil"/>
              <w:bottom w:val="nil"/>
              <w:right w:val="nil"/>
            </w:tcBorders>
            <w:shd w:val="clear" w:color="auto" w:fill="auto"/>
            <w:noWrap/>
            <w:hideMark/>
          </w:tcPr>
          <w:p w14:paraId="5EEEF748" w14:textId="77777777" w:rsidR="00EE6446" w:rsidRPr="00641A01" w:rsidRDefault="00EE6446" w:rsidP="00641A01">
            <w:pPr>
              <w:tabs>
                <w:tab w:val="decimal" w:pos="943"/>
              </w:tabs>
              <w:spacing w:line="360" w:lineRule="auto"/>
              <w:rPr>
                <w:color w:val="000000"/>
              </w:rPr>
            </w:pPr>
            <w:r w:rsidRPr="00641A01">
              <w:rPr>
                <w:color w:val="000000"/>
              </w:rPr>
              <w:t>56.28</w:t>
            </w:r>
          </w:p>
        </w:tc>
      </w:tr>
      <w:tr w:rsidR="005B434B" w:rsidRPr="00641A01" w14:paraId="055196DD" w14:textId="77777777" w:rsidTr="00A637D6">
        <w:tc>
          <w:tcPr>
            <w:tcW w:w="3258" w:type="dxa"/>
            <w:tcBorders>
              <w:top w:val="nil"/>
              <w:left w:val="nil"/>
              <w:bottom w:val="nil"/>
              <w:right w:val="nil"/>
            </w:tcBorders>
            <w:shd w:val="clear" w:color="auto" w:fill="auto"/>
            <w:noWrap/>
            <w:hideMark/>
          </w:tcPr>
          <w:p w14:paraId="38AD77FE" w14:textId="77777777" w:rsidR="00EE6446" w:rsidRPr="00641A01" w:rsidRDefault="00EE6446" w:rsidP="00641A01">
            <w:pPr>
              <w:spacing w:line="360" w:lineRule="auto"/>
              <w:jc w:val="center"/>
              <w:rPr>
                <w:color w:val="000000"/>
              </w:rPr>
            </w:pPr>
            <w:r w:rsidRPr="00641A01">
              <w:rPr>
                <w:color w:val="000000"/>
              </w:rPr>
              <w:t>Yemen</w:t>
            </w:r>
          </w:p>
        </w:tc>
        <w:tc>
          <w:tcPr>
            <w:tcW w:w="1011" w:type="dxa"/>
            <w:tcBorders>
              <w:top w:val="nil"/>
              <w:left w:val="nil"/>
              <w:bottom w:val="nil"/>
              <w:right w:val="nil"/>
            </w:tcBorders>
            <w:shd w:val="clear" w:color="auto" w:fill="auto"/>
            <w:noWrap/>
            <w:hideMark/>
          </w:tcPr>
          <w:p w14:paraId="71E1202A" w14:textId="77777777" w:rsidR="00EE6446" w:rsidRPr="00641A01" w:rsidRDefault="00EE6446" w:rsidP="00641A01">
            <w:pPr>
              <w:spacing w:line="360" w:lineRule="auto"/>
              <w:jc w:val="center"/>
              <w:rPr>
                <w:color w:val="000000"/>
              </w:rPr>
            </w:pPr>
            <w:r w:rsidRPr="00641A01">
              <w:rPr>
                <w:color w:val="000000"/>
              </w:rPr>
              <w:t>YEM</w:t>
            </w:r>
          </w:p>
        </w:tc>
        <w:tc>
          <w:tcPr>
            <w:tcW w:w="1011" w:type="dxa"/>
            <w:tcBorders>
              <w:top w:val="nil"/>
              <w:left w:val="nil"/>
              <w:bottom w:val="nil"/>
              <w:right w:val="nil"/>
            </w:tcBorders>
            <w:shd w:val="clear" w:color="auto" w:fill="auto"/>
            <w:noWrap/>
            <w:hideMark/>
          </w:tcPr>
          <w:p w14:paraId="649BE3B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B7CCCDC"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0DCBEFCA"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63BAC005" w14:textId="77777777" w:rsidR="00EE6446" w:rsidRPr="00641A01" w:rsidRDefault="00EE6446" w:rsidP="00641A01">
            <w:pPr>
              <w:spacing w:line="360" w:lineRule="auto"/>
              <w:jc w:val="center"/>
              <w:rPr>
                <w:color w:val="000000"/>
              </w:rPr>
            </w:pPr>
            <w:r w:rsidRPr="00641A01">
              <w:rPr>
                <w:color w:val="000000"/>
              </w:rPr>
              <w:t>6</w:t>
            </w:r>
          </w:p>
        </w:tc>
        <w:tc>
          <w:tcPr>
            <w:tcW w:w="2233" w:type="dxa"/>
            <w:tcBorders>
              <w:top w:val="nil"/>
              <w:left w:val="nil"/>
              <w:bottom w:val="nil"/>
              <w:right w:val="nil"/>
            </w:tcBorders>
            <w:shd w:val="clear" w:color="auto" w:fill="auto"/>
            <w:noWrap/>
            <w:hideMark/>
          </w:tcPr>
          <w:p w14:paraId="0E655D08" w14:textId="77777777" w:rsidR="00EE6446" w:rsidRPr="00641A01" w:rsidRDefault="00EE6446" w:rsidP="00641A01">
            <w:pPr>
              <w:tabs>
                <w:tab w:val="decimal" w:pos="943"/>
              </w:tabs>
              <w:spacing w:line="360" w:lineRule="auto"/>
              <w:rPr>
                <w:color w:val="000000"/>
              </w:rPr>
            </w:pPr>
            <w:r w:rsidRPr="00641A01">
              <w:rPr>
                <w:color w:val="000000"/>
              </w:rPr>
              <w:t>1.56</w:t>
            </w:r>
          </w:p>
        </w:tc>
        <w:tc>
          <w:tcPr>
            <w:tcW w:w="2233" w:type="dxa"/>
            <w:tcBorders>
              <w:top w:val="nil"/>
              <w:left w:val="nil"/>
              <w:bottom w:val="nil"/>
              <w:right w:val="nil"/>
            </w:tcBorders>
            <w:shd w:val="clear" w:color="auto" w:fill="auto"/>
            <w:noWrap/>
            <w:hideMark/>
          </w:tcPr>
          <w:p w14:paraId="61AEADE2" w14:textId="77777777" w:rsidR="00EE6446" w:rsidRPr="00641A01" w:rsidRDefault="00EE6446" w:rsidP="00641A01">
            <w:pPr>
              <w:tabs>
                <w:tab w:val="decimal" w:pos="943"/>
              </w:tabs>
              <w:spacing w:line="360" w:lineRule="auto"/>
              <w:rPr>
                <w:color w:val="000000"/>
              </w:rPr>
            </w:pPr>
            <w:r w:rsidRPr="00641A01">
              <w:rPr>
                <w:color w:val="000000"/>
              </w:rPr>
              <w:t>20.45</w:t>
            </w:r>
          </w:p>
        </w:tc>
      </w:tr>
      <w:tr w:rsidR="005B434B" w:rsidRPr="00641A01" w14:paraId="6B31FAA5" w14:textId="77777777" w:rsidTr="00A637D6">
        <w:tc>
          <w:tcPr>
            <w:tcW w:w="3258" w:type="dxa"/>
            <w:tcBorders>
              <w:top w:val="nil"/>
              <w:left w:val="nil"/>
              <w:bottom w:val="nil"/>
              <w:right w:val="nil"/>
            </w:tcBorders>
            <w:shd w:val="clear" w:color="auto" w:fill="auto"/>
            <w:noWrap/>
            <w:hideMark/>
          </w:tcPr>
          <w:p w14:paraId="26155502" w14:textId="77777777" w:rsidR="00EE6446" w:rsidRPr="00641A01" w:rsidRDefault="00EE6446" w:rsidP="00641A01">
            <w:pPr>
              <w:spacing w:line="360" w:lineRule="auto"/>
              <w:jc w:val="center"/>
              <w:rPr>
                <w:color w:val="000000"/>
              </w:rPr>
            </w:pPr>
            <w:r w:rsidRPr="00641A01">
              <w:rPr>
                <w:color w:val="000000"/>
              </w:rPr>
              <w:t>South Africa</w:t>
            </w:r>
          </w:p>
        </w:tc>
        <w:tc>
          <w:tcPr>
            <w:tcW w:w="1011" w:type="dxa"/>
            <w:tcBorders>
              <w:top w:val="nil"/>
              <w:left w:val="nil"/>
              <w:bottom w:val="nil"/>
              <w:right w:val="nil"/>
            </w:tcBorders>
            <w:shd w:val="clear" w:color="auto" w:fill="auto"/>
            <w:noWrap/>
            <w:hideMark/>
          </w:tcPr>
          <w:p w14:paraId="1B6AF476" w14:textId="77777777" w:rsidR="00EE6446" w:rsidRPr="00641A01" w:rsidRDefault="00EE6446" w:rsidP="00641A01">
            <w:pPr>
              <w:spacing w:line="360" w:lineRule="auto"/>
              <w:jc w:val="center"/>
              <w:rPr>
                <w:color w:val="000000"/>
              </w:rPr>
            </w:pPr>
            <w:r w:rsidRPr="00641A01">
              <w:rPr>
                <w:color w:val="000000"/>
              </w:rPr>
              <w:t>ZAF</w:t>
            </w:r>
          </w:p>
        </w:tc>
        <w:tc>
          <w:tcPr>
            <w:tcW w:w="1011" w:type="dxa"/>
            <w:tcBorders>
              <w:top w:val="nil"/>
              <w:left w:val="nil"/>
              <w:bottom w:val="nil"/>
              <w:right w:val="nil"/>
            </w:tcBorders>
            <w:shd w:val="clear" w:color="auto" w:fill="auto"/>
            <w:noWrap/>
            <w:hideMark/>
          </w:tcPr>
          <w:p w14:paraId="71311853" w14:textId="77777777" w:rsidR="00EE6446" w:rsidRPr="00641A01" w:rsidRDefault="00EE6446" w:rsidP="00641A01">
            <w:pPr>
              <w:spacing w:line="360" w:lineRule="auto"/>
              <w:jc w:val="center"/>
              <w:rPr>
                <w:color w:val="000000"/>
              </w:rPr>
            </w:pPr>
            <w:r w:rsidRPr="00641A01">
              <w:rPr>
                <w:color w:val="000000"/>
              </w:rPr>
              <w:t>1</w:t>
            </w:r>
          </w:p>
        </w:tc>
        <w:tc>
          <w:tcPr>
            <w:tcW w:w="1011" w:type="dxa"/>
            <w:tcBorders>
              <w:top w:val="nil"/>
              <w:left w:val="nil"/>
              <w:bottom w:val="nil"/>
              <w:right w:val="nil"/>
            </w:tcBorders>
            <w:shd w:val="clear" w:color="auto" w:fill="auto"/>
            <w:noWrap/>
            <w:hideMark/>
          </w:tcPr>
          <w:p w14:paraId="037F109B"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CACC5E1"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4B300BB9" w14:textId="77777777" w:rsidR="00EE6446" w:rsidRPr="00641A01" w:rsidRDefault="00EE6446" w:rsidP="00641A01">
            <w:pPr>
              <w:spacing w:line="360" w:lineRule="auto"/>
              <w:jc w:val="center"/>
              <w:rPr>
                <w:color w:val="000000"/>
              </w:rPr>
            </w:pPr>
            <w:r w:rsidRPr="00641A01">
              <w:rPr>
                <w:color w:val="000000"/>
              </w:rPr>
              <w:t>12</w:t>
            </w:r>
          </w:p>
        </w:tc>
        <w:tc>
          <w:tcPr>
            <w:tcW w:w="2233" w:type="dxa"/>
            <w:tcBorders>
              <w:top w:val="nil"/>
              <w:left w:val="nil"/>
              <w:bottom w:val="nil"/>
              <w:right w:val="nil"/>
            </w:tcBorders>
            <w:shd w:val="clear" w:color="auto" w:fill="auto"/>
            <w:noWrap/>
            <w:hideMark/>
          </w:tcPr>
          <w:p w14:paraId="0D3EA0E3" w14:textId="77777777" w:rsidR="00EE6446" w:rsidRPr="00641A01" w:rsidRDefault="00EE6446" w:rsidP="00641A01">
            <w:pPr>
              <w:tabs>
                <w:tab w:val="decimal" w:pos="943"/>
              </w:tabs>
              <w:spacing w:line="360" w:lineRule="auto"/>
              <w:rPr>
                <w:color w:val="000000"/>
              </w:rPr>
            </w:pPr>
            <w:r w:rsidRPr="00641A01">
              <w:rPr>
                <w:color w:val="000000"/>
              </w:rPr>
              <w:t>6.23</w:t>
            </w:r>
          </w:p>
        </w:tc>
        <w:tc>
          <w:tcPr>
            <w:tcW w:w="2233" w:type="dxa"/>
            <w:tcBorders>
              <w:top w:val="nil"/>
              <w:left w:val="nil"/>
              <w:bottom w:val="nil"/>
              <w:right w:val="nil"/>
            </w:tcBorders>
            <w:shd w:val="clear" w:color="auto" w:fill="auto"/>
            <w:noWrap/>
            <w:hideMark/>
          </w:tcPr>
          <w:p w14:paraId="36AECE6D" w14:textId="77777777" w:rsidR="00EE6446" w:rsidRPr="00641A01" w:rsidRDefault="00EE6446" w:rsidP="00641A01">
            <w:pPr>
              <w:tabs>
                <w:tab w:val="decimal" w:pos="943"/>
              </w:tabs>
              <w:spacing w:line="360" w:lineRule="auto"/>
              <w:rPr>
                <w:color w:val="000000"/>
              </w:rPr>
            </w:pPr>
            <w:r w:rsidRPr="00641A01">
              <w:rPr>
                <w:color w:val="000000"/>
              </w:rPr>
              <w:t>58.17</w:t>
            </w:r>
          </w:p>
        </w:tc>
      </w:tr>
      <w:tr w:rsidR="005B434B" w:rsidRPr="00641A01" w14:paraId="5E2691E7" w14:textId="77777777" w:rsidTr="00A637D6">
        <w:tc>
          <w:tcPr>
            <w:tcW w:w="3258" w:type="dxa"/>
            <w:tcBorders>
              <w:top w:val="nil"/>
              <w:left w:val="nil"/>
              <w:bottom w:val="nil"/>
              <w:right w:val="nil"/>
            </w:tcBorders>
            <w:shd w:val="clear" w:color="auto" w:fill="auto"/>
            <w:noWrap/>
            <w:hideMark/>
          </w:tcPr>
          <w:p w14:paraId="77697DFB" w14:textId="77777777" w:rsidR="00EE6446" w:rsidRPr="00641A01" w:rsidRDefault="00EE6446" w:rsidP="00641A01">
            <w:pPr>
              <w:spacing w:line="360" w:lineRule="auto"/>
              <w:jc w:val="center"/>
              <w:rPr>
                <w:color w:val="000000"/>
              </w:rPr>
            </w:pPr>
            <w:r w:rsidRPr="00641A01">
              <w:rPr>
                <w:color w:val="000000"/>
              </w:rPr>
              <w:t>Zambia</w:t>
            </w:r>
          </w:p>
        </w:tc>
        <w:tc>
          <w:tcPr>
            <w:tcW w:w="1011" w:type="dxa"/>
            <w:tcBorders>
              <w:top w:val="nil"/>
              <w:left w:val="nil"/>
              <w:bottom w:val="nil"/>
              <w:right w:val="nil"/>
            </w:tcBorders>
            <w:shd w:val="clear" w:color="auto" w:fill="auto"/>
            <w:noWrap/>
            <w:hideMark/>
          </w:tcPr>
          <w:p w14:paraId="2512F1B5" w14:textId="77777777" w:rsidR="00EE6446" w:rsidRPr="00641A01" w:rsidRDefault="00EE6446" w:rsidP="00641A01">
            <w:pPr>
              <w:spacing w:line="360" w:lineRule="auto"/>
              <w:jc w:val="center"/>
              <w:rPr>
                <w:color w:val="000000"/>
              </w:rPr>
            </w:pPr>
            <w:r w:rsidRPr="00641A01">
              <w:rPr>
                <w:color w:val="000000"/>
              </w:rPr>
              <w:t>ZMB</w:t>
            </w:r>
          </w:p>
        </w:tc>
        <w:tc>
          <w:tcPr>
            <w:tcW w:w="1011" w:type="dxa"/>
            <w:tcBorders>
              <w:top w:val="nil"/>
              <w:left w:val="nil"/>
              <w:bottom w:val="nil"/>
              <w:right w:val="nil"/>
            </w:tcBorders>
            <w:shd w:val="clear" w:color="auto" w:fill="auto"/>
            <w:noWrap/>
            <w:hideMark/>
          </w:tcPr>
          <w:p w14:paraId="62CF796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4C715DA7"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bottom w:val="nil"/>
              <w:right w:val="nil"/>
            </w:tcBorders>
            <w:shd w:val="clear" w:color="auto" w:fill="auto"/>
            <w:noWrap/>
            <w:hideMark/>
          </w:tcPr>
          <w:p w14:paraId="3422A57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bottom w:val="nil"/>
              <w:right w:val="nil"/>
            </w:tcBorders>
            <w:shd w:val="clear" w:color="auto" w:fill="auto"/>
            <w:noWrap/>
            <w:hideMark/>
          </w:tcPr>
          <w:p w14:paraId="303278E2" w14:textId="77777777" w:rsidR="00EE6446" w:rsidRPr="00641A01" w:rsidRDefault="00EE6446" w:rsidP="00641A01">
            <w:pPr>
              <w:spacing w:line="360" w:lineRule="auto"/>
              <w:jc w:val="center"/>
              <w:rPr>
                <w:color w:val="000000"/>
              </w:rPr>
            </w:pPr>
            <w:r w:rsidRPr="00641A01">
              <w:rPr>
                <w:color w:val="000000"/>
              </w:rPr>
              <w:t>15</w:t>
            </w:r>
          </w:p>
        </w:tc>
        <w:tc>
          <w:tcPr>
            <w:tcW w:w="2233" w:type="dxa"/>
            <w:tcBorders>
              <w:top w:val="nil"/>
              <w:left w:val="nil"/>
              <w:bottom w:val="nil"/>
              <w:right w:val="nil"/>
            </w:tcBorders>
            <w:shd w:val="clear" w:color="auto" w:fill="auto"/>
            <w:noWrap/>
            <w:hideMark/>
          </w:tcPr>
          <w:p w14:paraId="1B5447DA" w14:textId="77777777" w:rsidR="00EE6446" w:rsidRPr="00641A01" w:rsidRDefault="00EE6446" w:rsidP="00641A01">
            <w:pPr>
              <w:tabs>
                <w:tab w:val="decimal" w:pos="943"/>
              </w:tabs>
              <w:spacing w:line="360" w:lineRule="auto"/>
              <w:rPr>
                <w:color w:val="000000"/>
              </w:rPr>
            </w:pPr>
            <w:r w:rsidRPr="00641A01">
              <w:rPr>
                <w:color w:val="000000"/>
              </w:rPr>
              <w:t>6.42</w:t>
            </w:r>
          </w:p>
        </w:tc>
        <w:tc>
          <w:tcPr>
            <w:tcW w:w="2233" w:type="dxa"/>
            <w:tcBorders>
              <w:top w:val="nil"/>
              <w:left w:val="nil"/>
              <w:bottom w:val="nil"/>
              <w:right w:val="nil"/>
            </w:tcBorders>
            <w:shd w:val="clear" w:color="auto" w:fill="auto"/>
            <w:noWrap/>
            <w:hideMark/>
          </w:tcPr>
          <w:p w14:paraId="0B553031" w14:textId="77777777" w:rsidR="00EE6446" w:rsidRPr="00641A01" w:rsidRDefault="00EE6446" w:rsidP="00641A01">
            <w:pPr>
              <w:tabs>
                <w:tab w:val="decimal" w:pos="943"/>
              </w:tabs>
              <w:spacing w:line="360" w:lineRule="auto"/>
              <w:rPr>
                <w:color w:val="000000"/>
              </w:rPr>
            </w:pPr>
            <w:r w:rsidRPr="00641A01">
              <w:rPr>
                <w:color w:val="000000"/>
              </w:rPr>
              <w:t>52.84</w:t>
            </w:r>
          </w:p>
        </w:tc>
      </w:tr>
      <w:tr w:rsidR="005B434B" w:rsidRPr="00641A01" w14:paraId="5B458D88" w14:textId="77777777" w:rsidTr="00A637D6">
        <w:tc>
          <w:tcPr>
            <w:tcW w:w="3258" w:type="dxa"/>
            <w:tcBorders>
              <w:top w:val="nil"/>
              <w:left w:val="nil"/>
              <w:right w:val="nil"/>
            </w:tcBorders>
            <w:shd w:val="clear" w:color="auto" w:fill="auto"/>
            <w:noWrap/>
            <w:hideMark/>
          </w:tcPr>
          <w:p w14:paraId="35F88F5F" w14:textId="77777777" w:rsidR="00EE6446" w:rsidRPr="00641A01" w:rsidRDefault="00EE6446" w:rsidP="00641A01">
            <w:pPr>
              <w:spacing w:line="360" w:lineRule="auto"/>
              <w:jc w:val="center"/>
              <w:rPr>
                <w:color w:val="000000"/>
              </w:rPr>
            </w:pPr>
            <w:r w:rsidRPr="00641A01">
              <w:rPr>
                <w:color w:val="000000"/>
              </w:rPr>
              <w:t>Zimbabwe</w:t>
            </w:r>
          </w:p>
        </w:tc>
        <w:tc>
          <w:tcPr>
            <w:tcW w:w="1011" w:type="dxa"/>
            <w:tcBorders>
              <w:top w:val="nil"/>
              <w:left w:val="nil"/>
              <w:right w:val="nil"/>
            </w:tcBorders>
            <w:shd w:val="clear" w:color="auto" w:fill="auto"/>
            <w:noWrap/>
            <w:hideMark/>
          </w:tcPr>
          <w:p w14:paraId="1BA1109F" w14:textId="77777777" w:rsidR="00EE6446" w:rsidRPr="00641A01" w:rsidRDefault="00EE6446" w:rsidP="00641A01">
            <w:pPr>
              <w:spacing w:line="360" w:lineRule="auto"/>
              <w:jc w:val="center"/>
              <w:rPr>
                <w:color w:val="000000"/>
              </w:rPr>
            </w:pPr>
            <w:r w:rsidRPr="00641A01">
              <w:rPr>
                <w:color w:val="000000"/>
              </w:rPr>
              <w:t>ZWE</w:t>
            </w:r>
          </w:p>
        </w:tc>
        <w:tc>
          <w:tcPr>
            <w:tcW w:w="1011" w:type="dxa"/>
            <w:tcBorders>
              <w:top w:val="nil"/>
              <w:left w:val="nil"/>
              <w:right w:val="nil"/>
            </w:tcBorders>
            <w:shd w:val="clear" w:color="auto" w:fill="auto"/>
            <w:noWrap/>
            <w:hideMark/>
          </w:tcPr>
          <w:p w14:paraId="0D0766D3"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right w:val="nil"/>
            </w:tcBorders>
            <w:shd w:val="clear" w:color="auto" w:fill="auto"/>
            <w:noWrap/>
            <w:hideMark/>
          </w:tcPr>
          <w:p w14:paraId="700075EE" w14:textId="77777777" w:rsidR="00EE6446" w:rsidRPr="00641A01" w:rsidRDefault="00EE6446" w:rsidP="00641A01">
            <w:pPr>
              <w:spacing w:line="360" w:lineRule="auto"/>
              <w:jc w:val="center"/>
              <w:rPr>
                <w:color w:val="000000"/>
              </w:rPr>
            </w:pPr>
            <w:r w:rsidRPr="00641A01">
              <w:rPr>
                <w:color w:val="000000"/>
              </w:rPr>
              <w:t>0</w:t>
            </w:r>
          </w:p>
        </w:tc>
        <w:tc>
          <w:tcPr>
            <w:tcW w:w="1011" w:type="dxa"/>
            <w:tcBorders>
              <w:top w:val="nil"/>
              <w:left w:val="nil"/>
              <w:right w:val="nil"/>
            </w:tcBorders>
            <w:shd w:val="clear" w:color="auto" w:fill="auto"/>
            <w:noWrap/>
            <w:hideMark/>
          </w:tcPr>
          <w:p w14:paraId="5CB91E06" w14:textId="77777777" w:rsidR="00EE6446" w:rsidRPr="00641A01" w:rsidRDefault="00EE6446" w:rsidP="00641A01">
            <w:pPr>
              <w:spacing w:line="360" w:lineRule="auto"/>
              <w:jc w:val="center"/>
              <w:rPr>
                <w:color w:val="000000"/>
              </w:rPr>
            </w:pPr>
            <w:r w:rsidRPr="00641A01">
              <w:rPr>
                <w:color w:val="000000"/>
              </w:rPr>
              <w:t>0</w:t>
            </w:r>
          </w:p>
        </w:tc>
        <w:tc>
          <w:tcPr>
            <w:tcW w:w="1550" w:type="dxa"/>
            <w:tcBorders>
              <w:top w:val="nil"/>
              <w:left w:val="nil"/>
              <w:right w:val="nil"/>
            </w:tcBorders>
            <w:shd w:val="clear" w:color="auto" w:fill="auto"/>
            <w:noWrap/>
            <w:hideMark/>
          </w:tcPr>
          <w:p w14:paraId="44C1C20B" w14:textId="77777777" w:rsidR="00EE6446" w:rsidRPr="00641A01" w:rsidRDefault="00EE6446" w:rsidP="00641A01">
            <w:pPr>
              <w:spacing w:line="360" w:lineRule="auto"/>
              <w:jc w:val="center"/>
              <w:rPr>
                <w:color w:val="000000"/>
              </w:rPr>
            </w:pPr>
            <w:r w:rsidRPr="00641A01">
              <w:rPr>
                <w:color w:val="000000"/>
              </w:rPr>
              <w:t>9</w:t>
            </w:r>
          </w:p>
        </w:tc>
        <w:tc>
          <w:tcPr>
            <w:tcW w:w="2233" w:type="dxa"/>
            <w:tcBorders>
              <w:top w:val="nil"/>
              <w:left w:val="nil"/>
              <w:right w:val="nil"/>
            </w:tcBorders>
            <w:shd w:val="clear" w:color="auto" w:fill="auto"/>
            <w:noWrap/>
            <w:hideMark/>
          </w:tcPr>
          <w:p w14:paraId="583DEF1F" w14:textId="77777777" w:rsidR="00EE6446" w:rsidRPr="00641A01" w:rsidRDefault="00EE6446" w:rsidP="00641A01">
            <w:pPr>
              <w:tabs>
                <w:tab w:val="decimal" w:pos="943"/>
              </w:tabs>
              <w:spacing w:line="360" w:lineRule="auto"/>
              <w:rPr>
                <w:color w:val="000000"/>
              </w:rPr>
            </w:pPr>
            <w:r w:rsidRPr="00641A01">
              <w:rPr>
                <w:color w:val="000000"/>
              </w:rPr>
              <w:t>1.68</w:t>
            </w:r>
          </w:p>
        </w:tc>
        <w:tc>
          <w:tcPr>
            <w:tcW w:w="2233" w:type="dxa"/>
            <w:tcBorders>
              <w:top w:val="nil"/>
              <w:left w:val="nil"/>
              <w:right w:val="nil"/>
            </w:tcBorders>
            <w:shd w:val="clear" w:color="auto" w:fill="auto"/>
            <w:noWrap/>
            <w:hideMark/>
          </w:tcPr>
          <w:p w14:paraId="5B0B4AE8" w14:textId="77777777" w:rsidR="00EE6446" w:rsidRPr="00641A01" w:rsidRDefault="00EE6446" w:rsidP="00641A01">
            <w:pPr>
              <w:tabs>
                <w:tab w:val="decimal" w:pos="943"/>
              </w:tabs>
              <w:spacing w:line="360" w:lineRule="auto"/>
              <w:rPr>
                <w:color w:val="000000"/>
              </w:rPr>
            </w:pPr>
            <w:r w:rsidRPr="00641A01">
              <w:rPr>
                <w:color w:val="000000"/>
              </w:rPr>
              <w:t>14.45</w:t>
            </w:r>
          </w:p>
        </w:tc>
      </w:tr>
    </w:tbl>
    <w:p w14:paraId="54F03737" w14:textId="77777777" w:rsidR="00641A01" w:rsidRDefault="00641A01" w:rsidP="0007082F">
      <w:pPr>
        <w:spacing w:before="120" w:line="360" w:lineRule="auto"/>
        <w:jc w:val="both"/>
        <w:rPr>
          <w:i/>
          <w:iCs/>
          <w:sz w:val="20"/>
          <w:szCs w:val="20"/>
        </w:rPr>
      </w:pPr>
    </w:p>
    <w:p w14:paraId="1E832EB2" w14:textId="77777777" w:rsidR="00641A01" w:rsidRDefault="00641A01" w:rsidP="0007082F">
      <w:pPr>
        <w:spacing w:before="120" w:line="360" w:lineRule="auto"/>
        <w:jc w:val="both"/>
        <w:rPr>
          <w:i/>
          <w:iCs/>
          <w:sz w:val="20"/>
          <w:szCs w:val="20"/>
        </w:rPr>
      </w:pPr>
    </w:p>
    <w:p w14:paraId="31523400" w14:textId="29A323DA" w:rsidR="004325ED" w:rsidRPr="00641A01" w:rsidRDefault="00641A01" w:rsidP="00641A01">
      <w:pPr>
        <w:spacing w:line="480" w:lineRule="auto"/>
        <w:rPr>
          <w:szCs w:val="20"/>
        </w:rPr>
      </w:pPr>
      <w:r w:rsidRPr="00641A01">
        <w:rPr>
          <w:iCs/>
          <w:szCs w:val="20"/>
        </w:rPr>
        <w:t xml:space="preserve">Table A1 </w:t>
      </w:r>
      <w:r w:rsidR="004325ED" w:rsidRPr="00641A01">
        <w:rPr>
          <w:iCs/>
          <w:szCs w:val="20"/>
        </w:rPr>
        <w:t>Notes:</w:t>
      </w:r>
      <w:r w:rsidR="004325ED" w:rsidRPr="00641A01">
        <w:rPr>
          <w:szCs w:val="20"/>
        </w:rPr>
        <w:t xml:space="preserve"> </w:t>
      </w:r>
      <w:r w:rsidR="00C77631" w:rsidRPr="00641A01">
        <w:rPr>
          <w:szCs w:val="20"/>
        </w:rPr>
        <w:t xml:space="preserve">Data on climate laws and policies come from </w:t>
      </w:r>
      <w:r w:rsidR="00C77631" w:rsidRPr="00641A01">
        <w:rPr>
          <w:i/>
          <w:iCs/>
          <w:szCs w:val="20"/>
        </w:rPr>
        <w:t>Climate Change Laws of the World</w:t>
      </w:r>
      <w:r w:rsidR="00C77631" w:rsidRPr="00641A01">
        <w:rPr>
          <w:szCs w:val="20"/>
        </w:rPr>
        <w:t xml:space="preserve">. Quality-adjusted laws are derived by multiplying each law by the </w:t>
      </w:r>
      <w:r w:rsidR="00006FAA" w:rsidRPr="00641A01">
        <w:rPr>
          <w:szCs w:val="20"/>
        </w:rPr>
        <w:t xml:space="preserve">Rule of Law </w:t>
      </w:r>
      <w:r w:rsidR="00C77631" w:rsidRPr="00641A01">
        <w:rPr>
          <w:szCs w:val="20"/>
        </w:rPr>
        <w:t xml:space="preserve">score (Kaufman et al 2010) in the year it was passed. Life-time quality adjusted laws are calculated as the number of years a law has been in force, multiplied by the </w:t>
      </w:r>
      <w:r w:rsidR="00006FAA" w:rsidRPr="00641A01">
        <w:rPr>
          <w:szCs w:val="20"/>
        </w:rPr>
        <w:t>Rule of Law</w:t>
      </w:r>
      <w:r w:rsidR="00C77631" w:rsidRPr="00641A01">
        <w:rPr>
          <w:szCs w:val="20"/>
        </w:rPr>
        <w:t xml:space="preserve"> score in each year.  All calculations are done over the period 1990-2019.</w:t>
      </w:r>
    </w:p>
    <w:p w14:paraId="39A1B5E6" w14:textId="77777777" w:rsidR="004325ED" w:rsidRPr="00436BB1" w:rsidRDefault="004325ED" w:rsidP="004325ED">
      <w:pPr>
        <w:rPr>
          <w:sz w:val="18"/>
          <w:szCs w:val="18"/>
        </w:rPr>
      </w:pPr>
      <w:r w:rsidRPr="00436BB1">
        <w:rPr>
          <w:sz w:val="18"/>
          <w:szCs w:val="18"/>
        </w:rPr>
        <w:br w:type="page"/>
      </w:r>
    </w:p>
    <w:p w14:paraId="0BCC007D" w14:textId="1838979D" w:rsidR="004325ED" w:rsidRDefault="004325ED" w:rsidP="00A637D6">
      <w:pPr>
        <w:pStyle w:val="Heading2"/>
        <w:keepNext/>
        <w:keepLines/>
        <w:spacing w:after="0" w:line="276" w:lineRule="auto"/>
        <w:rPr>
          <w:b w:val="0"/>
        </w:rPr>
      </w:pPr>
      <w:r w:rsidRPr="00A637D6">
        <w:rPr>
          <w:b w:val="0"/>
        </w:rPr>
        <w:lastRenderedPageBreak/>
        <w:t>Table A2: Climate laws and political orientation</w:t>
      </w:r>
    </w:p>
    <w:p w14:paraId="54F6F229" w14:textId="77777777" w:rsidR="00A637D6" w:rsidRDefault="00A637D6" w:rsidP="00A637D6"/>
    <w:p w14:paraId="20B4EBE2" w14:textId="77777777" w:rsidR="00A637D6" w:rsidRPr="00A637D6" w:rsidRDefault="00A637D6" w:rsidP="00A637D6"/>
    <w:tbl>
      <w:tblPr>
        <w:tblW w:w="4912" w:type="pct"/>
        <w:jc w:val="center"/>
        <w:tblLook w:val="04A0" w:firstRow="1" w:lastRow="0" w:firstColumn="1" w:lastColumn="0" w:noHBand="0" w:noVBand="1"/>
      </w:tblPr>
      <w:tblGrid>
        <w:gridCol w:w="1172"/>
        <w:gridCol w:w="1971"/>
        <w:gridCol w:w="1832"/>
        <w:gridCol w:w="1496"/>
        <w:gridCol w:w="1173"/>
        <w:gridCol w:w="1972"/>
        <w:gridCol w:w="1832"/>
        <w:gridCol w:w="1496"/>
      </w:tblGrid>
      <w:tr w:rsidR="0000498C" w:rsidRPr="0000498C" w14:paraId="33F5795A" w14:textId="77777777" w:rsidTr="0000498C">
        <w:trPr>
          <w:jc w:val="center"/>
        </w:trPr>
        <w:tc>
          <w:tcPr>
            <w:tcW w:w="0" w:type="auto"/>
            <w:tcBorders>
              <w:top w:val="single" w:sz="4" w:space="0" w:color="auto"/>
              <w:left w:val="nil"/>
              <w:bottom w:val="single" w:sz="4" w:space="0" w:color="auto"/>
              <w:right w:val="nil"/>
            </w:tcBorders>
            <w:shd w:val="clear" w:color="auto" w:fill="auto"/>
            <w:noWrap/>
            <w:hideMark/>
          </w:tcPr>
          <w:p w14:paraId="2C3B7D46" w14:textId="77777777" w:rsidR="0000498C" w:rsidRPr="0000498C" w:rsidRDefault="0000498C" w:rsidP="0000498C">
            <w:pPr>
              <w:spacing w:line="360" w:lineRule="auto"/>
              <w:jc w:val="center"/>
              <w:rPr>
                <w:color w:val="000000"/>
              </w:rPr>
            </w:pPr>
            <w:r w:rsidRPr="0000498C">
              <w:rPr>
                <w:color w:val="000000"/>
              </w:rPr>
              <w:t>ISO code</w:t>
            </w:r>
          </w:p>
        </w:tc>
        <w:tc>
          <w:tcPr>
            <w:tcW w:w="0" w:type="auto"/>
            <w:tcBorders>
              <w:top w:val="single" w:sz="4" w:space="0" w:color="auto"/>
              <w:left w:val="nil"/>
              <w:bottom w:val="single" w:sz="4" w:space="0" w:color="auto"/>
              <w:right w:val="nil"/>
            </w:tcBorders>
            <w:shd w:val="clear" w:color="auto" w:fill="auto"/>
            <w:noWrap/>
            <w:hideMark/>
          </w:tcPr>
          <w:p w14:paraId="0141B34F" w14:textId="05A3C0C5" w:rsidR="0000498C" w:rsidRPr="0000498C" w:rsidRDefault="0000498C" w:rsidP="0000498C">
            <w:pPr>
              <w:spacing w:line="360" w:lineRule="auto"/>
              <w:jc w:val="center"/>
              <w:rPr>
                <w:color w:val="000000"/>
              </w:rPr>
            </w:pPr>
            <w:r w:rsidRPr="0000498C">
              <w:rPr>
                <w:color w:val="000000"/>
              </w:rPr>
              <w:t>Right-wing score</w:t>
            </w:r>
          </w:p>
        </w:tc>
        <w:tc>
          <w:tcPr>
            <w:tcW w:w="0" w:type="auto"/>
            <w:tcBorders>
              <w:top w:val="single" w:sz="4" w:space="0" w:color="auto"/>
              <w:left w:val="nil"/>
              <w:bottom w:val="single" w:sz="4" w:space="0" w:color="auto"/>
              <w:right w:val="nil"/>
            </w:tcBorders>
            <w:shd w:val="clear" w:color="auto" w:fill="auto"/>
            <w:noWrap/>
            <w:hideMark/>
          </w:tcPr>
          <w:p w14:paraId="50889F1C" w14:textId="7626E615" w:rsidR="0000498C" w:rsidRPr="0000498C" w:rsidRDefault="0000498C" w:rsidP="0000498C">
            <w:pPr>
              <w:spacing w:line="360" w:lineRule="auto"/>
              <w:jc w:val="center"/>
              <w:rPr>
                <w:color w:val="000000"/>
              </w:rPr>
            </w:pPr>
            <w:r w:rsidRPr="0000498C">
              <w:rPr>
                <w:color w:val="000000"/>
              </w:rPr>
              <w:t>Left-wing score</w:t>
            </w:r>
          </w:p>
        </w:tc>
        <w:tc>
          <w:tcPr>
            <w:tcW w:w="0" w:type="auto"/>
            <w:tcBorders>
              <w:top w:val="single" w:sz="4" w:space="0" w:color="auto"/>
              <w:left w:val="nil"/>
              <w:bottom w:val="single" w:sz="4" w:space="0" w:color="auto"/>
              <w:right w:val="single" w:sz="4" w:space="0" w:color="auto"/>
            </w:tcBorders>
            <w:shd w:val="clear" w:color="auto" w:fill="auto"/>
            <w:noWrap/>
            <w:hideMark/>
          </w:tcPr>
          <w:p w14:paraId="244CE4F8" w14:textId="4D55AD63" w:rsidR="0000498C" w:rsidRPr="0000498C" w:rsidRDefault="0000498C" w:rsidP="0000498C">
            <w:pPr>
              <w:spacing w:line="360" w:lineRule="auto"/>
              <w:jc w:val="center"/>
              <w:rPr>
                <w:color w:val="000000"/>
              </w:rPr>
            </w:pPr>
            <w:r w:rsidRPr="0000498C">
              <w:rPr>
                <w:color w:val="000000"/>
              </w:rPr>
              <w:t>Center score</w:t>
            </w:r>
          </w:p>
        </w:tc>
        <w:tc>
          <w:tcPr>
            <w:tcW w:w="0" w:type="auto"/>
            <w:tcBorders>
              <w:top w:val="single" w:sz="4" w:space="0" w:color="auto"/>
              <w:left w:val="single" w:sz="4" w:space="0" w:color="auto"/>
              <w:bottom w:val="single" w:sz="4" w:space="0" w:color="auto"/>
              <w:right w:val="nil"/>
            </w:tcBorders>
            <w:shd w:val="clear" w:color="auto" w:fill="auto"/>
            <w:noWrap/>
            <w:hideMark/>
          </w:tcPr>
          <w:p w14:paraId="45844B68" w14:textId="77777777" w:rsidR="0000498C" w:rsidRPr="0000498C" w:rsidRDefault="0000498C" w:rsidP="0000498C">
            <w:pPr>
              <w:spacing w:line="360" w:lineRule="auto"/>
              <w:jc w:val="center"/>
              <w:rPr>
                <w:color w:val="000000"/>
              </w:rPr>
            </w:pPr>
            <w:r w:rsidRPr="0000498C">
              <w:rPr>
                <w:color w:val="000000"/>
              </w:rPr>
              <w:t>ISO code</w:t>
            </w:r>
          </w:p>
        </w:tc>
        <w:tc>
          <w:tcPr>
            <w:tcW w:w="0" w:type="auto"/>
            <w:tcBorders>
              <w:top w:val="single" w:sz="4" w:space="0" w:color="auto"/>
              <w:left w:val="nil"/>
              <w:bottom w:val="single" w:sz="4" w:space="0" w:color="auto"/>
              <w:right w:val="nil"/>
            </w:tcBorders>
            <w:shd w:val="clear" w:color="auto" w:fill="auto"/>
            <w:noWrap/>
            <w:hideMark/>
          </w:tcPr>
          <w:p w14:paraId="7F4DB356" w14:textId="6AE98F3F" w:rsidR="0000498C" w:rsidRPr="0000498C" w:rsidRDefault="0000498C" w:rsidP="0000498C">
            <w:pPr>
              <w:spacing w:line="360" w:lineRule="auto"/>
              <w:jc w:val="center"/>
              <w:rPr>
                <w:color w:val="000000"/>
              </w:rPr>
            </w:pPr>
            <w:r w:rsidRPr="0000498C">
              <w:rPr>
                <w:color w:val="000000"/>
              </w:rPr>
              <w:t>Right-wing score</w:t>
            </w:r>
          </w:p>
        </w:tc>
        <w:tc>
          <w:tcPr>
            <w:tcW w:w="0" w:type="auto"/>
            <w:tcBorders>
              <w:top w:val="single" w:sz="4" w:space="0" w:color="auto"/>
              <w:left w:val="nil"/>
              <w:bottom w:val="single" w:sz="4" w:space="0" w:color="auto"/>
              <w:right w:val="nil"/>
            </w:tcBorders>
            <w:shd w:val="clear" w:color="auto" w:fill="auto"/>
            <w:noWrap/>
            <w:hideMark/>
          </w:tcPr>
          <w:p w14:paraId="62E5F349" w14:textId="1D294D63" w:rsidR="0000498C" w:rsidRPr="0000498C" w:rsidRDefault="0000498C" w:rsidP="0000498C">
            <w:pPr>
              <w:spacing w:line="360" w:lineRule="auto"/>
              <w:jc w:val="center"/>
              <w:rPr>
                <w:color w:val="000000"/>
              </w:rPr>
            </w:pPr>
            <w:r w:rsidRPr="0000498C">
              <w:rPr>
                <w:color w:val="000000"/>
              </w:rPr>
              <w:t>Left-wing score</w:t>
            </w:r>
          </w:p>
        </w:tc>
        <w:tc>
          <w:tcPr>
            <w:tcW w:w="0" w:type="auto"/>
            <w:tcBorders>
              <w:top w:val="single" w:sz="4" w:space="0" w:color="auto"/>
              <w:left w:val="nil"/>
              <w:bottom w:val="single" w:sz="4" w:space="0" w:color="auto"/>
              <w:right w:val="nil"/>
            </w:tcBorders>
            <w:shd w:val="clear" w:color="auto" w:fill="auto"/>
            <w:noWrap/>
            <w:hideMark/>
          </w:tcPr>
          <w:p w14:paraId="2AB319E7" w14:textId="548A9F36" w:rsidR="0000498C" w:rsidRPr="0000498C" w:rsidRDefault="0000498C" w:rsidP="0000498C">
            <w:pPr>
              <w:spacing w:line="360" w:lineRule="auto"/>
              <w:jc w:val="center"/>
              <w:rPr>
                <w:color w:val="000000"/>
              </w:rPr>
            </w:pPr>
            <w:r w:rsidRPr="0000498C">
              <w:rPr>
                <w:color w:val="000000"/>
              </w:rPr>
              <w:t>Center score</w:t>
            </w:r>
          </w:p>
        </w:tc>
      </w:tr>
      <w:tr w:rsidR="0000498C" w:rsidRPr="0000498C" w14:paraId="6E65695D" w14:textId="77777777" w:rsidTr="0000498C">
        <w:trPr>
          <w:jc w:val="center"/>
        </w:trPr>
        <w:tc>
          <w:tcPr>
            <w:tcW w:w="0" w:type="auto"/>
            <w:tcBorders>
              <w:top w:val="single" w:sz="4" w:space="0" w:color="auto"/>
              <w:left w:val="nil"/>
              <w:bottom w:val="nil"/>
              <w:right w:val="nil"/>
            </w:tcBorders>
            <w:shd w:val="clear" w:color="auto" w:fill="auto"/>
            <w:noWrap/>
            <w:hideMark/>
          </w:tcPr>
          <w:p w14:paraId="6B3D41A4" w14:textId="77777777" w:rsidR="0000498C" w:rsidRPr="0000498C" w:rsidRDefault="0000498C" w:rsidP="0000498C">
            <w:pPr>
              <w:spacing w:line="360" w:lineRule="auto"/>
              <w:jc w:val="center"/>
              <w:rPr>
                <w:color w:val="000000"/>
              </w:rPr>
            </w:pPr>
          </w:p>
        </w:tc>
        <w:tc>
          <w:tcPr>
            <w:tcW w:w="0" w:type="auto"/>
            <w:tcBorders>
              <w:top w:val="single" w:sz="4" w:space="0" w:color="auto"/>
              <w:left w:val="nil"/>
              <w:bottom w:val="nil"/>
              <w:right w:val="nil"/>
            </w:tcBorders>
            <w:shd w:val="clear" w:color="auto" w:fill="auto"/>
            <w:noWrap/>
            <w:hideMark/>
          </w:tcPr>
          <w:p w14:paraId="280C2984" w14:textId="77777777" w:rsidR="0000498C" w:rsidRPr="0000498C" w:rsidRDefault="0000498C" w:rsidP="0000498C">
            <w:pPr>
              <w:spacing w:line="360" w:lineRule="auto"/>
              <w:jc w:val="center"/>
            </w:pPr>
          </w:p>
        </w:tc>
        <w:tc>
          <w:tcPr>
            <w:tcW w:w="0" w:type="auto"/>
            <w:tcBorders>
              <w:top w:val="single" w:sz="4" w:space="0" w:color="auto"/>
              <w:left w:val="nil"/>
              <w:bottom w:val="nil"/>
              <w:right w:val="nil"/>
            </w:tcBorders>
            <w:shd w:val="clear" w:color="auto" w:fill="auto"/>
            <w:noWrap/>
            <w:hideMark/>
          </w:tcPr>
          <w:p w14:paraId="75A16705" w14:textId="77777777" w:rsidR="0000498C" w:rsidRPr="0000498C" w:rsidRDefault="0000498C" w:rsidP="0000498C">
            <w:pPr>
              <w:spacing w:line="360" w:lineRule="auto"/>
              <w:jc w:val="center"/>
            </w:pPr>
          </w:p>
        </w:tc>
        <w:tc>
          <w:tcPr>
            <w:tcW w:w="0" w:type="auto"/>
            <w:tcBorders>
              <w:top w:val="single" w:sz="4" w:space="0" w:color="auto"/>
              <w:left w:val="nil"/>
              <w:bottom w:val="nil"/>
              <w:right w:val="single" w:sz="4" w:space="0" w:color="auto"/>
            </w:tcBorders>
            <w:shd w:val="clear" w:color="auto" w:fill="auto"/>
            <w:noWrap/>
            <w:hideMark/>
          </w:tcPr>
          <w:p w14:paraId="4BFA2240" w14:textId="77777777" w:rsidR="0000498C" w:rsidRPr="0000498C" w:rsidRDefault="0000498C" w:rsidP="0000498C">
            <w:pPr>
              <w:spacing w:line="360" w:lineRule="auto"/>
              <w:jc w:val="center"/>
            </w:pPr>
          </w:p>
        </w:tc>
        <w:tc>
          <w:tcPr>
            <w:tcW w:w="0" w:type="auto"/>
            <w:tcBorders>
              <w:top w:val="single" w:sz="4" w:space="0" w:color="auto"/>
              <w:left w:val="single" w:sz="4" w:space="0" w:color="auto"/>
              <w:bottom w:val="nil"/>
              <w:right w:val="nil"/>
            </w:tcBorders>
            <w:shd w:val="clear" w:color="auto" w:fill="auto"/>
            <w:noWrap/>
            <w:hideMark/>
          </w:tcPr>
          <w:p w14:paraId="7A955F55" w14:textId="77777777" w:rsidR="0000498C" w:rsidRPr="0000498C" w:rsidRDefault="0000498C" w:rsidP="0000498C">
            <w:pPr>
              <w:spacing w:line="360" w:lineRule="auto"/>
              <w:jc w:val="center"/>
            </w:pPr>
          </w:p>
        </w:tc>
        <w:tc>
          <w:tcPr>
            <w:tcW w:w="0" w:type="auto"/>
            <w:tcBorders>
              <w:top w:val="single" w:sz="4" w:space="0" w:color="auto"/>
              <w:left w:val="nil"/>
              <w:bottom w:val="nil"/>
              <w:right w:val="nil"/>
            </w:tcBorders>
            <w:shd w:val="clear" w:color="auto" w:fill="auto"/>
            <w:noWrap/>
            <w:hideMark/>
          </w:tcPr>
          <w:p w14:paraId="4F7726C1" w14:textId="77777777" w:rsidR="0000498C" w:rsidRPr="0000498C" w:rsidRDefault="0000498C" w:rsidP="0000498C">
            <w:pPr>
              <w:spacing w:line="360" w:lineRule="auto"/>
              <w:jc w:val="center"/>
            </w:pPr>
          </w:p>
        </w:tc>
        <w:tc>
          <w:tcPr>
            <w:tcW w:w="0" w:type="auto"/>
            <w:tcBorders>
              <w:top w:val="single" w:sz="4" w:space="0" w:color="auto"/>
              <w:left w:val="nil"/>
              <w:bottom w:val="nil"/>
              <w:right w:val="nil"/>
            </w:tcBorders>
            <w:shd w:val="clear" w:color="auto" w:fill="auto"/>
            <w:noWrap/>
            <w:hideMark/>
          </w:tcPr>
          <w:p w14:paraId="2916A317" w14:textId="77777777" w:rsidR="0000498C" w:rsidRPr="0000498C" w:rsidRDefault="0000498C" w:rsidP="0000498C">
            <w:pPr>
              <w:spacing w:line="360" w:lineRule="auto"/>
              <w:jc w:val="center"/>
            </w:pPr>
          </w:p>
        </w:tc>
        <w:tc>
          <w:tcPr>
            <w:tcW w:w="0" w:type="auto"/>
            <w:tcBorders>
              <w:top w:val="single" w:sz="4" w:space="0" w:color="auto"/>
              <w:left w:val="nil"/>
              <w:bottom w:val="nil"/>
              <w:right w:val="nil"/>
            </w:tcBorders>
            <w:shd w:val="clear" w:color="auto" w:fill="auto"/>
            <w:noWrap/>
            <w:hideMark/>
          </w:tcPr>
          <w:p w14:paraId="647B6F30" w14:textId="77777777" w:rsidR="0000498C" w:rsidRPr="0000498C" w:rsidRDefault="0000498C" w:rsidP="0000498C">
            <w:pPr>
              <w:spacing w:line="360" w:lineRule="auto"/>
              <w:jc w:val="center"/>
            </w:pPr>
          </w:p>
        </w:tc>
      </w:tr>
      <w:tr w:rsidR="0000498C" w:rsidRPr="0000498C" w14:paraId="7591EBA9" w14:textId="77777777" w:rsidTr="0000498C">
        <w:trPr>
          <w:jc w:val="center"/>
        </w:trPr>
        <w:tc>
          <w:tcPr>
            <w:tcW w:w="0" w:type="auto"/>
            <w:tcBorders>
              <w:top w:val="nil"/>
              <w:left w:val="nil"/>
              <w:bottom w:val="nil"/>
              <w:right w:val="nil"/>
            </w:tcBorders>
            <w:shd w:val="clear" w:color="auto" w:fill="auto"/>
            <w:noWrap/>
          </w:tcPr>
          <w:p w14:paraId="43880853" w14:textId="77777777" w:rsidR="0000498C" w:rsidRPr="0000498C" w:rsidRDefault="0000498C" w:rsidP="0000498C">
            <w:pPr>
              <w:spacing w:line="360" w:lineRule="auto"/>
              <w:jc w:val="center"/>
              <w:rPr>
                <w:color w:val="000000"/>
              </w:rPr>
            </w:pPr>
          </w:p>
        </w:tc>
        <w:tc>
          <w:tcPr>
            <w:tcW w:w="0" w:type="auto"/>
            <w:tcBorders>
              <w:top w:val="nil"/>
              <w:left w:val="nil"/>
              <w:bottom w:val="nil"/>
              <w:right w:val="nil"/>
            </w:tcBorders>
            <w:shd w:val="clear" w:color="auto" w:fill="auto"/>
            <w:noWrap/>
          </w:tcPr>
          <w:p w14:paraId="54B43596" w14:textId="77777777" w:rsidR="0000498C" w:rsidRPr="0000498C" w:rsidRDefault="0000498C" w:rsidP="0000498C">
            <w:pPr>
              <w:spacing w:line="360" w:lineRule="auto"/>
              <w:jc w:val="center"/>
              <w:rPr>
                <w:color w:val="000000"/>
              </w:rPr>
            </w:pPr>
          </w:p>
        </w:tc>
        <w:tc>
          <w:tcPr>
            <w:tcW w:w="0" w:type="auto"/>
            <w:tcBorders>
              <w:top w:val="nil"/>
              <w:left w:val="nil"/>
              <w:bottom w:val="nil"/>
              <w:right w:val="nil"/>
            </w:tcBorders>
            <w:shd w:val="clear" w:color="auto" w:fill="auto"/>
            <w:noWrap/>
          </w:tcPr>
          <w:p w14:paraId="2078A8BD" w14:textId="77777777" w:rsidR="0000498C" w:rsidRPr="0000498C" w:rsidRDefault="0000498C" w:rsidP="0000498C">
            <w:pPr>
              <w:spacing w:line="360" w:lineRule="auto"/>
              <w:jc w:val="center"/>
              <w:rPr>
                <w:color w:val="000000"/>
              </w:rPr>
            </w:pPr>
          </w:p>
        </w:tc>
        <w:tc>
          <w:tcPr>
            <w:tcW w:w="0" w:type="auto"/>
            <w:tcBorders>
              <w:top w:val="nil"/>
              <w:left w:val="nil"/>
              <w:bottom w:val="nil"/>
              <w:right w:val="single" w:sz="4" w:space="0" w:color="auto"/>
            </w:tcBorders>
            <w:shd w:val="clear" w:color="auto" w:fill="auto"/>
            <w:noWrap/>
          </w:tcPr>
          <w:p w14:paraId="4FEE2E0E" w14:textId="77777777" w:rsidR="0000498C" w:rsidRPr="0000498C" w:rsidRDefault="0000498C" w:rsidP="0000498C">
            <w:pPr>
              <w:spacing w:line="360" w:lineRule="auto"/>
              <w:jc w:val="center"/>
              <w:rPr>
                <w:color w:val="000000"/>
              </w:rPr>
            </w:pPr>
          </w:p>
        </w:tc>
        <w:tc>
          <w:tcPr>
            <w:tcW w:w="0" w:type="auto"/>
            <w:tcBorders>
              <w:top w:val="nil"/>
              <w:left w:val="single" w:sz="4" w:space="0" w:color="auto"/>
              <w:bottom w:val="nil"/>
              <w:right w:val="nil"/>
            </w:tcBorders>
            <w:shd w:val="clear" w:color="auto" w:fill="auto"/>
            <w:noWrap/>
          </w:tcPr>
          <w:p w14:paraId="1476B2C8" w14:textId="77777777" w:rsidR="0000498C" w:rsidRPr="0000498C" w:rsidRDefault="0000498C" w:rsidP="0000498C">
            <w:pPr>
              <w:spacing w:line="360" w:lineRule="auto"/>
              <w:jc w:val="center"/>
              <w:rPr>
                <w:color w:val="000000"/>
              </w:rPr>
            </w:pPr>
          </w:p>
        </w:tc>
        <w:tc>
          <w:tcPr>
            <w:tcW w:w="0" w:type="auto"/>
            <w:tcBorders>
              <w:top w:val="nil"/>
              <w:left w:val="nil"/>
              <w:bottom w:val="nil"/>
              <w:right w:val="nil"/>
            </w:tcBorders>
            <w:shd w:val="clear" w:color="auto" w:fill="auto"/>
            <w:noWrap/>
          </w:tcPr>
          <w:p w14:paraId="28B550BD" w14:textId="77777777" w:rsidR="0000498C" w:rsidRPr="0000498C" w:rsidRDefault="0000498C" w:rsidP="0000498C">
            <w:pPr>
              <w:spacing w:line="360" w:lineRule="auto"/>
              <w:jc w:val="center"/>
              <w:rPr>
                <w:color w:val="000000"/>
              </w:rPr>
            </w:pPr>
          </w:p>
        </w:tc>
        <w:tc>
          <w:tcPr>
            <w:tcW w:w="0" w:type="auto"/>
            <w:tcBorders>
              <w:top w:val="nil"/>
              <w:left w:val="nil"/>
              <w:bottom w:val="nil"/>
              <w:right w:val="nil"/>
            </w:tcBorders>
            <w:shd w:val="clear" w:color="auto" w:fill="auto"/>
            <w:noWrap/>
          </w:tcPr>
          <w:p w14:paraId="4EE73156" w14:textId="77777777" w:rsidR="0000498C" w:rsidRPr="0000498C" w:rsidRDefault="0000498C" w:rsidP="0000498C">
            <w:pPr>
              <w:spacing w:line="360" w:lineRule="auto"/>
              <w:jc w:val="center"/>
              <w:rPr>
                <w:color w:val="000000"/>
              </w:rPr>
            </w:pPr>
          </w:p>
        </w:tc>
        <w:tc>
          <w:tcPr>
            <w:tcW w:w="0" w:type="auto"/>
            <w:tcBorders>
              <w:top w:val="nil"/>
              <w:left w:val="nil"/>
              <w:bottom w:val="nil"/>
              <w:right w:val="nil"/>
            </w:tcBorders>
            <w:shd w:val="clear" w:color="auto" w:fill="auto"/>
            <w:noWrap/>
          </w:tcPr>
          <w:p w14:paraId="165C7F72" w14:textId="77777777" w:rsidR="0000498C" w:rsidRPr="0000498C" w:rsidRDefault="0000498C" w:rsidP="0000498C">
            <w:pPr>
              <w:spacing w:line="360" w:lineRule="auto"/>
              <w:jc w:val="center"/>
            </w:pPr>
          </w:p>
        </w:tc>
      </w:tr>
      <w:tr w:rsidR="0000498C" w:rsidRPr="0000498C" w14:paraId="1839D66D" w14:textId="77777777" w:rsidTr="0000498C">
        <w:trPr>
          <w:jc w:val="center"/>
        </w:trPr>
        <w:tc>
          <w:tcPr>
            <w:tcW w:w="0" w:type="auto"/>
            <w:tcBorders>
              <w:top w:val="nil"/>
              <w:left w:val="nil"/>
              <w:bottom w:val="nil"/>
              <w:right w:val="nil"/>
            </w:tcBorders>
            <w:shd w:val="clear" w:color="auto" w:fill="auto"/>
            <w:noWrap/>
            <w:hideMark/>
          </w:tcPr>
          <w:p w14:paraId="7A0ABBE2" w14:textId="77777777" w:rsidR="0000498C" w:rsidRPr="0000498C" w:rsidRDefault="0000498C" w:rsidP="0000498C">
            <w:pPr>
              <w:spacing w:line="360" w:lineRule="auto"/>
              <w:jc w:val="center"/>
              <w:rPr>
                <w:color w:val="000000"/>
              </w:rPr>
            </w:pPr>
            <w:r w:rsidRPr="0000498C">
              <w:rPr>
                <w:color w:val="000000"/>
              </w:rPr>
              <w:t>ALB</w:t>
            </w:r>
          </w:p>
        </w:tc>
        <w:tc>
          <w:tcPr>
            <w:tcW w:w="0" w:type="auto"/>
            <w:tcBorders>
              <w:top w:val="nil"/>
              <w:left w:val="nil"/>
              <w:bottom w:val="nil"/>
              <w:right w:val="nil"/>
            </w:tcBorders>
            <w:shd w:val="clear" w:color="auto" w:fill="auto"/>
            <w:noWrap/>
            <w:hideMark/>
          </w:tcPr>
          <w:p w14:paraId="08D6D94C" w14:textId="77777777" w:rsidR="0000498C" w:rsidRPr="0000498C" w:rsidRDefault="0000498C" w:rsidP="0000498C">
            <w:pPr>
              <w:tabs>
                <w:tab w:val="decimal" w:pos="602"/>
              </w:tabs>
              <w:spacing w:line="360" w:lineRule="auto"/>
              <w:rPr>
                <w:color w:val="000000"/>
              </w:rPr>
            </w:pPr>
            <w:r w:rsidRPr="0000498C">
              <w:rPr>
                <w:color w:val="000000"/>
              </w:rPr>
              <w:t>0.718</w:t>
            </w:r>
          </w:p>
        </w:tc>
        <w:tc>
          <w:tcPr>
            <w:tcW w:w="0" w:type="auto"/>
            <w:tcBorders>
              <w:top w:val="nil"/>
              <w:left w:val="nil"/>
              <w:bottom w:val="nil"/>
              <w:right w:val="nil"/>
            </w:tcBorders>
            <w:shd w:val="clear" w:color="auto" w:fill="auto"/>
            <w:noWrap/>
            <w:hideMark/>
          </w:tcPr>
          <w:p w14:paraId="355AE664" w14:textId="77777777" w:rsidR="0000498C" w:rsidRPr="0000498C" w:rsidRDefault="0000498C" w:rsidP="0000498C">
            <w:pPr>
              <w:tabs>
                <w:tab w:val="decimal" w:pos="551"/>
              </w:tabs>
              <w:spacing w:line="360" w:lineRule="auto"/>
              <w:rPr>
                <w:color w:val="000000"/>
              </w:rPr>
            </w:pPr>
            <w:r w:rsidRPr="0000498C">
              <w:rPr>
                <w:color w:val="000000"/>
              </w:rPr>
              <w:t>1.244</w:t>
            </w:r>
          </w:p>
        </w:tc>
        <w:tc>
          <w:tcPr>
            <w:tcW w:w="0" w:type="auto"/>
            <w:tcBorders>
              <w:top w:val="nil"/>
              <w:left w:val="nil"/>
              <w:bottom w:val="nil"/>
              <w:right w:val="single" w:sz="4" w:space="0" w:color="auto"/>
            </w:tcBorders>
            <w:shd w:val="clear" w:color="auto" w:fill="auto"/>
            <w:noWrap/>
            <w:hideMark/>
          </w:tcPr>
          <w:p w14:paraId="7B45637D"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0CDF38B3" w14:textId="77777777" w:rsidR="0000498C" w:rsidRPr="0000498C" w:rsidRDefault="0000498C" w:rsidP="0000498C">
            <w:pPr>
              <w:spacing w:line="360" w:lineRule="auto"/>
              <w:jc w:val="center"/>
              <w:rPr>
                <w:color w:val="000000"/>
              </w:rPr>
            </w:pPr>
            <w:r w:rsidRPr="0000498C">
              <w:rPr>
                <w:color w:val="000000"/>
              </w:rPr>
              <w:t>KGZ</w:t>
            </w:r>
          </w:p>
        </w:tc>
        <w:tc>
          <w:tcPr>
            <w:tcW w:w="0" w:type="auto"/>
            <w:tcBorders>
              <w:top w:val="nil"/>
              <w:left w:val="nil"/>
              <w:bottom w:val="nil"/>
              <w:right w:val="nil"/>
            </w:tcBorders>
            <w:shd w:val="clear" w:color="auto" w:fill="auto"/>
            <w:noWrap/>
            <w:hideMark/>
          </w:tcPr>
          <w:p w14:paraId="6A8ED67C" w14:textId="77777777" w:rsidR="0000498C" w:rsidRPr="0000498C" w:rsidRDefault="0000498C" w:rsidP="0000498C">
            <w:pPr>
              <w:tabs>
                <w:tab w:val="decimal" w:pos="610"/>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04C73A60"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6A173ADB" w14:textId="77777777" w:rsidR="0000498C" w:rsidRPr="0000498C" w:rsidRDefault="0000498C" w:rsidP="0000498C">
            <w:pPr>
              <w:tabs>
                <w:tab w:val="decimal" w:pos="421"/>
              </w:tabs>
              <w:spacing w:line="360" w:lineRule="auto"/>
            </w:pPr>
          </w:p>
        </w:tc>
      </w:tr>
      <w:tr w:rsidR="0000498C" w:rsidRPr="0000498C" w14:paraId="69B798A5" w14:textId="77777777" w:rsidTr="0000498C">
        <w:trPr>
          <w:jc w:val="center"/>
        </w:trPr>
        <w:tc>
          <w:tcPr>
            <w:tcW w:w="0" w:type="auto"/>
            <w:tcBorders>
              <w:top w:val="nil"/>
              <w:left w:val="nil"/>
              <w:bottom w:val="nil"/>
              <w:right w:val="nil"/>
            </w:tcBorders>
            <w:shd w:val="clear" w:color="auto" w:fill="auto"/>
            <w:noWrap/>
            <w:hideMark/>
          </w:tcPr>
          <w:p w14:paraId="7DE3D887" w14:textId="77777777" w:rsidR="0000498C" w:rsidRPr="0000498C" w:rsidRDefault="0000498C" w:rsidP="0000498C">
            <w:pPr>
              <w:spacing w:line="360" w:lineRule="auto"/>
              <w:jc w:val="center"/>
              <w:rPr>
                <w:color w:val="000000"/>
              </w:rPr>
            </w:pPr>
            <w:r w:rsidRPr="0000498C">
              <w:rPr>
                <w:color w:val="000000"/>
              </w:rPr>
              <w:t>ARG</w:t>
            </w:r>
          </w:p>
        </w:tc>
        <w:tc>
          <w:tcPr>
            <w:tcW w:w="0" w:type="auto"/>
            <w:tcBorders>
              <w:top w:val="nil"/>
              <w:left w:val="nil"/>
              <w:bottom w:val="nil"/>
              <w:right w:val="nil"/>
            </w:tcBorders>
            <w:shd w:val="clear" w:color="auto" w:fill="auto"/>
            <w:noWrap/>
            <w:hideMark/>
          </w:tcPr>
          <w:p w14:paraId="28F6B771" w14:textId="77777777" w:rsidR="0000498C" w:rsidRPr="0000498C" w:rsidRDefault="0000498C" w:rsidP="0000498C">
            <w:pPr>
              <w:tabs>
                <w:tab w:val="decimal" w:pos="602"/>
              </w:tabs>
              <w:spacing w:line="360" w:lineRule="auto"/>
              <w:rPr>
                <w:color w:val="000000"/>
              </w:rPr>
            </w:pPr>
            <w:r w:rsidRPr="0000498C">
              <w:rPr>
                <w:color w:val="000000"/>
              </w:rPr>
              <w:t>0.800</w:t>
            </w:r>
          </w:p>
        </w:tc>
        <w:tc>
          <w:tcPr>
            <w:tcW w:w="0" w:type="auto"/>
            <w:tcBorders>
              <w:top w:val="nil"/>
              <w:left w:val="nil"/>
              <w:bottom w:val="nil"/>
              <w:right w:val="nil"/>
            </w:tcBorders>
            <w:shd w:val="clear" w:color="auto" w:fill="auto"/>
            <w:noWrap/>
            <w:hideMark/>
          </w:tcPr>
          <w:p w14:paraId="1BE84265" w14:textId="77777777" w:rsidR="0000498C" w:rsidRPr="0000498C" w:rsidRDefault="0000498C" w:rsidP="0000498C">
            <w:pPr>
              <w:tabs>
                <w:tab w:val="decimal" w:pos="551"/>
              </w:tabs>
              <w:spacing w:line="360" w:lineRule="auto"/>
              <w:rPr>
                <w:color w:val="000000"/>
              </w:rPr>
            </w:pPr>
            <w:r w:rsidRPr="0000498C">
              <w:rPr>
                <w:color w:val="000000"/>
              </w:rPr>
              <w:t>1.400</w:t>
            </w:r>
          </w:p>
        </w:tc>
        <w:tc>
          <w:tcPr>
            <w:tcW w:w="0" w:type="auto"/>
            <w:tcBorders>
              <w:top w:val="nil"/>
              <w:left w:val="nil"/>
              <w:bottom w:val="nil"/>
              <w:right w:val="single" w:sz="4" w:space="0" w:color="auto"/>
            </w:tcBorders>
            <w:shd w:val="clear" w:color="auto" w:fill="auto"/>
            <w:noWrap/>
            <w:hideMark/>
          </w:tcPr>
          <w:p w14:paraId="3847D616" w14:textId="77777777" w:rsidR="0000498C" w:rsidRPr="0000498C" w:rsidRDefault="0000498C" w:rsidP="0000498C">
            <w:pPr>
              <w:tabs>
                <w:tab w:val="decimal" w:pos="414"/>
              </w:tabs>
              <w:spacing w:line="360" w:lineRule="auto"/>
              <w:rPr>
                <w:color w:val="000000"/>
              </w:rPr>
            </w:pPr>
            <w:r w:rsidRPr="0000498C">
              <w:rPr>
                <w:color w:val="000000"/>
              </w:rPr>
              <w:t>0.000</w:t>
            </w:r>
          </w:p>
        </w:tc>
        <w:tc>
          <w:tcPr>
            <w:tcW w:w="0" w:type="auto"/>
            <w:tcBorders>
              <w:top w:val="nil"/>
              <w:left w:val="single" w:sz="4" w:space="0" w:color="auto"/>
              <w:bottom w:val="nil"/>
              <w:right w:val="nil"/>
            </w:tcBorders>
            <w:shd w:val="clear" w:color="auto" w:fill="auto"/>
            <w:noWrap/>
            <w:hideMark/>
          </w:tcPr>
          <w:p w14:paraId="39B66B00" w14:textId="77777777" w:rsidR="0000498C" w:rsidRPr="0000498C" w:rsidRDefault="0000498C" w:rsidP="0000498C">
            <w:pPr>
              <w:spacing w:line="360" w:lineRule="auto"/>
              <w:jc w:val="center"/>
              <w:rPr>
                <w:color w:val="000000"/>
              </w:rPr>
            </w:pPr>
            <w:r w:rsidRPr="0000498C">
              <w:rPr>
                <w:color w:val="000000"/>
              </w:rPr>
              <w:t>KOR</w:t>
            </w:r>
          </w:p>
        </w:tc>
        <w:tc>
          <w:tcPr>
            <w:tcW w:w="0" w:type="auto"/>
            <w:tcBorders>
              <w:top w:val="nil"/>
              <w:left w:val="nil"/>
              <w:bottom w:val="nil"/>
              <w:right w:val="nil"/>
            </w:tcBorders>
            <w:shd w:val="clear" w:color="auto" w:fill="auto"/>
            <w:noWrap/>
            <w:hideMark/>
          </w:tcPr>
          <w:p w14:paraId="2633A476" w14:textId="77777777" w:rsidR="0000498C" w:rsidRPr="0000498C" w:rsidRDefault="0000498C" w:rsidP="0000498C">
            <w:pPr>
              <w:tabs>
                <w:tab w:val="decimal" w:pos="610"/>
              </w:tabs>
              <w:spacing w:line="360" w:lineRule="auto"/>
              <w:rPr>
                <w:color w:val="000000"/>
              </w:rPr>
            </w:pPr>
            <w:r w:rsidRPr="0000498C">
              <w:rPr>
                <w:color w:val="000000"/>
              </w:rPr>
              <w:t>1.193</w:t>
            </w:r>
          </w:p>
        </w:tc>
        <w:tc>
          <w:tcPr>
            <w:tcW w:w="0" w:type="auto"/>
            <w:tcBorders>
              <w:top w:val="nil"/>
              <w:left w:val="nil"/>
              <w:bottom w:val="nil"/>
              <w:right w:val="nil"/>
            </w:tcBorders>
            <w:shd w:val="clear" w:color="auto" w:fill="auto"/>
            <w:noWrap/>
            <w:hideMark/>
          </w:tcPr>
          <w:p w14:paraId="263904F5"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747FE66B" w14:textId="77777777" w:rsidR="0000498C" w:rsidRPr="0000498C" w:rsidRDefault="0000498C" w:rsidP="0000498C">
            <w:pPr>
              <w:tabs>
                <w:tab w:val="decimal" w:pos="421"/>
              </w:tabs>
              <w:spacing w:line="360" w:lineRule="auto"/>
              <w:rPr>
                <w:color w:val="000000"/>
              </w:rPr>
            </w:pPr>
            <w:r w:rsidRPr="0000498C">
              <w:rPr>
                <w:color w:val="000000"/>
              </w:rPr>
              <w:t>0.742</w:t>
            </w:r>
          </w:p>
        </w:tc>
      </w:tr>
      <w:tr w:rsidR="0000498C" w:rsidRPr="0000498C" w14:paraId="04C4B980" w14:textId="77777777" w:rsidTr="0000498C">
        <w:trPr>
          <w:jc w:val="center"/>
        </w:trPr>
        <w:tc>
          <w:tcPr>
            <w:tcW w:w="0" w:type="auto"/>
            <w:tcBorders>
              <w:top w:val="nil"/>
              <w:left w:val="nil"/>
              <w:bottom w:val="nil"/>
              <w:right w:val="nil"/>
            </w:tcBorders>
            <w:shd w:val="clear" w:color="auto" w:fill="auto"/>
            <w:noWrap/>
            <w:hideMark/>
          </w:tcPr>
          <w:p w14:paraId="4367E2DC" w14:textId="77777777" w:rsidR="0000498C" w:rsidRPr="0000498C" w:rsidRDefault="0000498C" w:rsidP="0000498C">
            <w:pPr>
              <w:spacing w:line="360" w:lineRule="auto"/>
              <w:jc w:val="center"/>
              <w:rPr>
                <w:color w:val="000000"/>
              </w:rPr>
            </w:pPr>
            <w:r w:rsidRPr="0000498C">
              <w:rPr>
                <w:color w:val="000000"/>
              </w:rPr>
              <w:t>AUS</w:t>
            </w:r>
          </w:p>
        </w:tc>
        <w:tc>
          <w:tcPr>
            <w:tcW w:w="0" w:type="auto"/>
            <w:tcBorders>
              <w:top w:val="nil"/>
              <w:left w:val="nil"/>
              <w:bottom w:val="nil"/>
              <w:right w:val="nil"/>
            </w:tcBorders>
            <w:shd w:val="clear" w:color="auto" w:fill="auto"/>
            <w:noWrap/>
            <w:hideMark/>
          </w:tcPr>
          <w:p w14:paraId="0376E180" w14:textId="77777777" w:rsidR="0000498C" w:rsidRPr="0000498C" w:rsidRDefault="0000498C" w:rsidP="0000498C">
            <w:pPr>
              <w:tabs>
                <w:tab w:val="decimal" w:pos="602"/>
              </w:tabs>
              <w:spacing w:line="360" w:lineRule="auto"/>
              <w:rPr>
                <w:color w:val="000000"/>
              </w:rPr>
            </w:pPr>
            <w:r w:rsidRPr="0000498C">
              <w:rPr>
                <w:color w:val="000000"/>
              </w:rPr>
              <w:t>0.659</w:t>
            </w:r>
          </w:p>
        </w:tc>
        <w:tc>
          <w:tcPr>
            <w:tcW w:w="0" w:type="auto"/>
            <w:tcBorders>
              <w:top w:val="nil"/>
              <w:left w:val="nil"/>
              <w:bottom w:val="nil"/>
              <w:right w:val="nil"/>
            </w:tcBorders>
            <w:shd w:val="clear" w:color="auto" w:fill="auto"/>
            <w:noWrap/>
            <w:hideMark/>
          </w:tcPr>
          <w:p w14:paraId="02B59B3C" w14:textId="77777777" w:rsidR="0000498C" w:rsidRPr="0000498C" w:rsidRDefault="0000498C" w:rsidP="0000498C">
            <w:pPr>
              <w:tabs>
                <w:tab w:val="decimal" w:pos="551"/>
              </w:tabs>
              <w:spacing w:line="360" w:lineRule="auto"/>
              <w:rPr>
                <w:color w:val="000000"/>
              </w:rPr>
            </w:pPr>
            <w:r w:rsidRPr="0000498C">
              <w:rPr>
                <w:color w:val="000000"/>
              </w:rPr>
              <w:t>1.394</w:t>
            </w:r>
          </w:p>
        </w:tc>
        <w:tc>
          <w:tcPr>
            <w:tcW w:w="0" w:type="auto"/>
            <w:tcBorders>
              <w:top w:val="nil"/>
              <w:left w:val="nil"/>
              <w:bottom w:val="nil"/>
              <w:right w:val="single" w:sz="4" w:space="0" w:color="auto"/>
            </w:tcBorders>
            <w:shd w:val="clear" w:color="auto" w:fill="auto"/>
            <w:noWrap/>
            <w:hideMark/>
          </w:tcPr>
          <w:p w14:paraId="0C10F4F6"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63131356" w14:textId="77777777" w:rsidR="0000498C" w:rsidRPr="0000498C" w:rsidRDefault="0000498C" w:rsidP="0000498C">
            <w:pPr>
              <w:spacing w:line="360" w:lineRule="auto"/>
              <w:jc w:val="center"/>
              <w:rPr>
                <w:color w:val="000000"/>
              </w:rPr>
            </w:pPr>
            <w:r w:rsidRPr="0000498C">
              <w:rPr>
                <w:color w:val="000000"/>
              </w:rPr>
              <w:t>LBN</w:t>
            </w:r>
          </w:p>
        </w:tc>
        <w:tc>
          <w:tcPr>
            <w:tcW w:w="0" w:type="auto"/>
            <w:tcBorders>
              <w:top w:val="nil"/>
              <w:left w:val="nil"/>
              <w:bottom w:val="nil"/>
              <w:right w:val="nil"/>
            </w:tcBorders>
            <w:shd w:val="clear" w:color="auto" w:fill="auto"/>
            <w:noWrap/>
            <w:hideMark/>
          </w:tcPr>
          <w:p w14:paraId="6DD9BAA9" w14:textId="77777777" w:rsidR="0000498C" w:rsidRPr="0000498C" w:rsidRDefault="0000498C" w:rsidP="0000498C">
            <w:pPr>
              <w:tabs>
                <w:tab w:val="decimal" w:pos="610"/>
              </w:tabs>
              <w:spacing w:line="360" w:lineRule="auto"/>
              <w:rPr>
                <w:color w:val="000000"/>
              </w:rPr>
            </w:pPr>
            <w:r w:rsidRPr="0000498C">
              <w:rPr>
                <w:color w:val="000000"/>
              </w:rPr>
              <w:t>1.067</w:t>
            </w:r>
          </w:p>
        </w:tc>
        <w:tc>
          <w:tcPr>
            <w:tcW w:w="0" w:type="auto"/>
            <w:tcBorders>
              <w:top w:val="nil"/>
              <w:left w:val="nil"/>
              <w:bottom w:val="nil"/>
              <w:right w:val="nil"/>
            </w:tcBorders>
            <w:shd w:val="clear" w:color="auto" w:fill="auto"/>
            <w:noWrap/>
            <w:hideMark/>
          </w:tcPr>
          <w:p w14:paraId="54DAE3CC"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6C61F36E" w14:textId="77777777" w:rsidR="0000498C" w:rsidRPr="0000498C" w:rsidRDefault="0000498C" w:rsidP="0000498C">
            <w:pPr>
              <w:tabs>
                <w:tab w:val="decimal" w:pos="421"/>
              </w:tabs>
              <w:spacing w:line="360" w:lineRule="auto"/>
              <w:rPr>
                <w:color w:val="000000"/>
              </w:rPr>
            </w:pPr>
            <w:r w:rsidRPr="0000498C">
              <w:rPr>
                <w:color w:val="000000"/>
              </w:rPr>
              <w:t>0.000</w:t>
            </w:r>
          </w:p>
        </w:tc>
      </w:tr>
      <w:tr w:rsidR="0000498C" w:rsidRPr="0000498C" w14:paraId="045FF43A" w14:textId="77777777" w:rsidTr="0000498C">
        <w:trPr>
          <w:jc w:val="center"/>
        </w:trPr>
        <w:tc>
          <w:tcPr>
            <w:tcW w:w="0" w:type="auto"/>
            <w:tcBorders>
              <w:top w:val="nil"/>
              <w:left w:val="nil"/>
              <w:bottom w:val="nil"/>
              <w:right w:val="nil"/>
            </w:tcBorders>
            <w:shd w:val="clear" w:color="auto" w:fill="auto"/>
            <w:noWrap/>
            <w:hideMark/>
          </w:tcPr>
          <w:p w14:paraId="0A0D24C4" w14:textId="77777777" w:rsidR="0000498C" w:rsidRPr="0000498C" w:rsidRDefault="0000498C" w:rsidP="0000498C">
            <w:pPr>
              <w:spacing w:line="360" w:lineRule="auto"/>
              <w:jc w:val="center"/>
              <w:rPr>
                <w:color w:val="000000"/>
              </w:rPr>
            </w:pPr>
            <w:r w:rsidRPr="0000498C">
              <w:rPr>
                <w:color w:val="000000"/>
              </w:rPr>
              <w:t>AUT</w:t>
            </w:r>
          </w:p>
        </w:tc>
        <w:tc>
          <w:tcPr>
            <w:tcW w:w="0" w:type="auto"/>
            <w:tcBorders>
              <w:top w:val="nil"/>
              <w:left w:val="nil"/>
              <w:bottom w:val="nil"/>
              <w:right w:val="nil"/>
            </w:tcBorders>
            <w:shd w:val="clear" w:color="auto" w:fill="auto"/>
            <w:noWrap/>
            <w:hideMark/>
          </w:tcPr>
          <w:p w14:paraId="35482EB2" w14:textId="77777777" w:rsidR="0000498C" w:rsidRPr="0000498C" w:rsidRDefault="0000498C" w:rsidP="0000498C">
            <w:pPr>
              <w:tabs>
                <w:tab w:val="decimal" w:pos="602"/>
              </w:tabs>
              <w:spacing w:line="360" w:lineRule="auto"/>
              <w:rPr>
                <w:color w:val="000000"/>
              </w:rPr>
            </w:pPr>
            <w:r w:rsidRPr="0000498C">
              <w:rPr>
                <w:color w:val="000000"/>
              </w:rPr>
              <w:t>0.444</w:t>
            </w:r>
          </w:p>
        </w:tc>
        <w:tc>
          <w:tcPr>
            <w:tcW w:w="0" w:type="auto"/>
            <w:tcBorders>
              <w:top w:val="nil"/>
              <w:left w:val="nil"/>
              <w:bottom w:val="nil"/>
              <w:right w:val="nil"/>
            </w:tcBorders>
            <w:shd w:val="clear" w:color="auto" w:fill="auto"/>
            <w:noWrap/>
            <w:hideMark/>
          </w:tcPr>
          <w:p w14:paraId="2D34450C" w14:textId="77777777" w:rsidR="0000498C" w:rsidRPr="0000498C" w:rsidRDefault="0000498C" w:rsidP="0000498C">
            <w:pPr>
              <w:tabs>
                <w:tab w:val="decimal" w:pos="551"/>
              </w:tabs>
              <w:spacing w:line="360" w:lineRule="auto"/>
              <w:rPr>
                <w:color w:val="000000"/>
              </w:rPr>
            </w:pPr>
            <w:r w:rsidRPr="0000498C">
              <w:rPr>
                <w:color w:val="000000"/>
              </w:rPr>
              <w:t>1.185</w:t>
            </w:r>
          </w:p>
        </w:tc>
        <w:tc>
          <w:tcPr>
            <w:tcW w:w="0" w:type="auto"/>
            <w:tcBorders>
              <w:top w:val="nil"/>
              <w:left w:val="nil"/>
              <w:bottom w:val="nil"/>
              <w:right w:val="single" w:sz="4" w:space="0" w:color="auto"/>
            </w:tcBorders>
            <w:shd w:val="clear" w:color="auto" w:fill="auto"/>
            <w:noWrap/>
            <w:hideMark/>
          </w:tcPr>
          <w:p w14:paraId="4949A3CB"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69C5E93C" w14:textId="77777777" w:rsidR="0000498C" w:rsidRPr="0000498C" w:rsidRDefault="0000498C" w:rsidP="0000498C">
            <w:pPr>
              <w:spacing w:line="360" w:lineRule="auto"/>
              <w:jc w:val="center"/>
              <w:rPr>
                <w:color w:val="000000"/>
              </w:rPr>
            </w:pPr>
            <w:r w:rsidRPr="0000498C">
              <w:rPr>
                <w:color w:val="000000"/>
              </w:rPr>
              <w:t>LKA</w:t>
            </w:r>
          </w:p>
        </w:tc>
        <w:tc>
          <w:tcPr>
            <w:tcW w:w="0" w:type="auto"/>
            <w:tcBorders>
              <w:top w:val="nil"/>
              <w:left w:val="nil"/>
              <w:bottom w:val="nil"/>
              <w:right w:val="nil"/>
            </w:tcBorders>
            <w:shd w:val="clear" w:color="auto" w:fill="auto"/>
            <w:noWrap/>
            <w:hideMark/>
          </w:tcPr>
          <w:p w14:paraId="68918314"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315E7FC4" w14:textId="77777777" w:rsidR="0000498C" w:rsidRPr="0000498C" w:rsidRDefault="0000498C" w:rsidP="0000498C">
            <w:pPr>
              <w:tabs>
                <w:tab w:val="decimal" w:pos="738"/>
              </w:tabs>
              <w:spacing w:line="360" w:lineRule="auto"/>
              <w:rPr>
                <w:color w:val="000000"/>
              </w:rPr>
            </w:pPr>
            <w:r w:rsidRPr="0000498C">
              <w:rPr>
                <w:color w:val="000000"/>
              </w:rPr>
              <w:t>1.455</w:t>
            </w:r>
          </w:p>
        </w:tc>
        <w:tc>
          <w:tcPr>
            <w:tcW w:w="0" w:type="auto"/>
            <w:tcBorders>
              <w:top w:val="nil"/>
              <w:left w:val="nil"/>
              <w:bottom w:val="nil"/>
              <w:right w:val="nil"/>
            </w:tcBorders>
            <w:shd w:val="clear" w:color="auto" w:fill="auto"/>
            <w:noWrap/>
            <w:hideMark/>
          </w:tcPr>
          <w:p w14:paraId="11585274" w14:textId="77777777" w:rsidR="0000498C" w:rsidRPr="0000498C" w:rsidRDefault="0000498C" w:rsidP="0000498C">
            <w:pPr>
              <w:tabs>
                <w:tab w:val="decimal" w:pos="421"/>
              </w:tabs>
              <w:spacing w:line="360" w:lineRule="auto"/>
              <w:rPr>
                <w:color w:val="000000"/>
              </w:rPr>
            </w:pPr>
            <w:r w:rsidRPr="0000498C">
              <w:rPr>
                <w:color w:val="000000"/>
              </w:rPr>
              <w:t>0.000</w:t>
            </w:r>
          </w:p>
        </w:tc>
      </w:tr>
      <w:tr w:rsidR="0000498C" w:rsidRPr="0000498C" w14:paraId="0588083B" w14:textId="77777777" w:rsidTr="0000498C">
        <w:trPr>
          <w:jc w:val="center"/>
        </w:trPr>
        <w:tc>
          <w:tcPr>
            <w:tcW w:w="0" w:type="auto"/>
            <w:tcBorders>
              <w:top w:val="nil"/>
              <w:left w:val="nil"/>
              <w:bottom w:val="nil"/>
              <w:right w:val="nil"/>
            </w:tcBorders>
            <w:shd w:val="clear" w:color="auto" w:fill="auto"/>
            <w:noWrap/>
            <w:hideMark/>
          </w:tcPr>
          <w:p w14:paraId="7028FE81" w14:textId="77777777" w:rsidR="0000498C" w:rsidRPr="0000498C" w:rsidRDefault="0000498C" w:rsidP="0000498C">
            <w:pPr>
              <w:spacing w:line="360" w:lineRule="auto"/>
              <w:jc w:val="center"/>
              <w:rPr>
                <w:color w:val="000000"/>
              </w:rPr>
            </w:pPr>
            <w:r w:rsidRPr="0000498C">
              <w:rPr>
                <w:color w:val="000000"/>
              </w:rPr>
              <w:t>BEL</w:t>
            </w:r>
          </w:p>
        </w:tc>
        <w:tc>
          <w:tcPr>
            <w:tcW w:w="0" w:type="auto"/>
            <w:tcBorders>
              <w:top w:val="nil"/>
              <w:left w:val="nil"/>
              <w:bottom w:val="nil"/>
              <w:right w:val="nil"/>
            </w:tcBorders>
            <w:shd w:val="clear" w:color="auto" w:fill="auto"/>
            <w:noWrap/>
            <w:hideMark/>
          </w:tcPr>
          <w:p w14:paraId="6FB885DC" w14:textId="77777777" w:rsidR="0000498C" w:rsidRPr="0000498C" w:rsidRDefault="0000498C" w:rsidP="0000498C">
            <w:pPr>
              <w:tabs>
                <w:tab w:val="decimal" w:pos="602"/>
              </w:tabs>
              <w:spacing w:line="360" w:lineRule="auto"/>
              <w:rPr>
                <w:color w:val="000000"/>
              </w:rPr>
            </w:pPr>
            <w:r w:rsidRPr="0000498C">
              <w:rPr>
                <w:color w:val="000000"/>
              </w:rPr>
              <w:t>0.884</w:t>
            </w:r>
          </w:p>
        </w:tc>
        <w:tc>
          <w:tcPr>
            <w:tcW w:w="0" w:type="auto"/>
            <w:tcBorders>
              <w:top w:val="nil"/>
              <w:left w:val="nil"/>
              <w:bottom w:val="nil"/>
              <w:right w:val="nil"/>
            </w:tcBorders>
            <w:shd w:val="clear" w:color="auto" w:fill="auto"/>
            <w:noWrap/>
            <w:hideMark/>
          </w:tcPr>
          <w:p w14:paraId="14F43173" w14:textId="77777777" w:rsidR="0000498C" w:rsidRPr="0000498C" w:rsidRDefault="0000498C" w:rsidP="0000498C">
            <w:pPr>
              <w:tabs>
                <w:tab w:val="decimal" w:pos="551"/>
              </w:tabs>
              <w:spacing w:line="360" w:lineRule="auto"/>
              <w:rPr>
                <w:color w:val="000000"/>
              </w:rPr>
            </w:pPr>
            <w:r w:rsidRPr="0000498C">
              <w:rPr>
                <w:color w:val="000000"/>
              </w:rPr>
              <w:t>1.852</w:t>
            </w:r>
          </w:p>
        </w:tc>
        <w:tc>
          <w:tcPr>
            <w:tcW w:w="0" w:type="auto"/>
            <w:tcBorders>
              <w:top w:val="nil"/>
              <w:left w:val="nil"/>
              <w:bottom w:val="nil"/>
              <w:right w:val="single" w:sz="4" w:space="0" w:color="auto"/>
            </w:tcBorders>
            <w:shd w:val="clear" w:color="auto" w:fill="auto"/>
            <w:noWrap/>
            <w:hideMark/>
          </w:tcPr>
          <w:p w14:paraId="7719CB3C"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9871331" w14:textId="77777777" w:rsidR="0000498C" w:rsidRPr="0000498C" w:rsidRDefault="0000498C" w:rsidP="0000498C">
            <w:pPr>
              <w:spacing w:line="360" w:lineRule="auto"/>
              <w:jc w:val="center"/>
              <w:rPr>
                <w:color w:val="000000"/>
              </w:rPr>
            </w:pPr>
            <w:r w:rsidRPr="0000498C">
              <w:rPr>
                <w:color w:val="000000"/>
              </w:rPr>
              <w:t>LSO</w:t>
            </w:r>
          </w:p>
        </w:tc>
        <w:tc>
          <w:tcPr>
            <w:tcW w:w="0" w:type="auto"/>
            <w:tcBorders>
              <w:top w:val="nil"/>
              <w:left w:val="nil"/>
              <w:bottom w:val="nil"/>
              <w:right w:val="nil"/>
            </w:tcBorders>
            <w:shd w:val="clear" w:color="auto" w:fill="auto"/>
            <w:noWrap/>
            <w:hideMark/>
          </w:tcPr>
          <w:p w14:paraId="0DF8192B"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01EA3C59"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1219DEE1" w14:textId="77777777" w:rsidR="0000498C" w:rsidRPr="0000498C" w:rsidRDefault="0000498C" w:rsidP="0000498C">
            <w:pPr>
              <w:tabs>
                <w:tab w:val="decimal" w:pos="421"/>
              </w:tabs>
              <w:spacing w:line="360" w:lineRule="auto"/>
              <w:rPr>
                <w:color w:val="000000"/>
              </w:rPr>
            </w:pPr>
          </w:p>
        </w:tc>
      </w:tr>
      <w:tr w:rsidR="0000498C" w:rsidRPr="0000498C" w14:paraId="73F60CAE" w14:textId="77777777" w:rsidTr="0000498C">
        <w:trPr>
          <w:jc w:val="center"/>
        </w:trPr>
        <w:tc>
          <w:tcPr>
            <w:tcW w:w="0" w:type="auto"/>
            <w:tcBorders>
              <w:top w:val="nil"/>
              <w:left w:val="nil"/>
              <w:bottom w:val="nil"/>
              <w:right w:val="nil"/>
            </w:tcBorders>
            <w:shd w:val="clear" w:color="auto" w:fill="auto"/>
            <w:noWrap/>
            <w:hideMark/>
          </w:tcPr>
          <w:p w14:paraId="4EB0632C" w14:textId="77777777" w:rsidR="0000498C" w:rsidRPr="0000498C" w:rsidRDefault="0000498C" w:rsidP="0000498C">
            <w:pPr>
              <w:spacing w:line="360" w:lineRule="auto"/>
              <w:jc w:val="center"/>
              <w:rPr>
                <w:color w:val="000000"/>
              </w:rPr>
            </w:pPr>
            <w:r w:rsidRPr="0000498C">
              <w:rPr>
                <w:color w:val="000000"/>
              </w:rPr>
              <w:t>BFA</w:t>
            </w:r>
          </w:p>
        </w:tc>
        <w:tc>
          <w:tcPr>
            <w:tcW w:w="0" w:type="auto"/>
            <w:tcBorders>
              <w:top w:val="nil"/>
              <w:left w:val="nil"/>
              <w:bottom w:val="nil"/>
              <w:right w:val="nil"/>
            </w:tcBorders>
            <w:shd w:val="clear" w:color="auto" w:fill="auto"/>
            <w:noWrap/>
            <w:hideMark/>
          </w:tcPr>
          <w:p w14:paraId="5FD98179" w14:textId="77777777" w:rsidR="0000498C" w:rsidRPr="0000498C" w:rsidRDefault="0000498C" w:rsidP="0000498C">
            <w:pPr>
              <w:tabs>
                <w:tab w:val="decimal" w:pos="602"/>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3648EDC7" w14:textId="77777777" w:rsidR="0000498C" w:rsidRPr="0000498C" w:rsidRDefault="0000498C" w:rsidP="0000498C">
            <w:pPr>
              <w:tabs>
                <w:tab w:val="decimal" w:pos="551"/>
              </w:tabs>
              <w:spacing w:line="360" w:lineRule="auto"/>
              <w:rPr>
                <w:color w:val="000000"/>
              </w:rPr>
            </w:pPr>
            <w:r w:rsidRPr="0000498C">
              <w:rPr>
                <w:color w:val="000000"/>
              </w:rPr>
              <w:t>0.000</w:t>
            </w:r>
          </w:p>
        </w:tc>
        <w:tc>
          <w:tcPr>
            <w:tcW w:w="0" w:type="auto"/>
            <w:tcBorders>
              <w:top w:val="nil"/>
              <w:left w:val="nil"/>
              <w:bottom w:val="nil"/>
              <w:right w:val="single" w:sz="4" w:space="0" w:color="auto"/>
            </w:tcBorders>
            <w:shd w:val="clear" w:color="auto" w:fill="auto"/>
            <w:noWrap/>
            <w:hideMark/>
          </w:tcPr>
          <w:p w14:paraId="26D6B792" w14:textId="77777777" w:rsidR="0000498C" w:rsidRPr="0000498C" w:rsidRDefault="0000498C" w:rsidP="0000498C">
            <w:pPr>
              <w:tabs>
                <w:tab w:val="decimal" w:pos="414"/>
              </w:tabs>
              <w:spacing w:line="360" w:lineRule="auto"/>
              <w:rPr>
                <w:color w:val="000000"/>
              </w:rPr>
            </w:pPr>
            <w:r w:rsidRPr="0000498C">
              <w:rPr>
                <w:color w:val="000000"/>
              </w:rPr>
              <w:t>7.500</w:t>
            </w:r>
          </w:p>
        </w:tc>
        <w:tc>
          <w:tcPr>
            <w:tcW w:w="0" w:type="auto"/>
            <w:tcBorders>
              <w:top w:val="nil"/>
              <w:left w:val="single" w:sz="4" w:space="0" w:color="auto"/>
              <w:bottom w:val="nil"/>
              <w:right w:val="nil"/>
            </w:tcBorders>
            <w:shd w:val="clear" w:color="auto" w:fill="auto"/>
            <w:noWrap/>
            <w:hideMark/>
          </w:tcPr>
          <w:p w14:paraId="2A94905C" w14:textId="77777777" w:rsidR="0000498C" w:rsidRPr="0000498C" w:rsidRDefault="0000498C" w:rsidP="0000498C">
            <w:pPr>
              <w:spacing w:line="360" w:lineRule="auto"/>
              <w:jc w:val="center"/>
              <w:rPr>
                <w:color w:val="000000"/>
              </w:rPr>
            </w:pPr>
            <w:r w:rsidRPr="0000498C">
              <w:rPr>
                <w:color w:val="000000"/>
              </w:rPr>
              <w:t>LUX</w:t>
            </w:r>
          </w:p>
        </w:tc>
        <w:tc>
          <w:tcPr>
            <w:tcW w:w="0" w:type="auto"/>
            <w:tcBorders>
              <w:top w:val="nil"/>
              <w:left w:val="nil"/>
              <w:bottom w:val="nil"/>
              <w:right w:val="nil"/>
            </w:tcBorders>
            <w:shd w:val="clear" w:color="auto" w:fill="auto"/>
            <w:noWrap/>
            <w:hideMark/>
          </w:tcPr>
          <w:p w14:paraId="2072F091"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7483A7AA" w14:textId="77777777" w:rsidR="0000498C" w:rsidRPr="0000498C" w:rsidRDefault="0000498C" w:rsidP="0000498C">
            <w:pPr>
              <w:tabs>
                <w:tab w:val="decimal" w:pos="738"/>
              </w:tabs>
              <w:spacing w:line="360" w:lineRule="auto"/>
            </w:pPr>
          </w:p>
        </w:tc>
        <w:tc>
          <w:tcPr>
            <w:tcW w:w="0" w:type="auto"/>
            <w:tcBorders>
              <w:top w:val="nil"/>
              <w:left w:val="nil"/>
              <w:bottom w:val="nil"/>
              <w:right w:val="nil"/>
            </w:tcBorders>
            <w:shd w:val="clear" w:color="auto" w:fill="auto"/>
            <w:noWrap/>
            <w:hideMark/>
          </w:tcPr>
          <w:p w14:paraId="79C41F6A" w14:textId="77777777" w:rsidR="0000498C" w:rsidRPr="0000498C" w:rsidRDefault="0000498C" w:rsidP="0000498C">
            <w:pPr>
              <w:tabs>
                <w:tab w:val="decimal" w:pos="421"/>
              </w:tabs>
              <w:spacing w:line="360" w:lineRule="auto"/>
              <w:rPr>
                <w:color w:val="000000"/>
              </w:rPr>
            </w:pPr>
            <w:r w:rsidRPr="0000498C">
              <w:rPr>
                <w:color w:val="000000"/>
              </w:rPr>
              <w:t>1.000</w:t>
            </w:r>
          </w:p>
        </w:tc>
      </w:tr>
      <w:tr w:rsidR="0000498C" w:rsidRPr="0000498C" w14:paraId="27AF16B5" w14:textId="77777777" w:rsidTr="0000498C">
        <w:trPr>
          <w:jc w:val="center"/>
        </w:trPr>
        <w:tc>
          <w:tcPr>
            <w:tcW w:w="0" w:type="auto"/>
            <w:tcBorders>
              <w:top w:val="nil"/>
              <w:left w:val="nil"/>
              <w:bottom w:val="nil"/>
              <w:right w:val="nil"/>
            </w:tcBorders>
            <w:shd w:val="clear" w:color="auto" w:fill="auto"/>
            <w:noWrap/>
            <w:hideMark/>
          </w:tcPr>
          <w:p w14:paraId="4151740F" w14:textId="77777777" w:rsidR="0000498C" w:rsidRPr="0000498C" w:rsidRDefault="0000498C" w:rsidP="0000498C">
            <w:pPr>
              <w:spacing w:line="360" w:lineRule="auto"/>
              <w:jc w:val="center"/>
              <w:rPr>
                <w:color w:val="000000"/>
              </w:rPr>
            </w:pPr>
            <w:r w:rsidRPr="0000498C">
              <w:rPr>
                <w:color w:val="000000"/>
              </w:rPr>
              <w:t>BGR</w:t>
            </w:r>
          </w:p>
        </w:tc>
        <w:tc>
          <w:tcPr>
            <w:tcW w:w="0" w:type="auto"/>
            <w:tcBorders>
              <w:top w:val="nil"/>
              <w:left w:val="nil"/>
              <w:bottom w:val="nil"/>
              <w:right w:val="nil"/>
            </w:tcBorders>
            <w:shd w:val="clear" w:color="auto" w:fill="auto"/>
            <w:noWrap/>
            <w:hideMark/>
          </w:tcPr>
          <w:p w14:paraId="6CDE3F3C" w14:textId="77777777" w:rsidR="0000498C" w:rsidRPr="0000498C" w:rsidRDefault="0000498C" w:rsidP="0000498C">
            <w:pPr>
              <w:tabs>
                <w:tab w:val="decimal" w:pos="602"/>
              </w:tabs>
              <w:spacing w:line="360" w:lineRule="auto"/>
              <w:rPr>
                <w:color w:val="000000"/>
              </w:rPr>
            </w:pPr>
            <w:r w:rsidRPr="0000498C">
              <w:rPr>
                <w:color w:val="000000"/>
              </w:rPr>
              <w:t>1.111</w:t>
            </w:r>
          </w:p>
        </w:tc>
        <w:tc>
          <w:tcPr>
            <w:tcW w:w="0" w:type="auto"/>
            <w:tcBorders>
              <w:top w:val="nil"/>
              <w:left w:val="nil"/>
              <w:bottom w:val="nil"/>
              <w:right w:val="nil"/>
            </w:tcBorders>
            <w:shd w:val="clear" w:color="auto" w:fill="auto"/>
            <w:noWrap/>
            <w:hideMark/>
          </w:tcPr>
          <w:p w14:paraId="252CCE32" w14:textId="77777777" w:rsidR="0000498C" w:rsidRPr="0000498C" w:rsidRDefault="0000498C" w:rsidP="0000498C">
            <w:pPr>
              <w:tabs>
                <w:tab w:val="decimal" w:pos="551"/>
              </w:tabs>
              <w:spacing w:line="360" w:lineRule="auto"/>
              <w:rPr>
                <w:color w:val="000000"/>
              </w:rPr>
            </w:pPr>
            <w:r w:rsidRPr="0000498C">
              <w:rPr>
                <w:color w:val="000000"/>
              </w:rPr>
              <w:t>0.000</w:t>
            </w:r>
          </w:p>
        </w:tc>
        <w:tc>
          <w:tcPr>
            <w:tcW w:w="0" w:type="auto"/>
            <w:tcBorders>
              <w:top w:val="nil"/>
              <w:left w:val="nil"/>
              <w:bottom w:val="nil"/>
              <w:right w:val="single" w:sz="4" w:space="0" w:color="auto"/>
            </w:tcBorders>
            <w:shd w:val="clear" w:color="auto" w:fill="auto"/>
            <w:noWrap/>
            <w:hideMark/>
          </w:tcPr>
          <w:p w14:paraId="42EF0F22"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5702FDB4" w14:textId="77777777" w:rsidR="0000498C" w:rsidRPr="0000498C" w:rsidRDefault="0000498C" w:rsidP="0000498C">
            <w:pPr>
              <w:spacing w:line="360" w:lineRule="auto"/>
              <w:jc w:val="center"/>
              <w:rPr>
                <w:color w:val="000000"/>
              </w:rPr>
            </w:pPr>
            <w:r w:rsidRPr="0000498C">
              <w:rPr>
                <w:color w:val="000000"/>
              </w:rPr>
              <w:t>LVA</w:t>
            </w:r>
          </w:p>
        </w:tc>
        <w:tc>
          <w:tcPr>
            <w:tcW w:w="0" w:type="auto"/>
            <w:tcBorders>
              <w:top w:val="nil"/>
              <w:left w:val="nil"/>
              <w:bottom w:val="nil"/>
              <w:right w:val="nil"/>
            </w:tcBorders>
            <w:shd w:val="clear" w:color="auto" w:fill="auto"/>
            <w:noWrap/>
            <w:hideMark/>
          </w:tcPr>
          <w:p w14:paraId="28CBD615" w14:textId="77777777" w:rsidR="0000498C" w:rsidRPr="0000498C" w:rsidRDefault="0000498C" w:rsidP="0000498C">
            <w:pPr>
              <w:tabs>
                <w:tab w:val="decimal" w:pos="610"/>
              </w:tabs>
              <w:spacing w:line="360" w:lineRule="auto"/>
              <w:rPr>
                <w:color w:val="000000"/>
              </w:rPr>
            </w:pPr>
            <w:r w:rsidRPr="0000498C">
              <w:rPr>
                <w:color w:val="000000"/>
              </w:rPr>
              <w:t>1.636</w:t>
            </w:r>
          </w:p>
        </w:tc>
        <w:tc>
          <w:tcPr>
            <w:tcW w:w="0" w:type="auto"/>
            <w:tcBorders>
              <w:top w:val="nil"/>
              <w:left w:val="nil"/>
              <w:bottom w:val="nil"/>
              <w:right w:val="nil"/>
            </w:tcBorders>
            <w:shd w:val="clear" w:color="auto" w:fill="auto"/>
            <w:noWrap/>
            <w:hideMark/>
          </w:tcPr>
          <w:p w14:paraId="2EE0A87D"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7BAC9A79" w14:textId="77777777" w:rsidR="0000498C" w:rsidRPr="0000498C" w:rsidRDefault="0000498C" w:rsidP="0000498C">
            <w:pPr>
              <w:tabs>
                <w:tab w:val="decimal" w:pos="421"/>
              </w:tabs>
              <w:spacing w:line="360" w:lineRule="auto"/>
              <w:rPr>
                <w:color w:val="000000"/>
              </w:rPr>
            </w:pPr>
            <w:r w:rsidRPr="0000498C">
              <w:rPr>
                <w:color w:val="000000"/>
              </w:rPr>
              <w:t>0.000</w:t>
            </w:r>
          </w:p>
        </w:tc>
      </w:tr>
      <w:tr w:rsidR="0000498C" w:rsidRPr="0000498C" w14:paraId="10C9D8F6" w14:textId="77777777" w:rsidTr="0000498C">
        <w:trPr>
          <w:jc w:val="center"/>
        </w:trPr>
        <w:tc>
          <w:tcPr>
            <w:tcW w:w="0" w:type="auto"/>
            <w:tcBorders>
              <w:top w:val="nil"/>
              <w:left w:val="nil"/>
              <w:bottom w:val="nil"/>
              <w:right w:val="nil"/>
            </w:tcBorders>
            <w:shd w:val="clear" w:color="auto" w:fill="auto"/>
            <w:noWrap/>
            <w:hideMark/>
          </w:tcPr>
          <w:p w14:paraId="0306F640" w14:textId="77777777" w:rsidR="0000498C" w:rsidRPr="0000498C" w:rsidRDefault="0000498C" w:rsidP="0000498C">
            <w:pPr>
              <w:spacing w:line="360" w:lineRule="auto"/>
              <w:jc w:val="center"/>
              <w:rPr>
                <w:color w:val="000000"/>
              </w:rPr>
            </w:pPr>
            <w:r w:rsidRPr="0000498C">
              <w:rPr>
                <w:color w:val="000000"/>
              </w:rPr>
              <w:t>BHS</w:t>
            </w:r>
          </w:p>
        </w:tc>
        <w:tc>
          <w:tcPr>
            <w:tcW w:w="0" w:type="auto"/>
            <w:tcBorders>
              <w:top w:val="nil"/>
              <w:left w:val="nil"/>
              <w:bottom w:val="nil"/>
              <w:right w:val="nil"/>
            </w:tcBorders>
            <w:shd w:val="clear" w:color="auto" w:fill="auto"/>
            <w:noWrap/>
            <w:hideMark/>
          </w:tcPr>
          <w:p w14:paraId="3D219638" w14:textId="77777777" w:rsidR="0000498C" w:rsidRPr="0000498C" w:rsidRDefault="0000498C" w:rsidP="0000498C">
            <w:pPr>
              <w:tabs>
                <w:tab w:val="decimal" w:pos="602"/>
              </w:tabs>
              <w:spacing w:line="360" w:lineRule="auto"/>
              <w:rPr>
                <w:color w:val="000000"/>
              </w:rPr>
            </w:pPr>
            <w:r w:rsidRPr="0000498C">
              <w:rPr>
                <w:color w:val="000000"/>
              </w:rPr>
              <w:t>0.467</w:t>
            </w:r>
          </w:p>
        </w:tc>
        <w:tc>
          <w:tcPr>
            <w:tcW w:w="0" w:type="auto"/>
            <w:tcBorders>
              <w:top w:val="nil"/>
              <w:left w:val="nil"/>
              <w:bottom w:val="nil"/>
              <w:right w:val="nil"/>
            </w:tcBorders>
            <w:shd w:val="clear" w:color="auto" w:fill="auto"/>
            <w:noWrap/>
            <w:hideMark/>
          </w:tcPr>
          <w:p w14:paraId="4C8CB930"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4DA944EC" w14:textId="77777777" w:rsidR="0000498C" w:rsidRPr="0000498C" w:rsidRDefault="0000498C" w:rsidP="0000498C">
            <w:pPr>
              <w:tabs>
                <w:tab w:val="decimal" w:pos="414"/>
              </w:tabs>
              <w:spacing w:line="360" w:lineRule="auto"/>
              <w:rPr>
                <w:color w:val="000000"/>
              </w:rPr>
            </w:pPr>
            <w:r w:rsidRPr="0000498C">
              <w:rPr>
                <w:color w:val="000000"/>
              </w:rPr>
              <w:t>1.615</w:t>
            </w:r>
          </w:p>
        </w:tc>
        <w:tc>
          <w:tcPr>
            <w:tcW w:w="0" w:type="auto"/>
            <w:tcBorders>
              <w:top w:val="nil"/>
              <w:left w:val="single" w:sz="4" w:space="0" w:color="auto"/>
              <w:bottom w:val="nil"/>
              <w:right w:val="nil"/>
            </w:tcBorders>
            <w:shd w:val="clear" w:color="auto" w:fill="auto"/>
            <w:noWrap/>
            <w:hideMark/>
          </w:tcPr>
          <w:p w14:paraId="513314D7" w14:textId="77777777" w:rsidR="0000498C" w:rsidRPr="0000498C" w:rsidRDefault="0000498C" w:rsidP="0000498C">
            <w:pPr>
              <w:spacing w:line="360" w:lineRule="auto"/>
              <w:jc w:val="center"/>
              <w:rPr>
                <w:color w:val="000000"/>
              </w:rPr>
            </w:pPr>
            <w:r w:rsidRPr="0000498C">
              <w:rPr>
                <w:color w:val="000000"/>
              </w:rPr>
              <w:t>MDA</w:t>
            </w:r>
          </w:p>
        </w:tc>
        <w:tc>
          <w:tcPr>
            <w:tcW w:w="0" w:type="auto"/>
            <w:tcBorders>
              <w:top w:val="nil"/>
              <w:left w:val="nil"/>
              <w:bottom w:val="nil"/>
              <w:right w:val="nil"/>
            </w:tcBorders>
            <w:shd w:val="clear" w:color="auto" w:fill="auto"/>
            <w:noWrap/>
            <w:hideMark/>
          </w:tcPr>
          <w:p w14:paraId="2FB361A2" w14:textId="77777777" w:rsidR="0000498C" w:rsidRPr="0000498C" w:rsidRDefault="0000498C" w:rsidP="0000498C">
            <w:pPr>
              <w:tabs>
                <w:tab w:val="decimal" w:pos="610"/>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0FB5626A" w14:textId="77777777" w:rsidR="0000498C" w:rsidRPr="0000498C" w:rsidRDefault="0000498C" w:rsidP="0000498C">
            <w:pPr>
              <w:tabs>
                <w:tab w:val="decimal" w:pos="738"/>
              </w:tabs>
              <w:spacing w:line="360" w:lineRule="auto"/>
              <w:rPr>
                <w:color w:val="000000"/>
              </w:rPr>
            </w:pPr>
            <w:r w:rsidRPr="0000498C">
              <w:rPr>
                <w:color w:val="000000"/>
              </w:rPr>
              <w:t>0.902</w:t>
            </w:r>
          </w:p>
        </w:tc>
        <w:tc>
          <w:tcPr>
            <w:tcW w:w="0" w:type="auto"/>
            <w:tcBorders>
              <w:top w:val="nil"/>
              <w:left w:val="nil"/>
              <w:bottom w:val="nil"/>
              <w:right w:val="nil"/>
            </w:tcBorders>
            <w:shd w:val="clear" w:color="auto" w:fill="auto"/>
            <w:noWrap/>
            <w:hideMark/>
          </w:tcPr>
          <w:p w14:paraId="3C8D38D3" w14:textId="77777777" w:rsidR="0000498C" w:rsidRPr="0000498C" w:rsidRDefault="0000498C" w:rsidP="0000498C">
            <w:pPr>
              <w:tabs>
                <w:tab w:val="decimal" w:pos="421"/>
              </w:tabs>
              <w:spacing w:line="360" w:lineRule="auto"/>
              <w:rPr>
                <w:color w:val="000000"/>
              </w:rPr>
            </w:pPr>
            <w:r w:rsidRPr="0000498C">
              <w:rPr>
                <w:color w:val="000000"/>
              </w:rPr>
              <w:t>1.533</w:t>
            </w:r>
          </w:p>
        </w:tc>
      </w:tr>
      <w:tr w:rsidR="0000498C" w:rsidRPr="0000498C" w14:paraId="7ACBB235" w14:textId="77777777" w:rsidTr="0000498C">
        <w:trPr>
          <w:jc w:val="center"/>
        </w:trPr>
        <w:tc>
          <w:tcPr>
            <w:tcW w:w="0" w:type="auto"/>
            <w:tcBorders>
              <w:top w:val="nil"/>
              <w:left w:val="nil"/>
              <w:bottom w:val="nil"/>
              <w:right w:val="nil"/>
            </w:tcBorders>
            <w:shd w:val="clear" w:color="auto" w:fill="auto"/>
            <w:noWrap/>
            <w:hideMark/>
          </w:tcPr>
          <w:p w14:paraId="2A9514D5" w14:textId="77777777" w:rsidR="0000498C" w:rsidRPr="0000498C" w:rsidRDefault="0000498C" w:rsidP="0000498C">
            <w:pPr>
              <w:spacing w:line="360" w:lineRule="auto"/>
              <w:jc w:val="center"/>
              <w:rPr>
                <w:color w:val="000000"/>
              </w:rPr>
            </w:pPr>
            <w:r w:rsidRPr="0000498C">
              <w:rPr>
                <w:color w:val="000000"/>
              </w:rPr>
              <w:t>BLZ</w:t>
            </w:r>
          </w:p>
        </w:tc>
        <w:tc>
          <w:tcPr>
            <w:tcW w:w="0" w:type="auto"/>
            <w:tcBorders>
              <w:top w:val="nil"/>
              <w:left w:val="nil"/>
              <w:bottom w:val="nil"/>
              <w:right w:val="nil"/>
            </w:tcBorders>
            <w:shd w:val="clear" w:color="auto" w:fill="auto"/>
            <w:noWrap/>
            <w:hideMark/>
          </w:tcPr>
          <w:p w14:paraId="344D0373" w14:textId="77777777" w:rsidR="0000498C" w:rsidRPr="0000498C" w:rsidRDefault="0000498C" w:rsidP="0000498C">
            <w:pPr>
              <w:tabs>
                <w:tab w:val="decimal" w:pos="602"/>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098A24FA"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13B94844" w14:textId="77777777" w:rsidR="0000498C" w:rsidRPr="0000498C" w:rsidRDefault="0000498C" w:rsidP="0000498C">
            <w:pPr>
              <w:tabs>
                <w:tab w:val="decimal" w:pos="414"/>
              </w:tabs>
              <w:spacing w:line="360" w:lineRule="auto"/>
            </w:pPr>
          </w:p>
        </w:tc>
        <w:tc>
          <w:tcPr>
            <w:tcW w:w="0" w:type="auto"/>
            <w:tcBorders>
              <w:top w:val="nil"/>
              <w:left w:val="single" w:sz="4" w:space="0" w:color="auto"/>
              <w:bottom w:val="nil"/>
              <w:right w:val="nil"/>
            </w:tcBorders>
            <w:shd w:val="clear" w:color="auto" w:fill="auto"/>
            <w:noWrap/>
            <w:hideMark/>
          </w:tcPr>
          <w:p w14:paraId="568D9601" w14:textId="77777777" w:rsidR="0000498C" w:rsidRPr="0000498C" w:rsidRDefault="0000498C" w:rsidP="0000498C">
            <w:pPr>
              <w:spacing w:line="360" w:lineRule="auto"/>
              <w:jc w:val="center"/>
              <w:rPr>
                <w:color w:val="000000"/>
              </w:rPr>
            </w:pPr>
            <w:r w:rsidRPr="0000498C">
              <w:rPr>
                <w:color w:val="000000"/>
              </w:rPr>
              <w:t>MDV</w:t>
            </w:r>
          </w:p>
        </w:tc>
        <w:tc>
          <w:tcPr>
            <w:tcW w:w="0" w:type="auto"/>
            <w:tcBorders>
              <w:top w:val="nil"/>
              <w:left w:val="nil"/>
              <w:bottom w:val="nil"/>
              <w:right w:val="nil"/>
            </w:tcBorders>
            <w:shd w:val="clear" w:color="auto" w:fill="auto"/>
            <w:noWrap/>
            <w:hideMark/>
          </w:tcPr>
          <w:p w14:paraId="10C07E0E" w14:textId="77777777" w:rsidR="0000498C" w:rsidRPr="0000498C" w:rsidRDefault="0000498C" w:rsidP="0000498C">
            <w:pPr>
              <w:tabs>
                <w:tab w:val="decimal" w:pos="610"/>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43B0A2D2"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6A6333EB" w14:textId="77777777" w:rsidR="0000498C" w:rsidRPr="0000498C" w:rsidRDefault="0000498C" w:rsidP="0000498C">
            <w:pPr>
              <w:tabs>
                <w:tab w:val="decimal" w:pos="421"/>
              </w:tabs>
              <w:spacing w:line="360" w:lineRule="auto"/>
            </w:pPr>
          </w:p>
        </w:tc>
      </w:tr>
      <w:tr w:rsidR="0000498C" w:rsidRPr="0000498C" w14:paraId="7BB632D5" w14:textId="77777777" w:rsidTr="0000498C">
        <w:trPr>
          <w:jc w:val="center"/>
        </w:trPr>
        <w:tc>
          <w:tcPr>
            <w:tcW w:w="0" w:type="auto"/>
            <w:tcBorders>
              <w:top w:val="nil"/>
              <w:left w:val="nil"/>
              <w:bottom w:val="nil"/>
              <w:right w:val="nil"/>
            </w:tcBorders>
            <w:shd w:val="clear" w:color="auto" w:fill="auto"/>
            <w:noWrap/>
            <w:hideMark/>
          </w:tcPr>
          <w:p w14:paraId="73809469" w14:textId="77777777" w:rsidR="0000498C" w:rsidRPr="0000498C" w:rsidRDefault="0000498C" w:rsidP="0000498C">
            <w:pPr>
              <w:spacing w:line="360" w:lineRule="auto"/>
              <w:jc w:val="center"/>
              <w:rPr>
                <w:color w:val="000000"/>
              </w:rPr>
            </w:pPr>
            <w:r w:rsidRPr="0000498C">
              <w:rPr>
                <w:color w:val="000000"/>
              </w:rPr>
              <w:t>BOL</w:t>
            </w:r>
          </w:p>
        </w:tc>
        <w:tc>
          <w:tcPr>
            <w:tcW w:w="0" w:type="auto"/>
            <w:tcBorders>
              <w:top w:val="nil"/>
              <w:left w:val="nil"/>
              <w:bottom w:val="nil"/>
              <w:right w:val="nil"/>
            </w:tcBorders>
            <w:shd w:val="clear" w:color="auto" w:fill="auto"/>
            <w:noWrap/>
            <w:hideMark/>
          </w:tcPr>
          <w:p w14:paraId="26CA7569" w14:textId="77777777" w:rsidR="0000498C" w:rsidRPr="0000498C" w:rsidRDefault="0000498C" w:rsidP="0000498C">
            <w:pPr>
              <w:tabs>
                <w:tab w:val="decimal" w:pos="602"/>
              </w:tabs>
              <w:spacing w:line="360" w:lineRule="auto"/>
              <w:rPr>
                <w:color w:val="000000"/>
              </w:rPr>
            </w:pPr>
            <w:r w:rsidRPr="0000498C">
              <w:rPr>
                <w:color w:val="000000"/>
              </w:rPr>
              <w:t>0.700</w:t>
            </w:r>
          </w:p>
        </w:tc>
        <w:tc>
          <w:tcPr>
            <w:tcW w:w="0" w:type="auto"/>
            <w:tcBorders>
              <w:top w:val="nil"/>
              <w:left w:val="nil"/>
              <w:bottom w:val="nil"/>
              <w:right w:val="nil"/>
            </w:tcBorders>
            <w:shd w:val="clear" w:color="auto" w:fill="auto"/>
            <w:noWrap/>
            <w:hideMark/>
          </w:tcPr>
          <w:p w14:paraId="4006FAF6" w14:textId="77777777" w:rsidR="0000498C" w:rsidRPr="0000498C" w:rsidRDefault="0000498C" w:rsidP="0000498C">
            <w:pPr>
              <w:tabs>
                <w:tab w:val="decimal" w:pos="551"/>
              </w:tabs>
              <w:spacing w:line="360" w:lineRule="auto"/>
              <w:rPr>
                <w:color w:val="000000"/>
              </w:rPr>
            </w:pPr>
            <w:r w:rsidRPr="0000498C">
              <w:rPr>
                <w:color w:val="000000"/>
              </w:rPr>
              <w:t>1.422</w:t>
            </w:r>
          </w:p>
        </w:tc>
        <w:tc>
          <w:tcPr>
            <w:tcW w:w="0" w:type="auto"/>
            <w:tcBorders>
              <w:top w:val="nil"/>
              <w:left w:val="nil"/>
              <w:bottom w:val="nil"/>
              <w:right w:val="single" w:sz="4" w:space="0" w:color="auto"/>
            </w:tcBorders>
            <w:shd w:val="clear" w:color="auto" w:fill="auto"/>
            <w:noWrap/>
            <w:hideMark/>
          </w:tcPr>
          <w:p w14:paraId="66D68396" w14:textId="77777777" w:rsidR="0000498C" w:rsidRPr="0000498C" w:rsidRDefault="0000498C" w:rsidP="0000498C">
            <w:pPr>
              <w:tabs>
                <w:tab w:val="decimal" w:pos="414"/>
              </w:tabs>
              <w:spacing w:line="360" w:lineRule="auto"/>
              <w:rPr>
                <w:color w:val="000000"/>
              </w:rPr>
            </w:pPr>
            <w:r w:rsidRPr="0000498C">
              <w:rPr>
                <w:color w:val="000000"/>
              </w:rPr>
              <w:t>0.250</w:t>
            </w:r>
          </w:p>
        </w:tc>
        <w:tc>
          <w:tcPr>
            <w:tcW w:w="0" w:type="auto"/>
            <w:tcBorders>
              <w:top w:val="nil"/>
              <w:left w:val="single" w:sz="4" w:space="0" w:color="auto"/>
              <w:bottom w:val="nil"/>
              <w:right w:val="nil"/>
            </w:tcBorders>
            <w:shd w:val="clear" w:color="auto" w:fill="auto"/>
            <w:noWrap/>
            <w:hideMark/>
          </w:tcPr>
          <w:p w14:paraId="107C62B1" w14:textId="77777777" w:rsidR="0000498C" w:rsidRPr="0000498C" w:rsidRDefault="0000498C" w:rsidP="0000498C">
            <w:pPr>
              <w:spacing w:line="360" w:lineRule="auto"/>
              <w:jc w:val="center"/>
              <w:rPr>
                <w:color w:val="000000"/>
              </w:rPr>
            </w:pPr>
            <w:r w:rsidRPr="0000498C">
              <w:rPr>
                <w:color w:val="000000"/>
              </w:rPr>
              <w:t>MEX</w:t>
            </w:r>
          </w:p>
        </w:tc>
        <w:tc>
          <w:tcPr>
            <w:tcW w:w="0" w:type="auto"/>
            <w:tcBorders>
              <w:top w:val="nil"/>
              <w:left w:val="nil"/>
              <w:bottom w:val="nil"/>
              <w:right w:val="nil"/>
            </w:tcBorders>
            <w:shd w:val="clear" w:color="auto" w:fill="auto"/>
            <w:noWrap/>
            <w:hideMark/>
          </w:tcPr>
          <w:p w14:paraId="0EE2D26E" w14:textId="77777777" w:rsidR="0000498C" w:rsidRPr="0000498C" w:rsidRDefault="0000498C" w:rsidP="0000498C">
            <w:pPr>
              <w:tabs>
                <w:tab w:val="decimal" w:pos="610"/>
              </w:tabs>
              <w:spacing w:line="360" w:lineRule="auto"/>
              <w:rPr>
                <w:color w:val="000000"/>
              </w:rPr>
            </w:pPr>
            <w:r w:rsidRPr="0000498C">
              <w:rPr>
                <w:color w:val="000000"/>
              </w:rPr>
              <w:t>0.778</w:t>
            </w:r>
          </w:p>
        </w:tc>
        <w:tc>
          <w:tcPr>
            <w:tcW w:w="0" w:type="auto"/>
            <w:tcBorders>
              <w:top w:val="nil"/>
              <w:left w:val="nil"/>
              <w:bottom w:val="nil"/>
              <w:right w:val="nil"/>
            </w:tcBorders>
            <w:shd w:val="clear" w:color="auto" w:fill="auto"/>
            <w:noWrap/>
            <w:hideMark/>
          </w:tcPr>
          <w:p w14:paraId="2EAF8D4B"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1FCC4D17" w14:textId="77777777" w:rsidR="0000498C" w:rsidRPr="0000498C" w:rsidRDefault="0000498C" w:rsidP="0000498C">
            <w:pPr>
              <w:tabs>
                <w:tab w:val="decimal" w:pos="421"/>
              </w:tabs>
              <w:spacing w:line="360" w:lineRule="auto"/>
              <w:rPr>
                <w:color w:val="000000"/>
              </w:rPr>
            </w:pPr>
            <w:r w:rsidRPr="0000498C">
              <w:rPr>
                <w:color w:val="000000"/>
              </w:rPr>
              <w:t>1.167</w:t>
            </w:r>
          </w:p>
        </w:tc>
      </w:tr>
      <w:tr w:rsidR="0000498C" w:rsidRPr="0000498C" w14:paraId="133E8861" w14:textId="77777777" w:rsidTr="0000498C">
        <w:trPr>
          <w:jc w:val="center"/>
        </w:trPr>
        <w:tc>
          <w:tcPr>
            <w:tcW w:w="0" w:type="auto"/>
            <w:tcBorders>
              <w:top w:val="nil"/>
              <w:left w:val="nil"/>
              <w:bottom w:val="nil"/>
              <w:right w:val="nil"/>
            </w:tcBorders>
            <w:shd w:val="clear" w:color="auto" w:fill="auto"/>
            <w:noWrap/>
            <w:hideMark/>
          </w:tcPr>
          <w:p w14:paraId="17C92086" w14:textId="77777777" w:rsidR="0000498C" w:rsidRPr="0000498C" w:rsidRDefault="0000498C" w:rsidP="0000498C">
            <w:pPr>
              <w:spacing w:line="360" w:lineRule="auto"/>
              <w:jc w:val="center"/>
              <w:rPr>
                <w:color w:val="000000"/>
              </w:rPr>
            </w:pPr>
            <w:r w:rsidRPr="0000498C">
              <w:rPr>
                <w:color w:val="000000"/>
              </w:rPr>
              <w:t>BRA</w:t>
            </w:r>
          </w:p>
        </w:tc>
        <w:tc>
          <w:tcPr>
            <w:tcW w:w="0" w:type="auto"/>
            <w:tcBorders>
              <w:top w:val="nil"/>
              <w:left w:val="nil"/>
              <w:bottom w:val="nil"/>
              <w:right w:val="nil"/>
            </w:tcBorders>
            <w:shd w:val="clear" w:color="auto" w:fill="auto"/>
            <w:noWrap/>
            <w:hideMark/>
          </w:tcPr>
          <w:p w14:paraId="19F173FF" w14:textId="77777777" w:rsidR="0000498C" w:rsidRPr="0000498C" w:rsidRDefault="0000498C" w:rsidP="0000498C">
            <w:pPr>
              <w:tabs>
                <w:tab w:val="decimal" w:pos="602"/>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5EFBC3C5" w14:textId="77777777" w:rsidR="0000498C" w:rsidRPr="0000498C" w:rsidRDefault="0000498C" w:rsidP="0000498C">
            <w:pPr>
              <w:tabs>
                <w:tab w:val="decimal" w:pos="551"/>
              </w:tabs>
              <w:spacing w:line="360" w:lineRule="auto"/>
              <w:rPr>
                <w:color w:val="000000"/>
              </w:rPr>
            </w:pPr>
            <w:r w:rsidRPr="0000498C">
              <w:rPr>
                <w:color w:val="000000"/>
              </w:rPr>
              <w:t>1.077</w:t>
            </w:r>
          </w:p>
        </w:tc>
        <w:tc>
          <w:tcPr>
            <w:tcW w:w="0" w:type="auto"/>
            <w:tcBorders>
              <w:top w:val="nil"/>
              <w:left w:val="nil"/>
              <w:bottom w:val="nil"/>
              <w:right w:val="single" w:sz="4" w:space="0" w:color="auto"/>
            </w:tcBorders>
            <w:shd w:val="clear" w:color="auto" w:fill="auto"/>
            <w:noWrap/>
            <w:hideMark/>
          </w:tcPr>
          <w:p w14:paraId="7B923700" w14:textId="77777777" w:rsidR="0000498C" w:rsidRPr="0000498C" w:rsidRDefault="0000498C" w:rsidP="0000498C">
            <w:pPr>
              <w:tabs>
                <w:tab w:val="decimal" w:pos="414"/>
              </w:tabs>
              <w:spacing w:line="360" w:lineRule="auto"/>
              <w:rPr>
                <w:color w:val="000000"/>
              </w:rPr>
            </w:pPr>
            <w:r w:rsidRPr="0000498C">
              <w:rPr>
                <w:color w:val="000000"/>
              </w:rPr>
              <w:t>4.308</w:t>
            </w:r>
          </w:p>
        </w:tc>
        <w:tc>
          <w:tcPr>
            <w:tcW w:w="0" w:type="auto"/>
            <w:tcBorders>
              <w:top w:val="nil"/>
              <w:left w:val="single" w:sz="4" w:space="0" w:color="auto"/>
              <w:bottom w:val="nil"/>
              <w:right w:val="nil"/>
            </w:tcBorders>
            <w:shd w:val="clear" w:color="auto" w:fill="auto"/>
            <w:noWrap/>
            <w:hideMark/>
          </w:tcPr>
          <w:p w14:paraId="5F975BCE" w14:textId="77777777" w:rsidR="0000498C" w:rsidRPr="0000498C" w:rsidRDefault="0000498C" w:rsidP="0000498C">
            <w:pPr>
              <w:spacing w:line="360" w:lineRule="auto"/>
              <w:jc w:val="center"/>
              <w:rPr>
                <w:color w:val="000000"/>
              </w:rPr>
            </w:pPr>
            <w:r w:rsidRPr="0000498C">
              <w:rPr>
                <w:color w:val="000000"/>
              </w:rPr>
              <w:t>MKD</w:t>
            </w:r>
          </w:p>
        </w:tc>
        <w:tc>
          <w:tcPr>
            <w:tcW w:w="0" w:type="auto"/>
            <w:tcBorders>
              <w:top w:val="nil"/>
              <w:left w:val="nil"/>
              <w:bottom w:val="nil"/>
              <w:right w:val="nil"/>
            </w:tcBorders>
            <w:shd w:val="clear" w:color="auto" w:fill="auto"/>
            <w:noWrap/>
            <w:hideMark/>
          </w:tcPr>
          <w:p w14:paraId="4CA9CCFF"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292A2057"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50276AF1" w14:textId="77777777" w:rsidR="0000498C" w:rsidRPr="0000498C" w:rsidRDefault="0000498C" w:rsidP="0000498C">
            <w:pPr>
              <w:tabs>
                <w:tab w:val="decimal" w:pos="421"/>
              </w:tabs>
              <w:spacing w:line="360" w:lineRule="auto"/>
              <w:rPr>
                <w:color w:val="000000"/>
              </w:rPr>
            </w:pPr>
          </w:p>
        </w:tc>
      </w:tr>
      <w:tr w:rsidR="0000498C" w:rsidRPr="0000498C" w14:paraId="3DFA8A15" w14:textId="77777777" w:rsidTr="0000498C">
        <w:trPr>
          <w:jc w:val="center"/>
        </w:trPr>
        <w:tc>
          <w:tcPr>
            <w:tcW w:w="0" w:type="auto"/>
            <w:tcBorders>
              <w:top w:val="nil"/>
              <w:left w:val="nil"/>
              <w:bottom w:val="nil"/>
              <w:right w:val="nil"/>
            </w:tcBorders>
            <w:shd w:val="clear" w:color="auto" w:fill="auto"/>
            <w:noWrap/>
            <w:hideMark/>
          </w:tcPr>
          <w:p w14:paraId="6102A922" w14:textId="77777777" w:rsidR="0000498C" w:rsidRPr="0000498C" w:rsidRDefault="0000498C" w:rsidP="0000498C">
            <w:pPr>
              <w:spacing w:line="360" w:lineRule="auto"/>
              <w:jc w:val="center"/>
              <w:rPr>
                <w:color w:val="000000"/>
              </w:rPr>
            </w:pPr>
            <w:r w:rsidRPr="0000498C">
              <w:rPr>
                <w:color w:val="000000"/>
              </w:rPr>
              <w:t>BRB</w:t>
            </w:r>
          </w:p>
        </w:tc>
        <w:tc>
          <w:tcPr>
            <w:tcW w:w="0" w:type="auto"/>
            <w:tcBorders>
              <w:top w:val="nil"/>
              <w:left w:val="nil"/>
              <w:bottom w:val="nil"/>
              <w:right w:val="nil"/>
            </w:tcBorders>
            <w:shd w:val="clear" w:color="auto" w:fill="auto"/>
            <w:noWrap/>
            <w:hideMark/>
          </w:tcPr>
          <w:p w14:paraId="3E1F6A86" w14:textId="77777777" w:rsidR="0000498C" w:rsidRPr="0000498C" w:rsidRDefault="0000498C" w:rsidP="0000498C">
            <w:pPr>
              <w:tabs>
                <w:tab w:val="decimal" w:pos="602"/>
              </w:tabs>
              <w:spacing w:line="360" w:lineRule="auto"/>
              <w:rPr>
                <w:color w:val="000000"/>
              </w:rPr>
            </w:pPr>
            <w:r w:rsidRPr="0000498C">
              <w:rPr>
                <w:color w:val="000000"/>
              </w:rPr>
              <w:t>1.500</w:t>
            </w:r>
          </w:p>
        </w:tc>
        <w:tc>
          <w:tcPr>
            <w:tcW w:w="0" w:type="auto"/>
            <w:tcBorders>
              <w:top w:val="nil"/>
              <w:left w:val="nil"/>
              <w:bottom w:val="nil"/>
              <w:right w:val="nil"/>
            </w:tcBorders>
            <w:shd w:val="clear" w:color="auto" w:fill="auto"/>
            <w:noWrap/>
            <w:hideMark/>
          </w:tcPr>
          <w:p w14:paraId="5646631B" w14:textId="77777777" w:rsidR="0000498C" w:rsidRPr="0000498C" w:rsidRDefault="0000498C" w:rsidP="0000498C">
            <w:pPr>
              <w:tabs>
                <w:tab w:val="decimal" w:pos="551"/>
              </w:tabs>
              <w:spacing w:line="360" w:lineRule="auto"/>
              <w:rPr>
                <w:color w:val="000000"/>
              </w:rPr>
            </w:pPr>
            <w:r w:rsidRPr="0000498C">
              <w:rPr>
                <w:color w:val="000000"/>
              </w:rPr>
              <w:t>0.500</w:t>
            </w:r>
          </w:p>
        </w:tc>
        <w:tc>
          <w:tcPr>
            <w:tcW w:w="0" w:type="auto"/>
            <w:tcBorders>
              <w:top w:val="nil"/>
              <w:left w:val="nil"/>
              <w:bottom w:val="nil"/>
              <w:right w:val="single" w:sz="4" w:space="0" w:color="auto"/>
            </w:tcBorders>
            <w:shd w:val="clear" w:color="auto" w:fill="auto"/>
            <w:noWrap/>
            <w:hideMark/>
          </w:tcPr>
          <w:p w14:paraId="6554E723"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8B841E7" w14:textId="77777777" w:rsidR="0000498C" w:rsidRPr="0000498C" w:rsidRDefault="0000498C" w:rsidP="0000498C">
            <w:pPr>
              <w:spacing w:line="360" w:lineRule="auto"/>
              <w:jc w:val="center"/>
              <w:rPr>
                <w:color w:val="000000"/>
              </w:rPr>
            </w:pPr>
            <w:r w:rsidRPr="0000498C">
              <w:rPr>
                <w:color w:val="000000"/>
              </w:rPr>
              <w:t>MLI</w:t>
            </w:r>
          </w:p>
        </w:tc>
        <w:tc>
          <w:tcPr>
            <w:tcW w:w="0" w:type="auto"/>
            <w:tcBorders>
              <w:top w:val="nil"/>
              <w:left w:val="nil"/>
              <w:bottom w:val="nil"/>
              <w:right w:val="nil"/>
            </w:tcBorders>
            <w:shd w:val="clear" w:color="auto" w:fill="auto"/>
            <w:noWrap/>
            <w:hideMark/>
          </w:tcPr>
          <w:p w14:paraId="0FC5173C"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171903E2" w14:textId="77777777" w:rsidR="0000498C" w:rsidRPr="0000498C" w:rsidRDefault="0000498C" w:rsidP="0000498C">
            <w:pPr>
              <w:tabs>
                <w:tab w:val="decimal" w:pos="738"/>
              </w:tabs>
              <w:spacing w:line="360" w:lineRule="auto"/>
            </w:pPr>
          </w:p>
        </w:tc>
        <w:tc>
          <w:tcPr>
            <w:tcW w:w="0" w:type="auto"/>
            <w:tcBorders>
              <w:top w:val="nil"/>
              <w:left w:val="nil"/>
              <w:bottom w:val="nil"/>
              <w:right w:val="nil"/>
            </w:tcBorders>
            <w:shd w:val="clear" w:color="auto" w:fill="auto"/>
            <w:noWrap/>
            <w:hideMark/>
          </w:tcPr>
          <w:p w14:paraId="35B6B996" w14:textId="77777777" w:rsidR="0000498C" w:rsidRPr="0000498C" w:rsidRDefault="0000498C" w:rsidP="0000498C">
            <w:pPr>
              <w:tabs>
                <w:tab w:val="decimal" w:pos="421"/>
              </w:tabs>
              <w:spacing w:line="360" w:lineRule="auto"/>
              <w:rPr>
                <w:color w:val="000000"/>
              </w:rPr>
            </w:pPr>
            <w:r w:rsidRPr="0000498C">
              <w:rPr>
                <w:color w:val="000000"/>
              </w:rPr>
              <w:t>1.000</w:t>
            </w:r>
          </w:p>
        </w:tc>
      </w:tr>
      <w:tr w:rsidR="0000498C" w:rsidRPr="0000498C" w14:paraId="718CD7B4" w14:textId="77777777" w:rsidTr="0000498C">
        <w:trPr>
          <w:jc w:val="center"/>
        </w:trPr>
        <w:tc>
          <w:tcPr>
            <w:tcW w:w="0" w:type="auto"/>
            <w:tcBorders>
              <w:top w:val="nil"/>
              <w:left w:val="nil"/>
              <w:bottom w:val="nil"/>
              <w:right w:val="nil"/>
            </w:tcBorders>
            <w:shd w:val="clear" w:color="auto" w:fill="auto"/>
            <w:noWrap/>
            <w:hideMark/>
          </w:tcPr>
          <w:p w14:paraId="4F901242" w14:textId="77777777" w:rsidR="0000498C" w:rsidRPr="0000498C" w:rsidRDefault="0000498C" w:rsidP="0000498C">
            <w:pPr>
              <w:spacing w:line="360" w:lineRule="auto"/>
              <w:jc w:val="center"/>
              <w:rPr>
                <w:color w:val="000000"/>
              </w:rPr>
            </w:pPr>
            <w:r w:rsidRPr="0000498C">
              <w:rPr>
                <w:color w:val="000000"/>
              </w:rPr>
              <w:t>BWA</w:t>
            </w:r>
          </w:p>
        </w:tc>
        <w:tc>
          <w:tcPr>
            <w:tcW w:w="0" w:type="auto"/>
            <w:tcBorders>
              <w:top w:val="nil"/>
              <w:left w:val="nil"/>
              <w:bottom w:val="nil"/>
              <w:right w:val="nil"/>
            </w:tcBorders>
            <w:shd w:val="clear" w:color="auto" w:fill="auto"/>
            <w:noWrap/>
            <w:hideMark/>
          </w:tcPr>
          <w:p w14:paraId="65194484" w14:textId="77777777" w:rsidR="0000498C" w:rsidRPr="0000498C" w:rsidRDefault="0000498C" w:rsidP="0000498C">
            <w:pPr>
              <w:tabs>
                <w:tab w:val="decimal" w:pos="602"/>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1566744A"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168809C9" w14:textId="77777777" w:rsidR="0000498C" w:rsidRPr="0000498C" w:rsidRDefault="0000498C" w:rsidP="0000498C">
            <w:pPr>
              <w:tabs>
                <w:tab w:val="decimal" w:pos="414"/>
              </w:tabs>
              <w:spacing w:line="360" w:lineRule="auto"/>
            </w:pPr>
          </w:p>
        </w:tc>
        <w:tc>
          <w:tcPr>
            <w:tcW w:w="0" w:type="auto"/>
            <w:tcBorders>
              <w:top w:val="nil"/>
              <w:left w:val="single" w:sz="4" w:space="0" w:color="auto"/>
              <w:bottom w:val="nil"/>
              <w:right w:val="nil"/>
            </w:tcBorders>
            <w:shd w:val="clear" w:color="auto" w:fill="auto"/>
            <w:noWrap/>
            <w:hideMark/>
          </w:tcPr>
          <w:p w14:paraId="2CD80318" w14:textId="77777777" w:rsidR="0000498C" w:rsidRPr="0000498C" w:rsidRDefault="0000498C" w:rsidP="0000498C">
            <w:pPr>
              <w:spacing w:line="360" w:lineRule="auto"/>
              <w:jc w:val="center"/>
              <w:rPr>
                <w:color w:val="000000"/>
              </w:rPr>
            </w:pPr>
            <w:r w:rsidRPr="0000498C">
              <w:rPr>
                <w:color w:val="000000"/>
              </w:rPr>
              <w:t>MLT</w:t>
            </w:r>
          </w:p>
        </w:tc>
        <w:tc>
          <w:tcPr>
            <w:tcW w:w="0" w:type="auto"/>
            <w:tcBorders>
              <w:top w:val="nil"/>
              <w:left w:val="nil"/>
              <w:bottom w:val="nil"/>
              <w:right w:val="nil"/>
            </w:tcBorders>
            <w:shd w:val="clear" w:color="auto" w:fill="auto"/>
            <w:noWrap/>
            <w:hideMark/>
          </w:tcPr>
          <w:p w14:paraId="75FB6DAE" w14:textId="77777777" w:rsidR="0000498C" w:rsidRPr="0000498C" w:rsidRDefault="0000498C" w:rsidP="0000498C">
            <w:pPr>
              <w:tabs>
                <w:tab w:val="decimal" w:pos="610"/>
              </w:tabs>
              <w:spacing w:line="360" w:lineRule="auto"/>
              <w:rPr>
                <w:color w:val="000000"/>
              </w:rPr>
            </w:pPr>
            <w:r w:rsidRPr="0000498C">
              <w:rPr>
                <w:color w:val="000000"/>
              </w:rPr>
              <w:t>0.795</w:t>
            </w:r>
          </w:p>
        </w:tc>
        <w:tc>
          <w:tcPr>
            <w:tcW w:w="0" w:type="auto"/>
            <w:tcBorders>
              <w:top w:val="nil"/>
              <w:left w:val="nil"/>
              <w:bottom w:val="nil"/>
              <w:right w:val="nil"/>
            </w:tcBorders>
            <w:shd w:val="clear" w:color="auto" w:fill="auto"/>
            <w:noWrap/>
            <w:hideMark/>
          </w:tcPr>
          <w:p w14:paraId="49ABB4BB" w14:textId="77777777" w:rsidR="0000498C" w:rsidRPr="0000498C" w:rsidRDefault="0000498C" w:rsidP="0000498C">
            <w:pPr>
              <w:tabs>
                <w:tab w:val="decimal" w:pos="738"/>
              </w:tabs>
              <w:spacing w:line="360" w:lineRule="auto"/>
              <w:rPr>
                <w:color w:val="000000"/>
              </w:rPr>
            </w:pPr>
            <w:r w:rsidRPr="0000498C">
              <w:rPr>
                <w:color w:val="000000"/>
              </w:rPr>
              <w:t>1.750</w:t>
            </w:r>
          </w:p>
        </w:tc>
        <w:tc>
          <w:tcPr>
            <w:tcW w:w="0" w:type="auto"/>
            <w:tcBorders>
              <w:top w:val="nil"/>
              <w:left w:val="nil"/>
              <w:bottom w:val="nil"/>
              <w:right w:val="nil"/>
            </w:tcBorders>
            <w:shd w:val="clear" w:color="auto" w:fill="auto"/>
            <w:noWrap/>
            <w:hideMark/>
          </w:tcPr>
          <w:p w14:paraId="5B4141F9" w14:textId="77777777" w:rsidR="0000498C" w:rsidRPr="0000498C" w:rsidRDefault="0000498C" w:rsidP="0000498C">
            <w:pPr>
              <w:tabs>
                <w:tab w:val="decimal" w:pos="421"/>
              </w:tabs>
              <w:spacing w:line="360" w:lineRule="auto"/>
              <w:rPr>
                <w:color w:val="000000"/>
              </w:rPr>
            </w:pPr>
          </w:p>
        </w:tc>
      </w:tr>
      <w:tr w:rsidR="0000498C" w:rsidRPr="0000498C" w14:paraId="5AFB1718" w14:textId="77777777" w:rsidTr="0000498C">
        <w:trPr>
          <w:jc w:val="center"/>
        </w:trPr>
        <w:tc>
          <w:tcPr>
            <w:tcW w:w="0" w:type="auto"/>
            <w:tcBorders>
              <w:top w:val="nil"/>
              <w:left w:val="nil"/>
              <w:bottom w:val="nil"/>
              <w:right w:val="nil"/>
            </w:tcBorders>
            <w:shd w:val="clear" w:color="auto" w:fill="auto"/>
            <w:noWrap/>
            <w:hideMark/>
          </w:tcPr>
          <w:p w14:paraId="433C03F6" w14:textId="77777777" w:rsidR="0000498C" w:rsidRPr="0000498C" w:rsidRDefault="0000498C" w:rsidP="0000498C">
            <w:pPr>
              <w:spacing w:line="360" w:lineRule="auto"/>
              <w:jc w:val="center"/>
              <w:rPr>
                <w:color w:val="000000"/>
              </w:rPr>
            </w:pPr>
            <w:r w:rsidRPr="0000498C">
              <w:rPr>
                <w:color w:val="000000"/>
              </w:rPr>
              <w:t>CAN</w:t>
            </w:r>
          </w:p>
        </w:tc>
        <w:tc>
          <w:tcPr>
            <w:tcW w:w="0" w:type="auto"/>
            <w:tcBorders>
              <w:top w:val="nil"/>
              <w:left w:val="nil"/>
              <w:bottom w:val="nil"/>
              <w:right w:val="nil"/>
            </w:tcBorders>
            <w:shd w:val="clear" w:color="auto" w:fill="auto"/>
            <w:noWrap/>
            <w:hideMark/>
          </w:tcPr>
          <w:p w14:paraId="7070B9AC" w14:textId="77777777" w:rsidR="0000498C" w:rsidRPr="0000498C" w:rsidRDefault="0000498C" w:rsidP="0000498C">
            <w:pPr>
              <w:tabs>
                <w:tab w:val="decimal" w:pos="602"/>
              </w:tabs>
              <w:spacing w:line="360" w:lineRule="auto"/>
              <w:rPr>
                <w:color w:val="000000"/>
              </w:rPr>
            </w:pPr>
            <w:r w:rsidRPr="0000498C">
              <w:rPr>
                <w:color w:val="000000"/>
              </w:rPr>
              <w:t>1.197</w:t>
            </w:r>
          </w:p>
        </w:tc>
        <w:tc>
          <w:tcPr>
            <w:tcW w:w="0" w:type="auto"/>
            <w:tcBorders>
              <w:top w:val="nil"/>
              <w:left w:val="nil"/>
              <w:bottom w:val="nil"/>
              <w:right w:val="nil"/>
            </w:tcBorders>
            <w:shd w:val="clear" w:color="auto" w:fill="auto"/>
            <w:noWrap/>
            <w:hideMark/>
          </w:tcPr>
          <w:p w14:paraId="2F8FFC5D" w14:textId="77777777" w:rsidR="0000498C" w:rsidRPr="0000498C" w:rsidRDefault="0000498C" w:rsidP="0000498C">
            <w:pPr>
              <w:tabs>
                <w:tab w:val="decimal" w:pos="551"/>
              </w:tabs>
              <w:spacing w:line="360" w:lineRule="auto"/>
              <w:rPr>
                <w:color w:val="000000"/>
              </w:rPr>
            </w:pPr>
            <w:r w:rsidRPr="0000498C">
              <w:rPr>
                <w:color w:val="000000"/>
              </w:rPr>
              <w:t>0.830</w:t>
            </w:r>
          </w:p>
        </w:tc>
        <w:tc>
          <w:tcPr>
            <w:tcW w:w="0" w:type="auto"/>
            <w:tcBorders>
              <w:top w:val="nil"/>
              <w:left w:val="nil"/>
              <w:bottom w:val="nil"/>
              <w:right w:val="single" w:sz="4" w:space="0" w:color="auto"/>
            </w:tcBorders>
            <w:shd w:val="clear" w:color="auto" w:fill="auto"/>
            <w:noWrap/>
            <w:hideMark/>
          </w:tcPr>
          <w:p w14:paraId="41D13F72"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105D77DE" w14:textId="77777777" w:rsidR="0000498C" w:rsidRPr="0000498C" w:rsidRDefault="0000498C" w:rsidP="0000498C">
            <w:pPr>
              <w:spacing w:line="360" w:lineRule="auto"/>
              <w:jc w:val="center"/>
              <w:rPr>
                <w:color w:val="000000"/>
              </w:rPr>
            </w:pPr>
            <w:r w:rsidRPr="0000498C">
              <w:rPr>
                <w:color w:val="000000"/>
              </w:rPr>
              <w:t>MWI</w:t>
            </w:r>
          </w:p>
        </w:tc>
        <w:tc>
          <w:tcPr>
            <w:tcW w:w="0" w:type="auto"/>
            <w:tcBorders>
              <w:top w:val="nil"/>
              <w:left w:val="nil"/>
              <w:bottom w:val="nil"/>
              <w:right w:val="nil"/>
            </w:tcBorders>
            <w:shd w:val="clear" w:color="auto" w:fill="auto"/>
            <w:noWrap/>
            <w:hideMark/>
          </w:tcPr>
          <w:p w14:paraId="6CCC2BB4" w14:textId="77777777" w:rsidR="0000498C" w:rsidRPr="0000498C" w:rsidRDefault="0000498C" w:rsidP="0000498C">
            <w:pPr>
              <w:tabs>
                <w:tab w:val="decimal" w:pos="610"/>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6FB59119"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238C5DE6" w14:textId="77777777" w:rsidR="0000498C" w:rsidRPr="0000498C" w:rsidRDefault="0000498C" w:rsidP="0000498C">
            <w:pPr>
              <w:tabs>
                <w:tab w:val="decimal" w:pos="421"/>
              </w:tabs>
              <w:spacing w:line="360" w:lineRule="auto"/>
            </w:pPr>
          </w:p>
        </w:tc>
      </w:tr>
      <w:tr w:rsidR="0000498C" w:rsidRPr="0000498C" w14:paraId="74E35DEA" w14:textId="77777777" w:rsidTr="0000498C">
        <w:trPr>
          <w:jc w:val="center"/>
        </w:trPr>
        <w:tc>
          <w:tcPr>
            <w:tcW w:w="0" w:type="auto"/>
            <w:tcBorders>
              <w:top w:val="nil"/>
              <w:left w:val="nil"/>
              <w:bottom w:val="nil"/>
              <w:right w:val="nil"/>
            </w:tcBorders>
            <w:shd w:val="clear" w:color="auto" w:fill="auto"/>
            <w:noWrap/>
            <w:hideMark/>
          </w:tcPr>
          <w:p w14:paraId="6DB1EC0D" w14:textId="77777777" w:rsidR="0000498C" w:rsidRPr="0000498C" w:rsidRDefault="0000498C" w:rsidP="0000498C">
            <w:pPr>
              <w:spacing w:line="360" w:lineRule="auto"/>
              <w:jc w:val="center"/>
              <w:rPr>
                <w:color w:val="000000"/>
              </w:rPr>
            </w:pPr>
            <w:r w:rsidRPr="0000498C">
              <w:rPr>
                <w:color w:val="000000"/>
              </w:rPr>
              <w:t>CHL</w:t>
            </w:r>
          </w:p>
        </w:tc>
        <w:tc>
          <w:tcPr>
            <w:tcW w:w="0" w:type="auto"/>
            <w:tcBorders>
              <w:top w:val="nil"/>
              <w:left w:val="nil"/>
              <w:bottom w:val="nil"/>
              <w:right w:val="nil"/>
            </w:tcBorders>
            <w:shd w:val="clear" w:color="auto" w:fill="auto"/>
            <w:noWrap/>
            <w:hideMark/>
          </w:tcPr>
          <w:p w14:paraId="5DB9A3FC"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35D4DEBA" w14:textId="77777777" w:rsidR="0000498C" w:rsidRPr="0000498C" w:rsidRDefault="0000498C" w:rsidP="0000498C">
            <w:pPr>
              <w:tabs>
                <w:tab w:val="decimal" w:pos="551"/>
              </w:tabs>
              <w:spacing w:line="360" w:lineRule="auto"/>
              <w:rPr>
                <w:color w:val="000000"/>
              </w:rPr>
            </w:pPr>
            <w:r w:rsidRPr="0000498C">
              <w:rPr>
                <w:color w:val="000000"/>
              </w:rPr>
              <w:t>0.971</w:t>
            </w:r>
          </w:p>
        </w:tc>
        <w:tc>
          <w:tcPr>
            <w:tcW w:w="0" w:type="auto"/>
            <w:tcBorders>
              <w:top w:val="nil"/>
              <w:left w:val="nil"/>
              <w:bottom w:val="nil"/>
              <w:right w:val="single" w:sz="4" w:space="0" w:color="auto"/>
            </w:tcBorders>
            <w:shd w:val="clear" w:color="auto" w:fill="auto"/>
            <w:noWrap/>
            <w:hideMark/>
          </w:tcPr>
          <w:p w14:paraId="427159CA" w14:textId="77777777" w:rsidR="0000498C" w:rsidRPr="0000498C" w:rsidRDefault="0000498C" w:rsidP="0000498C">
            <w:pPr>
              <w:tabs>
                <w:tab w:val="decimal" w:pos="414"/>
              </w:tabs>
              <w:spacing w:line="360" w:lineRule="auto"/>
              <w:rPr>
                <w:color w:val="000000"/>
              </w:rPr>
            </w:pPr>
            <w:r w:rsidRPr="0000498C">
              <w:rPr>
                <w:color w:val="000000"/>
              </w:rPr>
              <w:t>1.071</w:t>
            </w:r>
          </w:p>
        </w:tc>
        <w:tc>
          <w:tcPr>
            <w:tcW w:w="0" w:type="auto"/>
            <w:tcBorders>
              <w:top w:val="nil"/>
              <w:left w:val="single" w:sz="4" w:space="0" w:color="auto"/>
              <w:bottom w:val="nil"/>
              <w:right w:val="nil"/>
            </w:tcBorders>
            <w:shd w:val="clear" w:color="auto" w:fill="auto"/>
            <w:noWrap/>
            <w:hideMark/>
          </w:tcPr>
          <w:p w14:paraId="21FEF585" w14:textId="77777777" w:rsidR="0000498C" w:rsidRPr="0000498C" w:rsidRDefault="0000498C" w:rsidP="0000498C">
            <w:pPr>
              <w:spacing w:line="360" w:lineRule="auto"/>
              <w:jc w:val="center"/>
              <w:rPr>
                <w:color w:val="000000"/>
              </w:rPr>
            </w:pPr>
            <w:r w:rsidRPr="0000498C">
              <w:rPr>
                <w:color w:val="000000"/>
              </w:rPr>
              <w:t>NAM</w:t>
            </w:r>
          </w:p>
        </w:tc>
        <w:tc>
          <w:tcPr>
            <w:tcW w:w="0" w:type="auto"/>
            <w:tcBorders>
              <w:top w:val="nil"/>
              <w:left w:val="nil"/>
              <w:bottom w:val="nil"/>
              <w:right w:val="nil"/>
            </w:tcBorders>
            <w:shd w:val="clear" w:color="auto" w:fill="auto"/>
            <w:noWrap/>
            <w:hideMark/>
          </w:tcPr>
          <w:p w14:paraId="4D1DA171"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04C759C0"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6ECACB3A" w14:textId="77777777" w:rsidR="0000498C" w:rsidRPr="0000498C" w:rsidRDefault="0000498C" w:rsidP="0000498C">
            <w:pPr>
              <w:tabs>
                <w:tab w:val="decimal" w:pos="421"/>
              </w:tabs>
              <w:spacing w:line="360" w:lineRule="auto"/>
              <w:rPr>
                <w:color w:val="000000"/>
              </w:rPr>
            </w:pPr>
          </w:p>
        </w:tc>
      </w:tr>
      <w:tr w:rsidR="0000498C" w:rsidRPr="0000498C" w14:paraId="444B69FF" w14:textId="77777777" w:rsidTr="0000498C">
        <w:trPr>
          <w:jc w:val="center"/>
        </w:trPr>
        <w:tc>
          <w:tcPr>
            <w:tcW w:w="0" w:type="auto"/>
            <w:tcBorders>
              <w:top w:val="nil"/>
              <w:left w:val="nil"/>
              <w:bottom w:val="nil"/>
              <w:right w:val="nil"/>
            </w:tcBorders>
            <w:shd w:val="clear" w:color="auto" w:fill="auto"/>
            <w:noWrap/>
            <w:hideMark/>
          </w:tcPr>
          <w:p w14:paraId="5196BEEF" w14:textId="77777777" w:rsidR="0000498C" w:rsidRPr="0000498C" w:rsidRDefault="0000498C" w:rsidP="0000498C">
            <w:pPr>
              <w:spacing w:line="360" w:lineRule="auto"/>
              <w:jc w:val="center"/>
              <w:rPr>
                <w:color w:val="000000"/>
              </w:rPr>
            </w:pPr>
            <w:r w:rsidRPr="0000498C">
              <w:rPr>
                <w:color w:val="000000"/>
              </w:rPr>
              <w:t>COL</w:t>
            </w:r>
          </w:p>
        </w:tc>
        <w:tc>
          <w:tcPr>
            <w:tcW w:w="0" w:type="auto"/>
            <w:tcBorders>
              <w:top w:val="nil"/>
              <w:left w:val="nil"/>
              <w:bottom w:val="nil"/>
              <w:right w:val="nil"/>
            </w:tcBorders>
            <w:shd w:val="clear" w:color="auto" w:fill="auto"/>
            <w:noWrap/>
            <w:hideMark/>
          </w:tcPr>
          <w:p w14:paraId="1F27CA71" w14:textId="77777777" w:rsidR="0000498C" w:rsidRPr="0000498C" w:rsidRDefault="0000498C" w:rsidP="0000498C">
            <w:pPr>
              <w:tabs>
                <w:tab w:val="decimal" w:pos="602"/>
              </w:tabs>
              <w:spacing w:line="360" w:lineRule="auto"/>
              <w:rPr>
                <w:color w:val="000000"/>
              </w:rPr>
            </w:pPr>
            <w:r w:rsidRPr="0000498C">
              <w:rPr>
                <w:color w:val="000000"/>
              </w:rPr>
              <w:t>3.250</w:t>
            </w:r>
          </w:p>
        </w:tc>
        <w:tc>
          <w:tcPr>
            <w:tcW w:w="0" w:type="auto"/>
            <w:tcBorders>
              <w:top w:val="nil"/>
              <w:left w:val="nil"/>
              <w:bottom w:val="nil"/>
              <w:right w:val="nil"/>
            </w:tcBorders>
            <w:shd w:val="clear" w:color="auto" w:fill="auto"/>
            <w:noWrap/>
            <w:hideMark/>
          </w:tcPr>
          <w:p w14:paraId="548E0EF1"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68E00EBD" w14:textId="77777777" w:rsidR="0000498C" w:rsidRPr="0000498C" w:rsidRDefault="0000498C" w:rsidP="0000498C">
            <w:pPr>
              <w:tabs>
                <w:tab w:val="decimal" w:pos="414"/>
              </w:tabs>
              <w:spacing w:line="360" w:lineRule="auto"/>
              <w:rPr>
                <w:color w:val="000000"/>
              </w:rPr>
            </w:pPr>
            <w:r w:rsidRPr="0000498C">
              <w:rPr>
                <w:color w:val="000000"/>
              </w:rPr>
              <w:t>0.000</w:t>
            </w:r>
          </w:p>
        </w:tc>
        <w:tc>
          <w:tcPr>
            <w:tcW w:w="0" w:type="auto"/>
            <w:tcBorders>
              <w:top w:val="nil"/>
              <w:left w:val="single" w:sz="4" w:space="0" w:color="auto"/>
              <w:bottom w:val="nil"/>
              <w:right w:val="nil"/>
            </w:tcBorders>
            <w:shd w:val="clear" w:color="auto" w:fill="auto"/>
            <w:noWrap/>
            <w:hideMark/>
          </w:tcPr>
          <w:p w14:paraId="4A31566C" w14:textId="77777777" w:rsidR="0000498C" w:rsidRPr="0000498C" w:rsidRDefault="0000498C" w:rsidP="0000498C">
            <w:pPr>
              <w:spacing w:line="360" w:lineRule="auto"/>
              <w:jc w:val="center"/>
              <w:rPr>
                <w:color w:val="000000"/>
              </w:rPr>
            </w:pPr>
            <w:r w:rsidRPr="0000498C">
              <w:rPr>
                <w:color w:val="000000"/>
              </w:rPr>
              <w:t>NGA</w:t>
            </w:r>
          </w:p>
        </w:tc>
        <w:tc>
          <w:tcPr>
            <w:tcW w:w="0" w:type="auto"/>
            <w:tcBorders>
              <w:top w:val="nil"/>
              <w:left w:val="nil"/>
              <w:bottom w:val="nil"/>
              <w:right w:val="nil"/>
            </w:tcBorders>
            <w:shd w:val="clear" w:color="auto" w:fill="auto"/>
            <w:noWrap/>
            <w:hideMark/>
          </w:tcPr>
          <w:p w14:paraId="61CD4247" w14:textId="77777777" w:rsidR="0000498C" w:rsidRPr="0000498C" w:rsidRDefault="0000498C" w:rsidP="0000498C">
            <w:pPr>
              <w:tabs>
                <w:tab w:val="decimal" w:pos="610"/>
              </w:tabs>
              <w:spacing w:line="360" w:lineRule="auto"/>
              <w:rPr>
                <w:color w:val="000000"/>
              </w:rPr>
            </w:pPr>
            <w:r w:rsidRPr="0000498C">
              <w:rPr>
                <w:color w:val="000000"/>
              </w:rPr>
              <w:t>0.900</w:t>
            </w:r>
          </w:p>
        </w:tc>
        <w:tc>
          <w:tcPr>
            <w:tcW w:w="0" w:type="auto"/>
            <w:tcBorders>
              <w:top w:val="nil"/>
              <w:left w:val="nil"/>
              <w:bottom w:val="nil"/>
              <w:right w:val="nil"/>
            </w:tcBorders>
            <w:shd w:val="clear" w:color="auto" w:fill="auto"/>
            <w:noWrap/>
            <w:hideMark/>
          </w:tcPr>
          <w:p w14:paraId="1A747DDB" w14:textId="77777777" w:rsidR="0000498C" w:rsidRPr="0000498C" w:rsidRDefault="0000498C" w:rsidP="0000498C">
            <w:pPr>
              <w:tabs>
                <w:tab w:val="decimal" w:pos="738"/>
              </w:tabs>
              <w:spacing w:line="360" w:lineRule="auto"/>
              <w:rPr>
                <w:color w:val="000000"/>
              </w:rPr>
            </w:pPr>
            <w:r w:rsidRPr="0000498C">
              <w:rPr>
                <w:color w:val="000000"/>
              </w:rPr>
              <w:t>1.800</w:t>
            </w:r>
          </w:p>
        </w:tc>
        <w:tc>
          <w:tcPr>
            <w:tcW w:w="0" w:type="auto"/>
            <w:tcBorders>
              <w:top w:val="nil"/>
              <w:left w:val="nil"/>
              <w:bottom w:val="nil"/>
              <w:right w:val="nil"/>
            </w:tcBorders>
            <w:shd w:val="clear" w:color="auto" w:fill="auto"/>
            <w:noWrap/>
            <w:hideMark/>
          </w:tcPr>
          <w:p w14:paraId="020CE8CB" w14:textId="77777777" w:rsidR="0000498C" w:rsidRPr="0000498C" w:rsidRDefault="0000498C" w:rsidP="0000498C">
            <w:pPr>
              <w:tabs>
                <w:tab w:val="decimal" w:pos="421"/>
              </w:tabs>
              <w:spacing w:line="360" w:lineRule="auto"/>
              <w:rPr>
                <w:color w:val="000000"/>
              </w:rPr>
            </w:pPr>
          </w:p>
        </w:tc>
      </w:tr>
      <w:tr w:rsidR="0000498C" w:rsidRPr="0000498C" w14:paraId="5D372D60" w14:textId="77777777" w:rsidTr="0000498C">
        <w:trPr>
          <w:jc w:val="center"/>
        </w:trPr>
        <w:tc>
          <w:tcPr>
            <w:tcW w:w="0" w:type="auto"/>
            <w:tcBorders>
              <w:top w:val="nil"/>
              <w:left w:val="nil"/>
              <w:bottom w:val="nil"/>
              <w:right w:val="nil"/>
            </w:tcBorders>
            <w:shd w:val="clear" w:color="auto" w:fill="auto"/>
            <w:noWrap/>
            <w:hideMark/>
          </w:tcPr>
          <w:p w14:paraId="1C2E2299" w14:textId="77777777" w:rsidR="0000498C" w:rsidRPr="0000498C" w:rsidRDefault="0000498C" w:rsidP="0000498C">
            <w:pPr>
              <w:spacing w:line="360" w:lineRule="auto"/>
              <w:jc w:val="center"/>
              <w:rPr>
                <w:color w:val="000000"/>
              </w:rPr>
            </w:pPr>
            <w:r w:rsidRPr="0000498C">
              <w:rPr>
                <w:color w:val="000000"/>
              </w:rPr>
              <w:t>COM</w:t>
            </w:r>
          </w:p>
        </w:tc>
        <w:tc>
          <w:tcPr>
            <w:tcW w:w="0" w:type="auto"/>
            <w:tcBorders>
              <w:top w:val="nil"/>
              <w:left w:val="nil"/>
              <w:bottom w:val="nil"/>
              <w:right w:val="nil"/>
            </w:tcBorders>
            <w:shd w:val="clear" w:color="auto" w:fill="auto"/>
            <w:noWrap/>
            <w:hideMark/>
          </w:tcPr>
          <w:p w14:paraId="30F21296"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51BFD783" w14:textId="77777777" w:rsidR="0000498C" w:rsidRPr="0000498C" w:rsidRDefault="0000498C" w:rsidP="0000498C">
            <w:pPr>
              <w:tabs>
                <w:tab w:val="decimal" w:pos="551"/>
              </w:tabs>
              <w:spacing w:line="360" w:lineRule="auto"/>
            </w:pPr>
          </w:p>
        </w:tc>
        <w:tc>
          <w:tcPr>
            <w:tcW w:w="0" w:type="auto"/>
            <w:tcBorders>
              <w:top w:val="nil"/>
              <w:left w:val="nil"/>
              <w:bottom w:val="nil"/>
              <w:right w:val="single" w:sz="4" w:space="0" w:color="auto"/>
            </w:tcBorders>
            <w:shd w:val="clear" w:color="auto" w:fill="auto"/>
            <w:noWrap/>
            <w:hideMark/>
          </w:tcPr>
          <w:p w14:paraId="47BBA052" w14:textId="77777777" w:rsidR="0000498C" w:rsidRPr="0000498C" w:rsidRDefault="0000498C" w:rsidP="0000498C">
            <w:pPr>
              <w:tabs>
                <w:tab w:val="decimal" w:pos="414"/>
              </w:tabs>
              <w:spacing w:line="360" w:lineRule="auto"/>
              <w:rPr>
                <w:color w:val="000000"/>
              </w:rPr>
            </w:pPr>
            <w:r w:rsidRPr="0000498C">
              <w:rPr>
                <w:color w:val="000000"/>
              </w:rPr>
              <w:t>1.000</w:t>
            </w:r>
          </w:p>
        </w:tc>
        <w:tc>
          <w:tcPr>
            <w:tcW w:w="0" w:type="auto"/>
            <w:tcBorders>
              <w:top w:val="nil"/>
              <w:left w:val="single" w:sz="4" w:space="0" w:color="auto"/>
              <w:bottom w:val="nil"/>
              <w:right w:val="nil"/>
            </w:tcBorders>
            <w:shd w:val="clear" w:color="auto" w:fill="auto"/>
            <w:noWrap/>
            <w:hideMark/>
          </w:tcPr>
          <w:p w14:paraId="648D78CF" w14:textId="77777777" w:rsidR="0000498C" w:rsidRPr="0000498C" w:rsidRDefault="0000498C" w:rsidP="0000498C">
            <w:pPr>
              <w:spacing w:line="360" w:lineRule="auto"/>
              <w:jc w:val="center"/>
              <w:rPr>
                <w:color w:val="000000"/>
              </w:rPr>
            </w:pPr>
            <w:r w:rsidRPr="0000498C">
              <w:rPr>
                <w:color w:val="000000"/>
              </w:rPr>
              <w:t>NIC</w:t>
            </w:r>
          </w:p>
        </w:tc>
        <w:tc>
          <w:tcPr>
            <w:tcW w:w="0" w:type="auto"/>
            <w:tcBorders>
              <w:top w:val="nil"/>
              <w:left w:val="nil"/>
              <w:bottom w:val="nil"/>
              <w:right w:val="nil"/>
            </w:tcBorders>
            <w:shd w:val="clear" w:color="auto" w:fill="auto"/>
            <w:noWrap/>
            <w:hideMark/>
          </w:tcPr>
          <w:p w14:paraId="22607684" w14:textId="77777777" w:rsidR="0000498C" w:rsidRPr="0000498C" w:rsidRDefault="0000498C" w:rsidP="0000498C">
            <w:pPr>
              <w:tabs>
                <w:tab w:val="decimal" w:pos="610"/>
              </w:tabs>
              <w:spacing w:line="360" w:lineRule="auto"/>
              <w:rPr>
                <w:color w:val="000000"/>
              </w:rPr>
            </w:pPr>
            <w:r w:rsidRPr="0000498C">
              <w:rPr>
                <w:color w:val="000000"/>
              </w:rPr>
              <w:t>0.971</w:t>
            </w:r>
          </w:p>
        </w:tc>
        <w:tc>
          <w:tcPr>
            <w:tcW w:w="0" w:type="auto"/>
            <w:tcBorders>
              <w:top w:val="nil"/>
              <w:left w:val="nil"/>
              <w:bottom w:val="nil"/>
              <w:right w:val="nil"/>
            </w:tcBorders>
            <w:shd w:val="clear" w:color="auto" w:fill="auto"/>
            <w:noWrap/>
            <w:hideMark/>
          </w:tcPr>
          <w:p w14:paraId="69AF6D35" w14:textId="77777777" w:rsidR="0000498C" w:rsidRPr="0000498C" w:rsidRDefault="0000498C" w:rsidP="0000498C">
            <w:pPr>
              <w:tabs>
                <w:tab w:val="decimal" w:pos="738"/>
              </w:tabs>
              <w:spacing w:line="360" w:lineRule="auto"/>
              <w:rPr>
                <w:color w:val="000000"/>
              </w:rPr>
            </w:pPr>
            <w:r w:rsidRPr="0000498C">
              <w:rPr>
                <w:color w:val="000000"/>
              </w:rPr>
              <w:t>1.012</w:t>
            </w:r>
          </w:p>
        </w:tc>
        <w:tc>
          <w:tcPr>
            <w:tcW w:w="0" w:type="auto"/>
            <w:tcBorders>
              <w:top w:val="nil"/>
              <w:left w:val="nil"/>
              <w:bottom w:val="nil"/>
              <w:right w:val="nil"/>
            </w:tcBorders>
            <w:shd w:val="clear" w:color="auto" w:fill="auto"/>
            <w:noWrap/>
            <w:hideMark/>
          </w:tcPr>
          <w:p w14:paraId="09FD807F" w14:textId="77777777" w:rsidR="0000498C" w:rsidRPr="0000498C" w:rsidRDefault="0000498C" w:rsidP="0000498C">
            <w:pPr>
              <w:tabs>
                <w:tab w:val="decimal" w:pos="421"/>
              </w:tabs>
              <w:spacing w:line="360" w:lineRule="auto"/>
              <w:rPr>
                <w:color w:val="000000"/>
              </w:rPr>
            </w:pPr>
          </w:p>
        </w:tc>
      </w:tr>
      <w:tr w:rsidR="0000498C" w:rsidRPr="0000498C" w14:paraId="7B347548" w14:textId="77777777" w:rsidTr="0000498C">
        <w:trPr>
          <w:jc w:val="center"/>
        </w:trPr>
        <w:tc>
          <w:tcPr>
            <w:tcW w:w="0" w:type="auto"/>
            <w:tcBorders>
              <w:top w:val="nil"/>
              <w:left w:val="nil"/>
              <w:bottom w:val="nil"/>
              <w:right w:val="nil"/>
            </w:tcBorders>
            <w:shd w:val="clear" w:color="auto" w:fill="auto"/>
            <w:noWrap/>
            <w:hideMark/>
          </w:tcPr>
          <w:p w14:paraId="28D4A048" w14:textId="77777777" w:rsidR="0000498C" w:rsidRPr="0000498C" w:rsidRDefault="0000498C" w:rsidP="0000498C">
            <w:pPr>
              <w:spacing w:line="360" w:lineRule="auto"/>
              <w:jc w:val="center"/>
              <w:rPr>
                <w:color w:val="000000"/>
              </w:rPr>
            </w:pPr>
            <w:r w:rsidRPr="0000498C">
              <w:rPr>
                <w:color w:val="000000"/>
              </w:rPr>
              <w:lastRenderedPageBreak/>
              <w:t>CPV</w:t>
            </w:r>
          </w:p>
        </w:tc>
        <w:tc>
          <w:tcPr>
            <w:tcW w:w="0" w:type="auto"/>
            <w:tcBorders>
              <w:top w:val="nil"/>
              <w:left w:val="nil"/>
              <w:bottom w:val="nil"/>
              <w:right w:val="nil"/>
            </w:tcBorders>
            <w:shd w:val="clear" w:color="auto" w:fill="auto"/>
            <w:noWrap/>
            <w:hideMark/>
          </w:tcPr>
          <w:p w14:paraId="0015ACEC"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5A978724" w14:textId="77777777" w:rsidR="0000498C" w:rsidRPr="0000498C" w:rsidRDefault="0000498C" w:rsidP="0000498C">
            <w:pPr>
              <w:tabs>
                <w:tab w:val="decimal" w:pos="551"/>
              </w:tabs>
              <w:spacing w:line="360" w:lineRule="auto"/>
              <w:rPr>
                <w:color w:val="000000"/>
              </w:rPr>
            </w:pPr>
            <w:r w:rsidRPr="0000498C">
              <w:rPr>
                <w:color w:val="000000"/>
              </w:rPr>
              <w:t>1.333</w:t>
            </w:r>
          </w:p>
        </w:tc>
        <w:tc>
          <w:tcPr>
            <w:tcW w:w="0" w:type="auto"/>
            <w:tcBorders>
              <w:top w:val="nil"/>
              <w:left w:val="nil"/>
              <w:bottom w:val="nil"/>
              <w:right w:val="single" w:sz="4" w:space="0" w:color="auto"/>
            </w:tcBorders>
            <w:shd w:val="clear" w:color="auto" w:fill="auto"/>
            <w:noWrap/>
            <w:hideMark/>
          </w:tcPr>
          <w:p w14:paraId="02284CC5" w14:textId="77777777" w:rsidR="0000498C" w:rsidRPr="0000498C" w:rsidRDefault="0000498C" w:rsidP="0000498C">
            <w:pPr>
              <w:tabs>
                <w:tab w:val="decimal" w:pos="414"/>
              </w:tabs>
              <w:spacing w:line="360" w:lineRule="auto"/>
              <w:rPr>
                <w:color w:val="000000"/>
              </w:rPr>
            </w:pPr>
            <w:r w:rsidRPr="0000498C">
              <w:rPr>
                <w:color w:val="000000"/>
              </w:rPr>
              <w:t>0.750</w:t>
            </w:r>
          </w:p>
        </w:tc>
        <w:tc>
          <w:tcPr>
            <w:tcW w:w="0" w:type="auto"/>
            <w:tcBorders>
              <w:top w:val="nil"/>
              <w:left w:val="single" w:sz="4" w:space="0" w:color="auto"/>
              <w:bottom w:val="nil"/>
              <w:right w:val="nil"/>
            </w:tcBorders>
            <w:shd w:val="clear" w:color="auto" w:fill="auto"/>
            <w:noWrap/>
            <w:hideMark/>
          </w:tcPr>
          <w:p w14:paraId="63DCF5B2" w14:textId="77777777" w:rsidR="0000498C" w:rsidRPr="0000498C" w:rsidRDefault="0000498C" w:rsidP="0000498C">
            <w:pPr>
              <w:spacing w:line="360" w:lineRule="auto"/>
              <w:jc w:val="center"/>
              <w:rPr>
                <w:color w:val="000000"/>
              </w:rPr>
            </w:pPr>
            <w:r w:rsidRPr="0000498C">
              <w:rPr>
                <w:color w:val="000000"/>
              </w:rPr>
              <w:t>NLD</w:t>
            </w:r>
          </w:p>
        </w:tc>
        <w:tc>
          <w:tcPr>
            <w:tcW w:w="0" w:type="auto"/>
            <w:tcBorders>
              <w:top w:val="nil"/>
              <w:left w:val="nil"/>
              <w:bottom w:val="nil"/>
              <w:right w:val="nil"/>
            </w:tcBorders>
            <w:shd w:val="clear" w:color="auto" w:fill="auto"/>
            <w:noWrap/>
            <w:hideMark/>
          </w:tcPr>
          <w:p w14:paraId="2ECA8C00" w14:textId="77777777" w:rsidR="0000498C" w:rsidRPr="0000498C" w:rsidRDefault="0000498C" w:rsidP="0000498C">
            <w:pPr>
              <w:tabs>
                <w:tab w:val="decimal" w:pos="610"/>
              </w:tabs>
              <w:spacing w:line="360" w:lineRule="auto"/>
              <w:rPr>
                <w:color w:val="000000"/>
              </w:rPr>
            </w:pPr>
            <w:r w:rsidRPr="0000498C">
              <w:rPr>
                <w:color w:val="000000"/>
              </w:rPr>
              <w:t>1.263</w:t>
            </w:r>
          </w:p>
        </w:tc>
        <w:tc>
          <w:tcPr>
            <w:tcW w:w="0" w:type="auto"/>
            <w:tcBorders>
              <w:top w:val="nil"/>
              <w:left w:val="nil"/>
              <w:bottom w:val="nil"/>
              <w:right w:val="nil"/>
            </w:tcBorders>
            <w:shd w:val="clear" w:color="auto" w:fill="auto"/>
            <w:noWrap/>
            <w:hideMark/>
          </w:tcPr>
          <w:p w14:paraId="2B69A9C7" w14:textId="77777777" w:rsidR="0000498C" w:rsidRPr="0000498C" w:rsidRDefault="0000498C" w:rsidP="0000498C">
            <w:pPr>
              <w:tabs>
                <w:tab w:val="decimal" w:pos="738"/>
              </w:tabs>
              <w:spacing w:line="360" w:lineRule="auto"/>
              <w:rPr>
                <w:color w:val="000000"/>
              </w:rPr>
            </w:pPr>
            <w:r w:rsidRPr="0000498C">
              <w:rPr>
                <w:color w:val="000000"/>
              </w:rPr>
              <w:t>0.444</w:t>
            </w:r>
          </w:p>
        </w:tc>
        <w:tc>
          <w:tcPr>
            <w:tcW w:w="0" w:type="auto"/>
            <w:tcBorders>
              <w:top w:val="nil"/>
              <w:left w:val="nil"/>
              <w:bottom w:val="nil"/>
              <w:right w:val="nil"/>
            </w:tcBorders>
            <w:shd w:val="clear" w:color="auto" w:fill="auto"/>
            <w:noWrap/>
            <w:hideMark/>
          </w:tcPr>
          <w:p w14:paraId="0FA2FF9A" w14:textId="77777777" w:rsidR="0000498C" w:rsidRPr="0000498C" w:rsidRDefault="0000498C" w:rsidP="0000498C">
            <w:pPr>
              <w:tabs>
                <w:tab w:val="decimal" w:pos="421"/>
              </w:tabs>
              <w:spacing w:line="360" w:lineRule="auto"/>
              <w:rPr>
                <w:color w:val="000000"/>
              </w:rPr>
            </w:pPr>
          </w:p>
        </w:tc>
      </w:tr>
      <w:tr w:rsidR="0000498C" w:rsidRPr="0000498C" w14:paraId="56BCA4C4" w14:textId="77777777" w:rsidTr="0000498C">
        <w:trPr>
          <w:jc w:val="center"/>
        </w:trPr>
        <w:tc>
          <w:tcPr>
            <w:tcW w:w="0" w:type="auto"/>
            <w:tcBorders>
              <w:top w:val="nil"/>
              <w:left w:val="nil"/>
              <w:bottom w:val="nil"/>
              <w:right w:val="nil"/>
            </w:tcBorders>
            <w:shd w:val="clear" w:color="auto" w:fill="auto"/>
            <w:noWrap/>
            <w:hideMark/>
          </w:tcPr>
          <w:p w14:paraId="26845028" w14:textId="77777777" w:rsidR="0000498C" w:rsidRPr="0000498C" w:rsidRDefault="0000498C" w:rsidP="0000498C">
            <w:pPr>
              <w:spacing w:line="360" w:lineRule="auto"/>
              <w:jc w:val="center"/>
              <w:rPr>
                <w:color w:val="000000"/>
              </w:rPr>
            </w:pPr>
            <w:r w:rsidRPr="0000498C">
              <w:rPr>
                <w:color w:val="000000"/>
              </w:rPr>
              <w:t>CRI</w:t>
            </w:r>
          </w:p>
        </w:tc>
        <w:tc>
          <w:tcPr>
            <w:tcW w:w="0" w:type="auto"/>
            <w:tcBorders>
              <w:top w:val="nil"/>
              <w:left w:val="nil"/>
              <w:bottom w:val="nil"/>
              <w:right w:val="nil"/>
            </w:tcBorders>
            <w:shd w:val="clear" w:color="auto" w:fill="auto"/>
            <w:noWrap/>
            <w:hideMark/>
          </w:tcPr>
          <w:p w14:paraId="3D03D1E4" w14:textId="77777777" w:rsidR="0000498C" w:rsidRPr="0000498C" w:rsidRDefault="0000498C" w:rsidP="0000498C">
            <w:pPr>
              <w:tabs>
                <w:tab w:val="decimal" w:pos="602"/>
              </w:tabs>
              <w:spacing w:line="360" w:lineRule="auto"/>
              <w:rPr>
                <w:color w:val="000000"/>
              </w:rPr>
            </w:pPr>
            <w:r w:rsidRPr="0000498C">
              <w:rPr>
                <w:color w:val="000000"/>
              </w:rPr>
              <w:t>0.117</w:t>
            </w:r>
          </w:p>
        </w:tc>
        <w:tc>
          <w:tcPr>
            <w:tcW w:w="0" w:type="auto"/>
            <w:tcBorders>
              <w:top w:val="nil"/>
              <w:left w:val="nil"/>
              <w:bottom w:val="nil"/>
              <w:right w:val="nil"/>
            </w:tcBorders>
            <w:shd w:val="clear" w:color="auto" w:fill="auto"/>
            <w:noWrap/>
            <w:hideMark/>
          </w:tcPr>
          <w:p w14:paraId="5697FCFB" w14:textId="77777777" w:rsidR="0000498C" w:rsidRPr="0000498C" w:rsidRDefault="0000498C" w:rsidP="0000498C">
            <w:pPr>
              <w:tabs>
                <w:tab w:val="decimal" w:pos="551"/>
              </w:tabs>
              <w:spacing w:line="360" w:lineRule="auto"/>
              <w:rPr>
                <w:color w:val="000000"/>
              </w:rPr>
            </w:pPr>
            <w:r w:rsidRPr="0000498C">
              <w:rPr>
                <w:color w:val="000000"/>
              </w:rPr>
              <w:t>1.663</w:t>
            </w:r>
          </w:p>
        </w:tc>
        <w:tc>
          <w:tcPr>
            <w:tcW w:w="0" w:type="auto"/>
            <w:tcBorders>
              <w:top w:val="nil"/>
              <w:left w:val="nil"/>
              <w:bottom w:val="nil"/>
              <w:right w:val="single" w:sz="4" w:space="0" w:color="auto"/>
            </w:tcBorders>
            <w:shd w:val="clear" w:color="auto" w:fill="auto"/>
            <w:noWrap/>
            <w:hideMark/>
          </w:tcPr>
          <w:p w14:paraId="1FD10B44"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61E6DA8E" w14:textId="77777777" w:rsidR="0000498C" w:rsidRPr="0000498C" w:rsidRDefault="0000498C" w:rsidP="0000498C">
            <w:pPr>
              <w:spacing w:line="360" w:lineRule="auto"/>
              <w:jc w:val="center"/>
              <w:rPr>
                <w:color w:val="000000"/>
              </w:rPr>
            </w:pPr>
            <w:r w:rsidRPr="0000498C">
              <w:rPr>
                <w:color w:val="000000"/>
              </w:rPr>
              <w:t>NOR</w:t>
            </w:r>
          </w:p>
        </w:tc>
        <w:tc>
          <w:tcPr>
            <w:tcW w:w="0" w:type="auto"/>
            <w:tcBorders>
              <w:top w:val="nil"/>
              <w:left w:val="nil"/>
              <w:bottom w:val="nil"/>
              <w:right w:val="nil"/>
            </w:tcBorders>
            <w:shd w:val="clear" w:color="auto" w:fill="auto"/>
            <w:noWrap/>
            <w:hideMark/>
          </w:tcPr>
          <w:p w14:paraId="705B7105" w14:textId="77777777" w:rsidR="0000498C" w:rsidRPr="0000498C" w:rsidRDefault="0000498C" w:rsidP="0000498C">
            <w:pPr>
              <w:tabs>
                <w:tab w:val="decimal" w:pos="610"/>
              </w:tabs>
              <w:spacing w:line="360" w:lineRule="auto"/>
              <w:rPr>
                <w:color w:val="000000"/>
              </w:rPr>
            </w:pPr>
            <w:r w:rsidRPr="0000498C">
              <w:rPr>
                <w:color w:val="000000"/>
              </w:rPr>
              <w:t>1.140</w:t>
            </w:r>
          </w:p>
        </w:tc>
        <w:tc>
          <w:tcPr>
            <w:tcW w:w="0" w:type="auto"/>
            <w:tcBorders>
              <w:top w:val="nil"/>
              <w:left w:val="nil"/>
              <w:bottom w:val="nil"/>
              <w:right w:val="nil"/>
            </w:tcBorders>
            <w:shd w:val="clear" w:color="auto" w:fill="auto"/>
            <w:noWrap/>
            <w:hideMark/>
          </w:tcPr>
          <w:p w14:paraId="7F0BBB2F" w14:textId="77777777" w:rsidR="0000498C" w:rsidRPr="0000498C" w:rsidRDefault="0000498C" w:rsidP="0000498C">
            <w:pPr>
              <w:tabs>
                <w:tab w:val="decimal" w:pos="738"/>
              </w:tabs>
              <w:spacing w:line="360" w:lineRule="auto"/>
              <w:rPr>
                <w:color w:val="000000"/>
              </w:rPr>
            </w:pPr>
            <w:r w:rsidRPr="0000498C">
              <w:rPr>
                <w:color w:val="000000"/>
              </w:rPr>
              <w:t>0.878</w:t>
            </w:r>
          </w:p>
        </w:tc>
        <w:tc>
          <w:tcPr>
            <w:tcW w:w="0" w:type="auto"/>
            <w:tcBorders>
              <w:top w:val="nil"/>
              <w:left w:val="nil"/>
              <w:bottom w:val="nil"/>
              <w:right w:val="nil"/>
            </w:tcBorders>
            <w:shd w:val="clear" w:color="auto" w:fill="auto"/>
            <w:noWrap/>
            <w:hideMark/>
          </w:tcPr>
          <w:p w14:paraId="0018E959" w14:textId="77777777" w:rsidR="0000498C" w:rsidRPr="0000498C" w:rsidRDefault="0000498C" w:rsidP="0000498C">
            <w:pPr>
              <w:tabs>
                <w:tab w:val="decimal" w:pos="421"/>
              </w:tabs>
              <w:spacing w:line="360" w:lineRule="auto"/>
              <w:rPr>
                <w:color w:val="000000"/>
              </w:rPr>
            </w:pPr>
          </w:p>
        </w:tc>
      </w:tr>
      <w:tr w:rsidR="0000498C" w:rsidRPr="0000498C" w14:paraId="19875DE7" w14:textId="77777777" w:rsidTr="0000498C">
        <w:trPr>
          <w:jc w:val="center"/>
        </w:trPr>
        <w:tc>
          <w:tcPr>
            <w:tcW w:w="0" w:type="auto"/>
            <w:tcBorders>
              <w:top w:val="nil"/>
              <w:left w:val="nil"/>
              <w:bottom w:val="nil"/>
              <w:right w:val="nil"/>
            </w:tcBorders>
            <w:shd w:val="clear" w:color="auto" w:fill="auto"/>
            <w:noWrap/>
            <w:hideMark/>
          </w:tcPr>
          <w:p w14:paraId="1E09DE34" w14:textId="77777777" w:rsidR="0000498C" w:rsidRPr="0000498C" w:rsidRDefault="0000498C" w:rsidP="0000498C">
            <w:pPr>
              <w:spacing w:line="360" w:lineRule="auto"/>
              <w:jc w:val="center"/>
              <w:rPr>
                <w:color w:val="000000"/>
              </w:rPr>
            </w:pPr>
            <w:r w:rsidRPr="0000498C">
              <w:rPr>
                <w:color w:val="000000"/>
              </w:rPr>
              <w:t>CYP</w:t>
            </w:r>
          </w:p>
        </w:tc>
        <w:tc>
          <w:tcPr>
            <w:tcW w:w="0" w:type="auto"/>
            <w:tcBorders>
              <w:top w:val="nil"/>
              <w:left w:val="nil"/>
              <w:bottom w:val="nil"/>
              <w:right w:val="nil"/>
            </w:tcBorders>
            <w:shd w:val="clear" w:color="auto" w:fill="auto"/>
            <w:noWrap/>
            <w:hideMark/>
          </w:tcPr>
          <w:p w14:paraId="7B9E40B0" w14:textId="77777777" w:rsidR="0000498C" w:rsidRPr="0000498C" w:rsidRDefault="0000498C" w:rsidP="0000498C">
            <w:pPr>
              <w:tabs>
                <w:tab w:val="decimal" w:pos="602"/>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01248AF0" w14:textId="77777777" w:rsidR="0000498C" w:rsidRPr="0000498C" w:rsidRDefault="0000498C" w:rsidP="0000498C">
            <w:pPr>
              <w:tabs>
                <w:tab w:val="decimal" w:pos="551"/>
              </w:tabs>
              <w:spacing w:line="360" w:lineRule="auto"/>
              <w:rPr>
                <w:color w:val="000000"/>
              </w:rPr>
            </w:pPr>
            <w:r w:rsidRPr="0000498C">
              <w:rPr>
                <w:color w:val="000000"/>
              </w:rPr>
              <w:t>4.800</w:t>
            </w:r>
          </w:p>
        </w:tc>
        <w:tc>
          <w:tcPr>
            <w:tcW w:w="0" w:type="auto"/>
            <w:tcBorders>
              <w:top w:val="nil"/>
              <w:left w:val="nil"/>
              <w:bottom w:val="nil"/>
              <w:right w:val="single" w:sz="4" w:space="0" w:color="auto"/>
            </w:tcBorders>
            <w:shd w:val="clear" w:color="auto" w:fill="auto"/>
            <w:noWrap/>
            <w:hideMark/>
          </w:tcPr>
          <w:p w14:paraId="71F2DB59"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014FDE77" w14:textId="77777777" w:rsidR="0000498C" w:rsidRPr="0000498C" w:rsidRDefault="0000498C" w:rsidP="0000498C">
            <w:pPr>
              <w:spacing w:line="360" w:lineRule="auto"/>
              <w:jc w:val="center"/>
              <w:rPr>
                <w:color w:val="000000"/>
              </w:rPr>
            </w:pPr>
            <w:r w:rsidRPr="0000498C">
              <w:rPr>
                <w:color w:val="000000"/>
              </w:rPr>
              <w:t>NPL</w:t>
            </w:r>
          </w:p>
        </w:tc>
        <w:tc>
          <w:tcPr>
            <w:tcW w:w="0" w:type="auto"/>
            <w:tcBorders>
              <w:top w:val="nil"/>
              <w:left w:val="nil"/>
              <w:bottom w:val="nil"/>
              <w:right w:val="nil"/>
            </w:tcBorders>
            <w:shd w:val="clear" w:color="auto" w:fill="auto"/>
            <w:noWrap/>
            <w:hideMark/>
          </w:tcPr>
          <w:p w14:paraId="70161EBE"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1BA662FA"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592FCAE3" w14:textId="77777777" w:rsidR="0000498C" w:rsidRPr="0000498C" w:rsidRDefault="0000498C" w:rsidP="0000498C">
            <w:pPr>
              <w:tabs>
                <w:tab w:val="decimal" w:pos="421"/>
              </w:tabs>
              <w:spacing w:line="360" w:lineRule="auto"/>
              <w:rPr>
                <w:color w:val="000000"/>
              </w:rPr>
            </w:pPr>
          </w:p>
        </w:tc>
      </w:tr>
      <w:tr w:rsidR="0000498C" w:rsidRPr="0000498C" w14:paraId="23B10A55" w14:textId="77777777" w:rsidTr="0000498C">
        <w:trPr>
          <w:jc w:val="center"/>
        </w:trPr>
        <w:tc>
          <w:tcPr>
            <w:tcW w:w="0" w:type="auto"/>
            <w:tcBorders>
              <w:top w:val="nil"/>
              <w:left w:val="nil"/>
              <w:bottom w:val="nil"/>
              <w:right w:val="nil"/>
            </w:tcBorders>
            <w:shd w:val="clear" w:color="auto" w:fill="auto"/>
            <w:noWrap/>
            <w:hideMark/>
          </w:tcPr>
          <w:p w14:paraId="792A2EEC" w14:textId="77777777" w:rsidR="0000498C" w:rsidRPr="0000498C" w:rsidRDefault="0000498C" w:rsidP="0000498C">
            <w:pPr>
              <w:spacing w:line="360" w:lineRule="auto"/>
              <w:jc w:val="center"/>
              <w:rPr>
                <w:color w:val="000000"/>
              </w:rPr>
            </w:pPr>
            <w:r w:rsidRPr="0000498C">
              <w:rPr>
                <w:color w:val="000000"/>
              </w:rPr>
              <w:t>CZE</w:t>
            </w:r>
          </w:p>
        </w:tc>
        <w:tc>
          <w:tcPr>
            <w:tcW w:w="0" w:type="auto"/>
            <w:tcBorders>
              <w:top w:val="nil"/>
              <w:left w:val="nil"/>
              <w:bottom w:val="nil"/>
              <w:right w:val="nil"/>
            </w:tcBorders>
            <w:shd w:val="clear" w:color="auto" w:fill="auto"/>
            <w:noWrap/>
            <w:hideMark/>
          </w:tcPr>
          <w:p w14:paraId="625702ED" w14:textId="77777777" w:rsidR="0000498C" w:rsidRPr="0000498C" w:rsidRDefault="0000498C" w:rsidP="0000498C">
            <w:pPr>
              <w:tabs>
                <w:tab w:val="decimal" w:pos="602"/>
              </w:tabs>
              <w:spacing w:line="360" w:lineRule="auto"/>
              <w:rPr>
                <w:color w:val="000000"/>
              </w:rPr>
            </w:pPr>
            <w:r w:rsidRPr="0000498C">
              <w:rPr>
                <w:color w:val="000000"/>
              </w:rPr>
              <w:t>0.500</w:t>
            </w:r>
          </w:p>
        </w:tc>
        <w:tc>
          <w:tcPr>
            <w:tcW w:w="0" w:type="auto"/>
            <w:tcBorders>
              <w:top w:val="nil"/>
              <w:left w:val="nil"/>
              <w:bottom w:val="nil"/>
              <w:right w:val="nil"/>
            </w:tcBorders>
            <w:shd w:val="clear" w:color="auto" w:fill="auto"/>
            <w:noWrap/>
            <w:hideMark/>
          </w:tcPr>
          <w:p w14:paraId="3F182D37" w14:textId="77777777" w:rsidR="0000498C" w:rsidRPr="0000498C" w:rsidRDefault="0000498C" w:rsidP="0000498C">
            <w:pPr>
              <w:tabs>
                <w:tab w:val="decimal" w:pos="551"/>
              </w:tabs>
              <w:spacing w:line="360" w:lineRule="auto"/>
              <w:rPr>
                <w:color w:val="000000"/>
              </w:rPr>
            </w:pPr>
            <w:r w:rsidRPr="0000498C">
              <w:rPr>
                <w:color w:val="000000"/>
              </w:rPr>
              <w:t>1.250</w:t>
            </w:r>
          </w:p>
        </w:tc>
        <w:tc>
          <w:tcPr>
            <w:tcW w:w="0" w:type="auto"/>
            <w:tcBorders>
              <w:top w:val="nil"/>
              <w:left w:val="nil"/>
              <w:bottom w:val="nil"/>
              <w:right w:val="single" w:sz="4" w:space="0" w:color="auto"/>
            </w:tcBorders>
            <w:shd w:val="clear" w:color="auto" w:fill="auto"/>
            <w:noWrap/>
            <w:hideMark/>
          </w:tcPr>
          <w:p w14:paraId="1D8B7F22"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07D22CE1" w14:textId="77777777" w:rsidR="0000498C" w:rsidRPr="0000498C" w:rsidRDefault="0000498C" w:rsidP="0000498C">
            <w:pPr>
              <w:spacing w:line="360" w:lineRule="auto"/>
              <w:jc w:val="center"/>
              <w:rPr>
                <w:color w:val="000000"/>
              </w:rPr>
            </w:pPr>
            <w:r w:rsidRPr="0000498C">
              <w:rPr>
                <w:color w:val="000000"/>
              </w:rPr>
              <w:t>NZL</w:t>
            </w:r>
          </w:p>
        </w:tc>
        <w:tc>
          <w:tcPr>
            <w:tcW w:w="0" w:type="auto"/>
            <w:tcBorders>
              <w:top w:val="nil"/>
              <w:left w:val="nil"/>
              <w:bottom w:val="nil"/>
              <w:right w:val="nil"/>
            </w:tcBorders>
            <w:shd w:val="clear" w:color="auto" w:fill="auto"/>
            <w:noWrap/>
            <w:hideMark/>
          </w:tcPr>
          <w:p w14:paraId="2510566F" w14:textId="77777777" w:rsidR="0000498C" w:rsidRPr="0000498C" w:rsidRDefault="0000498C" w:rsidP="0000498C">
            <w:pPr>
              <w:tabs>
                <w:tab w:val="decimal" w:pos="610"/>
              </w:tabs>
              <w:spacing w:line="360" w:lineRule="auto"/>
              <w:rPr>
                <w:color w:val="000000"/>
              </w:rPr>
            </w:pPr>
            <w:r w:rsidRPr="0000498C">
              <w:rPr>
                <w:color w:val="000000"/>
              </w:rPr>
              <w:t>0.194</w:t>
            </w:r>
          </w:p>
        </w:tc>
        <w:tc>
          <w:tcPr>
            <w:tcW w:w="0" w:type="auto"/>
            <w:tcBorders>
              <w:top w:val="nil"/>
              <w:left w:val="nil"/>
              <w:bottom w:val="nil"/>
              <w:right w:val="nil"/>
            </w:tcBorders>
            <w:shd w:val="clear" w:color="auto" w:fill="auto"/>
            <w:noWrap/>
            <w:hideMark/>
          </w:tcPr>
          <w:p w14:paraId="7ED0979E" w14:textId="77777777" w:rsidR="0000498C" w:rsidRPr="0000498C" w:rsidRDefault="0000498C" w:rsidP="0000498C">
            <w:pPr>
              <w:tabs>
                <w:tab w:val="decimal" w:pos="738"/>
              </w:tabs>
              <w:spacing w:line="360" w:lineRule="auto"/>
              <w:rPr>
                <w:color w:val="000000"/>
              </w:rPr>
            </w:pPr>
            <w:r w:rsidRPr="0000498C">
              <w:rPr>
                <w:color w:val="000000"/>
              </w:rPr>
              <w:t>2.450</w:t>
            </w:r>
          </w:p>
        </w:tc>
        <w:tc>
          <w:tcPr>
            <w:tcW w:w="0" w:type="auto"/>
            <w:tcBorders>
              <w:top w:val="nil"/>
              <w:left w:val="nil"/>
              <w:bottom w:val="nil"/>
              <w:right w:val="nil"/>
            </w:tcBorders>
            <w:shd w:val="clear" w:color="auto" w:fill="auto"/>
            <w:noWrap/>
            <w:hideMark/>
          </w:tcPr>
          <w:p w14:paraId="23558A8D" w14:textId="77777777" w:rsidR="0000498C" w:rsidRPr="0000498C" w:rsidRDefault="0000498C" w:rsidP="0000498C">
            <w:pPr>
              <w:tabs>
                <w:tab w:val="decimal" w:pos="421"/>
              </w:tabs>
              <w:spacing w:line="360" w:lineRule="auto"/>
              <w:rPr>
                <w:color w:val="000000"/>
              </w:rPr>
            </w:pPr>
          </w:p>
        </w:tc>
      </w:tr>
      <w:tr w:rsidR="0000498C" w:rsidRPr="0000498C" w14:paraId="7E62FB2B" w14:textId="77777777" w:rsidTr="0000498C">
        <w:trPr>
          <w:jc w:val="center"/>
        </w:trPr>
        <w:tc>
          <w:tcPr>
            <w:tcW w:w="0" w:type="auto"/>
            <w:tcBorders>
              <w:top w:val="nil"/>
              <w:left w:val="nil"/>
              <w:bottom w:val="nil"/>
              <w:right w:val="nil"/>
            </w:tcBorders>
            <w:shd w:val="clear" w:color="auto" w:fill="auto"/>
            <w:noWrap/>
            <w:hideMark/>
          </w:tcPr>
          <w:p w14:paraId="59E620D1" w14:textId="77777777" w:rsidR="0000498C" w:rsidRPr="0000498C" w:rsidRDefault="0000498C" w:rsidP="0000498C">
            <w:pPr>
              <w:spacing w:line="360" w:lineRule="auto"/>
              <w:jc w:val="center"/>
              <w:rPr>
                <w:color w:val="000000"/>
              </w:rPr>
            </w:pPr>
            <w:r w:rsidRPr="0000498C">
              <w:rPr>
                <w:color w:val="000000"/>
              </w:rPr>
              <w:t>DEU</w:t>
            </w:r>
          </w:p>
        </w:tc>
        <w:tc>
          <w:tcPr>
            <w:tcW w:w="0" w:type="auto"/>
            <w:tcBorders>
              <w:top w:val="nil"/>
              <w:left w:val="nil"/>
              <w:bottom w:val="nil"/>
              <w:right w:val="nil"/>
            </w:tcBorders>
            <w:shd w:val="clear" w:color="auto" w:fill="auto"/>
            <w:noWrap/>
            <w:hideMark/>
          </w:tcPr>
          <w:p w14:paraId="6C85C5C5" w14:textId="77777777" w:rsidR="0000498C" w:rsidRPr="0000498C" w:rsidRDefault="0000498C" w:rsidP="0000498C">
            <w:pPr>
              <w:tabs>
                <w:tab w:val="decimal" w:pos="602"/>
              </w:tabs>
              <w:spacing w:line="360" w:lineRule="auto"/>
              <w:rPr>
                <w:color w:val="000000"/>
              </w:rPr>
            </w:pPr>
            <w:r w:rsidRPr="0000498C">
              <w:rPr>
                <w:color w:val="000000"/>
              </w:rPr>
              <w:t>1.111</w:t>
            </w:r>
          </w:p>
        </w:tc>
        <w:tc>
          <w:tcPr>
            <w:tcW w:w="0" w:type="auto"/>
            <w:tcBorders>
              <w:top w:val="nil"/>
              <w:left w:val="nil"/>
              <w:bottom w:val="nil"/>
              <w:right w:val="nil"/>
            </w:tcBorders>
            <w:shd w:val="clear" w:color="auto" w:fill="auto"/>
            <w:noWrap/>
            <w:hideMark/>
          </w:tcPr>
          <w:p w14:paraId="6300FA38" w14:textId="77777777" w:rsidR="0000498C" w:rsidRPr="0000498C" w:rsidRDefault="0000498C" w:rsidP="0000498C">
            <w:pPr>
              <w:tabs>
                <w:tab w:val="decimal" w:pos="551"/>
              </w:tabs>
              <w:spacing w:line="360" w:lineRule="auto"/>
              <w:rPr>
                <w:color w:val="000000"/>
              </w:rPr>
            </w:pPr>
            <w:r w:rsidRPr="0000498C">
              <w:rPr>
                <w:color w:val="000000"/>
              </w:rPr>
              <w:t>0.667</w:t>
            </w:r>
          </w:p>
        </w:tc>
        <w:tc>
          <w:tcPr>
            <w:tcW w:w="0" w:type="auto"/>
            <w:tcBorders>
              <w:top w:val="nil"/>
              <w:left w:val="nil"/>
              <w:bottom w:val="nil"/>
              <w:right w:val="single" w:sz="4" w:space="0" w:color="auto"/>
            </w:tcBorders>
            <w:shd w:val="clear" w:color="auto" w:fill="auto"/>
            <w:noWrap/>
            <w:hideMark/>
          </w:tcPr>
          <w:p w14:paraId="378C26A9"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13550BFA" w14:textId="77777777" w:rsidR="0000498C" w:rsidRPr="0000498C" w:rsidRDefault="0000498C" w:rsidP="0000498C">
            <w:pPr>
              <w:spacing w:line="360" w:lineRule="auto"/>
              <w:jc w:val="center"/>
              <w:rPr>
                <w:color w:val="000000"/>
              </w:rPr>
            </w:pPr>
            <w:r w:rsidRPr="0000498C">
              <w:rPr>
                <w:color w:val="000000"/>
              </w:rPr>
              <w:t>PAK</w:t>
            </w:r>
          </w:p>
        </w:tc>
        <w:tc>
          <w:tcPr>
            <w:tcW w:w="0" w:type="auto"/>
            <w:tcBorders>
              <w:top w:val="nil"/>
              <w:left w:val="nil"/>
              <w:bottom w:val="nil"/>
              <w:right w:val="nil"/>
            </w:tcBorders>
            <w:shd w:val="clear" w:color="auto" w:fill="auto"/>
            <w:noWrap/>
            <w:hideMark/>
          </w:tcPr>
          <w:p w14:paraId="40B94159" w14:textId="77777777" w:rsidR="0000498C" w:rsidRPr="0000498C" w:rsidRDefault="0000498C" w:rsidP="0000498C">
            <w:pPr>
              <w:tabs>
                <w:tab w:val="decimal" w:pos="610"/>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1E0CD0C5" w14:textId="77777777" w:rsidR="0000498C" w:rsidRPr="0000498C" w:rsidRDefault="0000498C" w:rsidP="0000498C">
            <w:pPr>
              <w:tabs>
                <w:tab w:val="decimal" w:pos="738"/>
              </w:tabs>
              <w:spacing w:line="360" w:lineRule="auto"/>
              <w:rPr>
                <w:color w:val="000000"/>
              </w:rPr>
            </w:pPr>
            <w:r w:rsidRPr="0000498C">
              <w:rPr>
                <w:color w:val="000000"/>
              </w:rPr>
              <w:t>1.333</w:t>
            </w:r>
          </w:p>
        </w:tc>
        <w:tc>
          <w:tcPr>
            <w:tcW w:w="0" w:type="auto"/>
            <w:tcBorders>
              <w:top w:val="nil"/>
              <w:left w:val="nil"/>
              <w:bottom w:val="nil"/>
              <w:right w:val="nil"/>
            </w:tcBorders>
            <w:shd w:val="clear" w:color="auto" w:fill="auto"/>
            <w:noWrap/>
            <w:hideMark/>
          </w:tcPr>
          <w:p w14:paraId="6CB1DC72" w14:textId="77777777" w:rsidR="0000498C" w:rsidRPr="0000498C" w:rsidRDefault="0000498C" w:rsidP="0000498C">
            <w:pPr>
              <w:tabs>
                <w:tab w:val="decimal" w:pos="421"/>
              </w:tabs>
              <w:spacing w:line="360" w:lineRule="auto"/>
              <w:rPr>
                <w:color w:val="000000"/>
              </w:rPr>
            </w:pPr>
          </w:p>
        </w:tc>
      </w:tr>
      <w:tr w:rsidR="0000498C" w:rsidRPr="0000498C" w14:paraId="6507768F" w14:textId="77777777" w:rsidTr="0000498C">
        <w:trPr>
          <w:jc w:val="center"/>
        </w:trPr>
        <w:tc>
          <w:tcPr>
            <w:tcW w:w="0" w:type="auto"/>
            <w:tcBorders>
              <w:top w:val="nil"/>
              <w:left w:val="nil"/>
              <w:bottom w:val="nil"/>
              <w:right w:val="nil"/>
            </w:tcBorders>
            <w:shd w:val="clear" w:color="auto" w:fill="auto"/>
            <w:noWrap/>
            <w:hideMark/>
          </w:tcPr>
          <w:p w14:paraId="364AA745" w14:textId="77777777" w:rsidR="0000498C" w:rsidRPr="0000498C" w:rsidRDefault="0000498C" w:rsidP="0000498C">
            <w:pPr>
              <w:spacing w:line="360" w:lineRule="auto"/>
              <w:jc w:val="center"/>
              <w:rPr>
                <w:color w:val="000000"/>
              </w:rPr>
            </w:pPr>
            <w:r w:rsidRPr="0000498C">
              <w:rPr>
                <w:color w:val="000000"/>
              </w:rPr>
              <w:t>DNK</w:t>
            </w:r>
          </w:p>
        </w:tc>
        <w:tc>
          <w:tcPr>
            <w:tcW w:w="0" w:type="auto"/>
            <w:tcBorders>
              <w:top w:val="nil"/>
              <w:left w:val="nil"/>
              <w:bottom w:val="nil"/>
              <w:right w:val="nil"/>
            </w:tcBorders>
            <w:shd w:val="clear" w:color="auto" w:fill="auto"/>
            <w:noWrap/>
            <w:hideMark/>
          </w:tcPr>
          <w:p w14:paraId="68FFC546" w14:textId="77777777" w:rsidR="0000498C" w:rsidRPr="0000498C" w:rsidRDefault="0000498C" w:rsidP="0000498C">
            <w:pPr>
              <w:tabs>
                <w:tab w:val="decimal" w:pos="602"/>
              </w:tabs>
              <w:spacing w:line="360" w:lineRule="auto"/>
              <w:rPr>
                <w:color w:val="000000"/>
              </w:rPr>
            </w:pPr>
            <w:r w:rsidRPr="0000498C">
              <w:rPr>
                <w:color w:val="000000"/>
              </w:rPr>
              <w:t>1.313</w:t>
            </w:r>
          </w:p>
        </w:tc>
        <w:tc>
          <w:tcPr>
            <w:tcW w:w="0" w:type="auto"/>
            <w:tcBorders>
              <w:top w:val="nil"/>
              <w:left w:val="nil"/>
              <w:bottom w:val="nil"/>
              <w:right w:val="nil"/>
            </w:tcBorders>
            <w:shd w:val="clear" w:color="auto" w:fill="auto"/>
            <w:noWrap/>
            <w:hideMark/>
          </w:tcPr>
          <w:p w14:paraId="37400C03" w14:textId="77777777" w:rsidR="0000498C" w:rsidRPr="0000498C" w:rsidRDefault="0000498C" w:rsidP="0000498C">
            <w:pPr>
              <w:tabs>
                <w:tab w:val="decimal" w:pos="551"/>
              </w:tabs>
              <w:spacing w:line="360" w:lineRule="auto"/>
              <w:rPr>
                <w:color w:val="000000"/>
              </w:rPr>
            </w:pPr>
            <w:r w:rsidRPr="0000498C">
              <w:rPr>
                <w:color w:val="000000"/>
              </w:rPr>
              <w:t>0.583</w:t>
            </w:r>
          </w:p>
        </w:tc>
        <w:tc>
          <w:tcPr>
            <w:tcW w:w="0" w:type="auto"/>
            <w:tcBorders>
              <w:top w:val="nil"/>
              <w:left w:val="nil"/>
              <w:bottom w:val="nil"/>
              <w:right w:val="single" w:sz="4" w:space="0" w:color="auto"/>
            </w:tcBorders>
            <w:shd w:val="clear" w:color="auto" w:fill="auto"/>
            <w:noWrap/>
            <w:hideMark/>
          </w:tcPr>
          <w:p w14:paraId="2F19930D"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29F31DAB" w14:textId="77777777" w:rsidR="0000498C" w:rsidRPr="0000498C" w:rsidRDefault="0000498C" w:rsidP="0000498C">
            <w:pPr>
              <w:spacing w:line="360" w:lineRule="auto"/>
              <w:jc w:val="center"/>
              <w:rPr>
                <w:color w:val="000000"/>
              </w:rPr>
            </w:pPr>
            <w:r w:rsidRPr="0000498C">
              <w:rPr>
                <w:color w:val="000000"/>
              </w:rPr>
              <w:t>PAN</w:t>
            </w:r>
          </w:p>
        </w:tc>
        <w:tc>
          <w:tcPr>
            <w:tcW w:w="0" w:type="auto"/>
            <w:tcBorders>
              <w:top w:val="nil"/>
              <w:left w:val="nil"/>
              <w:bottom w:val="nil"/>
              <w:right w:val="nil"/>
            </w:tcBorders>
            <w:shd w:val="clear" w:color="auto" w:fill="auto"/>
            <w:noWrap/>
            <w:hideMark/>
          </w:tcPr>
          <w:p w14:paraId="6EC5FD0A" w14:textId="77777777" w:rsidR="0000498C" w:rsidRPr="0000498C" w:rsidRDefault="0000498C" w:rsidP="0000498C">
            <w:pPr>
              <w:tabs>
                <w:tab w:val="decimal" w:pos="610"/>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3C896A42" w14:textId="77777777" w:rsidR="0000498C" w:rsidRPr="0000498C" w:rsidRDefault="0000498C" w:rsidP="0000498C">
            <w:pPr>
              <w:tabs>
                <w:tab w:val="decimal" w:pos="738"/>
              </w:tabs>
              <w:spacing w:line="360" w:lineRule="auto"/>
              <w:rPr>
                <w:color w:val="000000"/>
              </w:rPr>
            </w:pPr>
          </w:p>
        </w:tc>
        <w:tc>
          <w:tcPr>
            <w:tcW w:w="0" w:type="auto"/>
            <w:tcBorders>
              <w:top w:val="nil"/>
              <w:left w:val="nil"/>
              <w:bottom w:val="nil"/>
              <w:right w:val="nil"/>
            </w:tcBorders>
            <w:shd w:val="clear" w:color="auto" w:fill="auto"/>
            <w:noWrap/>
            <w:hideMark/>
          </w:tcPr>
          <w:p w14:paraId="7EBE491A" w14:textId="77777777" w:rsidR="0000498C" w:rsidRPr="0000498C" w:rsidRDefault="0000498C" w:rsidP="0000498C">
            <w:pPr>
              <w:tabs>
                <w:tab w:val="decimal" w:pos="421"/>
              </w:tabs>
              <w:spacing w:line="360" w:lineRule="auto"/>
            </w:pPr>
          </w:p>
        </w:tc>
      </w:tr>
      <w:tr w:rsidR="0000498C" w:rsidRPr="0000498C" w14:paraId="727C4BF2" w14:textId="77777777" w:rsidTr="0000498C">
        <w:trPr>
          <w:jc w:val="center"/>
        </w:trPr>
        <w:tc>
          <w:tcPr>
            <w:tcW w:w="0" w:type="auto"/>
            <w:tcBorders>
              <w:top w:val="nil"/>
              <w:left w:val="nil"/>
              <w:bottom w:val="nil"/>
              <w:right w:val="nil"/>
            </w:tcBorders>
            <w:shd w:val="clear" w:color="auto" w:fill="auto"/>
            <w:noWrap/>
            <w:hideMark/>
          </w:tcPr>
          <w:p w14:paraId="6A5C3F90" w14:textId="77777777" w:rsidR="0000498C" w:rsidRPr="0000498C" w:rsidRDefault="0000498C" w:rsidP="0000498C">
            <w:pPr>
              <w:spacing w:line="360" w:lineRule="auto"/>
              <w:jc w:val="center"/>
              <w:rPr>
                <w:color w:val="000000"/>
              </w:rPr>
            </w:pPr>
            <w:r w:rsidRPr="0000498C">
              <w:rPr>
                <w:color w:val="000000"/>
              </w:rPr>
              <w:t>DOM</w:t>
            </w:r>
          </w:p>
        </w:tc>
        <w:tc>
          <w:tcPr>
            <w:tcW w:w="0" w:type="auto"/>
            <w:tcBorders>
              <w:top w:val="nil"/>
              <w:left w:val="nil"/>
              <w:bottom w:val="nil"/>
              <w:right w:val="nil"/>
            </w:tcBorders>
            <w:shd w:val="clear" w:color="auto" w:fill="auto"/>
            <w:noWrap/>
            <w:hideMark/>
          </w:tcPr>
          <w:p w14:paraId="6FFF5B90" w14:textId="77777777" w:rsidR="0000498C" w:rsidRPr="0000498C" w:rsidRDefault="0000498C" w:rsidP="0000498C">
            <w:pPr>
              <w:tabs>
                <w:tab w:val="decimal" w:pos="602"/>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3268A4DD" w14:textId="77777777" w:rsidR="0000498C" w:rsidRPr="0000498C" w:rsidRDefault="0000498C" w:rsidP="0000498C">
            <w:pPr>
              <w:tabs>
                <w:tab w:val="decimal" w:pos="551"/>
              </w:tabs>
              <w:spacing w:line="360" w:lineRule="auto"/>
              <w:rPr>
                <w:color w:val="000000"/>
              </w:rPr>
            </w:pPr>
            <w:r w:rsidRPr="0000498C">
              <w:rPr>
                <w:color w:val="000000"/>
              </w:rPr>
              <w:t>1.400</w:t>
            </w:r>
          </w:p>
        </w:tc>
        <w:tc>
          <w:tcPr>
            <w:tcW w:w="0" w:type="auto"/>
            <w:tcBorders>
              <w:top w:val="nil"/>
              <w:left w:val="nil"/>
              <w:bottom w:val="nil"/>
              <w:right w:val="single" w:sz="4" w:space="0" w:color="auto"/>
            </w:tcBorders>
            <w:shd w:val="clear" w:color="auto" w:fill="auto"/>
            <w:noWrap/>
            <w:hideMark/>
          </w:tcPr>
          <w:p w14:paraId="73898E5F" w14:textId="77777777" w:rsidR="0000498C" w:rsidRPr="0000498C" w:rsidRDefault="0000498C" w:rsidP="0000498C">
            <w:pPr>
              <w:tabs>
                <w:tab w:val="decimal" w:pos="414"/>
              </w:tabs>
              <w:spacing w:line="360" w:lineRule="auto"/>
              <w:rPr>
                <w:color w:val="000000"/>
              </w:rPr>
            </w:pPr>
            <w:r w:rsidRPr="0000498C">
              <w:rPr>
                <w:color w:val="000000"/>
              </w:rPr>
              <w:t>1.318</w:t>
            </w:r>
          </w:p>
        </w:tc>
        <w:tc>
          <w:tcPr>
            <w:tcW w:w="0" w:type="auto"/>
            <w:tcBorders>
              <w:top w:val="nil"/>
              <w:left w:val="single" w:sz="4" w:space="0" w:color="auto"/>
              <w:bottom w:val="nil"/>
              <w:right w:val="nil"/>
            </w:tcBorders>
            <w:shd w:val="clear" w:color="auto" w:fill="auto"/>
            <w:noWrap/>
            <w:hideMark/>
          </w:tcPr>
          <w:p w14:paraId="31679AB8" w14:textId="77777777" w:rsidR="0000498C" w:rsidRPr="0000498C" w:rsidRDefault="0000498C" w:rsidP="0000498C">
            <w:pPr>
              <w:spacing w:line="360" w:lineRule="auto"/>
              <w:jc w:val="center"/>
              <w:rPr>
                <w:color w:val="000000"/>
              </w:rPr>
            </w:pPr>
            <w:r w:rsidRPr="0000498C">
              <w:rPr>
                <w:color w:val="000000"/>
              </w:rPr>
              <w:t>PER</w:t>
            </w:r>
          </w:p>
        </w:tc>
        <w:tc>
          <w:tcPr>
            <w:tcW w:w="0" w:type="auto"/>
            <w:tcBorders>
              <w:top w:val="nil"/>
              <w:left w:val="nil"/>
              <w:bottom w:val="nil"/>
              <w:right w:val="nil"/>
            </w:tcBorders>
            <w:shd w:val="clear" w:color="auto" w:fill="auto"/>
            <w:noWrap/>
            <w:hideMark/>
          </w:tcPr>
          <w:p w14:paraId="6EA75E61" w14:textId="77777777" w:rsidR="0000498C" w:rsidRPr="0000498C" w:rsidRDefault="0000498C" w:rsidP="0000498C">
            <w:pPr>
              <w:tabs>
                <w:tab w:val="decimal" w:pos="610"/>
              </w:tabs>
              <w:spacing w:line="360" w:lineRule="auto"/>
              <w:rPr>
                <w:color w:val="000000"/>
              </w:rPr>
            </w:pPr>
            <w:r w:rsidRPr="0000498C">
              <w:rPr>
                <w:color w:val="000000"/>
              </w:rPr>
              <w:t>0.170</w:t>
            </w:r>
          </w:p>
        </w:tc>
        <w:tc>
          <w:tcPr>
            <w:tcW w:w="0" w:type="auto"/>
            <w:tcBorders>
              <w:top w:val="nil"/>
              <w:left w:val="nil"/>
              <w:bottom w:val="nil"/>
              <w:right w:val="nil"/>
            </w:tcBorders>
            <w:shd w:val="clear" w:color="auto" w:fill="auto"/>
            <w:noWrap/>
            <w:hideMark/>
          </w:tcPr>
          <w:p w14:paraId="25DCB1C4" w14:textId="77777777" w:rsidR="0000498C" w:rsidRPr="0000498C" w:rsidRDefault="0000498C" w:rsidP="0000498C">
            <w:pPr>
              <w:tabs>
                <w:tab w:val="decimal" w:pos="738"/>
              </w:tabs>
              <w:spacing w:line="360" w:lineRule="auto"/>
              <w:rPr>
                <w:color w:val="000000"/>
              </w:rPr>
            </w:pPr>
            <w:r w:rsidRPr="0000498C">
              <w:rPr>
                <w:color w:val="000000"/>
              </w:rPr>
              <w:t>2.036</w:t>
            </w:r>
          </w:p>
        </w:tc>
        <w:tc>
          <w:tcPr>
            <w:tcW w:w="0" w:type="auto"/>
            <w:tcBorders>
              <w:top w:val="nil"/>
              <w:left w:val="nil"/>
              <w:bottom w:val="nil"/>
              <w:right w:val="nil"/>
            </w:tcBorders>
            <w:shd w:val="clear" w:color="auto" w:fill="auto"/>
            <w:noWrap/>
            <w:hideMark/>
          </w:tcPr>
          <w:p w14:paraId="1E9C6FDE" w14:textId="77777777" w:rsidR="0000498C" w:rsidRPr="0000498C" w:rsidRDefault="0000498C" w:rsidP="0000498C">
            <w:pPr>
              <w:tabs>
                <w:tab w:val="decimal" w:pos="421"/>
              </w:tabs>
              <w:spacing w:line="360" w:lineRule="auto"/>
              <w:rPr>
                <w:color w:val="000000"/>
              </w:rPr>
            </w:pPr>
            <w:r w:rsidRPr="0000498C">
              <w:rPr>
                <w:color w:val="000000"/>
              </w:rPr>
              <w:t>0.622</w:t>
            </w:r>
          </w:p>
        </w:tc>
      </w:tr>
      <w:tr w:rsidR="0000498C" w:rsidRPr="0000498C" w14:paraId="12CB8408" w14:textId="77777777" w:rsidTr="0000498C">
        <w:trPr>
          <w:jc w:val="center"/>
        </w:trPr>
        <w:tc>
          <w:tcPr>
            <w:tcW w:w="0" w:type="auto"/>
            <w:tcBorders>
              <w:top w:val="nil"/>
              <w:left w:val="nil"/>
              <w:bottom w:val="nil"/>
              <w:right w:val="nil"/>
            </w:tcBorders>
            <w:shd w:val="clear" w:color="auto" w:fill="auto"/>
            <w:noWrap/>
            <w:hideMark/>
          </w:tcPr>
          <w:p w14:paraId="257A7AE0" w14:textId="77777777" w:rsidR="0000498C" w:rsidRPr="0000498C" w:rsidRDefault="0000498C" w:rsidP="0000498C">
            <w:pPr>
              <w:spacing w:line="360" w:lineRule="auto"/>
              <w:jc w:val="center"/>
              <w:rPr>
                <w:color w:val="000000"/>
              </w:rPr>
            </w:pPr>
            <w:r w:rsidRPr="0000498C">
              <w:rPr>
                <w:color w:val="000000"/>
              </w:rPr>
              <w:t>ECU</w:t>
            </w:r>
          </w:p>
        </w:tc>
        <w:tc>
          <w:tcPr>
            <w:tcW w:w="0" w:type="auto"/>
            <w:tcBorders>
              <w:top w:val="nil"/>
              <w:left w:val="nil"/>
              <w:bottom w:val="nil"/>
              <w:right w:val="nil"/>
            </w:tcBorders>
            <w:shd w:val="clear" w:color="auto" w:fill="auto"/>
            <w:noWrap/>
            <w:hideMark/>
          </w:tcPr>
          <w:p w14:paraId="66C8B5DE"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3CF60554" w14:textId="77777777" w:rsidR="0000498C" w:rsidRPr="0000498C" w:rsidRDefault="0000498C" w:rsidP="0000498C">
            <w:pPr>
              <w:tabs>
                <w:tab w:val="decimal" w:pos="551"/>
              </w:tabs>
              <w:spacing w:line="360" w:lineRule="auto"/>
              <w:rPr>
                <w:color w:val="000000"/>
              </w:rPr>
            </w:pPr>
            <w:r w:rsidRPr="0000498C">
              <w:rPr>
                <w:color w:val="000000"/>
              </w:rPr>
              <w:t>1.000</w:t>
            </w:r>
          </w:p>
        </w:tc>
        <w:tc>
          <w:tcPr>
            <w:tcW w:w="0" w:type="auto"/>
            <w:tcBorders>
              <w:top w:val="nil"/>
              <w:left w:val="nil"/>
              <w:bottom w:val="nil"/>
              <w:right w:val="single" w:sz="4" w:space="0" w:color="auto"/>
            </w:tcBorders>
            <w:shd w:val="clear" w:color="auto" w:fill="auto"/>
            <w:noWrap/>
            <w:hideMark/>
          </w:tcPr>
          <w:p w14:paraId="45372EC6"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2F257771" w14:textId="77777777" w:rsidR="0000498C" w:rsidRPr="0000498C" w:rsidRDefault="0000498C" w:rsidP="0000498C">
            <w:pPr>
              <w:spacing w:line="360" w:lineRule="auto"/>
              <w:jc w:val="center"/>
              <w:rPr>
                <w:color w:val="000000"/>
              </w:rPr>
            </w:pPr>
            <w:r w:rsidRPr="0000498C">
              <w:rPr>
                <w:color w:val="000000"/>
              </w:rPr>
              <w:t>PHL</w:t>
            </w:r>
          </w:p>
        </w:tc>
        <w:tc>
          <w:tcPr>
            <w:tcW w:w="0" w:type="auto"/>
            <w:tcBorders>
              <w:top w:val="nil"/>
              <w:left w:val="nil"/>
              <w:bottom w:val="nil"/>
              <w:right w:val="nil"/>
            </w:tcBorders>
            <w:shd w:val="clear" w:color="auto" w:fill="auto"/>
            <w:noWrap/>
            <w:hideMark/>
          </w:tcPr>
          <w:p w14:paraId="4B63E82A"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52CE835A" w14:textId="77777777" w:rsidR="0000498C" w:rsidRPr="0000498C" w:rsidRDefault="0000498C" w:rsidP="0000498C">
            <w:pPr>
              <w:tabs>
                <w:tab w:val="decimal" w:pos="738"/>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5791E358" w14:textId="77777777" w:rsidR="0000498C" w:rsidRPr="0000498C" w:rsidRDefault="0000498C" w:rsidP="0000498C">
            <w:pPr>
              <w:tabs>
                <w:tab w:val="decimal" w:pos="421"/>
              </w:tabs>
              <w:spacing w:line="360" w:lineRule="auto"/>
              <w:rPr>
                <w:color w:val="000000"/>
              </w:rPr>
            </w:pPr>
            <w:r w:rsidRPr="0000498C">
              <w:rPr>
                <w:color w:val="000000"/>
              </w:rPr>
              <w:t>1.045</w:t>
            </w:r>
          </w:p>
        </w:tc>
      </w:tr>
      <w:tr w:rsidR="0000498C" w:rsidRPr="0000498C" w14:paraId="338ED992" w14:textId="77777777" w:rsidTr="0000498C">
        <w:trPr>
          <w:jc w:val="center"/>
        </w:trPr>
        <w:tc>
          <w:tcPr>
            <w:tcW w:w="0" w:type="auto"/>
            <w:tcBorders>
              <w:top w:val="nil"/>
              <w:left w:val="nil"/>
              <w:bottom w:val="nil"/>
              <w:right w:val="nil"/>
            </w:tcBorders>
            <w:shd w:val="clear" w:color="auto" w:fill="auto"/>
            <w:noWrap/>
            <w:hideMark/>
          </w:tcPr>
          <w:p w14:paraId="2494F150" w14:textId="77777777" w:rsidR="0000498C" w:rsidRPr="0000498C" w:rsidRDefault="0000498C" w:rsidP="0000498C">
            <w:pPr>
              <w:spacing w:line="360" w:lineRule="auto"/>
              <w:jc w:val="center"/>
              <w:rPr>
                <w:color w:val="000000"/>
              </w:rPr>
            </w:pPr>
            <w:r w:rsidRPr="0000498C">
              <w:rPr>
                <w:color w:val="000000"/>
              </w:rPr>
              <w:t>ESP</w:t>
            </w:r>
          </w:p>
        </w:tc>
        <w:tc>
          <w:tcPr>
            <w:tcW w:w="0" w:type="auto"/>
            <w:tcBorders>
              <w:top w:val="nil"/>
              <w:left w:val="nil"/>
              <w:bottom w:val="nil"/>
              <w:right w:val="nil"/>
            </w:tcBorders>
            <w:shd w:val="clear" w:color="auto" w:fill="auto"/>
            <w:noWrap/>
            <w:hideMark/>
          </w:tcPr>
          <w:p w14:paraId="00FA4BB4" w14:textId="77777777" w:rsidR="0000498C" w:rsidRPr="0000498C" w:rsidRDefault="0000498C" w:rsidP="0000498C">
            <w:pPr>
              <w:tabs>
                <w:tab w:val="decimal" w:pos="602"/>
              </w:tabs>
              <w:spacing w:line="360" w:lineRule="auto"/>
              <w:rPr>
                <w:color w:val="000000"/>
              </w:rPr>
            </w:pPr>
            <w:r w:rsidRPr="0000498C">
              <w:rPr>
                <w:color w:val="000000"/>
              </w:rPr>
              <w:t>1.314</w:t>
            </w:r>
          </w:p>
        </w:tc>
        <w:tc>
          <w:tcPr>
            <w:tcW w:w="0" w:type="auto"/>
            <w:tcBorders>
              <w:top w:val="nil"/>
              <w:left w:val="nil"/>
              <w:bottom w:val="nil"/>
              <w:right w:val="nil"/>
            </w:tcBorders>
            <w:shd w:val="clear" w:color="auto" w:fill="auto"/>
            <w:noWrap/>
            <w:hideMark/>
          </w:tcPr>
          <w:p w14:paraId="1D36F05D" w14:textId="77777777" w:rsidR="0000498C" w:rsidRPr="0000498C" w:rsidRDefault="0000498C" w:rsidP="0000498C">
            <w:pPr>
              <w:tabs>
                <w:tab w:val="decimal" w:pos="551"/>
              </w:tabs>
              <w:spacing w:line="360" w:lineRule="auto"/>
              <w:rPr>
                <w:color w:val="000000"/>
              </w:rPr>
            </w:pPr>
            <w:r w:rsidRPr="0000498C">
              <w:rPr>
                <w:color w:val="000000"/>
              </w:rPr>
              <w:t>0.686</w:t>
            </w:r>
          </w:p>
        </w:tc>
        <w:tc>
          <w:tcPr>
            <w:tcW w:w="0" w:type="auto"/>
            <w:tcBorders>
              <w:top w:val="nil"/>
              <w:left w:val="nil"/>
              <w:bottom w:val="nil"/>
              <w:right w:val="single" w:sz="4" w:space="0" w:color="auto"/>
            </w:tcBorders>
            <w:shd w:val="clear" w:color="auto" w:fill="auto"/>
            <w:noWrap/>
            <w:hideMark/>
          </w:tcPr>
          <w:p w14:paraId="5FAFED8F"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681B4F49" w14:textId="77777777" w:rsidR="0000498C" w:rsidRPr="0000498C" w:rsidRDefault="0000498C" w:rsidP="0000498C">
            <w:pPr>
              <w:spacing w:line="360" w:lineRule="auto"/>
              <w:jc w:val="center"/>
              <w:rPr>
                <w:color w:val="000000"/>
              </w:rPr>
            </w:pPr>
            <w:r w:rsidRPr="0000498C">
              <w:rPr>
                <w:color w:val="000000"/>
              </w:rPr>
              <w:t>POL</w:t>
            </w:r>
          </w:p>
        </w:tc>
        <w:tc>
          <w:tcPr>
            <w:tcW w:w="0" w:type="auto"/>
            <w:tcBorders>
              <w:top w:val="nil"/>
              <w:left w:val="nil"/>
              <w:bottom w:val="nil"/>
              <w:right w:val="nil"/>
            </w:tcBorders>
            <w:shd w:val="clear" w:color="auto" w:fill="auto"/>
            <w:noWrap/>
            <w:hideMark/>
          </w:tcPr>
          <w:p w14:paraId="7ABD993B" w14:textId="77777777" w:rsidR="0000498C" w:rsidRPr="0000498C" w:rsidRDefault="0000498C" w:rsidP="0000498C">
            <w:pPr>
              <w:tabs>
                <w:tab w:val="decimal" w:pos="610"/>
              </w:tabs>
              <w:spacing w:line="360" w:lineRule="auto"/>
              <w:rPr>
                <w:color w:val="000000"/>
              </w:rPr>
            </w:pPr>
            <w:r w:rsidRPr="0000498C">
              <w:rPr>
                <w:color w:val="000000"/>
              </w:rPr>
              <w:t>1.643</w:t>
            </w:r>
          </w:p>
        </w:tc>
        <w:tc>
          <w:tcPr>
            <w:tcW w:w="0" w:type="auto"/>
            <w:tcBorders>
              <w:top w:val="nil"/>
              <w:left w:val="nil"/>
              <w:bottom w:val="nil"/>
              <w:right w:val="nil"/>
            </w:tcBorders>
            <w:shd w:val="clear" w:color="auto" w:fill="auto"/>
            <w:noWrap/>
            <w:hideMark/>
          </w:tcPr>
          <w:p w14:paraId="56AC53FC" w14:textId="77777777" w:rsidR="0000498C" w:rsidRPr="0000498C" w:rsidRDefault="0000498C" w:rsidP="0000498C">
            <w:pPr>
              <w:tabs>
                <w:tab w:val="decimal" w:pos="738"/>
              </w:tabs>
              <w:spacing w:line="360" w:lineRule="auto"/>
              <w:rPr>
                <w:color w:val="000000"/>
              </w:rPr>
            </w:pPr>
            <w:r w:rsidRPr="0000498C">
              <w:rPr>
                <w:color w:val="000000"/>
              </w:rPr>
              <w:t>0.348</w:t>
            </w:r>
          </w:p>
        </w:tc>
        <w:tc>
          <w:tcPr>
            <w:tcW w:w="0" w:type="auto"/>
            <w:tcBorders>
              <w:top w:val="nil"/>
              <w:left w:val="nil"/>
              <w:bottom w:val="nil"/>
              <w:right w:val="nil"/>
            </w:tcBorders>
            <w:shd w:val="clear" w:color="auto" w:fill="auto"/>
            <w:noWrap/>
            <w:hideMark/>
          </w:tcPr>
          <w:p w14:paraId="2C1EC596" w14:textId="77777777" w:rsidR="0000498C" w:rsidRPr="0000498C" w:rsidRDefault="0000498C" w:rsidP="0000498C">
            <w:pPr>
              <w:tabs>
                <w:tab w:val="decimal" w:pos="421"/>
              </w:tabs>
              <w:spacing w:line="360" w:lineRule="auto"/>
              <w:rPr>
                <w:color w:val="000000"/>
              </w:rPr>
            </w:pPr>
            <w:r w:rsidRPr="0000498C">
              <w:rPr>
                <w:color w:val="000000"/>
              </w:rPr>
              <w:t>1.533</w:t>
            </w:r>
          </w:p>
        </w:tc>
      </w:tr>
      <w:tr w:rsidR="0000498C" w:rsidRPr="0000498C" w14:paraId="53054E2A" w14:textId="77777777" w:rsidTr="0000498C">
        <w:trPr>
          <w:jc w:val="center"/>
        </w:trPr>
        <w:tc>
          <w:tcPr>
            <w:tcW w:w="0" w:type="auto"/>
            <w:tcBorders>
              <w:top w:val="nil"/>
              <w:left w:val="nil"/>
              <w:bottom w:val="nil"/>
              <w:right w:val="nil"/>
            </w:tcBorders>
            <w:shd w:val="clear" w:color="auto" w:fill="auto"/>
            <w:noWrap/>
            <w:hideMark/>
          </w:tcPr>
          <w:p w14:paraId="0A3D73DC" w14:textId="77777777" w:rsidR="0000498C" w:rsidRPr="0000498C" w:rsidRDefault="0000498C" w:rsidP="0000498C">
            <w:pPr>
              <w:spacing w:line="360" w:lineRule="auto"/>
              <w:jc w:val="center"/>
              <w:rPr>
                <w:color w:val="000000"/>
              </w:rPr>
            </w:pPr>
            <w:r w:rsidRPr="0000498C">
              <w:rPr>
                <w:color w:val="000000"/>
              </w:rPr>
              <w:t>FIN</w:t>
            </w:r>
          </w:p>
        </w:tc>
        <w:tc>
          <w:tcPr>
            <w:tcW w:w="0" w:type="auto"/>
            <w:tcBorders>
              <w:top w:val="nil"/>
              <w:left w:val="nil"/>
              <w:bottom w:val="nil"/>
              <w:right w:val="nil"/>
            </w:tcBorders>
            <w:shd w:val="clear" w:color="auto" w:fill="auto"/>
            <w:noWrap/>
            <w:hideMark/>
          </w:tcPr>
          <w:p w14:paraId="72926CC6" w14:textId="77777777" w:rsidR="0000498C" w:rsidRPr="0000498C" w:rsidRDefault="0000498C" w:rsidP="0000498C">
            <w:pPr>
              <w:tabs>
                <w:tab w:val="decimal" w:pos="602"/>
              </w:tabs>
              <w:spacing w:line="360" w:lineRule="auto"/>
              <w:rPr>
                <w:color w:val="000000"/>
              </w:rPr>
            </w:pPr>
            <w:r w:rsidRPr="0000498C">
              <w:rPr>
                <w:color w:val="000000"/>
              </w:rPr>
              <w:t>1.867</w:t>
            </w:r>
          </w:p>
        </w:tc>
        <w:tc>
          <w:tcPr>
            <w:tcW w:w="0" w:type="auto"/>
            <w:tcBorders>
              <w:top w:val="nil"/>
              <w:left w:val="nil"/>
              <w:bottom w:val="nil"/>
              <w:right w:val="nil"/>
            </w:tcBorders>
            <w:shd w:val="clear" w:color="auto" w:fill="auto"/>
            <w:noWrap/>
            <w:hideMark/>
          </w:tcPr>
          <w:p w14:paraId="7663EE6C" w14:textId="77777777" w:rsidR="0000498C" w:rsidRPr="0000498C" w:rsidRDefault="0000498C" w:rsidP="0000498C">
            <w:pPr>
              <w:tabs>
                <w:tab w:val="decimal" w:pos="551"/>
              </w:tabs>
              <w:spacing w:line="360" w:lineRule="auto"/>
              <w:rPr>
                <w:color w:val="000000"/>
              </w:rPr>
            </w:pPr>
            <w:r w:rsidRPr="0000498C">
              <w:rPr>
                <w:color w:val="000000"/>
              </w:rPr>
              <w:t>0.333</w:t>
            </w:r>
          </w:p>
        </w:tc>
        <w:tc>
          <w:tcPr>
            <w:tcW w:w="0" w:type="auto"/>
            <w:tcBorders>
              <w:top w:val="nil"/>
              <w:left w:val="nil"/>
              <w:bottom w:val="nil"/>
              <w:right w:val="single" w:sz="4" w:space="0" w:color="auto"/>
            </w:tcBorders>
            <w:shd w:val="clear" w:color="auto" w:fill="auto"/>
            <w:noWrap/>
            <w:hideMark/>
          </w:tcPr>
          <w:p w14:paraId="72BEA73B" w14:textId="77777777" w:rsidR="0000498C" w:rsidRPr="0000498C" w:rsidRDefault="0000498C" w:rsidP="0000498C">
            <w:pPr>
              <w:tabs>
                <w:tab w:val="decimal" w:pos="414"/>
              </w:tabs>
              <w:spacing w:line="360" w:lineRule="auto"/>
              <w:rPr>
                <w:color w:val="000000"/>
              </w:rPr>
            </w:pPr>
            <w:r w:rsidRPr="0000498C">
              <w:rPr>
                <w:color w:val="000000"/>
              </w:rPr>
              <w:t>1.021</w:t>
            </w:r>
          </w:p>
        </w:tc>
        <w:tc>
          <w:tcPr>
            <w:tcW w:w="0" w:type="auto"/>
            <w:tcBorders>
              <w:top w:val="nil"/>
              <w:left w:val="single" w:sz="4" w:space="0" w:color="auto"/>
              <w:bottom w:val="nil"/>
              <w:right w:val="nil"/>
            </w:tcBorders>
            <w:shd w:val="clear" w:color="auto" w:fill="auto"/>
            <w:noWrap/>
            <w:hideMark/>
          </w:tcPr>
          <w:p w14:paraId="22D4EF23" w14:textId="77777777" w:rsidR="0000498C" w:rsidRPr="0000498C" w:rsidRDefault="0000498C" w:rsidP="0000498C">
            <w:pPr>
              <w:spacing w:line="360" w:lineRule="auto"/>
              <w:jc w:val="center"/>
              <w:rPr>
                <w:color w:val="000000"/>
              </w:rPr>
            </w:pPr>
            <w:r w:rsidRPr="0000498C">
              <w:rPr>
                <w:color w:val="000000"/>
              </w:rPr>
              <w:t>PRT</w:t>
            </w:r>
          </w:p>
        </w:tc>
        <w:tc>
          <w:tcPr>
            <w:tcW w:w="0" w:type="auto"/>
            <w:tcBorders>
              <w:top w:val="nil"/>
              <w:left w:val="nil"/>
              <w:bottom w:val="nil"/>
              <w:right w:val="nil"/>
            </w:tcBorders>
            <w:shd w:val="clear" w:color="auto" w:fill="auto"/>
            <w:noWrap/>
            <w:hideMark/>
          </w:tcPr>
          <w:p w14:paraId="5DE6C56A" w14:textId="77777777" w:rsidR="0000498C" w:rsidRPr="0000498C" w:rsidRDefault="0000498C" w:rsidP="0000498C">
            <w:pPr>
              <w:tabs>
                <w:tab w:val="decimal" w:pos="610"/>
              </w:tabs>
              <w:spacing w:line="360" w:lineRule="auto"/>
              <w:rPr>
                <w:color w:val="000000"/>
              </w:rPr>
            </w:pPr>
            <w:r w:rsidRPr="0000498C">
              <w:rPr>
                <w:color w:val="000000"/>
              </w:rPr>
              <w:t>0.828</w:t>
            </w:r>
          </w:p>
        </w:tc>
        <w:tc>
          <w:tcPr>
            <w:tcW w:w="0" w:type="auto"/>
            <w:tcBorders>
              <w:top w:val="nil"/>
              <w:left w:val="nil"/>
              <w:bottom w:val="nil"/>
              <w:right w:val="nil"/>
            </w:tcBorders>
            <w:shd w:val="clear" w:color="auto" w:fill="auto"/>
            <w:noWrap/>
            <w:hideMark/>
          </w:tcPr>
          <w:p w14:paraId="79305A15" w14:textId="77777777" w:rsidR="0000498C" w:rsidRPr="0000498C" w:rsidRDefault="0000498C" w:rsidP="0000498C">
            <w:pPr>
              <w:tabs>
                <w:tab w:val="decimal" w:pos="738"/>
              </w:tabs>
              <w:spacing w:line="360" w:lineRule="auto"/>
              <w:rPr>
                <w:color w:val="000000"/>
              </w:rPr>
            </w:pPr>
            <w:r w:rsidRPr="0000498C">
              <w:rPr>
                <w:color w:val="000000"/>
              </w:rPr>
              <w:t>1.149</w:t>
            </w:r>
          </w:p>
        </w:tc>
        <w:tc>
          <w:tcPr>
            <w:tcW w:w="0" w:type="auto"/>
            <w:tcBorders>
              <w:top w:val="nil"/>
              <w:left w:val="nil"/>
              <w:bottom w:val="nil"/>
              <w:right w:val="nil"/>
            </w:tcBorders>
            <w:shd w:val="clear" w:color="auto" w:fill="auto"/>
            <w:noWrap/>
            <w:hideMark/>
          </w:tcPr>
          <w:p w14:paraId="4EFCCB05" w14:textId="77777777" w:rsidR="0000498C" w:rsidRPr="0000498C" w:rsidRDefault="0000498C" w:rsidP="0000498C">
            <w:pPr>
              <w:tabs>
                <w:tab w:val="decimal" w:pos="421"/>
              </w:tabs>
              <w:spacing w:line="360" w:lineRule="auto"/>
              <w:rPr>
                <w:color w:val="000000"/>
              </w:rPr>
            </w:pPr>
          </w:p>
        </w:tc>
      </w:tr>
      <w:tr w:rsidR="0000498C" w:rsidRPr="0000498C" w14:paraId="4BF3C329" w14:textId="77777777" w:rsidTr="0000498C">
        <w:trPr>
          <w:jc w:val="center"/>
        </w:trPr>
        <w:tc>
          <w:tcPr>
            <w:tcW w:w="0" w:type="auto"/>
            <w:tcBorders>
              <w:top w:val="nil"/>
              <w:left w:val="nil"/>
              <w:bottom w:val="nil"/>
              <w:right w:val="nil"/>
            </w:tcBorders>
            <w:shd w:val="clear" w:color="auto" w:fill="auto"/>
            <w:noWrap/>
            <w:hideMark/>
          </w:tcPr>
          <w:p w14:paraId="0D9488D0" w14:textId="77777777" w:rsidR="0000498C" w:rsidRPr="0000498C" w:rsidRDefault="0000498C" w:rsidP="0000498C">
            <w:pPr>
              <w:spacing w:line="360" w:lineRule="auto"/>
              <w:jc w:val="center"/>
              <w:rPr>
                <w:color w:val="000000"/>
              </w:rPr>
            </w:pPr>
            <w:r w:rsidRPr="0000498C">
              <w:rPr>
                <w:color w:val="000000"/>
              </w:rPr>
              <w:t>FRA</w:t>
            </w:r>
          </w:p>
        </w:tc>
        <w:tc>
          <w:tcPr>
            <w:tcW w:w="0" w:type="auto"/>
            <w:tcBorders>
              <w:top w:val="nil"/>
              <w:left w:val="nil"/>
              <w:bottom w:val="nil"/>
              <w:right w:val="nil"/>
            </w:tcBorders>
            <w:shd w:val="clear" w:color="auto" w:fill="auto"/>
            <w:noWrap/>
            <w:hideMark/>
          </w:tcPr>
          <w:p w14:paraId="16514817" w14:textId="77777777" w:rsidR="0000498C" w:rsidRPr="0000498C" w:rsidRDefault="0000498C" w:rsidP="0000498C">
            <w:pPr>
              <w:tabs>
                <w:tab w:val="decimal" w:pos="602"/>
              </w:tabs>
              <w:spacing w:line="360" w:lineRule="auto"/>
              <w:rPr>
                <w:color w:val="000000"/>
              </w:rPr>
            </w:pPr>
            <w:r w:rsidRPr="0000498C">
              <w:rPr>
                <w:color w:val="000000"/>
              </w:rPr>
              <w:t>1.091</w:t>
            </w:r>
          </w:p>
        </w:tc>
        <w:tc>
          <w:tcPr>
            <w:tcW w:w="0" w:type="auto"/>
            <w:tcBorders>
              <w:top w:val="nil"/>
              <w:left w:val="nil"/>
              <w:bottom w:val="nil"/>
              <w:right w:val="nil"/>
            </w:tcBorders>
            <w:shd w:val="clear" w:color="auto" w:fill="auto"/>
            <w:noWrap/>
            <w:hideMark/>
          </w:tcPr>
          <w:p w14:paraId="47475A7E" w14:textId="77777777" w:rsidR="0000498C" w:rsidRPr="0000498C" w:rsidRDefault="0000498C" w:rsidP="0000498C">
            <w:pPr>
              <w:tabs>
                <w:tab w:val="decimal" w:pos="551"/>
              </w:tabs>
              <w:spacing w:line="360" w:lineRule="auto"/>
              <w:rPr>
                <w:color w:val="000000"/>
              </w:rPr>
            </w:pPr>
            <w:r w:rsidRPr="0000498C">
              <w:rPr>
                <w:color w:val="000000"/>
              </w:rPr>
              <w:t>0.909</w:t>
            </w:r>
          </w:p>
        </w:tc>
        <w:tc>
          <w:tcPr>
            <w:tcW w:w="0" w:type="auto"/>
            <w:tcBorders>
              <w:top w:val="nil"/>
              <w:left w:val="nil"/>
              <w:bottom w:val="nil"/>
              <w:right w:val="single" w:sz="4" w:space="0" w:color="auto"/>
            </w:tcBorders>
            <w:shd w:val="clear" w:color="auto" w:fill="auto"/>
            <w:noWrap/>
            <w:hideMark/>
          </w:tcPr>
          <w:p w14:paraId="17678033"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F501B07" w14:textId="77777777" w:rsidR="0000498C" w:rsidRPr="0000498C" w:rsidRDefault="0000498C" w:rsidP="0000498C">
            <w:pPr>
              <w:spacing w:line="360" w:lineRule="auto"/>
              <w:jc w:val="center"/>
              <w:rPr>
                <w:color w:val="000000"/>
              </w:rPr>
            </w:pPr>
            <w:r w:rsidRPr="0000498C">
              <w:rPr>
                <w:color w:val="000000"/>
              </w:rPr>
              <w:t>PRY</w:t>
            </w:r>
          </w:p>
        </w:tc>
        <w:tc>
          <w:tcPr>
            <w:tcW w:w="0" w:type="auto"/>
            <w:tcBorders>
              <w:top w:val="nil"/>
              <w:left w:val="nil"/>
              <w:bottom w:val="nil"/>
              <w:right w:val="nil"/>
            </w:tcBorders>
            <w:shd w:val="clear" w:color="auto" w:fill="auto"/>
            <w:noWrap/>
            <w:hideMark/>
          </w:tcPr>
          <w:p w14:paraId="7F29BA06" w14:textId="77777777" w:rsidR="0000498C" w:rsidRPr="0000498C" w:rsidRDefault="0000498C" w:rsidP="0000498C">
            <w:pPr>
              <w:tabs>
                <w:tab w:val="decimal" w:pos="610"/>
              </w:tabs>
              <w:spacing w:line="360" w:lineRule="auto"/>
              <w:rPr>
                <w:color w:val="000000"/>
              </w:rPr>
            </w:pPr>
            <w:r w:rsidRPr="0000498C">
              <w:rPr>
                <w:color w:val="000000"/>
              </w:rPr>
              <w:t>1.116</w:t>
            </w:r>
          </w:p>
        </w:tc>
        <w:tc>
          <w:tcPr>
            <w:tcW w:w="0" w:type="auto"/>
            <w:tcBorders>
              <w:top w:val="nil"/>
              <w:left w:val="nil"/>
              <w:bottom w:val="nil"/>
              <w:right w:val="nil"/>
            </w:tcBorders>
            <w:shd w:val="clear" w:color="auto" w:fill="auto"/>
            <w:noWrap/>
            <w:hideMark/>
          </w:tcPr>
          <w:p w14:paraId="7ED27A40" w14:textId="77777777" w:rsidR="0000498C" w:rsidRPr="0000498C" w:rsidRDefault="0000498C" w:rsidP="0000498C">
            <w:pPr>
              <w:tabs>
                <w:tab w:val="decimal" w:pos="738"/>
              </w:tabs>
              <w:spacing w:line="360" w:lineRule="auto"/>
              <w:rPr>
                <w:color w:val="000000"/>
              </w:rPr>
            </w:pPr>
            <w:r w:rsidRPr="0000498C">
              <w:rPr>
                <w:color w:val="000000"/>
              </w:rPr>
              <w:t>0.467</w:t>
            </w:r>
          </w:p>
        </w:tc>
        <w:tc>
          <w:tcPr>
            <w:tcW w:w="0" w:type="auto"/>
            <w:tcBorders>
              <w:top w:val="nil"/>
              <w:left w:val="nil"/>
              <w:bottom w:val="nil"/>
              <w:right w:val="nil"/>
            </w:tcBorders>
            <w:shd w:val="clear" w:color="auto" w:fill="auto"/>
            <w:noWrap/>
            <w:hideMark/>
          </w:tcPr>
          <w:p w14:paraId="6BA8F60A" w14:textId="77777777" w:rsidR="0000498C" w:rsidRPr="0000498C" w:rsidRDefault="0000498C" w:rsidP="0000498C">
            <w:pPr>
              <w:tabs>
                <w:tab w:val="decimal" w:pos="421"/>
              </w:tabs>
              <w:spacing w:line="360" w:lineRule="auto"/>
              <w:rPr>
                <w:color w:val="000000"/>
              </w:rPr>
            </w:pPr>
          </w:p>
        </w:tc>
      </w:tr>
      <w:tr w:rsidR="0000498C" w:rsidRPr="0000498C" w14:paraId="50BF6FE6" w14:textId="77777777" w:rsidTr="0000498C">
        <w:trPr>
          <w:jc w:val="center"/>
        </w:trPr>
        <w:tc>
          <w:tcPr>
            <w:tcW w:w="0" w:type="auto"/>
            <w:tcBorders>
              <w:top w:val="nil"/>
              <w:left w:val="nil"/>
              <w:bottom w:val="nil"/>
              <w:right w:val="nil"/>
            </w:tcBorders>
            <w:shd w:val="clear" w:color="auto" w:fill="auto"/>
            <w:noWrap/>
            <w:hideMark/>
          </w:tcPr>
          <w:p w14:paraId="6192DA87" w14:textId="77777777" w:rsidR="0000498C" w:rsidRPr="0000498C" w:rsidRDefault="0000498C" w:rsidP="0000498C">
            <w:pPr>
              <w:spacing w:line="360" w:lineRule="auto"/>
              <w:jc w:val="center"/>
              <w:rPr>
                <w:color w:val="000000"/>
              </w:rPr>
            </w:pPr>
            <w:r w:rsidRPr="0000498C">
              <w:rPr>
                <w:color w:val="000000"/>
              </w:rPr>
              <w:t>GBR</w:t>
            </w:r>
          </w:p>
        </w:tc>
        <w:tc>
          <w:tcPr>
            <w:tcW w:w="0" w:type="auto"/>
            <w:tcBorders>
              <w:top w:val="nil"/>
              <w:left w:val="nil"/>
              <w:bottom w:val="nil"/>
              <w:right w:val="nil"/>
            </w:tcBorders>
            <w:shd w:val="clear" w:color="auto" w:fill="auto"/>
            <w:noWrap/>
            <w:hideMark/>
          </w:tcPr>
          <w:p w14:paraId="59D656B1" w14:textId="77777777" w:rsidR="0000498C" w:rsidRPr="0000498C" w:rsidRDefault="0000498C" w:rsidP="0000498C">
            <w:pPr>
              <w:tabs>
                <w:tab w:val="decimal" w:pos="602"/>
              </w:tabs>
              <w:spacing w:line="360" w:lineRule="auto"/>
              <w:rPr>
                <w:color w:val="000000"/>
              </w:rPr>
            </w:pPr>
            <w:r w:rsidRPr="0000498C">
              <w:rPr>
                <w:color w:val="000000"/>
              </w:rPr>
              <w:t>0.560</w:t>
            </w:r>
          </w:p>
        </w:tc>
        <w:tc>
          <w:tcPr>
            <w:tcW w:w="0" w:type="auto"/>
            <w:tcBorders>
              <w:top w:val="nil"/>
              <w:left w:val="nil"/>
              <w:bottom w:val="nil"/>
              <w:right w:val="nil"/>
            </w:tcBorders>
            <w:shd w:val="clear" w:color="auto" w:fill="auto"/>
            <w:noWrap/>
            <w:hideMark/>
          </w:tcPr>
          <w:p w14:paraId="0EC8A27D" w14:textId="77777777" w:rsidR="0000498C" w:rsidRPr="0000498C" w:rsidRDefault="0000498C" w:rsidP="0000498C">
            <w:pPr>
              <w:tabs>
                <w:tab w:val="decimal" w:pos="551"/>
              </w:tabs>
              <w:spacing w:line="360" w:lineRule="auto"/>
              <w:rPr>
                <w:color w:val="000000"/>
              </w:rPr>
            </w:pPr>
            <w:r w:rsidRPr="0000498C">
              <w:rPr>
                <w:color w:val="000000"/>
              </w:rPr>
              <w:t>1.508</w:t>
            </w:r>
          </w:p>
        </w:tc>
        <w:tc>
          <w:tcPr>
            <w:tcW w:w="0" w:type="auto"/>
            <w:tcBorders>
              <w:top w:val="nil"/>
              <w:left w:val="nil"/>
              <w:bottom w:val="nil"/>
              <w:right w:val="single" w:sz="4" w:space="0" w:color="auto"/>
            </w:tcBorders>
            <w:shd w:val="clear" w:color="auto" w:fill="auto"/>
            <w:noWrap/>
            <w:hideMark/>
          </w:tcPr>
          <w:p w14:paraId="420E5540"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229A9E11" w14:textId="77777777" w:rsidR="0000498C" w:rsidRPr="0000498C" w:rsidRDefault="0000498C" w:rsidP="0000498C">
            <w:pPr>
              <w:spacing w:line="360" w:lineRule="auto"/>
              <w:jc w:val="center"/>
              <w:rPr>
                <w:color w:val="000000"/>
              </w:rPr>
            </w:pPr>
            <w:r w:rsidRPr="0000498C">
              <w:rPr>
                <w:color w:val="000000"/>
              </w:rPr>
              <w:t>ROU</w:t>
            </w:r>
          </w:p>
        </w:tc>
        <w:tc>
          <w:tcPr>
            <w:tcW w:w="0" w:type="auto"/>
            <w:tcBorders>
              <w:top w:val="nil"/>
              <w:left w:val="nil"/>
              <w:bottom w:val="nil"/>
              <w:right w:val="nil"/>
            </w:tcBorders>
            <w:shd w:val="clear" w:color="auto" w:fill="auto"/>
            <w:noWrap/>
            <w:hideMark/>
          </w:tcPr>
          <w:p w14:paraId="20AEB17E" w14:textId="77777777" w:rsidR="0000498C" w:rsidRPr="0000498C" w:rsidRDefault="0000498C" w:rsidP="0000498C">
            <w:pPr>
              <w:tabs>
                <w:tab w:val="decimal" w:pos="610"/>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68DBF4E7" w14:textId="77777777" w:rsidR="0000498C" w:rsidRPr="0000498C" w:rsidRDefault="0000498C" w:rsidP="0000498C">
            <w:pPr>
              <w:tabs>
                <w:tab w:val="decimal" w:pos="738"/>
              </w:tabs>
              <w:spacing w:line="360" w:lineRule="auto"/>
              <w:rPr>
                <w:color w:val="000000"/>
              </w:rPr>
            </w:pPr>
            <w:r w:rsidRPr="0000498C">
              <w:rPr>
                <w:color w:val="000000"/>
              </w:rPr>
              <w:t>2.500</w:t>
            </w:r>
          </w:p>
        </w:tc>
        <w:tc>
          <w:tcPr>
            <w:tcW w:w="0" w:type="auto"/>
            <w:tcBorders>
              <w:top w:val="nil"/>
              <w:left w:val="nil"/>
              <w:bottom w:val="nil"/>
              <w:right w:val="nil"/>
            </w:tcBorders>
            <w:shd w:val="clear" w:color="auto" w:fill="auto"/>
            <w:noWrap/>
            <w:hideMark/>
          </w:tcPr>
          <w:p w14:paraId="594F42B8" w14:textId="77777777" w:rsidR="0000498C" w:rsidRPr="0000498C" w:rsidRDefault="0000498C" w:rsidP="0000498C">
            <w:pPr>
              <w:tabs>
                <w:tab w:val="decimal" w:pos="421"/>
              </w:tabs>
              <w:spacing w:line="360" w:lineRule="auto"/>
              <w:rPr>
                <w:color w:val="000000"/>
              </w:rPr>
            </w:pPr>
            <w:r w:rsidRPr="0000498C">
              <w:rPr>
                <w:color w:val="000000"/>
              </w:rPr>
              <w:t>0.000</w:t>
            </w:r>
          </w:p>
        </w:tc>
      </w:tr>
      <w:tr w:rsidR="0000498C" w:rsidRPr="0000498C" w14:paraId="13A5A18A" w14:textId="77777777" w:rsidTr="0000498C">
        <w:trPr>
          <w:jc w:val="center"/>
        </w:trPr>
        <w:tc>
          <w:tcPr>
            <w:tcW w:w="0" w:type="auto"/>
            <w:tcBorders>
              <w:top w:val="nil"/>
              <w:left w:val="nil"/>
              <w:bottom w:val="nil"/>
              <w:right w:val="nil"/>
            </w:tcBorders>
            <w:shd w:val="clear" w:color="auto" w:fill="auto"/>
            <w:noWrap/>
            <w:hideMark/>
          </w:tcPr>
          <w:p w14:paraId="5B34A956" w14:textId="77777777" w:rsidR="0000498C" w:rsidRPr="0000498C" w:rsidRDefault="0000498C" w:rsidP="0000498C">
            <w:pPr>
              <w:spacing w:line="360" w:lineRule="auto"/>
              <w:jc w:val="center"/>
              <w:rPr>
                <w:color w:val="000000"/>
              </w:rPr>
            </w:pPr>
            <w:r w:rsidRPr="0000498C">
              <w:rPr>
                <w:color w:val="000000"/>
              </w:rPr>
              <w:t>GHA</w:t>
            </w:r>
          </w:p>
        </w:tc>
        <w:tc>
          <w:tcPr>
            <w:tcW w:w="0" w:type="auto"/>
            <w:tcBorders>
              <w:top w:val="nil"/>
              <w:left w:val="nil"/>
              <w:bottom w:val="nil"/>
              <w:right w:val="nil"/>
            </w:tcBorders>
            <w:shd w:val="clear" w:color="auto" w:fill="auto"/>
            <w:noWrap/>
            <w:hideMark/>
          </w:tcPr>
          <w:p w14:paraId="0E513FD5" w14:textId="77777777" w:rsidR="0000498C" w:rsidRPr="0000498C" w:rsidRDefault="0000498C" w:rsidP="0000498C">
            <w:pPr>
              <w:tabs>
                <w:tab w:val="decimal" w:pos="602"/>
              </w:tabs>
              <w:spacing w:line="360" w:lineRule="auto"/>
              <w:rPr>
                <w:color w:val="000000"/>
              </w:rPr>
            </w:pPr>
            <w:r w:rsidRPr="0000498C">
              <w:rPr>
                <w:color w:val="000000"/>
              </w:rPr>
              <w:t>0.617</w:t>
            </w:r>
          </w:p>
        </w:tc>
        <w:tc>
          <w:tcPr>
            <w:tcW w:w="0" w:type="auto"/>
            <w:tcBorders>
              <w:top w:val="nil"/>
              <w:left w:val="nil"/>
              <w:bottom w:val="nil"/>
              <w:right w:val="nil"/>
            </w:tcBorders>
            <w:shd w:val="clear" w:color="auto" w:fill="auto"/>
            <w:noWrap/>
            <w:hideMark/>
          </w:tcPr>
          <w:p w14:paraId="5E0A7DF5" w14:textId="77777777" w:rsidR="0000498C" w:rsidRPr="0000498C" w:rsidRDefault="0000498C" w:rsidP="0000498C">
            <w:pPr>
              <w:tabs>
                <w:tab w:val="decimal" w:pos="551"/>
              </w:tabs>
              <w:spacing w:line="360" w:lineRule="auto"/>
              <w:rPr>
                <w:color w:val="000000"/>
              </w:rPr>
            </w:pPr>
            <w:r w:rsidRPr="0000498C">
              <w:rPr>
                <w:color w:val="000000"/>
              </w:rPr>
              <w:t>1.215</w:t>
            </w:r>
          </w:p>
        </w:tc>
        <w:tc>
          <w:tcPr>
            <w:tcW w:w="0" w:type="auto"/>
            <w:tcBorders>
              <w:top w:val="nil"/>
              <w:left w:val="nil"/>
              <w:bottom w:val="nil"/>
              <w:right w:val="single" w:sz="4" w:space="0" w:color="auto"/>
            </w:tcBorders>
            <w:shd w:val="clear" w:color="auto" w:fill="auto"/>
            <w:noWrap/>
            <w:hideMark/>
          </w:tcPr>
          <w:p w14:paraId="538F06F4"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01D59256" w14:textId="77777777" w:rsidR="0000498C" w:rsidRPr="0000498C" w:rsidRDefault="0000498C" w:rsidP="0000498C">
            <w:pPr>
              <w:spacing w:line="360" w:lineRule="auto"/>
              <w:jc w:val="center"/>
              <w:rPr>
                <w:color w:val="000000"/>
              </w:rPr>
            </w:pPr>
            <w:r w:rsidRPr="0000498C">
              <w:rPr>
                <w:color w:val="000000"/>
              </w:rPr>
              <w:t>RUS</w:t>
            </w:r>
          </w:p>
        </w:tc>
        <w:tc>
          <w:tcPr>
            <w:tcW w:w="0" w:type="auto"/>
            <w:tcBorders>
              <w:top w:val="nil"/>
              <w:left w:val="nil"/>
              <w:bottom w:val="nil"/>
              <w:right w:val="nil"/>
            </w:tcBorders>
            <w:shd w:val="clear" w:color="auto" w:fill="auto"/>
            <w:noWrap/>
            <w:hideMark/>
          </w:tcPr>
          <w:p w14:paraId="795BB04D"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4D87699E" w14:textId="77777777" w:rsidR="0000498C" w:rsidRPr="0000498C" w:rsidRDefault="0000498C" w:rsidP="0000498C">
            <w:pPr>
              <w:tabs>
                <w:tab w:val="decimal" w:pos="738"/>
              </w:tabs>
              <w:spacing w:line="360" w:lineRule="auto"/>
            </w:pPr>
          </w:p>
        </w:tc>
        <w:tc>
          <w:tcPr>
            <w:tcW w:w="0" w:type="auto"/>
            <w:tcBorders>
              <w:top w:val="nil"/>
              <w:left w:val="nil"/>
              <w:bottom w:val="nil"/>
              <w:right w:val="nil"/>
            </w:tcBorders>
            <w:shd w:val="clear" w:color="auto" w:fill="auto"/>
            <w:noWrap/>
            <w:hideMark/>
          </w:tcPr>
          <w:p w14:paraId="5EEBB5AD" w14:textId="77777777" w:rsidR="0000498C" w:rsidRPr="0000498C" w:rsidRDefault="0000498C" w:rsidP="0000498C">
            <w:pPr>
              <w:tabs>
                <w:tab w:val="decimal" w:pos="421"/>
              </w:tabs>
              <w:spacing w:line="360" w:lineRule="auto"/>
              <w:rPr>
                <w:color w:val="000000"/>
              </w:rPr>
            </w:pPr>
            <w:r w:rsidRPr="0000498C">
              <w:rPr>
                <w:color w:val="000000"/>
              </w:rPr>
              <w:t>1.000</w:t>
            </w:r>
          </w:p>
        </w:tc>
      </w:tr>
      <w:tr w:rsidR="0000498C" w:rsidRPr="0000498C" w14:paraId="7A479C54" w14:textId="77777777" w:rsidTr="0000498C">
        <w:trPr>
          <w:jc w:val="center"/>
        </w:trPr>
        <w:tc>
          <w:tcPr>
            <w:tcW w:w="0" w:type="auto"/>
            <w:tcBorders>
              <w:top w:val="nil"/>
              <w:left w:val="nil"/>
              <w:bottom w:val="nil"/>
              <w:right w:val="nil"/>
            </w:tcBorders>
            <w:shd w:val="clear" w:color="auto" w:fill="auto"/>
            <w:noWrap/>
            <w:hideMark/>
          </w:tcPr>
          <w:p w14:paraId="5432EFFE" w14:textId="77777777" w:rsidR="0000498C" w:rsidRPr="0000498C" w:rsidRDefault="0000498C" w:rsidP="0000498C">
            <w:pPr>
              <w:spacing w:line="360" w:lineRule="auto"/>
              <w:jc w:val="center"/>
              <w:rPr>
                <w:color w:val="000000"/>
              </w:rPr>
            </w:pPr>
            <w:r w:rsidRPr="0000498C">
              <w:rPr>
                <w:color w:val="000000"/>
              </w:rPr>
              <w:t>GNB</w:t>
            </w:r>
          </w:p>
        </w:tc>
        <w:tc>
          <w:tcPr>
            <w:tcW w:w="0" w:type="auto"/>
            <w:tcBorders>
              <w:top w:val="nil"/>
              <w:left w:val="nil"/>
              <w:bottom w:val="nil"/>
              <w:right w:val="nil"/>
            </w:tcBorders>
            <w:shd w:val="clear" w:color="auto" w:fill="auto"/>
            <w:noWrap/>
            <w:hideMark/>
          </w:tcPr>
          <w:p w14:paraId="412DBA57"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125277FF" w14:textId="77777777" w:rsidR="0000498C" w:rsidRPr="0000498C" w:rsidRDefault="0000498C" w:rsidP="0000498C">
            <w:pPr>
              <w:tabs>
                <w:tab w:val="decimal" w:pos="551"/>
              </w:tabs>
              <w:spacing w:line="360" w:lineRule="auto"/>
              <w:rPr>
                <w:color w:val="000000"/>
              </w:rPr>
            </w:pPr>
            <w:r w:rsidRPr="0000498C">
              <w:rPr>
                <w:color w:val="000000"/>
              </w:rPr>
              <w:t>1.000</w:t>
            </w:r>
          </w:p>
        </w:tc>
        <w:tc>
          <w:tcPr>
            <w:tcW w:w="0" w:type="auto"/>
            <w:tcBorders>
              <w:top w:val="nil"/>
              <w:left w:val="nil"/>
              <w:bottom w:val="nil"/>
              <w:right w:val="single" w:sz="4" w:space="0" w:color="auto"/>
            </w:tcBorders>
            <w:shd w:val="clear" w:color="auto" w:fill="auto"/>
            <w:noWrap/>
            <w:hideMark/>
          </w:tcPr>
          <w:p w14:paraId="00D223B1"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2A33DB9" w14:textId="77777777" w:rsidR="0000498C" w:rsidRPr="0000498C" w:rsidRDefault="0000498C" w:rsidP="0000498C">
            <w:pPr>
              <w:spacing w:line="360" w:lineRule="auto"/>
              <w:jc w:val="center"/>
              <w:rPr>
                <w:color w:val="000000"/>
              </w:rPr>
            </w:pPr>
            <w:r w:rsidRPr="0000498C">
              <w:rPr>
                <w:color w:val="000000"/>
              </w:rPr>
              <w:t>SEN</w:t>
            </w:r>
          </w:p>
        </w:tc>
        <w:tc>
          <w:tcPr>
            <w:tcW w:w="0" w:type="auto"/>
            <w:tcBorders>
              <w:top w:val="nil"/>
              <w:left w:val="nil"/>
              <w:bottom w:val="nil"/>
              <w:right w:val="nil"/>
            </w:tcBorders>
            <w:shd w:val="clear" w:color="auto" w:fill="auto"/>
            <w:noWrap/>
            <w:hideMark/>
          </w:tcPr>
          <w:p w14:paraId="3B83B4D1" w14:textId="77777777" w:rsidR="0000498C" w:rsidRPr="0000498C" w:rsidRDefault="0000498C" w:rsidP="0000498C">
            <w:pPr>
              <w:tabs>
                <w:tab w:val="decimal" w:pos="610"/>
              </w:tabs>
              <w:spacing w:line="360" w:lineRule="auto"/>
              <w:rPr>
                <w:color w:val="000000"/>
              </w:rPr>
            </w:pPr>
            <w:r w:rsidRPr="0000498C">
              <w:rPr>
                <w:color w:val="000000"/>
              </w:rPr>
              <w:t>1.917</w:t>
            </w:r>
          </w:p>
        </w:tc>
        <w:tc>
          <w:tcPr>
            <w:tcW w:w="0" w:type="auto"/>
            <w:tcBorders>
              <w:top w:val="nil"/>
              <w:left w:val="nil"/>
              <w:bottom w:val="nil"/>
              <w:right w:val="nil"/>
            </w:tcBorders>
            <w:shd w:val="clear" w:color="auto" w:fill="auto"/>
            <w:noWrap/>
            <w:hideMark/>
          </w:tcPr>
          <w:p w14:paraId="46BC8683" w14:textId="77777777" w:rsidR="0000498C" w:rsidRPr="0000498C" w:rsidRDefault="0000498C" w:rsidP="0000498C">
            <w:pPr>
              <w:tabs>
                <w:tab w:val="decimal" w:pos="738"/>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498123CF" w14:textId="77777777" w:rsidR="0000498C" w:rsidRPr="0000498C" w:rsidRDefault="0000498C" w:rsidP="0000498C">
            <w:pPr>
              <w:tabs>
                <w:tab w:val="decimal" w:pos="421"/>
              </w:tabs>
              <w:spacing w:line="360" w:lineRule="auto"/>
              <w:rPr>
                <w:color w:val="000000"/>
              </w:rPr>
            </w:pPr>
          </w:p>
        </w:tc>
      </w:tr>
      <w:tr w:rsidR="0000498C" w:rsidRPr="0000498C" w14:paraId="3572814D" w14:textId="77777777" w:rsidTr="0000498C">
        <w:trPr>
          <w:jc w:val="center"/>
        </w:trPr>
        <w:tc>
          <w:tcPr>
            <w:tcW w:w="0" w:type="auto"/>
            <w:tcBorders>
              <w:top w:val="nil"/>
              <w:left w:val="nil"/>
              <w:bottom w:val="nil"/>
              <w:right w:val="nil"/>
            </w:tcBorders>
            <w:shd w:val="clear" w:color="auto" w:fill="auto"/>
            <w:noWrap/>
            <w:hideMark/>
          </w:tcPr>
          <w:p w14:paraId="28454471" w14:textId="77777777" w:rsidR="0000498C" w:rsidRPr="0000498C" w:rsidRDefault="0000498C" w:rsidP="0000498C">
            <w:pPr>
              <w:spacing w:line="360" w:lineRule="auto"/>
              <w:jc w:val="center"/>
              <w:rPr>
                <w:color w:val="000000"/>
              </w:rPr>
            </w:pPr>
            <w:r w:rsidRPr="0000498C">
              <w:rPr>
                <w:color w:val="000000"/>
              </w:rPr>
              <w:t>GRC</w:t>
            </w:r>
          </w:p>
        </w:tc>
        <w:tc>
          <w:tcPr>
            <w:tcW w:w="0" w:type="auto"/>
            <w:tcBorders>
              <w:top w:val="nil"/>
              <w:left w:val="nil"/>
              <w:bottom w:val="nil"/>
              <w:right w:val="nil"/>
            </w:tcBorders>
            <w:shd w:val="clear" w:color="auto" w:fill="auto"/>
            <w:noWrap/>
            <w:hideMark/>
          </w:tcPr>
          <w:p w14:paraId="045F7BB2" w14:textId="77777777" w:rsidR="0000498C" w:rsidRPr="0000498C" w:rsidRDefault="0000498C" w:rsidP="0000498C">
            <w:pPr>
              <w:tabs>
                <w:tab w:val="decimal" w:pos="602"/>
              </w:tabs>
              <w:spacing w:line="360" w:lineRule="auto"/>
              <w:rPr>
                <w:color w:val="000000"/>
              </w:rPr>
            </w:pPr>
            <w:r w:rsidRPr="0000498C">
              <w:rPr>
                <w:color w:val="000000"/>
              </w:rPr>
              <w:t>0.701</w:t>
            </w:r>
          </w:p>
        </w:tc>
        <w:tc>
          <w:tcPr>
            <w:tcW w:w="0" w:type="auto"/>
            <w:tcBorders>
              <w:top w:val="nil"/>
              <w:left w:val="nil"/>
              <w:bottom w:val="nil"/>
              <w:right w:val="nil"/>
            </w:tcBorders>
            <w:shd w:val="clear" w:color="auto" w:fill="auto"/>
            <w:noWrap/>
            <w:hideMark/>
          </w:tcPr>
          <w:p w14:paraId="5E190A91" w14:textId="77777777" w:rsidR="0000498C" w:rsidRPr="0000498C" w:rsidRDefault="0000498C" w:rsidP="0000498C">
            <w:pPr>
              <w:tabs>
                <w:tab w:val="decimal" w:pos="551"/>
              </w:tabs>
              <w:spacing w:line="360" w:lineRule="auto"/>
              <w:rPr>
                <w:color w:val="000000"/>
              </w:rPr>
            </w:pPr>
            <w:r w:rsidRPr="0000498C">
              <w:rPr>
                <w:color w:val="000000"/>
              </w:rPr>
              <w:t>1.205</w:t>
            </w:r>
          </w:p>
        </w:tc>
        <w:tc>
          <w:tcPr>
            <w:tcW w:w="0" w:type="auto"/>
            <w:tcBorders>
              <w:top w:val="nil"/>
              <w:left w:val="nil"/>
              <w:bottom w:val="nil"/>
              <w:right w:val="single" w:sz="4" w:space="0" w:color="auto"/>
            </w:tcBorders>
            <w:shd w:val="clear" w:color="auto" w:fill="auto"/>
            <w:noWrap/>
            <w:hideMark/>
          </w:tcPr>
          <w:p w14:paraId="01B751A5"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21FB8AF0" w14:textId="77777777" w:rsidR="0000498C" w:rsidRPr="0000498C" w:rsidRDefault="0000498C" w:rsidP="0000498C">
            <w:pPr>
              <w:spacing w:line="360" w:lineRule="auto"/>
              <w:jc w:val="center"/>
              <w:rPr>
                <w:color w:val="000000"/>
              </w:rPr>
            </w:pPr>
            <w:r w:rsidRPr="0000498C">
              <w:rPr>
                <w:color w:val="000000"/>
              </w:rPr>
              <w:t>SLE</w:t>
            </w:r>
          </w:p>
        </w:tc>
        <w:tc>
          <w:tcPr>
            <w:tcW w:w="0" w:type="auto"/>
            <w:tcBorders>
              <w:top w:val="nil"/>
              <w:left w:val="nil"/>
              <w:bottom w:val="nil"/>
              <w:right w:val="nil"/>
            </w:tcBorders>
            <w:shd w:val="clear" w:color="auto" w:fill="auto"/>
            <w:noWrap/>
            <w:hideMark/>
          </w:tcPr>
          <w:p w14:paraId="4A0DEC95"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1339F057"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30C5F5C6" w14:textId="77777777" w:rsidR="0000498C" w:rsidRPr="0000498C" w:rsidRDefault="0000498C" w:rsidP="0000498C">
            <w:pPr>
              <w:tabs>
                <w:tab w:val="decimal" w:pos="421"/>
              </w:tabs>
              <w:spacing w:line="360" w:lineRule="auto"/>
              <w:rPr>
                <w:color w:val="000000"/>
              </w:rPr>
            </w:pPr>
          </w:p>
        </w:tc>
      </w:tr>
      <w:tr w:rsidR="0000498C" w:rsidRPr="0000498C" w14:paraId="28DD2F44" w14:textId="77777777" w:rsidTr="0000498C">
        <w:trPr>
          <w:jc w:val="center"/>
        </w:trPr>
        <w:tc>
          <w:tcPr>
            <w:tcW w:w="0" w:type="auto"/>
            <w:tcBorders>
              <w:top w:val="nil"/>
              <w:left w:val="nil"/>
              <w:bottom w:val="nil"/>
              <w:right w:val="nil"/>
            </w:tcBorders>
            <w:shd w:val="clear" w:color="auto" w:fill="auto"/>
            <w:noWrap/>
            <w:hideMark/>
          </w:tcPr>
          <w:p w14:paraId="04D72EAF" w14:textId="77777777" w:rsidR="0000498C" w:rsidRPr="0000498C" w:rsidRDefault="0000498C" w:rsidP="0000498C">
            <w:pPr>
              <w:spacing w:line="360" w:lineRule="auto"/>
              <w:jc w:val="center"/>
              <w:rPr>
                <w:color w:val="000000"/>
              </w:rPr>
            </w:pPr>
            <w:r w:rsidRPr="0000498C">
              <w:rPr>
                <w:color w:val="000000"/>
              </w:rPr>
              <w:t>GRD</w:t>
            </w:r>
          </w:p>
        </w:tc>
        <w:tc>
          <w:tcPr>
            <w:tcW w:w="0" w:type="auto"/>
            <w:tcBorders>
              <w:top w:val="nil"/>
              <w:left w:val="nil"/>
              <w:bottom w:val="nil"/>
              <w:right w:val="nil"/>
            </w:tcBorders>
            <w:shd w:val="clear" w:color="auto" w:fill="auto"/>
            <w:noWrap/>
            <w:hideMark/>
          </w:tcPr>
          <w:p w14:paraId="4E269C88" w14:textId="77777777" w:rsidR="0000498C" w:rsidRPr="0000498C" w:rsidRDefault="0000498C" w:rsidP="0000498C">
            <w:pPr>
              <w:tabs>
                <w:tab w:val="decimal" w:pos="602"/>
              </w:tabs>
              <w:spacing w:line="360" w:lineRule="auto"/>
              <w:rPr>
                <w:color w:val="000000"/>
              </w:rPr>
            </w:pPr>
            <w:r w:rsidRPr="0000498C">
              <w:rPr>
                <w:color w:val="000000"/>
              </w:rPr>
              <w:t>0.519</w:t>
            </w:r>
          </w:p>
        </w:tc>
        <w:tc>
          <w:tcPr>
            <w:tcW w:w="0" w:type="auto"/>
            <w:tcBorders>
              <w:top w:val="nil"/>
              <w:left w:val="nil"/>
              <w:bottom w:val="nil"/>
              <w:right w:val="nil"/>
            </w:tcBorders>
            <w:shd w:val="clear" w:color="auto" w:fill="auto"/>
            <w:noWrap/>
            <w:hideMark/>
          </w:tcPr>
          <w:p w14:paraId="3A4FE6A6" w14:textId="77777777" w:rsidR="0000498C" w:rsidRPr="0000498C" w:rsidRDefault="0000498C" w:rsidP="0000498C">
            <w:pPr>
              <w:tabs>
                <w:tab w:val="decimal" w:pos="551"/>
              </w:tabs>
              <w:spacing w:line="360" w:lineRule="auto"/>
              <w:rPr>
                <w:color w:val="000000"/>
              </w:rPr>
            </w:pPr>
            <w:r w:rsidRPr="0000498C">
              <w:rPr>
                <w:color w:val="000000"/>
              </w:rPr>
              <w:t>1.867</w:t>
            </w:r>
          </w:p>
        </w:tc>
        <w:tc>
          <w:tcPr>
            <w:tcW w:w="0" w:type="auto"/>
            <w:tcBorders>
              <w:top w:val="nil"/>
              <w:left w:val="nil"/>
              <w:bottom w:val="nil"/>
              <w:right w:val="single" w:sz="4" w:space="0" w:color="auto"/>
            </w:tcBorders>
            <w:shd w:val="clear" w:color="auto" w:fill="auto"/>
            <w:noWrap/>
            <w:hideMark/>
          </w:tcPr>
          <w:p w14:paraId="26502E98"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58F07635" w14:textId="77777777" w:rsidR="0000498C" w:rsidRPr="0000498C" w:rsidRDefault="0000498C" w:rsidP="0000498C">
            <w:pPr>
              <w:spacing w:line="360" w:lineRule="auto"/>
              <w:jc w:val="center"/>
              <w:rPr>
                <w:color w:val="000000"/>
              </w:rPr>
            </w:pPr>
            <w:r w:rsidRPr="0000498C">
              <w:rPr>
                <w:color w:val="000000"/>
              </w:rPr>
              <w:t>SLV</w:t>
            </w:r>
          </w:p>
        </w:tc>
        <w:tc>
          <w:tcPr>
            <w:tcW w:w="0" w:type="auto"/>
            <w:tcBorders>
              <w:top w:val="nil"/>
              <w:left w:val="nil"/>
              <w:bottom w:val="nil"/>
              <w:right w:val="nil"/>
            </w:tcBorders>
            <w:shd w:val="clear" w:color="auto" w:fill="auto"/>
            <w:noWrap/>
            <w:hideMark/>
          </w:tcPr>
          <w:p w14:paraId="1BF3B72F" w14:textId="77777777" w:rsidR="0000498C" w:rsidRPr="0000498C" w:rsidRDefault="0000498C" w:rsidP="0000498C">
            <w:pPr>
              <w:tabs>
                <w:tab w:val="decimal" w:pos="610"/>
              </w:tabs>
              <w:spacing w:line="360" w:lineRule="auto"/>
              <w:rPr>
                <w:color w:val="000000"/>
              </w:rPr>
            </w:pPr>
            <w:r w:rsidRPr="0000498C">
              <w:rPr>
                <w:color w:val="000000"/>
              </w:rPr>
              <w:t>0.525</w:t>
            </w:r>
          </w:p>
        </w:tc>
        <w:tc>
          <w:tcPr>
            <w:tcW w:w="0" w:type="auto"/>
            <w:tcBorders>
              <w:top w:val="nil"/>
              <w:left w:val="nil"/>
              <w:bottom w:val="nil"/>
              <w:right w:val="nil"/>
            </w:tcBorders>
            <w:shd w:val="clear" w:color="auto" w:fill="auto"/>
            <w:noWrap/>
            <w:hideMark/>
          </w:tcPr>
          <w:p w14:paraId="6FC73713" w14:textId="77777777" w:rsidR="0000498C" w:rsidRPr="0000498C" w:rsidRDefault="0000498C" w:rsidP="0000498C">
            <w:pPr>
              <w:tabs>
                <w:tab w:val="decimal" w:pos="738"/>
              </w:tabs>
              <w:spacing w:line="360" w:lineRule="auto"/>
              <w:rPr>
                <w:color w:val="000000"/>
              </w:rPr>
            </w:pPr>
            <w:r w:rsidRPr="0000498C">
              <w:rPr>
                <w:color w:val="000000"/>
              </w:rPr>
              <w:t>2.188</w:t>
            </w:r>
          </w:p>
        </w:tc>
        <w:tc>
          <w:tcPr>
            <w:tcW w:w="0" w:type="auto"/>
            <w:tcBorders>
              <w:top w:val="nil"/>
              <w:left w:val="nil"/>
              <w:bottom w:val="nil"/>
              <w:right w:val="nil"/>
            </w:tcBorders>
            <w:shd w:val="clear" w:color="auto" w:fill="auto"/>
            <w:noWrap/>
            <w:hideMark/>
          </w:tcPr>
          <w:p w14:paraId="4898CC29" w14:textId="77777777" w:rsidR="0000498C" w:rsidRPr="0000498C" w:rsidRDefault="0000498C" w:rsidP="0000498C">
            <w:pPr>
              <w:tabs>
                <w:tab w:val="decimal" w:pos="421"/>
              </w:tabs>
              <w:spacing w:line="360" w:lineRule="auto"/>
              <w:rPr>
                <w:color w:val="000000"/>
              </w:rPr>
            </w:pPr>
          </w:p>
        </w:tc>
      </w:tr>
      <w:tr w:rsidR="0000498C" w:rsidRPr="0000498C" w14:paraId="3B9549D5" w14:textId="77777777" w:rsidTr="0000498C">
        <w:trPr>
          <w:jc w:val="center"/>
        </w:trPr>
        <w:tc>
          <w:tcPr>
            <w:tcW w:w="0" w:type="auto"/>
            <w:tcBorders>
              <w:top w:val="nil"/>
              <w:left w:val="nil"/>
              <w:bottom w:val="nil"/>
              <w:right w:val="nil"/>
            </w:tcBorders>
            <w:shd w:val="clear" w:color="auto" w:fill="auto"/>
            <w:noWrap/>
            <w:hideMark/>
          </w:tcPr>
          <w:p w14:paraId="486B0C89" w14:textId="77777777" w:rsidR="0000498C" w:rsidRPr="0000498C" w:rsidRDefault="0000498C" w:rsidP="0000498C">
            <w:pPr>
              <w:spacing w:line="360" w:lineRule="auto"/>
              <w:jc w:val="center"/>
              <w:rPr>
                <w:color w:val="000000"/>
              </w:rPr>
            </w:pPr>
            <w:r w:rsidRPr="0000498C">
              <w:rPr>
                <w:color w:val="000000"/>
              </w:rPr>
              <w:t>GTM</w:t>
            </w:r>
          </w:p>
        </w:tc>
        <w:tc>
          <w:tcPr>
            <w:tcW w:w="0" w:type="auto"/>
            <w:tcBorders>
              <w:top w:val="nil"/>
              <w:left w:val="nil"/>
              <w:bottom w:val="nil"/>
              <w:right w:val="nil"/>
            </w:tcBorders>
            <w:shd w:val="clear" w:color="auto" w:fill="auto"/>
            <w:noWrap/>
            <w:hideMark/>
          </w:tcPr>
          <w:p w14:paraId="4DCCAC86" w14:textId="77777777" w:rsidR="0000498C" w:rsidRPr="0000498C" w:rsidRDefault="0000498C" w:rsidP="0000498C">
            <w:pPr>
              <w:tabs>
                <w:tab w:val="decimal" w:pos="602"/>
              </w:tabs>
              <w:spacing w:line="360" w:lineRule="auto"/>
              <w:rPr>
                <w:color w:val="000000"/>
              </w:rPr>
            </w:pPr>
            <w:r w:rsidRPr="0000498C">
              <w:rPr>
                <w:color w:val="000000"/>
              </w:rPr>
              <w:t>0.600</w:t>
            </w:r>
          </w:p>
        </w:tc>
        <w:tc>
          <w:tcPr>
            <w:tcW w:w="0" w:type="auto"/>
            <w:tcBorders>
              <w:top w:val="nil"/>
              <w:left w:val="nil"/>
              <w:bottom w:val="nil"/>
              <w:right w:val="nil"/>
            </w:tcBorders>
            <w:shd w:val="clear" w:color="auto" w:fill="auto"/>
            <w:noWrap/>
            <w:hideMark/>
          </w:tcPr>
          <w:p w14:paraId="400378D5" w14:textId="77777777" w:rsidR="0000498C" w:rsidRPr="0000498C" w:rsidRDefault="0000498C" w:rsidP="0000498C">
            <w:pPr>
              <w:tabs>
                <w:tab w:val="decimal" w:pos="551"/>
              </w:tabs>
              <w:spacing w:line="360" w:lineRule="auto"/>
              <w:rPr>
                <w:color w:val="000000"/>
              </w:rPr>
            </w:pPr>
            <w:r w:rsidRPr="0000498C">
              <w:rPr>
                <w:color w:val="000000"/>
              </w:rPr>
              <w:t>3.000</w:t>
            </w:r>
          </w:p>
        </w:tc>
        <w:tc>
          <w:tcPr>
            <w:tcW w:w="0" w:type="auto"/>
            <w:tcBorders>
              <w:top w:val="nil"/>
              <w:left w:val="nil"/>
              <w:bottom w:val="nil"/>
              <w:right w:val="single" w:sz="4" w:space="0" w:color="auto"/>
            </w:tcBorders>
            <w:shd w:val="clear" w:color="auto" w:fill="auto"/>
            <w:noWrap/>
            <w:hideMark/>
          </w:tcPr>
          <w:p w14:paraId="603F4949"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F050EED" w14:textId="77777777" w:rsidR="0000498C" w:rsidRPr="0000498C" w:rsidRDefault="0000498C" w:rsidP="0000498C">
            <w:pPr>
              <w:spacing w:line="360" w:lineRule="auto"/>
              <w:jc w:val="center"/>
              <w:rPr>
                <w:color w:val="000000"/>
              </w:rPr>
            </w:pPr>
            <w:r w:rsidRPr="0000498C">
              <w:rPr>
                <w:color w:val="000000"/>
              </w:rPr>
              <w:t>SVK</w:t>
            </w:r>
          </w:p>
        </w:tc>
        <w:tc>
          <w:tcPr>
            <w:tcW w:w="0" w:type="auto"/>
            <w:tcBorders>
              <w:top w:val="nil"/>
              <w:left w:val="nil"/>
              <w:bottom w:val="nil"/>
              <w:right w:val="nil"/>
            </w:tcBorders>
            <w:shd w:val="clear" w:color="auto" w:fill="auto"/>
            <w:noWrap/>
            <w:hideMark/>
          </w:tcPr>
          <w:p w14:paraId="401A77D5"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52740922"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488F46A0" w14:textId="77777777" w:rsidR="0000498C" w:rsidRPr="0000498C" w:rsidRDefault="0000498C" w:rsidP="0000498C">
            <w:pPr>
              <w:tabs>
                <w:tab w:val="decimal" w:pos="421"/>
              </w:tabs>
              <w:spacing w:line="360" w:lineRule="auto"/>
              <w:rPr>
                <w:color w:val="000000"/>
              </w:rPr>
            </w:pPr>
          </w:p>
        </w:tc>
      </w:tr>
      <w:tr w:rsidR="0000498C" w:rsidRPr="0000498C" w14:paraId="50D12729" w14:textId="77777777" w:rsidTr="0000498C">
        <w:trPr>
          <w:jc w:val="center"/>
        </w:trPr>
        <w:tc>
          <w:tcPr>
            <w:tcW w:w="0" w:type="auto"/>
            <w:tcBorders>
              <w:top w:val="nil"/>
              <w:left w:val="nil"/>
              <w:bottom w:val="nil"/>
              <w:right w:val="nil"/>
            </w:tcBorders>
            <w:shd w:val="clear" w:color="auto" w:fill="auto"/>
            <w:noWrap/>
            <w:hideMark/>
          </w:tcPr>
          <w:p w14:paraId="693E44D2" w14:textId="77777777" w:rsidR="0000498C" w:rsidRPr="0000498C" w:rsidRDefault="0000498C" w:rsidP="0000498C">
            <w:pPr>
              <w:spacing w:line="360" w:lineRule="auto"/>
              <w:jc w:val="center"/>
              <w:rPr>
                <w:color w:val="000000"/>
              </w:rPr>
            </w:pPr>
            <w:r w:rsidRPr="0000498C">
              <w:rPr>
                <w:color w:val="000000"/>
              </w:rPr>
              <w:t>GUY</w:t>
            </w:r>
          </w:p>
        </w:tc>
        <w:tc>
          <w:tcPr>
            <w:tcW w:w="0" w:type="auto"/>
            <w:tcBorders>
              <w:top w:val="nil"/>
              <w:left w:val="nil"/>
              <w:bottom w:val="nil"/>
              <w:right w:val="nil"/>
            </w:tcBorders>
            <w:shd w:val="clear" w:color="auto" w:fill="auto"/>
            <w:noWrap/>
            <w:hideMark/>
          </w:tcPr>
          <w:p w14:paraId="14E32154" w14:textId="77777777" w:rsidR="0000498C" w:rsidRPr="0000498C" w:rsidRDefault="0000498C" w:rsidP="0000498C">
            <w:pPr>
              <w:tabs>
                <w:tab w:val="decimal" w:pos="602"/>
              </w:tabs>
              <w:spacing w:line="360" w:lineRule="auto"/>
              <w:rPr>
                <w:color w:val="000000"/>
              </w:rPr>
            </w:pPr>
          </w:p>
        </w:tc>
        <w:tc>
          <w:tcPr>
            <w:tcW w:w="0" w:type="auto"/>
            <w:tcBorders>
              <w:top w:val="nil"/>
              <w:left w:val="nil"/>
              <w:bottom w:val="nil"/>
              <w:right w:val="nil"/>
            </w:tcBorders>
            <w:shd w:val="clear" w:color="auto" w:fill="auto"/>
            <w:noWrap/>
            <w:hideMark/>
          </w:tcPr>
          <w:p w14:paraId="688262B6" w14:textId="77777777" w:rsidR="0000498C" w:rsidRPr="0000498C" w:rsidRDefault="0000498C" w:rsidP="0000498C">
            <w:pPr>
              <w:tabs>
                <w:tab w:val="decimal" w:pos="551"/>
              </w:tabs>
              <w:spacing w:line="360" w:lineRule="auto"/>
              <w:rPr>
                <w:color w:val="000000"/>
              </w:rPr>
            </w:pPr>
            <w:r w:rsidRPr="0000498C">
              <w:rPr>
                <w:color w:val="000000"/>
              </w:rPr>
              <w:t>1.000</w:t>
            </w:r>
          </w:p>
        </w:tc>
        <w:tc>
          <w:tcPr>
            <w:tcW w:w="0" w:type="auto"/>
            <w:tcBorders>
              <w:top w:val="nil"/>
              <w:left w:val="nil"/>
              <w:bottom w:val="nil"/>
              <w:right w:val="single" w:sz="4" w:space="0" w:color="auto"/>
            </w:tcBorders>
            <w:shd w:val="clear" w:color="auto" w:fill="auto"/>
            <w:noWrap/>
            <w:hideMark/>
          </w:tcPr>
          <w:p w14:paraId="6D11E018"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57D4F9A9" w14:textId="77777777" w:rsidR="0000498C" w:rsidRPr="0000498C" w:rsidRDefault="0000498C" w:rsidP="0000498C">
            <w:pPr>
              <w:spacing w:line="360" w:lineRule="auto"/>
              <w:jc w:val="center"/>
              <w:rPr>
                <w:color w:val="000000"/>
              </w:rPr>
            </w:pPr>
            <w:r w:rsidRPr="0000498C">
              <w:rPr>
                <w:color w:val="000000"/>
              </w:rPr>
              <w:t>SVN</w:t>
            </w:r>
          </w:p>
        </w:tc>
        <w:tc>
          <w:tcPr>
            <w:tcW w:w="0" w:type="auto"/>
            <w:tcBorders>
              <w:top w:val="nil"/>
              <w:left w:val="nil"/>
              <w:bottom w:val="nil"/>
              <w:right w:val="nil"/>
            </w:tcBorders>
            <w:shd w:val="clear" w:color="auto" w:fill="auto"/>
            <w:noWrap/>
            <w:hideMark/>
          </w:tcPr>
          <w:p w14:paraId="207A9C77" w14:textId="77777777" w:rsidR="0000498C" w:rsidRPr="0000498C" w:rsidRDefault="0000498C" w:rsidP="0000498C">
            <w:pPr>
              <w:tabs>
                <w:tab w:val="decimal" w:pos="610"/>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1AD1536E" w14:textId="77777777" w:rsidR="0000498C" w:rsidRPr="0000498C" w:rsidRDefault="0000498C" w:rsidP="0000498C">
            <w:pPr>
              <w:tabs>
                <w:tab w:val="decimal" w:pos="738"/>
              </w:tabs>
              <w:spacing w:line="360" w:lineRule="auto"/>
              <w:rPr>
                <w:color w:val="000000"/>
              </w:rPr>
            </w:pPr>
            <w:r w:rsidRPr="0000498C">
              <w:rPr>
                <w:color w:val="000000"/>
              </w:rPr>
              <w:t>0.863</w:t>
            </w:r>
          </w:p>
        </w:tc>
        <w:tc>
          <w:tcPr>
            <w:tcW w:w="0" w:type="auto"/>
            <w:tcBorders>
              <w:top w:val="nil"/>
              <w:left w:val="nil"/>
              <w:bottom w:val="nil"/>
              <w:right w:val="nil"/>
            </w:tcBorders>
            <w:shd w:val="clear" w:color="auto" w:fill="auto"/>
            <w:noWrap/>
            <w:hideMark/>
          </w:tcPr>
          <w:p w14:paraId="6B7A6066" w14:textId="77777777" w:rsidR="0000498C" w:rsidRPr="0000498C" w:rsidRDefault="0000498C" w:rsidP="0000498C">
            <w:pPr>
              <w:tabs>
                <w:tab w:val="decimal" w:pos="421"/>
              </w:tabs>
              <w:spacing w:line="360" w:lineRule="auto"/>
              <w:rPr>
                <w:color w:val="000000"/>
              </w:rPr>
            </w:pPr>
            <w:r w:rsidRPr="0000498C">
              <w:rPr>
                <w:color w:val="000000"/>
              </w:rPr>
              <w:t>1.533</w:t>
            </w:r>
          </w:p>
        </w:tc>
      </w:tr>
      <w:tr w:rsidR="0000498C" w:rsidRPr="0000498C" w14:paraId="764D9F88" w14:textId="77777777" w:rsidTr="0000498C">
        <w:trPr>
          <w:jc w:val="center"/>
        </w:trPr>
        <w:tc>
          <w:tcPr>
            <w:tcW w:w="0" w:type="auto"/>
            <w:tcBorders>
              <w:top w:val="nil"/>
              <w:left w:val="nil"/>
              <w:bottom w:val="nil"/>
              <w:right w:val="nil"/>
            </w:tcBorders>
            <w:shd w:val="clear" w:color="auto" w:fill="auto"/>
            <w:noWrap/>
            <w:hideMark/>
          </w:tcPr>
          <w:p w14:paraId="02D81E59" w14:textId="77777777" w:rsidR="0000498C" w:rsidRPr="0000498C" w:rsidRDefault="0000498C" w:rsidP="0000498C">
            <w:pPr>
              <w:spacing w:line="360" w:lineRule="auto"/>
              <w:jc w:val="center"/>
              <w:rPr>
                <w:color w:val="000000"/>
              </w:rPr>
            </w:pPr>
            <w:r w:rsidRPr="0000498C">
              <w:rPr>
                <w:color w:val="000000"/>
              </w:rPr>
              <w:t>HND</w:t>
            </w:r>
          </w:p>
        </w:tc>
        <w:tc>
          <w:tcPr>
            <w:tcW w:w="0" w:type="auto"/>
            <w:tcBorders>
              <w:top w:val="nil"/>
              <w:left w:val="nil"/>
              <w:bottom w:val="nil"/>
              <w:right w:val="nil"/>
            </w:tcBorders>
            <w:shd w:val="clear" w:color="auto" w:fill="auto"/>
            <w:noWrap/>
            <w:hideMark/>
          </w:tcPr>
          <w:p w14:paraId="3810F6A1" w14:textId="77777777" w:rsidR="0000498C" w:rsidRPr="0000498C" w:rsidRDefault="0000498C" w:rsidP="0000498C">
            <w:pPr>
              <w:tabs>
                <w:tab w:val="decimal" w:pos="602"/>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7DD23E1A"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05A56475" w14:textId="77777777" w:rsidR="0000498C" w:rsidRPr="0000498C" w:rsidRDefault="0000498C" w:rsidP="0000498C">
            <w:pPr>
              <w:tabs>
                <w:tab w:val="decimal" w:pos="414"/>
              </w:tabs>
              <w:spacing w:line="360" w:lineRule="auto"/>
            </w:pPr>
          </w:p>
        </w:tc>
        <w:tc>
          <w:tcPr>
            <w:tcW w:w="0" w:type="auto"/>
            <w:tcBorders>
              <w:top w:val="nil"/>
              <w:left w:val="single" w:sz="4" w:space="0" w:color="auto"/>
              <w:bottom w:val="nil"/>
              <w:right w:val="nil"/>
            </w:tcBorders>
            <w:shd w:val="clear" w:color="auto" w:fill="auto"/>
            <w:noWrap/>
            <w:hideMark/>
          </w:tcPr>
          <w:p w14:paraId="19A4CA94" w14:textId="77777777" w:rsidR="0000498C" w:rsidRPr="0000498C" w:rsidRDefault="0000498C" w:rsidP="0000498C">
            <w:pPr>
              <w:spacing w:line="360" w:lineRule="auto"/>
              <w:jc w:val="center"/>
              <w:rPr>
                <w:color w:val="000000"/>
              </w:rPr>
            </w:pPr>
            <w:r w:rsidRPr="0000498C">
              <w:rPr>
                <w:color w:val="000000"/>
              </w:rPr>
              <w:t>SWE</w:t>
            </w:r>
          </w:p>
        </w:tc>
        <w:tc>
          <w:tcPr>
            <w:tcW w:w="0" w:type="auto"/>
            <w:tcBorders>
              <w:top w:val="nil"/>
              <w:left w:val="nil"/>
              <w:bottom w:val="nil"/>
              <w:right w:val="nil"/>
            </w:tcBorders>
            <w:shd w:val="clear" w:color="auto" w:fill="auto"/>
            <w:noWrap/>
            <w:hideMark/>
          </w:tcPr>
          <w:p w14:paraId="61FC5C44" w14:textId="77777777" w:rsidR="0000498C" w:rsidRPr="0000498C" w:rsidRDefault="0000498C" w:rsidP="0000498C">
            <w:pPr>
              <w:tabs>
                <w:tab w:val="decimal" w:pos="610"/>
              </w:tabs>
              <w:spacing w:line="360" w:lineRule="auto"/>
              <w:rPr>
                <w:color w:val="000000"/>
              </w:rPr>
            </w:pPr>
            <w:r w:rsidRPr="0000498C">
              <w:rPr>
                <w:color w:val="000000"/>
              </w:rPr>
              <w:t>1.620</w:t>
            </w:r>
          </w:p>
        </w:tc>
        <w:tc>
          <w:tcPr>
            <w:tcW w:w="0" w:type="auto"/>
            <w:tcBorders>
              <w:top w:val="nil"/>
              <w:left w:val="nil"/>
              <w:bottom w:val="nil"/>
              <w:right w:val="nil"/>
            </w:tcBorders>
            <w:shd w:val="clear" w:color="auto" w:fill="auto"/>
            <w:noWrap/>
            <w:hideMark/>
          </w:tcPr>
          <w:p w14:paraId="296C8801" w14:textId="77777777" w:rsidR="0000498C" w:rsidRPr="0000498C" w:rsidRDefault="0000498C" w:rsidP="0000498C">
            <w:pPr>
              <w:tabs>
                <w:tab w:val="decimal" w:pos="738"/>
              </w:tabs>
              <w:spacing w:line="360" w:lineRule="auto"/>
              <w:rPr>
                <w:color w:val="000000"/>
              </w:rPr>
            </w:pPr>
            <w:r w:rsidRPr="0000498C">
              <w:rPr>
                <w:color w:val="000000"/>
              </w:rPr>
              <w:t>0.599</w:t>
            </w:r>
          </w:p>
        </w:tc>
        <w:tc>
          <w:tcPr>
            <w:tcW w:w="0" w:type="auto"/>
            <w:tcBorders>
              <w:top w:val="nil"/>
              <w:left w:val="nil"/>
              <w:bottom w:val="nil"/>
              <w:right w:val="nil"/>
            </w:tcBorders>
            <w:shd w:val="clear" w:color="auto" w:fill="auto"/>
            <w:noWrap/>
            <w:hideMark/>
          </w:tcPr>
          <w:p w14:paraId="43AA4609" w14:textId="77777777" w:rsidR="0000498C" w:rsidRPr="0000498C" w:rsidRDefault="0000498C" w:rsidP="0000498C">
            <w:pPr>
              <w:tabs>
                <w:tab w:val="decimal" w:pos="421"/>
              </w:tabs>
              <w:spacing w:line="360" w:lineRule="auto"/>
              <w:rPr>
                <w:color w:val="000000"/>
              </w:rPr>
            </w:pPr>
          </w:p>
        </w:tc>
      </w:tr>
      <w:tr w:rsidR="0000498C" w:rsidRPr="0000498C" w14:paraId="202E8BFE" w14:textId="77777777" w:rsidTr="0000498C">
        <w:trPr>
          <w:jc w:val="center"/>
        </w:trPr>
        <w:tc>
          <w:tcPr>
            <w:tcW w:w="0" w:type="auto"/>
            <w:tcBorders>
              <w:top w:val="nil"/>
              <w:left w:val="nil"/>
              <w:bottom w:val="nil"/>
              <w:right w:val="nil"/>
            </w:tcBorders>
            <w:shd w:val="clear" w:color="auto" w:fill="auto"/>
            <w:noWrap/>
            <w:hideMark/>
          </w:tcPr>
          <w:p w14:paraId="1AEE2390" w14:textId="77777777" w:rsidR="0000498C" w:rsidRPr="0000498C" w:rsidRDefault="0000498C" w:rsidP="0000498C">
            <w:pPr>
              <w:spacing w:line="360" w:lineRule="auto"/>
              <w:jc w:val="center"/>
              <w:rPr>
                <w:color w:val="000000"/>
              </w:rPr>
            </w:pPr>
            <w:r w:rsidRPr="0000498C">
              <w:rPr>
                <w:color w:val="000000"/>
              </w:rPr>
              <w:t>HRV</w:t>
            </w:r>
          </w:p>
        </w:tc>
        <w:tc>
          <w:tcPr>
            <w:tcW w:w="0" w:type="auto"/>
            <w:tcBorders>
              <w:top w:val="nil"/>
              <w:left w:val="nil"/>
              <w:bottom w:val="nil"/>
              <w:right w:val="nil"/>
            </w:tcBorders>
            <w:shd w:val="clear" w:color="auto" w:fill="auto"/>
            <w:noWrap/>
            <w:hideMark/>
          </w:tcPr>
          <w:p w14:paraId="3CD7083B" w14:textId="77777777" w:rsidR="0000498C" w:rsidRPr="0000498C" w:rsidRDefault="0000498C" w:rsidP="0000498C">
            <w:pPr>
              <w:tabs>
                <w:tab w:val="decimal" w:pos="602"/>
              </w:tabs>
              <w:spacing w:line="360" w:lineRule="auto"/>
              <w:rPr>
                <w:color w:val="000000"/>
              </w:rPr>
            </w:pPr>
            <w:r w:rsidRPr="0000498C">
              <w:rPr>
                <w:color w:val="000000"/>
              </w:rPr>
              <w:t>0.568</w:t>
            </w:r>
          </w:p>
        </w:tc>
        <w:tc>
          <w:tcPr>
            <w:tcW w:w="0" w:type="auto"/>
            <w:tcBorders>
              <w:top w:val="nil"/>
              <w:left w:val="nil"/>
              <w:bottom w:val="nil"/>
              <w:right w:val="nil"/>
            </w:tcBorders>
            <w:shd w:val="clear" w:color="auto" w:fill="auto"/>
            <w:noWrap/>
            <w:hideMark/>
          </w:tcPr>
          <w:p w14:paraId="20638CC3" w14:textId="77777777" w:rsidR="0000498C" w:rsidRPr="0000498C" w:rsidRDefault="0000498C" w:rsidP="0000498C">
            <w:pPr>
              <w:tabs>
                <w:tab w:val="decimal" w:pos="551"/>
              </w:tabs>
              <w:spacing w:line="360" w:lineRule="auto"/>
              <w:rPr>
                <w:color w:val="000000"/>
              </w:rPr>
            </w:pPr>
            <w:r w:rsidRPr="0000498C">
              <w:rPr>
                <w:color w:val="000000"/>
              </w:rPr>
              <w:t>0.600</w:t>
            </w:r>
          </w:p>
        </w:tc>
        <w:tc>
          <w:tcPr>
            <w:tcW w:w="0" w:type="auto"/>
            <w:tcBorders>
              <w:top w:val="nil"/>
              <w:left w:val="nil"/>
              <w:bottom w:val="nil"/>
              <w:right w:val="single" w:sz="4" w:space="0" w:color="auto"/>
            </w:tcBorders>
            <w:shd w:val="clear" w:color="auto" w:fill="auto"/>
            <w:noWrap/>
            <w:hideMark/>
          </w:tcPr>
          <w:p w14:paraId="261BD9B3" w14:textId="77777777" w:rsidR="0000498C" w:rsidRPr="0000498C" w:rsidRDefault="0000498C" w:rsidP="0000498C">
            <w:pPr>
              <w:tabs>
                <w:tab w:val="decimal" w:pos="414"/>
              </w:tabs>
              <w:spacing w:line="360" w:lineRule="auto"/>
              <w:rPr>
                <w:color w:val="000000"/>
              </w:rPr>
            </w:pPr>
            <w:r w:rsidRPr="0000498C">
              <w:rPr>
                <w:color w:val="000000"/>
              </w:rPr>
              <w:t>2.880</w:t>
            </w:r>
          </w:p>
        </w:tc>
        <w:tc>
          <w:tcPr>
            <w:tcW w:w="0" w:type="auto"/>
            <w:tcBorders>
              <w:top w:val="nil"/>
              <w:left w:val="single" w:sz="4" w:space="0" w:color="auto"/>
              <w:bottom w:val="nil"/>
              <w:right w:val="nil"/>
            </w:tcBorders>
            <w:shd w:val="clear" w:color="auto" w:fill="auto"/>
            <w:noWrap/>
            <w:hideMark/>
          </w:tcPr>
          <w:p w14:paraId="3DC7981B" w14:textId="77777777" w:rsidR="0000498C" w:rsidRPr="0000498C" w:rsidRDefault="0000498C" w:rsidP="0000498C">
            <w:pPr>
              <w:spacing w:line="360" w:lineRule="auto"/>
              <w:jc w:val="center"/>
              <w:rPr>
                <w:color w:val="000000"/>
              </w:rPr>
            </w:pPr>
            <w:r w:rsidRPr="0000498C">
              <w:rPr>
                <w:color w:val="000000"/>
              </w:rPr>
              <w:t>TTO</w:t>
            </w:r>
          </w:p>
        </w:tc>
        <w:tc>
          <w:tcPr>
            <w:tcW w:w="0" w:type="auto"/>
            <w:tcBorders>
              <w:top w:val="nil"/>
              <w:left w:val="nil"/>
              <w:bottom w:val="nil"/>
              <w:right w:val="nil"/>
            </w:tcBorders>
            <w:shd w:val="clear" w:color="auto" w:fill="auto"/>
            <w:noWrap/>
            <w:hideMark/>
          </w:tcPr>
          <w:p w14:paraId="2D231C3A" w14:textId="77777777" w:rsidR="0000498C" w:rsidRPr="0000498C" w:rsidRDefault="0000498C" w:rsidP="0000498C">
            <w:pPr>
              <w:tabs>
                <w:tab w:val="decimal" w:pos="610"/>
              </w:tabs>
              <w:spacing w:line="360" w:lineRule="auto"/>
              <w:rPr>
                <w:color w:val="000000"/>
              </w:rPr>
            </w:pPr>
            <w:r w:rsidRPr="0000498C">
              <w:rPr>
                <w:color w:val="000000"/>
              </w:rPr>
              <w:t>0.622</w:t>
            </w:r>
          </w:p>
        </w:tc>
        <w:tc>
          <w:tcPr>
            <w:tcW w:w="0" w:type="auto"/>
            <w:tcBorders>
              <w:top w:val="nil"/>
              <w:left w:val="nil"/>
              <w:bottom w:val="nil"/>
              <w:right w:val="nil"/>
            </w:tcBorders>
            <w:shd w:val="clear" w:color="auto" w:fill="auto"/>
            <w:noWrap/>
            <w:hideMark/>
          </w:tcPr>
          <w:p w14:paraId="36FE9D6F" w14:textId="77777777" w:rsidR="0000498C" w:rsidRPr="0000498C" w:rsidRDefault="0000498C" w:rsidP="0000498C">
            <w:pPr>
              <w:tabs>
                <w:tab w:val="decimal" w:pos="738"/>
              </w:tabs>
              <w:spacing w:line="360" w:lineRule="auto"/>
              <w:rPr>
                <w:color w:val="000000"/>
              </w:rPr>
            </w:pPr>
            <w:r w:rsidRPr="0000498C">
              <w:rPr>
                <w:color w:val="000000"/>
              </w:rPr>
              <w:t>1.436</w:t>
            </w:r>
          </w:p>
        </w:tc>
        <w:tc>
          <w:tcPr>
            <w:tcW w:w="0" w:type="auto"/>
            <w:tcBorders>
              <w:top w:val="nil"/>
              <w:left w:val="nil"/>
              <w:bottom w:val="nil"/>
              <w:right w:val="nil"/>
            </w:tcBorders>
            <w:shd w:val="clear" w:color="auto" w:fill="auto"/>
            <w:noWrap/>
            <w:hideMark/>
          </w:tcPr>
          <w:p w14:paraId="60EA8649" w14:textId="77777777" w:rsidR="0000498C" w:rsidRPr="0000498C" w:rsidRDefault="0000498C" w:rsidP="0000498C">
            <w:pPr>
              <w:tabs>
                <w:tab w:val="decimal" w:pos="421"/>
              </w:tabs>
              <w:spacing w:line="360" w:lineRule="auto"/>
              <w:rPr>
                <w:color w:val="000000"/>
              </w:rPr>
            </w:pPr>
          </w:p>
        </w:tc>
      </w:tr>
      <w:tr w:rsidR="0000498C" w:rsidRPr="0000498C" w14:paraId="051F142F" w14:textId="77777777" w:rsidTr="0000498C">
        <w:trPr>
          <w:jc w:val="center"/>
        </w:trPr>
        <w:tc>
          <w:tcPr>
            <w:tcW w:w="0" w:type="auto"/>
            <w:tcBorders>
              <w:top w:val="nil"/>
              <w:left w:val="nil"/>
              <w:bottom w:val="nil"/>
              <w:right w:val="nil"/>
            </w:tcBorders>
            <w:shd w:val="clear" w:color="auto" w:fill="auto"/>
            <w:noWrap/>
            <w:hideMark/>
          </w:tcPr>
          <w:p w14:paraId="34BD5136" w14:textId="77777777" w:rsidR="0000498C" w:rsidRPr="0000498C" w:rsidRDefault="0000498C" w:rsidP="0000498C">
            <w:pPr>
              <w:spacing w:line="360" w:lineRule="auto"/>
              <w:jc w:val="center"/>
              <w:rPr>
                <w:color w:val="000000"/>
              </w:rPr>
            </w:pPr>
            <w:r w:rsidRPr="0000498C">
              <w:rPr>
                <w:color w:val="000000"/>
              </w:rPr>
              <w:t>HUN</w:t>
            </w:r>
          </w:p>
        </w:tc>
        <w:tc>
          <w:tcPr>
            <w:tcW w:w="0" w:type="auto"/>
            <w:tcBorders>
              <w:top w:val="nil"/>
              <w:left w:val="nil"/>
              <w:bottom w:val="nil"/>
              <w:right w:val="nil"/>
            </w:tcBorders>
            <w:shd w:val="clear" w:color="auto" w:fill="auto"/>
            <w:noWrap/>
            <w:hideMark/>
          </w:tcPr>
          <w:p w14:paraId="5DE15876" w14:textId="77777777" w:rsidR="0000498C" w:rsidRPr="0000498C" w:rsidRDefault="0000498C" w:rsidP="0000498C">
            <w:pPr>
              <w:tabs>
                <w:tab w:val="decimal" w:pos="602"/>
              </w:tabs>
              <w:spacing w:line="360" w:lineRule="auto"/>
              <w:rPr>
                <w:color w:val="000000"/>
              </w:rPr>
            </w:pPr>
            <w:r w:rsidRPr="0000498C">
              <w:rPr>
                <w:color w:val="000000"/>
              </w:rPr>
              <w:t>1.157</w:t>
            </w:r>
          </w:p>
        </w:tc>
        <w:tc>
          <w:tcPr>
            <w:tcW w:w="0" w:type="auto"/>
            <w:tcBorders>
              <w:top w:val="nil"/>
              <w:left w:val="nil"/>
              <w:bottom w:val="nil"/>
              <w:right w:val="nil"/>
            </w:tcBorders>
            <w:shd w:val="clear" w:color="auto" w:fill="auto"/>
            <w:noWrap/>
            <w:hideMark/>
          </w:tcPr>
          <w:p w14:paraId="290B8A86" w14:textId="77777777" w:rsidR="0000498C" w:rsidRPr="0000498C" w:rsidRDefault="0000498C" w:rsidP="0000498C">
            <w:pPr>
              <w:tabs>
                <w:tab w:val="decimal" w:pos="551"/>
              </w:tabs>
              <w:spacing w:line="360" w:lineRule="auto"/>
              <w:rPr>
                <w:color w:val="000000"/>
              </w:rPr>
            </w:pPr>
            <w:r w:rsidRPr="0000498C">
              <w:rPr>
                <w:color w:val="000000"/>
              </w:rPr>
              <w:t>0.898</w:t>
            </w:r>
          </w:p>
        </w:tc>
        <w:tc>
          <w:tcPr>
            <w:tcW w:w="0" w:type="auto"/>
            <w:tcBorders>
              <w:top w:val="nil"/>
              <w:left w:val="nil"/>
              <w:bottom w:val="nil"/>
              <w:right w:val="single" w:sz="4" w:space="0" w:color="auto"/>
            </w:tcBorders>
            <w:shd w:val="clear" w:color="auto" w:fill="auto"/>
            <w:noWrap/>
            <w:hideMark/>
          </w:tcPr>
          <w:p w14:paraId="3ACE007C"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613031B2" w14:textId="77777777" w:rsidR="0000498C" w:rsidRPr="0000498C" w:rsidRDefault="0000498C" w:rsidP="0000498C">
            <w:pPr>
              <w:spacing w:line="360" w:lineRule="auto"/>
              <w:jc w:val="center"/>
              <w:rPr>
                <w:color w:val="000000"/>
              </w:rPr>
            </w:pPr>
            <w:r w:rsidRPr="0000498C">
              <w:rPr>
                <w:color w:val="000000"/>
              </w:rPr>
              <w:t>TUN</w:t>
            </w:r>
          </w:p>
        </w:tc>
        <w:tc>
          <w:tcPr>
            <w:tcW w:w="0" w:type="auto"/>
            <w:tcBorders>
              <w:top w:val="nil"/>
              <w:left w:val="nil"/>
              <w:bottom w:val="nil"/>
              <w:right w:val="nil"/>
            </w:tcBorders>
            <w:shd w:val="clear" w:color="auto" w:fill="auto"/>
            <w:noWrap/>
            <w:hideMark/>
          </w:tcPr>
          <w:p w14:paraId="10EF6ACF"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4BE14550" w14:textId="77777777" w:rsidR="0000498C" w:rsidRPr="0000498C" w:rsidRDefault="0000498C" w:rsidP="0000498C">
            <w:pPr>
              <w:tabs>
                <w:tab w:val="decimal" w:pos="738"/>
              </w:tabs>
              <w:spacing w:line="360" w:lineRule="auto"/>
              <w:rPr>
                <w:color w:val="000000"/>
              </w:rPr>
            </w:pPr>
            <w:r w:rsidRPr="0000498C">
              <w:rPr>
                <w:color w:val="000000"/>
              </w:rPr>
              <w:t>0.758</w:t>
            </w:r>
          </w:p>
        </w:tc>
        <w:tc>
          <w:tcPr>
            <w:tcW w:w="0" w:type="auto"/>
            <w:tcBorders>
              <w:top w:val="nil"/>
              <w:left w:val="nil"/>
              <w:bottom w:val="nil"/>
              <w:right w:val="nil"/>
            </w:tcBorders>
            <w:shd w:val="clear" w:color="auto" w:fill="auto"/>
            <w:noWrap/>
            <w:hideMark/>
          </w:tcPr>
          <w:p w14:paraId="1C2CFE28" w14:textId="77777777" w:rsidR="0000498C" w:rsidRPr="0000498C" w:rsidRDefault="0000498C" w:rsidP="0000498C">
            <w:pPr>
              <w:tabs>
                <w:tab w:val="decimal" w:pos="421"/>
              </w:tabs>
              <w:spacing w:line="360" w:lineRule="auto"/>
              <w:rPr>
                <w:color w:val="000000"/>
              </w:rPr>
            </w:pPr>
            <w:r w:rsidRPr="0000498C">
              <w:rPr>
                <w:color w:val="000000"/>
              </w:rPr>
              <w:t>2.778</w:t>
            </w:r>
          </w:p>
        </w:tc>
      </w:tr>
      <w:tr w:rsidR="0000498C" w:rsidRPr="0000498C" w14:paraId="66C1E6DF" w14:textId="77777777" w:rsidTr="0000498C">
        <w:trPr>
          <w:jc w:val="center"/>
        </w:trPr>
        <w:tc>
          <w:tcPr>
            <w:tcW w:w="0" w:type="auto"/>
            <w:tcBorders>
              <w:top w:val="nil"/>
              <w:left w:val="nil"/>
              <w:bottom w:val="nil"/>
              <w:right w:val="nil"/>
            </w:tcBorders>
            <w:shd w:val="clear" w:color="auto" w:fill="auto"/>
            <w:noWrap/>
            <w:hideMark/>
          </w:tcPr>
          <w:p w14:paraId="145605C6" w14:textId="77777777" w:rsidR="0000498C" w:rsidRPr="0000498C" w:rsidRDefault="0000498C" w:rsidP="0000498C">
            <w:pPr>
              <w:spacing w:line="360" w:lineRule="auto"/>
              <w:jc w:val="center"/>
              <w:rPr>
                <w:color w:val="000000"/>
              </w:rPr>
            </w:pPr>
            <w:r w:rsidRPr="0000498C">
              <w:rPr>
                <w:color w:val="000000"/>
              </w:rPr>
              <w:t>IND</w:t>
            </w:r>
          </w:p>
        </w:tc>
        <w:tc>
          <w:tcPr>
            <w:tcW w:w="0" w:type="auto"/>
            <w:tcBorders>
              <w:top w:val="nil"/>
              <w:left w:val="nil"/>
              <w:bottom w:val="nil"/>
              <w:right w:val="nil"/>
            </w:tcBorders>
            <w:shd w:val="clear" w:color="auto" w:fill="auto"/>
            <w:noWrap/>
            <w:hideMark/>
          </w:tcPr>
          <w:p w14:paraId="43284755" w14:textId="77777777" w:rsidR="0000498C" w:rsidRPr="0000498C" w:rsidRDefault="0000498C" w:rsidP="0000498C">
            <w:pPr>
              <w:tabs>
                <w:tab w:val="decimal" w:pos="602"/>
              </w:tabs>
              <w:spacing w:line="360" w:lineRule="auto"/>
              <w:rPr>
                <w:color w:val="000000"/>
              </w:rPr>
            </w:pPr>
            <w:r w:rsidRPr="0000498C">
              <w:rPr>
                <w:color w:val="000000"/>
              </w:rPr>
              <w:t>1.037</w:t>
            </w:r>
          </w:p>
        </w:tc>
        <w:tc>
          <w:tcPr>
            <w:tcW w:w="0" w:type="auto"/>
            <w:tcBorders>
              <w:top w:val="nil"/>
              <w:left w:val="nil"/>
              <w:bottom w:val="nil"/>
              <w:right w:val="nil"/>
            </w:tcBorders>
            <w:shd w:val="clear" w:color="auto" w:fill="auto"/>
            <w:noWrap/>
            <w:hideMark/>
          </w:tcPr>
          <w:p w14:paraId="7B456FE0" w14:textId="77777777" w:rsidR="0000498C" w:rsidRPr="0000498C" w:rsidRDefault="0000498C" w:rsidP="0000498C">
            <w:pPr>
              <w:tabs>
                <w:tab w:val="decimal" w:pos="551"/>
              </w:tabs>
              <w:spacing w:line="360" w:lineRule="auto"/>
              <w:rPr>
                <w:color w:val="000000"/>
              </w:rPr>
            </w:pPr>
            <w:r w:rsidRPr="0000498C">
              <w:rPr>
                <w:color w:val="000000"/>
              </w:rPr>
              <w:t>0.982</w:t>
            </w:r>
          </w:p>
        </w:tc>
        <w:tc>
          <w:tcPr>
            <w:tcW w:w="0" w:type="auto"/>
            <w:tcBorders>
              <w:top w:val="nil"/>
              <w:left w:val="nil"/>
              <w:bottom w:val="nil"/>
              <w:right w:val="single" w:sz="4" w:space="0" w:color="auto"/>
            </w:tcBorders>
            <w:shd w:val="clear" w:color="auto" w:fill="auto"/>
            <w:noWrap/>
            <w:hideMark/>
          </w:tcPr>
          <w:p w14:paraId="31E1E913"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0CE1FA64" w14:textId="77777777" w:rsidR="0000498C" w:rsidRPr="0000498C" w:rsidRDefault="0000498C" w:rsidP="0000498C">
            <w:pPr>
              <w:spacing w:line="360" w:lineRule="auto"/>
              <w:jc w:val="center"/>
              <w:rPr>
                <w:color w:val="000000"/>
              </w:rPr>
            </w:pPr>
            <w:r w:rsidRPr="0000498C">
              <w:rPr>
                <w:color w:val="000000"/>
              </w:rPr>
              <w:t>UKR</w:t>
            </w:r>
          </w:p>
        </w:tc>
        <w:tc>
          <w:tcPr>
            <w:tcW w:w="0" w:type="auto"/>
            <w:tcBorders>
              <w:top w:val="nil"/>
              <w:left w:val="nil"/>
              <w:bottom w:val="nil"/>
              <w:right w:val="nil"/>
            </w:tcBorders>
            <w:shd w:val="clear" w:color="auto" w:fill="auto"/>
            <w:noWrap/>
            <w:hideMark/>
          </w:tcPr>
          <w:p w14:paraId="544F888C"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0A3641DF" w14:textId="77777777" w:rsidR="0000498C" w:rsidRPr="0000498C" w:rsidRDefault="0000498C" w:rsidP="0000498C">
            <w:pPr>
              <w:tabs>
                <w:tab w:val="decimal" w:pos="738"/>
              </w:tabs>
              <w:spacing w:line="360" w:lineRule="auto"/>
              <w:rPr>
                <w:color w:val="000000"/>
              </w:rPr>
            </w:pPr>
            <w:r w:rsidRPr="0000498C">
              <w:rPr>
                <w:color w:val="000000"/>
              </w:rPr>
              <w:t>0.833</w:t>
            </w:r>
          </w:p>
        </w:tc>
        <w:tc>
          <w:tcPr>
            <w:tcW w:w="0" w:type="auto"/>
            <w:tcBorders>
              <w:top w:val="nil"/>
              <w:left w:val="nil"/>
              <w:bottom w:val="nil"/>
              <w:right w:val="nil"/>
            </w:tcBorders>
            <w:shd w:val="clear" w:color="auto" w:fill="auto"/>
            <w:noWrap/>
            <w:hideMark/>
          </w:tcPr>
          <w:p w14:paraId="5E89C7C6" w14:textId="77777777" w:rsidR="0000498C" w:rsidRPr="0000498C" w:rsidRDefault="0000498C" w:rsidP="0000498C">
            <w:pPr>
              <w:tabs>
                <w:tab w:val="decimal" w:pos="421"/>
              </w:tabs>
              <w:spacing w:line="360" w:lineRule="auto"/>
              <w:rPr>
                <w:color w:val="000000"/>
              </w:rPr>
            </w:pPr>
            <w:r w:rsidRPr="0000498C">
              <w:rPr>
                <w:color w:val="000000"/>
              </w:rPr>
              <w:t>1.042</w:t>
            </w:r>
          </w:p>
        </w:tc>
      </w:tr>
      <w:tr w:rsidR="0000498C" w:rsidRPr="0000498C" w14:paraId="5DB6E557" w14:textId="77777777" w:rsidTr="0000498C">
        <w:trPr>
          <w:jc w:val="center"/>
        </w:trPr>
        <w:tc>
          <w:tcPr>
            <w:tcW w:w="0" w:type="auto"/>
            <w:tcBorders>
              <w:top w:val="nil"/>
              <w:left w:val="nil"/>
              <w:bottom w:val="nil"/>
              <w:right w:val="nil"/>
            </w:tcBorders>
            <w:shd w:val="clear" w:color="auto" w:fill="auto"/>
            <w:noWrap/>
            <w:hideMark/>
          </w:tcPr>
          <w:p w14:paraId="37C2E117" w14:textId="77777777" w:rsidR="0000498C" w:rsidRPr="0000498C" w:rsidRDefault="0000498C" w:rsidP="0000498C">
            <w:pPr>
              <w:spacing w:line="360" w:lineRule="auto"/>
              <w:jc w:val="center"/>
              <w:rPr>
                <w:color w:val="000000"/>
              </w:rPr>
            </w:pPr>
            <w:r w:rsidRPr="0000498C">
              <w:rPr>
                <w:color w:val="000000"/>
              </w:rPr>
              <w:lastRenderedPageBreak/>
              <w:t>IRL</w:t>
            </w:r>
          </w:p>
        </w:tc>
        <w:tc>
          <w:tcPr>
            <w:tcW w:w="0" w:type="auto"/>
            <w:tcBorders>
              <w:top w:val="nil"/>
              <w:left w:val="nil"/>
              <w:bottom w:val="nil"/>
              <w:right w:val="nil"/>
            </w:tcBorders>
            <w:shd w:val="clear" w:color="auto" w:fill="auto"/>
            <w:noWrap/>
            <w:hideMark/>
          </w:tcPr>
          <w:p w14:paraId="4A41EE4C" w14:textId="77777777" w:rsidR="0000498C" w:rsidRPr="0000498C" w:rsidRDefault="0000498C" w:rsidP="0000498C">
            <w:pPr>
              <w:tabs>
                <w:tab w:val="decimal" w:pos="602"/>
              </w:tabs>
              <w:spacing w:line="360" w:lineRule="auto"/>
              <w:rPr>
                <w:color w:val="000000"/>
              </w:rPr>
            </w:pPr>
            <w:r w:rsidRPr="0000498C">
              <w:rPr>
                <w:color w:val="000000"/>
              </w:rPr>
              <w:t>1.556</w:t>
            </w:r>
          </w:p>
        </w:tc>
        <w:tc>
          <w:tcPr>
            <w:tcW w:w="0" w:type="auto"/>
            <w:tcBorders>
              <w:top w:val="nil"/>
              <w:left w:val="nil"/>
              <w:bottom w:val="nil"/>
              <w:right w:val="nil"/>
            </w:tcBorders>
            <w:shd w:val="clear" w:color="auto" w:fill="auto"/>
            <w:noWrap/>
            <w:hideMark/>
          </w:tcPr>
          <w:p w14:paraId="5E5FA343"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16073063" w14:textId="77777777" w:rsidR="0000498C" w:rsidRPr="0000498C" w:rsidRDefault="0000498C" w:rsidP="0000498C">
            <w:pPr>
              <w:tabs>
                <w:tab w:val="decimal" w:pos="414"/>
              </w:tabs>
              <w:spacing w:line="360" w:lineRule="auto"/>
              <w:rPr>
                <w:color w:val="000000"/>
              </w:rPr>
            </w:pPr>
            <w:r w:rsidRPr="0000498C">
              <w:rPr>
                <w:color w:val="000000"/>
              </w:rPr>
              <w:t>0.737</w:t>
            </w:r>
          </w:p>
        </w:tc>
        <w:tc>
          <w:tcPr>
            <w:tcW w:w="0" w:type="auto"/>
            <w:tcBorders>
              <w:top w:val="nil"/>
              <w:left w:val="single" w:sz="4" w:space="0" w:color="auto"/>
              <w:bottom w:val="nil"/>
              <w:right w:val="nil"/>
            </w:tcBorders>
            <w:shd w:val="clear" w:color="auto" w:fill="auto"/>
            <w:noWrap/>
            <w:hideMark/>
          </w:tcPr>
          <w:p w14:paraId="75A2E90C" w14:textId="77777777" w:rsidR="0000498C" w:rsidRPr="0000498C" w:rsidRDefault="0000498C" w:rsidP="0000498C">
            <w:pPr>
              <w:spacing w:line="360" w:lineRule="auto"/>
              <w:jc w:val="center"/>
              <w:rPr>
                <w:color w:val="000000"/>
              </w:rPr>
            </w:pPr>
            <w:r w:rsidRPr="0000498C">
              <w:rPr>
                <w:color w:val="000000"/>
              </w:rPr>
              <w:t>URY</w:t>
            </w:r>
          </w:p>
        </w:tc>
        <w:tc>
          <w:tcPr>
            <w:tcW w:w="0" w:type="auto"/>
            <w:tcBorders>
              <w:top w:val="nil"/>
              <w:left w:val="nil"/>
              <w:bottom w:val="nil"/>
              <w:right w:val="nil"/>
            </w:tcBorders>
            <w:shd w:val="clear" w:color="auto" w:fill="auto"/>
            <w:noWrap/>
            <w:hideMark/>
          </w:tcPr>
          <w:p w14:paraId="05D35CE3" w14:textId="77777777" w:rsidR="0000498C" w:rsidRPr="0000498C" w:rsidRDefault="0000498C" w:rsidP="0000498C">
            <w:pPr>
              <w:tabs>
                <w:tab w:val="decimal" w:pos="610"/>
              </w:tabs>
              <w:spacing w:line="360" w:lineRule="auto"/>
              <w:rPr>
                <w:color w:val="000000"/>
              </w:rPr>
            </w:pPr>
            <w:r w:rsidRPr="0000498C">
              <w:rPr>
                <w:color w:val="000000"/>
              </w:rPr>
              <w:t>0.110</w:t>
            </w:r>
          </w:p>
        </w:tc>
        <w:tc>
          <w:tcPr>
            <w:tcW w:w="0" w:type="auto"/>
            <w:tcBorders>
              <w:top w:val="nil"/>
              <w:left w:val="nil"/>
              <w:bottom w:val="nil"/>
              <w:right w:val="nil"/>
            </w:tcBorders>
            <w:shd w:val="clear" w:color="auto" w:fill="auto"/>
            <w:noWrap/>
            <w:hideMark/>
          </w:tcPr>
          <w:p w14:paraId="189F16C2" w14:textId="77777777" w:rsidR="0000498C" w:rsidRPr="0000498C" w:rsidRDefault="0000498C" w:rsidP="0000498C">
            <w:pPr>
              <w:tabs>
                <w:tab w:val="decimal" w:pos="738"/>
              </w:tabs>
              <w:spacing w:line="360" w:lineRule="auto"/>
              <w:rPr>
                <w:color w:val="000000"/>
              </w:rPr>
            </w:pPr>
            <w:r w:rsidRPr="0000498C">
              <w:rPr>
                <w:color w:val="000000"/>
              </w:rPr>
              <w:t>2.027</w:t>
            </w:r>
          </w:p>
        </w:tc>
        <w:tc>
          <w:tcPr>
            <w:tcW w:w="0" w:type="auto"/>
            <w:tcBorders>
              <w:top w:val="nil"/>
              <w:left w:val="nil"/>
              <w:bottom w:val="nil"/>
              <w:right w:val="nil"/>
            </w:tcBorders>
            <w:shd w:val="clear" w:color="auto" w:fill="auto"/>
            <w:noWrap/>
            <w:hideMark/>
          </w:tcPr>
          <w:p w14:paraId="2A38BCFC" w14:textId="77777777" w:rsidR="0000498C" w:rsidRPr="0000498C" w:rsidRDefault="0000498C" w:rsidP="0000498C">
            <w:pPr>
              <w:tabs>
                <w:tab w:val="decimal" w:pos="421"/>
              </w:tabs>
              <w:spacing w:line="360" w:lineRule="auto"/>
              <w:rPr>
                <w:color w:val="000000"/>
              </w:rPr>
            </w:pPr>
          </w:p>
        </w:tc>
      </w:tr>
      <w:tr w:rsidR="0000498C" w:rsidRPr="0000498C" w14:paraId="02718751" w14:textId="77777777" w:rsidTr="0000498C">
        <w:trPr>
          <w:jc w:val="center"/>
        </w:trPr>
        <w:tc>
          <w:tcPr>
            <w:tcW w:w="0" w:type="auto"/>
            <w:tcBorders>
              <w:top w:val="nil"/>
              <w:left w:val="nil"/>
              <w:bottom w:val="nil"/>
              <w:right w:val="nil"/>
            </w:tcBorders>
            <w:shd w:val="clear" w:color="auto" w:fill="auto"/>
            <w:noWrap/>
            <w:hideMark/>
          </w:tcPr>
          <w:p w14:paraId="4C89139F" w14:textId="77777777" w:rsidR="0000498C" w:rsidRPr="0000498C" w:rsidRDefault="0000498C" w:rsidP="0000498C">
            <w:pPr>
              <w:spacing w:line="360" w:lineRule="auto"/>
              <w:jc w:val="center"/>
              <w:rPr>
                <w:color w:val="000000"/>
              </w:rPr>
            </w:pPr>
            <w:r w:rsidRPr="0000498C">
              <w:rPr>
                <w:color w:val="000000"/>
              </w:rPr>
              <w:t>ISL</w:t>
            </w:r>
          </w:p>
        </w:tc>
        <w:tc>
          <w:tcPr>
            <w:tcW w:w="0" w:type="auto"/>
            <w:tcBorders>
              <w:top w:val="nil"/>
              <w:left w:val="nil"/>
              <w:bottom w:val="nil"/>
              <w:right w:val="nil"/>
            </w:tcBorders>
            <w:shd w:val="clear" w:color="auto" w:fill="auto"/>
            <w:noWrap/>
            <w:hideMark/>
          </w:tcPr>
          <w:p w14:paraId="41C28C82" w14:textId="77777777" w:rsidR="0000498C" w:rsidRPr="0000498C" w:rsidRDefault="0000498C" w:rsidP="0000498C">
            <w:pPr>
              <w:tabs>
                <w:tab w:val="decimal" w:pos="602"/>
              </w:tabs>
              <w:spacing w:line="360" w:lineRule="auto"/>
              <w:rPr>
                <w:color w:val="000000"/>
              </w:rPr>
            </w:pPr>
            <w:r w:rsidRPr="0000498C">
              <w:rPr>
                <w:color w:val="000000"/>
              </w:rPr>
              <w:t>1.438</w:t>
            </w:r>
          </w:p>
        </w:tc>
        <w:tc>
          <w:tcPr>
            <w:tcW w:w="0" w:type="auto"/>
            <w:tcBorders>
              <w:top w:val="nil"/>
              <w:left w:val="nil"/>
              <w:bottom w:val="nil"/>
              <w:right w:val="nil"/>
            </w:tcBorders>
            <w:shd w:val="clear" w:color="auto" w:fill="auto"/>
            <w:noWrap/>
            <w:hideMark/>
          </w:tcPr>
          <w:p w14:paraId="5F953795" w14:textId="77777777" w:rsidR="0000498C" w:rsidRPr="0000498C" w:rsidRDefault="0000498C" w:rsidP="0000498C">
            <w:pPr>
              <w:tabs>
                <w:tab w:val="decimal" w:pos="551"/>
              </w:tabs>
              <w:spacing w:line="360" w:lineRule="auto"/>
              <w:rPr>
                <w:color w:val="000000"/>
              </w:rPr>
            </w:pPr>
          </w:p>
        </w:tc>
        <w:tc>
          <w:tcPr>
            <w:tcW w:w="0" w:type="auto"/>
            <w:tcBorders>
              <w:top w:val="nil"/>
              <w:left w:val="nil"/>
              <w:bottom w:val="nil"/>
              <w:right w:val="single" w:sz="4" w:space="0" w:color="auto"/>
            </w:tcBorders>
            <w:shd w:val="clear" w:color="auto" w:fill="auto"/>
            <w:noWrap/>
            <w:hideMark/>
          </w:tcPr>
          <w:p w14:paraId="7A823F98" w14:textId="77777777" w:rsidR="0000498C" w:rsidRPr="0000498C" w:rsidRDefault="0000498C" w:rsidP="0000498C">
            <w:pPr>
              <w:tabs>
                <w:tab w:val="decimal" w:pos="414"/>
              </w:tabs>
              <w:spacing w:line="360" w:lineRule="auto"/>
              <w:rPr>
                <w:color w:val="000000"/>
              </w:rPr>
            </w:pPr>
            <w:r w:rsidRPr="0000498C">
              <w:rPr>
                <w:color w:val="000000"/>
              </w:rPr>
              <w:t>0.000</w:t>
            </w:r>
          </w:p>
        </w:tc>
        <w:tc>
          <w:tcPr>
            <w:tcW w:w="0" w:type="auto"/>
            <w:tcBorders>
              <w:top w:val="nil"/>
              <w:left w:val="single" w:sz="4" w:space="0" w:color="auto"/>
              <w:bottom w:val="nil"/>
              <w:right w:val="nil"/>
            </w:tcBorders>
            <w:shd w:val="clear" w:color="auto" w:fill="auto"/>
            <w:noWrap/>
            <w:hideMark/>
          </w:tcPr>
          <w:p w14:paraId="1E5EBA93" w14:textId="77777777" w:rsidR="0000498C" w:rsidRPr="0000498C" w:rsidRDefault="0000498C" w:rsidP="0000498C">
            <w:pPr>
              <w:spacing w:line="360" w:lineRule="auto"/>
              <w:jc w:val="center"/>
              <w:rPr>
                <w:color w:val="000000"/>
              </w:rPr>
            </w:pPr>
            <w:r w:rsidRPr="0000498C">
              <w:rPr>
                <w:color w:val="000000"/>
              </w:rPr>
              <w:t>USA</w:t>
            </w:r>
          </w:p>
        </w:tc>
        <w:tc>
          <w:tcPr>
            <w:tcW w:w="0" w:type="auto"/>
            <w:tcBorders>
              <w:top w:val="nil"/>
              <w:left w:val="nil"/>
              <w:bottom w:val="nil"/>
              <w:right w:val="nil"/>
            </w:tcBorders>
            <w:shd w:val="clear" w:color="auto" w:fill="auto"/>
            <w:noWrap/>
            <w:hideMark/>
          </w:tcPr>
          <w:p w14:paraId="332865C1" w14:textId="77777777" w:rsidR="0000498C" w:rsidRPr="0000498C" w:rsidRDefault="0000498C" w:rsidP="0000498C">
            <w:pPr>
              <w:tabs>
                <w:tab w:val="decimal" w:pos="610"/>
              </w:tabs>
              <w:spacing w:line="360" w:lineRule="auto"/>
              <w:rPr>
                <w:color w:val="000000"/>
              </w:rPr>
            </w:pPr>
            <w:r w:rsidRPr="0000498C">
              <w:rPr>
                <w:color w:val="000000"/>
              </w:rPr>
              <w:t>1.273</w:t>
            </w:r>
          </w:p>
        </w:tc>
        <w:tc>
          <w:tcPr>
            <w:tcW w:w="0" w:type="auto"/>
            <w:tcBorders>
              <w:top w:val="nil"/>
              <w:left w:val="nil"/>
              <w:bottom w:val="nil"/>
              <w:right w:val="nil"/>
            </w:tcBorders>
            <w:shd w:val="clear" w:color="auto" w:fill="auto"/>
            <w:noWrap/>
            <w:hideMark/>
          </w:tcPr>
          <w:p w14:paraId="2FD47A7A" w14:textId="77777777" w:rsidR="0000498C" w:rsidRPr="0000498C" w:rsidRDefault="0000498C" w:rsidP="0000498C">
            <w:pPr>
              <w:tabs>
                <w:tab w:val="decimal" w:pos="738"/>
              </w:tabs>
              <w:spacing w:line="360" w:lineRule="auto"/>
              <w:rPr>
                <w:color w:val="000000"/>
              </w:rPr>
            </w:pPr>
            <w:r w:rsidRPr="0000498C">
              <w:rPr>
                <w:color w:val="000000"/>
              </w:rPr>
              <w:t>0.795</w:t>
            </w:r>
          </w:p>
        </w:tc>
        <w:tc>
          <w:tcPr>
            <w:tcW w:w="0" w:type="auto"/>
            <w:tcBorders>
              <w:top w:val="nil"/>
              <w:left w:val="nil"/>
              <w:bottom w:val="nil"/>
              <w:right w:val="nil"/>
            </w:tcBorders>
            <w:shd w:val="clear" w:color="auto" w:fill="auto"/>
            <w:noWrap/>
            <w:hideMark/>
          </w:tcPr>
          <w:p w14:paraId="056B5A3D" w14:textId="77777777" w:rsidR="0000498C" w:rsidRPr="0000498C" w:rsidRDefault="0000498C" w:rsidP="0000498C">
            <w:pPr>
              <w:tabs>
                <w:tab w:val="decimal" w:pos="421"/>
              </w:tabs>
              <w:spacing w:line="360" w:lineRule="auto"/>
              <w:rPr>
                <w:color w:val="000000"/>
              </w:rPr>
            </w:pPr>
          </w:p>
        </w:tc>
      </w:tr>
      <w:tr w:rsidR="0000498C" w:rsidRPr="0000498C" w14:paraId="28836019" w14:textId="77777777" w:rsidTr="0000498C">
        <w:trPr>
          <w:jc w:val="center"/>
        </w:trPr>
        <w:tc>
          <w:tcPr>
            <w:tcW w:w="0" w:type="auto"/>
            <w:tcBorders>
              <w:top w:val="nil"/>
              <w:left w:val="nil"/>
              <w:bottom w:val="nil"/>
              <w:right w:val="nil"/>
            </w:tcBorders>
            <w:shd w:val="clear" w:color="auto" w:fill="auto"/>
            <w:noWrap/>
            <w:hideMark/>
          </w:tcPr>
          <w:p w14:paraId="5860E7E5" w14:textId="77777777" w:rsidR="0000498C" w:rsidRPr="0000498C" w:rsidRDefault="0000498C" w:rsidP="0000498C">
            <w:pPr>
              <w:spacing w:line="360" w:lineRule="auto"/>
              <w:jc w:val="center"/>
              <w:rPr>
                <w:color w:val="000000"/>
              </w:rPr>
            </w:pPr>
            <w:r w:rsidRPr="0000498C">
              <w:rPr>
                <w:color w:val="000000"/>
              </w:rPr>
              <w:t>ISR</w:t>
            </w:r>
          </w:p>
        </w:tc>
        <w:tc>
          <w:tcPr>
            <w:tcW w:w="0" w:type="auto"/>
            <w:tcBorders>
              <w:top w:val="nil"/>
              <w:left w:val="nil"/>
              <w:bottom w:val="nil"/>
              <w:right w:val="nil"/>
            </w:tcBorders>
            <w:shd w:val="clear" w:color="auto" w:fill="auto"/>
            <w:noWrap/>
            <w:hideMark/>
          </w:tcPr>
          <w:p w14:paraId="18AD2240" w14:textId="77777777" w:rsidR="0000498C" w:rsidRPr="0000498C" w:rsidRDefault="0000498C" w:rsidP="0000498C">
            <w:pPr>
              <w:tabs>
                <w:tab w:val="decimal" w:pos="602"/>
              </w:tabs>
              <w:spacing w:line="360" w:lineRule="auto"/>
              <w:rPr>
                <w:color w:val="000000"/>
              </w:rPr>
            </w:pPr>
            <w:r w:rsidRPr="0000498C">
              <w:rPr>
                <w:color w:val="000000"/>
              </w:rPr>
              <w:t>0.961</w:t>
            </w:r>
          </w:p>
        </w:tc>
        <w:tc>
          <w:tcPr>
            <w:tcW w:w="0" w:type="auto"/>
            <w:tcBorders>
              <w:top w:val="nil"/>
              <w:left w:val="nil"/>
              <w:bottom w:val="nil"/>
              <w:right w:val="nil"/>
            </w:tcBorders>
            <w:shd w:val="clear" w:color="auto" w:fill="auto"/>
            <w:noWrap/>
            <w:hideMark/>
          </w:tcPr>
          <w:p w14:paraId="4507A480" w14:textId="77777777" w:rsidR="0000498C" w:rsidRPr="0000498C" w:rsidRDefault="0000498C" w:rsidP="0000498C">
            <w:pPr>
              <w:tabs>
                <w:tab w:val="decimal" w:pos="551"/>
              </w:tabs>
              <w:spacing w:line="360" w:lineRule="auto"/>
              <w:rPr>
                <w:color w:val="000000"/>
              </w:rPr>
            </w:pPr>
            <w:r w:rsidRPr="0000498C">
              <w:rPr>
                <w:color w:val="000000"/>
              </w:rPr>
              <w:t>1.235</w:t>
            </w:r>
          </w:p>
        </w:tc>
        <w:tc>
          <w:tcPr>
            <w:tcW w:w="0" w:type="auto"/>
            <w:tcBorders>
              <w:top w:val="nil"/>
              <w:left w:val="nil"/>
              <w:bottom w:val="nil"/>
              <w:right w:val="single" w:sz="4" w:space="0" w:color="auto"/>
            </w:tcBorders>
            <w:shd w:val="clear" w:color="auto" w:fill="auto"/>
            <w:noWrap/>
            <w:hideMark/>
          </w:tcPr>
          <w:p w14:paraId="513EA5A1"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1B6DD2A1" w14:textId="77777777" w:rsidR="0000498C" w:rsidRPr="0000498C" w:rsidRDefault="0000498C" w:rsidP="0000498C">
            <w:pPr>
              <w:spacing w:line="360" w:lineRule="auto"/>
              <w:jc w:val="center"/>
              <w:rPr>
                <w:color w:val="000000"/>
              </w:rPr>
            </w:pPr>
            <w:r w:rsidRPr="0000498C">
              <w:rPr>
                <w:color w:val="000000"/>
              </w:rPr>
              <w:t>VUT</w:t>
            </w:r>
          </w:p>
        </w:tc>
        <w:tc>
          <w:tcPr>
            <w:tcW w:w="0" w:type="auto"/>
            <w:tcBorders>
              <w:top w:val="nil"/>
              <w:left w:val="nil"/>
              <w:bottom w:val="nil"/>
              <w:right w:val="nil"/>
            </w:tcBorders>
            <w:shd w:val="clear" w:color="auto" w:fill="auto"/>
            <w:noWrap/>
            <w:hideMark/>
          </w:tcPr>
          <w:p w14:paraId="5F361A84" w14:textId="77777777" w:rsidR="0000498C" w:rsidRPr="0000498C" w:rsidRDefault="0000498C" w:rsidP="0000498C">
            <w:pPr>
              <w:tabs>
                <w:tab w:val="decimal" w:pos="610"/>
              </w:tabs>
              <w:spacing w:line="360" w:lineRule="auto"/>
              <w:rPr>
                <w:color w:val="000000"/>
              </w:rPr>
            </w:pPr>
            <w:r w:rsidRPr="0000498C">
              <w:rPr>
                <w:color w:val="000000"/>
              </w:rPr>
              <w:t>0.917</w:t>
            </w:r>
          </w:p>
        </w:tc>
        <w:tc>
          <w:tcPr>
            <w:tcW w:w="0" w:type="auto"/>
            <w:tcBorders>
              <w:top w:val="nil"/>
              <w:left w:val="nil"/>
              <w:bottom w:val="nil"/>
              <w:right w:val="nil"/>
            </w:tcBorders>
            <w:shd w:val="clear" w:color="auto" w:fill="auto"/>
            <w:noWrap/>
            <w:hideMark/>
          </w:tcPr>
          <w:p w14:paraId="39A4245A" w14:textId="77777777" w:rsidR="0000498C" w:rsidRPr="0000498C" w:rsidRDefault="0000498C" w:rsidP="0000498C">
            <w:pPr>
              <w:tabs>
                <w:tab w:val="decimal" w:pos="738"/>
              </w:tabs>
              <w:spacing w:line="360" w:lineRule="auto"/>
              <w:rPr>
                <w:color w:val="000000"/>
              </w:rPr>
            </w:pPr>
            <w:r w:rsidRPr="0000498C">
              <w:rPr>
                <w:color w:val="000000"/>
              </w:rPr>
              <w:t>1.048</w:t>
            </w:r>
          </w:p>
        </w:tc>
        <w:tc>
          <w:tcPr>
            <w:tcW w:w="0" w:type="auto"/>
            <w:tcBorders>
              <w:top w:val="nil"/>
              <w:left w:val="nil"/>
              <w:bottom w:val="nil"/>
              <w:right w:val="nil"/>
            </w:tcBorders>
            <w:shd w:val="clear" w:color="auto" w:fill="auto"/>
            <w:noWrap/>
            <w:hideMark/>
          </w:tcPr>
          <w:p w14:paraId="691367D6" w14:textId="77777777" w:rsidR="0000498C" w:rsidRPr="0000498C" w:rsidRDefault="0000498C" w:rsidP="0000498C">
            <w:pPr>
              <w:tabs>
                <w:tab w:val="decimal" w:pos="421"/>
              </w:tabs>
              <w:spacing w:line="360" w:lineRule="auto"/>
              <w:rPr>
                <w:color w:val="000000"/>
              </w:rPr>
            </w:pPr>
          </w:p>
        </w:tc>
      </w:tr>
      <w:tr w:rsidR="0000498C" w:rsidRPr="0000498C" w14:paraId="03A264CF" w14:textId="77777777" w:rsidTr="0000498C">
        <w:trPr>
          <w:jc w:val="center"/>
        </w:trPr>
        <w:tc>
          <w:tcPr>
            <w:tcW w:w="0" w:type="auto"/>
            <w:tcBorders>
              <w:top w:val="nil"/>
              <w:left w:val="nil"/>
              <w:bottom w:val="nil"/>
              <w:right w:val="nil"/>
            </w:tcBorders>
            <w:shd w:val="clear" w:color="auto" w:fill="auto"/>
            <w:noWrap/>
            <w:hideMark/>
          </w:tcPr>
          <w:p w14:paraId="530A7360" w14:textId="77777777" w:rsidR="0000498C" w:rsidRPr="0000498C" w:rsidRDefault="0000498C" w:rsidP="0000498C">
            <w:pPr>
              <w:spacing w:line="360" w:lineRule="auto"/>
              <w:jc w:val="center"/>
              <w:rPr>
                <w:color w:val="000000"/>
              </w:rPr>
            </w:pPr>
            <w:r w:rsidRPr="0000498C">
              <w:rPr>
                <w:color w:val="000000"/>
              </w:rPr>
              <w:t>ITA</w:t>
            </w:r>
          </w:p>
        </w:tc>
        <w:tc>
          <w:tcPr>
            <w:tcW w:w="0" w:type="auto"/>
            <w:tcBorders>
              <w:top w:val="nil"/>
              <w:left w:val="nil"/>
              <w:bottom w:val="nil"/>
              <w:right w:val="nil"/>
            </w:tcBorders>
            <w:shd w:val="clear" w:color="auto" w:fill="auto"/>
            <w:noWrap/>
            <w:hideMark/>
          </w:tcPr>
          <w:p w14:paraId="52F910FA" w14:textId="77777777" w:rsidR="0000498C" w:rsidRPr="0000498C" w:rsidRDefault="0000498C" w:rsidP="0000498C">
            <w:pPr>
              <w:tabs>
                <w:tab w:val="decimal" w:pos="602"/>
              </w:tabs>
              <w:spacing w:line="360" w:lineRule="auto"/>
              <w:rPr>
                <w:color w:val="000000"/>
              </w:rPr>
            </w:pPr>
            <w:r w:rsidRPr="0000498C">
              <w:rPr>
                <w:color w:val="000000"/>
              </w:rPr>
              <w:t>1.165</w:t>
            </w:r>
          </w:p>
        </w:tc>
        <w:tc>
          <w:tcPr>
            <w:tcW w:w="0" w:type="auto"/>
            <w:tcBorders>
              <w:top w:val="nil"/>
              <w:left w:val="nil"/>
              <w:bottom w:val="nil"/>
              <w:right w:val="nil"/>
            </w:tcBorders>
            <w:shd w:val="clear" w:color="auto" w:fill="auto"/>
            <w:noWrap/>
            <w:hideMark/>
          </w:tcPr>
          <w:p w14:paraId="380D1E43" w14:textId="77777777" w:rsidR="0000498C" w:rsidRPr="0000498C" w:rsidRDefault="0000498C" w:rsidP="0000498C">
            <w:pPr>
              <w:tabs>
                <w:tab w:val="decimal" w:pos="551"/>
              </w:tabs>
              <w:spacing w:line="360" w:lineRule="auto"/>
              <w:rPr>
                <w:color w:val="000000"/>
              </w:rPr>
            </w:pPr>
            <w:r w:rsidRPr="0000498C">
              <w:rPr>
                <w:color w:val="000000"/>
              </w:rPr>
              <w:t>0.971</w:t>
            </w:r>
          </w:p>
        </w:tc>
        <w:tc>
          <w:tcPr>
            <w:tcW w:w="0" w:type="auto"/>
            <w:tcBorders>
              <w:top w:val="nil"/>
              <w:left w:val="nil"/>
              <w:bottom w:val="nil"/>
              <w:right w:val="single" w:sz="4" w:space="0" w:color="auto"/>
            </w:tcBorders>
            <w:shd w:val="clear" w:color="auto" w:fill="auto"/>
            <w:noWrap/>
            <w:hideMark/>
          </w:tcPr>
          <w:p w14:paraId="6A4EC934" w14:textId="77777777" w:rsidR="0000498C" w:rsidRPr="0000498C" w:rsidRDefault="0000498C" w:rsidP="0000498C">
            <w:pPr>
              <w:tabs>
                <w:tab w:val="decimal" w:pos="414"/>
              </w:tabs>
              <w:spacing w:line="360" w:lineRule="auto"/>
              <w:rPr>
                <w:color w:val="000000"/>
              </w:rPr>
            </w:pPr>
            <w:r w:rsidRPr="0000498C">
              <w:rPr>
                <w:color w:val="000000"/>
              </w:rPr>
              <w:t>0.809</w:t>
            </w:r>
          </w:p>
        </w:tc>
        <w:tc>
          <w:tcPr>
            <w:tcW w:w="0" w:type="auto"/>
            <w:tcBorders>
              <w:top w:val="nil"/>
              <w:left w:val="single" w:sz="4" w:space="0" w:color="auto"/>
              <w:bottom w:val="nil"/>
              <w:right w:val="nil"/>
            </w:tcBorders>
            <w:shd w:val="clear" w:color="auto" w:fill="auto"/>
            <w:noWrap/>
            <w:hideMark/>
          </w:tcPr>
          <w:p w14:paraId="1DB3E06A" w14:textId="77777777" w:rsidR="0000498C" w:rsidRPr="0000498C" w:rsidRDefault="0000498C" w:rsidP="0000498C">
            <w:pPr>
              <w:spacing w:line="360" w:lineRule="auto"/>
              <w:jc w:val="center"/>
              <w:rPr>
                <w:color w:val="000000"/>
              </w:rPr>
            </w:pPr>
            <w:r w:rsidRPr="0000498C">
              <w:rPr>
                <w:color w:val="000000"/>
              </w:rPr>
              <w:t>ZAF</w:t>
            </w:r>
          </w:p>
        </w:tc>
        <w:tc>
          <w:tcPr>
            <w:tcW w:w="0" w:type="auto"/>
            <w:tcBorders>
              <w:top w:val="nil"/>
              <w:left w:val="nil"/>
              <w:bottom w:val="nil"/>
              <w:right w:val="nil"/>
            </w:tcBorders>
            <w:shd w:val="clear" w:color="auto" w:fill="auto"/>
            <w:noWrap/>
            <w:hideMark/>
          </w:tcPr>
          <w:p w14:paraId="18B50BDE" w14:textId="77777777" w:rsidR="0000498C" w:rsidRPr="0000498C" w:rsidRDefault="0000498C" w:rsidP="0000498C">
            <w:pPr>
              <w:tabs>
                <w:tab w:val="decimal" w:pos="610"/>
              </w:tabs>
              <w:spacing w:line="360" w:lineRule="auto"/>
              <w:rPr>
                <w:color w:val="000000"/>
              </w:rPr>
            </w:pPr>
            <w:r w:rsidRPr="0000498C">
              <w:rPr>
                <w:color w:val="000000"/>
              </w:rPr>
              <w:t>0.000</w:t>
            </w:r>
          </w:p>
        </w:tc>
        <w:tc>
          <w:tcPr>
            <w:tcW w:w="0" w:type="auto"/>
            <w:tcBorders>
              <w:top w:val="nil"/>
              <w:left w:val="nil"/>
              <w:bottom w:val="nil"/>
              <w:right w:val="nil"/>
            </w:tcBorders>
            <w:shd w:val="clear" w:color="auto" w:fill="auto"/>
            <w:noWrap/>
            <w:hideMark/>
          </w:tcPr>
          <w:p w14:paraId="7494F074" w14:textId="77777777" w:rsidR="0000498C" w:rsidRPr="0000498C" w:rsidRDefault="0000498C" w:rsidP="0000498C">
            <w:pPr>
              <w:tabs>
                <w:tab w:val="decimal" w:pos="738"/>
              </w:tabs>
              <w:spacing w:line="360" w:lineRule="auto"/>
              <w:rPr>
                <w:color w:val="000000"/>
              </w:rPr>
            </w:pPr>
            <w:r w:rsidRPr="0000498C">
              <w:rPr>
                <w:color w:val="000000"/>
              </w:rPr>
              <w:t>1.217</w:t>
            </w:r>
          </w:p>
        </w:tc>
        <w:tc>
          <w:tcPr>
            <w:tcW w:w="0" w:type="auto"/>
            <w:tcBorders>
              <w:top w:val="nil"/>
              <w:left w:val="nil"/>
              <w:bottom w:val="nil"/>
              <w:right w:val="nil"/>
            </w:tcBorders>
            <w:shd w:val="clear" w:color="auto" w:fill="auto"/>
            <w:noWrap/>
            <w:hideMark/>
          </w:tcPr>
          <w:p w14:paraId="10D983CF" w14:textId="77777777" w:rsidR="0000498C" w:rsidRPr="0000498C" w:rsidRDefault="0000498C" w:rsidP="0000498C">
            <w:pPr>
              <w:tabs>
                <w:tab w:val="decimal" w:pos="421"/>
              </w:tabs>
              <w:spacing w:line="360" w:lineRule="auto"/>
              <w:rPr>
                <w:color w:val="000000"/>
              </w:rPr>
            </w:pPr>
          </w:p>
        </w:tc>
      </w:tr>
      <w:tr w:rsidR="0000498C" w:rsidRPr="0000498C" w14:paraId="14221B66" w14:textId="77777777" w:rsidTr="0000498C">
        <w:trPr>
          <w:jc w:val="center"/>
        </w:trPr>
        <w:tc>
          <w:tcPr>
            <w:tcW w:w="0" w:type="auto"/>
            <w:tcBorders>
              <w:top w:val="nil"/>
              <w:left w:val="nil"/>
              <w:bottom w:val="nil"/>
              <w:right w:val="nil"/>
            </w:tcBorders>
            <w:shd w:val="clear" w:color="auto" w:fill="auto"/>
            <w:noWrap/>
            <w:hideMark/>
          </w:tcPr>
          <w:p w14:paraId="08020D0E" w14:textId="77777777" w:rsidR="0000498C" w:rsidRPr="0000498C" w:rsidRDefault="0000498C" w:rsidP="0000498C">
            <w:pPr>
              <w:spacing w:line="360" w:lineRule="auto"/>
              <w:jc w:val="center"/>
              <w:rPr>
                <w:color w:val="000000"/>
              </w:rPr>
            </w:pPr>
            <w:r w:rsidRPr="0000498C">
              <w:rPr>
                <w:color w:val="000000"/>
              </w:rPr>
              <w:t>JAM</w:t>
            </w:r>
          </w:p>
        </w:tc>
        <w:tc>
          <w:tcPr>
            <w:tcW w:w="0" w:type="auto"/>
            <w:tcBorders>
              <w:top w:val="nil"/>
              <w:left w:val="nil"/>
              <w:bottom w:val="nil"/>
              <w:right w:val="nil"/>
            </w:tcBorders>
            <w:shd w:val="clear" w:color="auto" w:fill="auto"/>
            <w:noWrap/>
            <w:hideMark/>
          </w:tcPr>
          <w:p w14:paraId="51BB79DF" w14:textId="77777777" w:rsidR="0000498C" w:rsidRPr="0000498C" w:rsidRDefault="0000498C" w:rsidP="0000498C">
            <w:pPr>
              <w:tabs>
                <w:tab w:val="decimal" w:pos="602"/>
              </w:tabs>
              <w:spacing w:line="360" w:lineRule="auto"/>
              <w:rPr>
                <w:color w:val="000000"/>
              </w:rPr>
            </w:pPr>
            <w:r w:rsidRPr="0000498C">
              <w:rPr>
                <w:color w:val="000000"/>
              </w:rPr>
              <w:t>2.800</w:t>
            </w:r>
          </w:p>
        </w:tc>
        <w:tc>
          <w:tcPr>
            <w:tcW w:w="0" w:type="auto"/>
            <w:tcBorders>
              <w:top w:val="nil"/>
              <w:left w:val="nil"/>
              <w:bottom w:val="nil"/>
              <w:right w:val="nil"/>
            </w:tcBorders>
            <w:shd w:val="clear" w:color="auto" w:fill="auto"/>
            <w:noWrap/>
            <w:hideMark/>
          </w:tcPr>
          <w:p w14:paraId="203F4B29" w14:textId="77777777" w:rsidR="0000498C" w:rsidRPr="0000498C" w:rsidRDefault="0000498C" w:rsidP="0000498C">
            <w:pPr>
              <w:tabs>
                <w:tab w:val="decimal" w:pos="551"/>
              </w:tabs>
              <w:spacing w:line="360" w:lineRule="auto"/>
              <w:rPr>
                <w:color w:val="000000"/>
              </w:rPr>
            </w:pPr>
            <w:r w:rsidRPr="0000498C">
              <w:rPr>
                <w:color w:val="000000"/>
              </w:rPr>
              <w:t>0.609</w:t>
            </w:r>
          </w:p>
        </w:tc>
        <w:tc>
          <w:tcPr>
            <w:tcW w:w="0" w:type="auto"/>
            <w:tcBorders>
              <w:top w:val="nil"/>
              <w:left w:val="nil"/>
              <w:bottom w:val="nil"/>
              <w:right w:val="single" w:sz="4" w:space="0" w:color="auto"/>
            </w:tcBorders>
            <w:shd w:val="clear" w:color="auto" w:fill="auto"/>
            <w:noWrap/>
            <w:hideMark/>
          </w:tcPr>
          <w:p w14:paraId="373333FE"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bottom w:val="nil"/>
              <w:right w:val="nil"/>
            </w:tcBorders>
            <w:shd w:val="clear" w:color="auto" w:fill="auto"/>
            <w:noWrap/>
            <w:hideMark/>
          </w:tcPr>
          <w:p w14:paraId="3D260BB3" w14:textId="77777777" w:rsidR="0000498C" w:rsidRPr="0000498C" w:rsidRDefault="0000498C" w:rsidP="0000498C">
            <w:pPr>
              <w:spacing w:line="360" w:lineRule="auto"/>
              <w:jc w:val="center"/>
              <w:rPr>
                <w:color w:val="000000"/>
              </w:rPr>
            </w:pPr>
            <w:r w:rsidRPr="0000498C">
              <w:rPr>
                <w:color w:val="000000"/>
              </w:rPr>
              <w:t>ZMB</w:t>
            </w:r>
          </w:p>
        </w:tc>
        <w:tc>
          <w:tcPr>
            <w:tcW w:w="0" w:type="auto"/>
            <w:tcBorders>
              <w:top w:val="nil"/>
              <w:left w:val="nil"/>
              <w:bottom w:val="nil"/>
              <w:right w:val="nil"/>
            </w:tcBorders>
            <w:shd w:val="clear" w:color="auto" w:fill="auto"/>
            <w:noWrap/>
            <w:hideMark/>
          </w:tcPr>
          <w:p w14:paraId="779B95E9" w14:textId="77777777" w:rsidR="0000498C" w:rsidRPr="0000498C" w:rsidRDefault="0000498C" w:rsidP="0000498C">
            <w:pPr>
              <w:tabs>
                <w:tab w:val="decimal" w:pos="610"/>
              </w:tabs>
              <w:spacing w:line="360" w:lineRule="auto"/>
              <w:rPr>
                <w:color w:val="000000"/>
              </w:rPr>
            </w:pPr>
          </w:p>
        </w:tc>
        <w:tc>
          <w:tcPr>
            <w:tcW w:w="0" w:type="auto"/>
            <w:tcBorders>
              <w:top w:val="nil"/>
              <w:left w:val="nil"/>
              <w:bottom w:val="nil"/>
              <w:right w:val="nil"/>
            </w:tcBorders>
            <w:shd w:val="clear" w:color="auto" w:fill="auto"/>
            <w:noWrap/>
            <w:hideMark/>
          </w:tcPr>
          <w:p w14:paraId="26D2FB37" w14:textId="77777777" w:rsidR="0000498C" w:rsidRPr="0000498C" w:rsidRDefault="0000498C" w:rsidP="0000498C">
            <w:pPr>
              <w:tabs>
                <w:tab w:val="decimal" w:pos="738"/>
              </w:tabs>
              <w:spacing w:line="360" w:lineRule="auto"/>
              <w:rPr>
                <w:color w:val="000000"/>
              </w:rPr>
            </w:pPr>
            <w:r w:rsidRPr="0000498C">
              <w:rPr>
                <w:color w:val="000000"/>
              </w:rPr>
              <w:t>1.000</w:t>
            </w:r>
          </w:p>
        </w:tc>
        <w:tc>
          <w:tcPr>
            <w:tcW w:w="0" w:type="auto"/>
            <w:tcBorders>
              <w:top w:val="nil"/>
              <w:left w:val="nil"/>
              <w:bottom w:val="nil"/>
              <w:right w:val="nil"/>
            </w:tcBorders>
            <w:shd w:val="clear" w:color="auto" w:fill="auto"/>
            <w:noWrap/>
            <w:hideMark/>
          </w:tcPr>
          <w:p w14:paraId="06FC324B" w14:textId="77777777" w:rsidR="0000498C" w:rsidRPr="0000498C" w:rsidRDefault="0000498C" w:rsidP="0000498C">
            <w:pPr>
              <w:tabs>
                <w:tab w:val="decimal" w:pos="421"/>
              </w:tabs>
              <w:spacing w:line="360" w:lineRule="auto"/>
              <w:rPr>
                <w:color w:val="000000"/>
              </w:rPr>
            </w:pPr>
          </w:p>
        </w:tc>
      </w:tr>
      <w:tr w:rsidR="0000498C" w:rsidRPr="0000498C" w14:paraId="137C92E1" w14:textId="77777777" w:rsidTr="0000498C">
        <w:trPr>
          <w:jc w:val="center"/>
        </w:trPr>
        <w:tc>
          <w:tcPr>
            <w:tcW w:w="0" w:type="auto"/>
            <w:tcBorders>
              <w:top w:val="nil"/>
              <w:left w:val="nil"/>
              <w:right w:val="nil"/>
            </w:tcBorders>
            <w:shd w:val="clear" w:color="auto" w:fill="auto"/>
            <w:noWrap/>
            <w:hideMark/>
          </w:tcPr>
          <w:p w14:paraId="7B81DBB6" w14:textId="77777777" w:rsidR="0000498C" w:rsidRPr="0000498C" w:rsidRDefault="0000498C" w:rsidP="0000498C">
            <w:pPr>
              <w:spacing w:line="360" w:lineRule="auto"/>
              <w:jc w:val="center"/>
              <w:rPr>
                <w:color w:val="000000"/>
              </w:rPr>
            </w:pPr>
            <w:r w:rsidRPr="0000498C">
              <w:rPr>
                <w:color w:val="000000"/>
              </w:rPr>
              <w:t>JPN</w:t>
            </w:r>
          </w:p>
        </w:tc>
        <w:tc>
          <w:tcPr>
            <w:tcW w:w="0" w:type="auto"/>
            <w:tcBorders>
              <w:top w:val="nil"/>
              <w:left w:val="nil"/>
              <w:right w:val="nil"/>
            </w:tcBorders>
            <w:shd w:val="clear" w:color="auto" w:fill="auto"/>
            <w:noWrap/>
            <w:hideMark/>
          </w:tcPr>
          <w:p w14:paraId="3FD6D625" w14:textId="77777777" w:rsidR="0000498C" w:rsidRPr="0000498C" w:rsidRDefault="0000498C" w:rsidP="0000498C">
            <w:pPr>
              <w:tabs>
                <w:tab w:val="decimal" w:pos="602"/>
              </w:tabs>
              <w:spacing w:line="360" w:lineRule="auto"/>
              <w:rPr>
                <w:color w:val="000000"/>
              </w:rPr>
            </w:pPr>
            <w:r w:rsidRPr="0000498C">
              <w:rPr>
                <w:color w:val="000000"/>
              </w:rPr>
              <w:t>1.111</w:t>
            </w:r>
          </w:p>
        </w:tc>
        <w:tc>
          <w:tcPr>
            <w:tcW w:w="0" w:type="auto"/>
            <w:tcBorders>
              <w:top w:val="nil"/>
              <w:left w:val="nil"/>
              <w:right w:val="nil"/>
            </w:tcBorders>
            <w:shd w:val="clear" w:color="auto" w:fill="auto"/>
            <w:noWrap/>
            <w:hideMark/>
          </w:tcPr>
          <w:p w14:paraId="2FE21B31" w14:textId="77777777" w:rsidR="0000498C" w:rsidRPr="0000498C" w:rsidRDefault="0000498C" w:rsidP="0000498C">
            <w:pPr>
              <w:tabs>
                <w:tab w:val="decimal" w:pos="551"/>
              </w:tabs>
              <w:spacing w:line="360" w:lineRule="auto"/>
              <w:rPr>
                <w:color w:val="000000"/>
              </w:rPr>
            </w:pPr>
            <w:r w:rsidRPr="0000498C">
              <w:rPr>
                <w:color w:val="000000"/>
              </w:rPr>
              <w:t>0.000</w:t>
            </w:r>
          </w:p>
        </w:tc>
        <w:tc>
          <w:tcPr>
            <w:tcW w:w="0" w:type="auto"/>
            <w:tcBorders>
              <w:top w:val="nil"/>
              <w:left w:val="nil"/>
              <w:right w:val="single" w:sz="4" w:space="0" w:color="auto"/>
            </w:tcBorders>
            <w:shd w:val="clear" w:color="auto" w:fill="auto"/>
            <w:noWrap/>
            <w:hideMark/>
          </w:tcPr>
          <w:p w14:paraId="1039E0CC" w14:textId="77777777" w:rsidR="0000498C" w:rsidRPr="0000498C" w:rsidRDefault="0000498C" w:rsidP="0000498C">
            <w:pPr>
              <w:tabs>
                <w:tab w:val="decimal" w:pos="414"/>
              </w:tabs>
              <w:spacing w:line="360" w:lineRule="auto"/>
              <w:rPr>
                <w:color w:val="000000"/>
              </w:rPr>
            </w:pPr>
          </w:p>
        </w:tc>
        <w:tc>
          <w:tcPr>
            <w:tcW w:w="0" w:type="auto"/>
            <w:tcBorders>
              <w:top w:val="nil"/>
              <w:left w:val="single" w:sz="4" w:space="0" w:color="auto"/>
              <w:right w:val="nil"/>
            </w:tcBorders>
            <w:shd w:val="clear" w:color="auto" w:fill="auto"/>
            <w:noWrap/>
            <w:hideMark/>
          </w:tcPr>
          <w:p w14:paraId="014E561D" w14:textId="77777777" w:rsidR="0000498C" w:rsidRPr="0000498C" w:rsidRDefault="0000498C" w:rsidP="0000498C">
            <w:pPr>
              <w:spacing w:line="360" w:lineRule="auto"/>
              <w:jc w:val="center"/>
            </w:pPr>
          </w:p>
        </w:tc>
        <w:tc>
          <w:tcPr>
            <w:tcW w:w="0" w:type="auto"/>
            <w:tcBorders>
              <w:top w:val="nil"/>
              <w:left w:val="nil"/>
              <w:right w:val="nil"/>
            </w:tcBorders>
            <w:shd w:val="clear" w:color="auto" w:fill="auto"/>
            <w:noWrap/>
            <w:hideMark/>
          </w:tcPr>
          <w:p w14:paraId="354A38A1" w14:textId="77777777" w:rsidR="0000498C" w:rsidRPr="0000498C" w:rsidRDefault="0000498C" w:rsidP="0000498C">
            <w:pPr>
              <w:tabs>
                <w:tab w:val="decimal" w:pos="610"/>
              </w:tabs>
              <w:spacing w:line="360" w:lineRule="auto"/>
            </w:pPr>
          </w:p>
        </w:tc>
        <w:tc>
          <w:tcPr>
            <w:tcW w:w="0" w:type="auto"/>
            <w:tcBorders>
              <w:top w:val="nil"/>
              <w:left w:val="nil"/>
              <w:right w:val="nil"/>
            </w:tcBorders>
            <w:shd w:val="clear" w:color="auto" w:fill="auto"/>
            <w:noWrap/>
            <w:hideMark/>
          </w:tcPr>
          <w:p w14:paraId="7B6B44C3" w14:textId="77777777" w:rsidR="0000498C" w:rsidRPr="0000498C" w:rsidRDefault="0000498C" w:rsidP="0000498C">
            <w:pPr>
              <w:tabs>
                <w:tab w:val="decimal" w:pos="738"/>
              </w:tabs>
              <w:spacing w:line="360" w:lineRule="auto"/>
            </w:pPr>
          </w:p>
        </w:tc>
        <w:tc>
          <w:tcPr>
            <w:tcW w:w="0" w:type="auto"/>
            <w:tcBorders>
              <w:top w:val="nil"/>
              <w:left w:val="nil"/>
              <w:right w:val="nil"/>
            </w:tcBorders>
            <w:shd w:val="clear" w:color="auto" w:fill="auto"/>
            <w:noWrap/>
            <w:hideMark/>
          </w:tcPr>
          <w:p w14:paraId="5D39F518" w14:textId="77777777" w:rsidR="0000498C" w:rsidRPr="0000498C" w:rsidRDefault="0000498C" w:rsidP="0000498C">
            <w:pPr>
              <w:tabs>
                <w:tab w:val="decimal" w:pos="421"/>
              </w:tabs>
              <w:spacing w:line="360" w:lineRule="auto"/>
            </w:pPr>
          </w:p>
        </w:tc>
      </w:tr>
    </w:tbl>
    <w:p w14:paraId="7334819E" w14:textId="77777777" w:rsidR="0000498C" w:rsidRDefault="0000498C" w:rsidP="0007082F">
      <w:pPr>
        <w:spacing w:before="120" w:line="360" w:lineRule="auto"/>
        <w:jc w:val="both"/>
        <w:rPr>
          <w:i/>
          <w:iCs/>
          <w:sz w:val="20"/>
          <w:szCs w:val="20"/>
        </w:rPr>
      </w:pPr>
    </w:p>
    <w:p w14:paraId="405D916B" w14:textId="77777777" w:rsidR="0000498C" w:rsidRDefault="0000498C" w:rsidP="0007082F">
      <w:pPr>
        <w:spacing w:before="120" w:line="360" w:lineRule="auto"/>
        <w:jc w:val="both"/>
        <w:rPr>
          <w:i/>
          <w:iCs/>
          <w:sz w:val="20"/>
          <w:szCs w:val="20"/>
        </w:rPr>
      </w:pPr>
    </w:p>
    <w:p w14:paraId="3C808F2B" w14:textId="60A09BFF" w:rsidR="004325ED" w:rsidRPr="0000498C" w:rsidRDefault="0000498C" w:rsidP="0000498C">
      <w:pPr>
        <w:spacing w:line="480" w:lineRule="auto"/>
        <w:rPr>
          <w:szCs w:val="20"/>
        </w:rPr>
      </w:pPr>
      <w:r>
        <w:rPr>
          <w:iCs/>
          <w:szCs w:val="20"/>
        </w:rPr>
        <w:t xml:space="preserve">Table A2 </w:t>
      </w:r>
      <w:r w:rsidR="004325ED" w:rsidRPr="0000498C">
        <w:rPr>
          <w:iCs/>
          <w:szCs w:val="20"/>
        </w:rPr>
        <w:t>Notes:</w:t>
      </w:r>
      <w:r w:rsidR="004325ED" w:rsidRPr="0000498C">
        <w:rPr>
          <w:szCs w:val="20"/>
        </w:rPr>
        <w:t xml:space="preserve"> Data on climate laws and policies come from </w:t>
      </w:r>
      <w:r w:rsidR="004325ED" w:rsidRPr="0000498C">
        <w:rPr>
          <w:i/>
          <w:iCs/>
          <w:szCs w:val="20"/>
        </w:rPr>
        <w:t>Climate Change Laws of the World</w:t>
      </w:r>
      <w:r w:rsidR="004325ED" w:rsidRPr="0000498C">
        <w:rPr>
          <w:szCs w:val="20"/>
        </w:rPr>
        <w:t xml:space="preserve">. Data on political orientation come from the World Bank’s </w:t>
      </w:r>
      <w:r w:rsidR="004325ED" w:rsidRPr="0000498C">
        <w:rPr>
          <w:i/>
          <w:iCs/>
          <w:szCs w:val="20"/>
        </w:rPr>
        <w:t>Database of Political Institutions</w:t>
      </w:r>
      <w:r w:rsidR="004325ED" w:rsidRPr="0000498C">
        <w:rPr>
          <w:szCs w:val="20"/>
        </w:rPr>
        <w:t>. All calculations are done over the period 1990-2017.</w:t>
      </w:r>
    </w:p>
    <w:p w14:paraId="2B0139AB" w14:textId="77777777" w:rsidR="004325ED" w:rsidRPr="00436BB1" w:rsidRDefault="004325ED" w:rsidP="004325ED">
      <w:pPr>
        <w:rPr>
          <w:sz w:val="18"/>
          <w:szCs w:val="18"/>
        </w:rPr>
      </w:pPr>
    </w:p>
    <w:p w14:paraId="690E0ED0" w14:textId="77777777" w:rsidR="004325ED" w:rsidRPr="00436BB1" w:rsidRDefault="004325ED" w:rsidP="004325ED">
      <w:pPr>
        <w:rPr>
          <w:sz w:val="18"/>
          <w:szCs w:val="18"/>
        </w:rPr>
      </w:pPr>
    </w:p>
    <w:p w14:paraId="5B5B3C85" w14:textId="77777777" w:rsidR="004325ED" w:rsidRPr="00436BB1" w:rsidRDefault="004325ED" w:rsidP="004325ED">
      <w:pPr>
        <w:rPr>
          <w:sz w:val="18"/>
          <w:szCs w:val="18"/>
        </w:rPr>
      </w:pPr>
      <w:r w:rsidRPr="00436BB1">
        <w:rPr>
          <w:sz w:val="18"/>
          <w:szCs w:val="18"/>
        </w:rPr>
        <w:br w:type="page"/>
      </w:r>
    </w:p>
    <w:p w14:paraId="562D96ED" w14:textId="391A2A48" w:rsidR="004325ED" w:rsidRDefault="004325ED" w:rsidP="00C11B1D">
      <w:pPr>
        <w:pStyle w:val="Heading2"/>
        <w:keepNext/>
        <w:keepLines/>
        <w:spacing w:after="0" w:line="276" w:lineRule="auto"/>
        <w:rPr>
          <w:b w:val="0"/>
        </w:rPr>
      </w:pPr>
      <w:r w:rsidRPr="00C11B1D">
        <w:rPr>
          <w:b w:val="0"/>
        </w:rPr>
        <w:lastRenderedPageBreak/>
        <w:t>Table A3: Climate laws and business cycle</w:t>
      </w:r>
    </w:p>
    <w:p w14:paraId="6A7FE8B9" w14:textId="77777777" w:rsidR="00C11B1D" w:rsidRPr="00C11B1D" w:rsidRDefault="00C11B1D" w:rsidP="00C11B1D"/>
    <w:tbl>
      <w:tblPr>
        <w:tblW w:w="4502" w:type="pct"/>
        <w:jc w:val="center"/>
        <w:tblLook w:val="04A0" w:firstRow="1" w:lastRow="0" w:firstColumn="1" w:lastColumn="0" w:noHBand="0" w:noVBand="1"/>
      </w:tblPr>
      <w:tblGrid>
        <w:gridCol w:w="1732"/>
        <w:gridCol w:w="1239"/>
        <w:gridCol w:w="1732"/>
        <w:gridCol w:w="1236"/>
        <w:gridCol w:w="1730"/>
        <w:gridCol w:w="1236"/>
        <w:gridCol w:w="1730"/>
        <w:gridCol w:w="1229"/>
      </w:tblGrid>
      <w:tr w:rsidR="00C11B1D" w:rsidRPr="00C11B1D" w14:paraId="7904A33A" w14:textId="77777777" w:rsidTr="00C11B1D">
        <w:trPr>
          <w:jc w:val="center"/>
        </w:trPr>
        <w:tc>
          <w:tcPr>
            <w:tcW w:w="730" w:type="pct"/>
            <w:tcBorders>
              <w:left w:val="nil"/>
              <w:bottom w:val="single" w:sz="4" w:space="0" w:color="auto"/>
              <w:right w:val="nil"/>
            </w:tcBorders>
            <w:shd w:val="clear" w:color="auto" w:fill="auto"/>
            <w:noWrap/>
            <w:hideMark/>
          </w:tcPr>
          <w:p w14:paraId="03DB458F" w14:textId="77777777" w:rsidR="00C11B1D" w:rsidRPr="00C11B1D" w:rsidRDefault="00C11B1D" w:rsidP="00C11B1D">
            <w:pPr>
              <w:spacing w:line="360" w:lineRule="auto"/>
              <w:jc w:val="center"/>
              <w:rPr>
                <w:color w:val="000000"/>
              </w:rPr>
            </w:pPr>
            <w:r w:rsidRPr="00C11B1D">
              <w:t>ISO Code</w:t>
            </w:r>
          </w:p>
        </w:tc>
        <w:tc>
          <w:tcPr>
            <w:tcW w:w="522" w:type="pct"/>
            <w:tcBorders>
              <w:left w:val="nil"/>
              <w:bottom w:val="single" w:sz="4" w:space="0" w:color="auto"/>
              <w:right w:val="single" w:sz="4" w:space="0" w:color="auto"/>
            </w:tcBorders>
            <w:shd w:val="clear" w:color="auto" w:fill="auto"/>
            <w:noWrap/>
            <w:hideMark/>
          </w:tcPr>
          <w:p w14:paraId="0E083700" w14:textId="77777777" w:rsidR="00C11B1D" w:rsidRPr="00C11B1D" w:rsidRDefault="00C11B1D" w:rsidP="00C11B1D">
            <w:pPr>
              <w:spacing w:line="360" w:lineRule="auto"/>
              <w:jc w:val="center"/>
              <w:rPr>
                <w:color w:val="000000"/>
              </w:rPr>
            </w:pPr>
            <w:r w:rsidRPr="00C11B1D">
              <w:t>Score</w:t>
            </w:r>
          </w:p>
        </w:tc>
        <w:tc>
          <w:tcPr>
            <w:tcW w:w="730" w:type="pct"/>
            <w:tcBorders>
              <w:left w:val="single" w:sz="4" w:space="0" w:color="auto"/>
              <w:bottom w:val="single" w:sz="4" w:space="0" w:color="auto"/>
              <w:right w:val="nil"/>
            </w:tcBorders>
            <w:shd w:val="clear" w:color="auto" w:fill="auto"/>
            <w:noWrap/>
            <w:hideMark/>
          </w:tcPr>
          <w:p w14:paraId="6E98D8C9" w14:textId="77777777" w:rsidR="00C11B1D" w:rsidRPr="00C11B1D" w:rsidRDefault="00C11B1D" w:rsidP="00C11B1D">
            <w:pPr>
              <w:spacing w:line="360" w:lineRule="auto"/>
              <w:jc w:val="center"/>
              <w:rPr>
                <w:color w:val="000000"/>
              </w:rPr>
            </w:pPr>
            <w:r w:rsidRPr="00C11B1D">
              <w:t>ISO Code</w:t>
            </w:r>
          </w:p>
        </w:tc>
        <w:tc>
          <w:tcPr>
            <w:tcW w:w="521" w:type="pct"/>
            <w:tcBorders>
              <w:left w:val="nil"/>
              <w:bottom w:val="single" w:sz="4" w:space="0" w:color="auto"/>
              <w:right w:val="single" w:sz="4" w:space="0" w:color="auto"/>
            </w:tcBorders>
            <w:shd w:val="clear" w:color="auto" w:fill="auto"/>
            <w:noWrap/>
            <w:hideMark/>
          </w:tcPr>
          <w:p w14:paraId="78C17C3F" w14:textId="77777777" w:rsidR="00C11B1D" w:rsidRPr="00C11B1D" w:rsidRDefault="00C11B1D" w:rsidP="00C11B1D">
            <w:pPr>
              <w:spacing w:line="360" w:lineRule="auto"/>
              <w:jc w:val="center"/>
              <w:rPr>
                <w:color w:val="000000"/>
              </w:rPr>
            </w:pPr>
            <w:r w:rsidRPr="00C11B1D">
              <w:t>Score</w:t>
            </w:r>
          </w:p>
        </w:tc>
        <w:tc>
          <w:tcPr>
            <w:tcW w:w="729" w:type="pct"/>
            <w:tcBorders>
              <w:left w:val="single" w:sz="4" w:space="0" w:color="auto"/>
              <w:bottom w:val="single" w:sz="4" w:space="0" w:color="auto"/>
              <w:right w:val="nil"/>
            </w:tcBorders>
            <w:shd w:val="clear" w:color="auto" w:fill="auto"/>
            <w:noWrap/>
            <w:hideMark/>
          </w:tcPr>
          <w:p w14:paraId="6FFE54EF" w14:textId="77777777" w:rsidR="00C11B1D" w:rsidRPr="00C11B1D" w:rsidRDefault="00C11B1D" w:rsidP="00C11B1D">
            <w:pPr>
              <w:spacing w:line="360" w:lineRule="auto"/>
              <w:jc w:val="center"/>
              <w:rPr>
                <w:color w:val="000000"/>
              </w:rPr>
            </w:pPr>
            <w:r w:rsidRPr="00C11B1D">
              <w:t>ISO Code</w:t>
            </w:r>
          </w:p>
        </w:tc>
        <w:tc>
          <w:tcPr>
            <w:tcW w:w="521" w:type="pct"/>
            <w:tcBorders>
              <w:left w:val="nil"/>
              <w:bottom w:val="single" w:sz="4" w:space="0" w:color="auto"/>
              <w:right w:val="single" w:sz="4" w:space="0" w:color="auto"/>
            </w:tcBorders>
            <w:shd w:val="clear" w:color="auto" w:fill="auto"/>
            <w:noWrap/>
            <w:hideMark/>
          </w:tcPr>
          <w:p w14:paraId="0B0D387B" w14:textId="77777777" w:rsidR="00C11B1D" w:rsidRPr="00C11B1D" w:rsidRDefault="00C11B1D" w:rsidP="00C11B1D">
            <w:pPr>
              <w:spacing w:line="360" w:lineRule="auto"/>
              <w:jc w:val="center"/>
              <w:rPr>
                <w:color w:val="000000"/>
              </w:rPr>
            </w:pPr>
            <w:r w:rsidRPr="00C11B1D">
              <w:t>Score</w:t>
            </w:r>
          </w:p>
        </w:tc>
        <w:tc>
          <w:tcPr>
            <w:tcW w:w="729" w:type="pct"/>
            <w:tcBorders>
              <w:left w:val="single" w:sz="4" w:space="0" w:color="auto"/>
              <w:bottom w:val="single" w:sz="4" w:space="0" w:color="auto"/>
              <w:right w:val="nil"/>
            </w:tcBorders>
            <w:shd w:val="clear" w:color="auto" w:fill="auto"/>
            <w:noWrap/>
            <w:hideMark/>
          </w:tcPr>
          <w:p w14:paraId="4F85A1C5" w14:textId="77777777" w:rsidR="00C11B1D" w:rsidRPr="00C11B1D" w:rsidRDefault="00C11B1D" w:rsidP="00C11B1D">
            <w:pPr>
              <w:spacing w:line="360" w:lineRule="auto"/>
              <w:jc w:val="center"/>
              <w:rPr>
                <w:color w:val="000000"/>
              </w:rPr>
            </w:pPr>
            <w:r w:rsidRPr="00C11B1D">
              <w:t>ISO Code</w:t>
            </w:r>
          </w:p>
        </w:tc>
        <w:tc>
          <w:tcPr>
            <w:tcW w:w="518" w:type="pct"/>
            <w:tcBorders>
              <w:left w:val="nil"/>
              <w:bottom w:val="single" w:sz="4" w:space="0" w:color="auto"/>
              <w:right w:val="nil"/>
            </w:tcBorders>
            <w:shd w:val="clear" w:color="auto" w:fill="auto"/>
            <w:noWrap/>
            <w:hideMark/>
          </w:tcPr>
          <w:p w14:paraId="549BD343" w14:textId="77777777" w:rsidR="00C11B1D" w:rsidRPr="00C11B1D" w:rsidRDefault="00C11B1D" w:rsidP="00C11B1D">
            <w:pPr>
              <w:spacing w:line="360" w:lineRule="auto"/>
              <w:jc w:val="center"/>
              <w:rPr>
                <w:color w:val="000000"/>
              </w:rPr>
            </w:pPr>
            <w:r w:rsidRPr="00C11B1D">
              <w:t>Score</w:t>
            </w:r>
          </w:p>
        </w:tc>
      </w:tr>
      <w:tr w:rsidR="00C11B1D" w:rsidRPr="00C11B1D" w14:paraId="656CB1E1" w14:textId="77777777" w:rsidTr="00C11B1D">
        <w:trPr>
          <w:jc w:val="center"/>
        </w:trPr>
        <w:tc>
          <w:tcPr>
            <w:tcW w:w="730" w:type="pct"/>
            <w:tcBorders>
              <w:top w:val="single" w:sz="4" w:space="0" w:color="auto"/>
              <w:left w:val="nil"/>
              <w:right w:val="nil"/>
            </w:tcBorders>
            <w:shd w:val="clear" w:color="auto" w:fill="auto"/>
            <w:noWrap/>
          </w:tcPr>
          <w:p w14:paraId="41F6EBDF" w14:textId="77777777" w:rsidR="00C11B1D" w:rsidRPr="00C11B1D" w:rsidRDefault="00C11B1D" w:rsidP="00C11B1D">
            <w:pPr>
              <w:spacing w:line="360" w:lineRule="auto"/>
              <w:jc w:val="center"/>
              <w:rPr>
                <w:color w:val="000000"/>
              </w:rPr>
            </w:pPr>
          </w:p>
        </w:tc>
        <w:tc>
          <w:tcPr>
            <w:tcW w:w="522" w:type="pct"/>
            <w:tcBorders>
              <w:top w:val="single" w:sz="4" w:space="0" w:color="auto"/>
              <w:left w:val="nil"/>
              <w:right w:val="single" w:sz="4" w:space="0" w:color="auto"/>
            </w:tcBorders>
            <w:shd w:val="clear" w:color="auto" w:fill="auto"/>
            <w:noWrap/>
          </w:tcPr>
          <w:p w14:paraId="38C390F8" w14:textId="77777777" w:rsidR="00C11B1D" w:rsidRPr="00C11B1D" w:rsidRDefault="00C11B1D" w:rsidP="00C11B1D">
            <w:pPr>
              <w:spacing w:line="360" w:lineRule="auto"/>
              <w:jc w:val="center"/>
              <w:rPr>
                <w:color w:val="000000"/>
              </w:rPr>
            </w:pPr>
          </w:p>
        </w:tc>
        <w:tc>
          <w:tcPr>
            <w:tcW w:w="730" w:type="pct"/>
            <w:tcBorders>
              <w:top w:val="single" w:sz="4" w:space="0" w:color="auto"/>
              <w:left w:val="single" w:sz="4" w:space="0" w:color="auto"/>
              <w:right w:val="nil"/>
            </w:tcBorders>
            <w:shd w:val="clear" w:color="auto" w:fill="auto"/>
            <w:noWrap/>
          </w:tcPr>
          <w:p w14:paraId="4BBDE897" w14:textId="77777777" w:rsidR="00C11B1D" w:rsidRPr="00C11B1D" w:rsidRDefault="00C11B1D" w:rsidP="00C11B1D">
            <w:pPr>
              <w:spacing w:line="360" w:lineRule="auto"/>
              <w:jc w:val="center"/>
              <w:rPr>
                <w:color w:val="000000"/>
              </w:rPr>
            </w:pPr>
          </w:p>
        </w:tc>
        <w:tc>
          <w:tcPr>
            <w:tcW w:w="521" w:type="pct"/>
            <w:tcBorders>
              <w:top w:val="single" w:sz="4" w:space="0" w:color="auto"/>
              <w:left w:val="nil"/>
              <w:right w:val="single" w:sz="4" w:space="0" w:color="auto"/>
            </w:tcBorders>
            <w:shd w:val="clear" w:color="auto" w:fill="auto"/>
            <w:noWrap/>
          </w:tcPr>
          <w:p w14:paraId="4F90CBC3" w14:textId="77777777" w:rsidR="00C11B1D" w:rsidRPr="00C11B1D" w:rsidRDefault="00C11B1D" w:rsidP="00C11B1D">
            <w:pPr>
              <w:spacing w:line="360" w:lineRule="auto"/>
              <w:jc w:val="center"/>
              <w:rPr>
                <w:color w:val="000000"/>
              </w:rPr>
            </w:pPr>
          </w:p>
        </w:tc>
        <w:tc>
          <w:tcPr>
            <w:tcW w:w="729" w:type="pct"/>
            <w:tcBorders>
              <w:top w:val="single" w:sz="4" w:space="0" w:color="auto"/>
              <w:left w:val="single" w:sz="4" w:space="0" w:color="auto"/>
              <w:right w:val="nil"/>
            </w:tcBorders>
            <w:shd w:val="clear" w:color="auto" w:fill="auto"/>
            <w:noWrap/>
          </w:tcPr>
          <w:p w14:paraId="0A50E168" w14:textId="77777777" w:rsidR="00C11B1D" w:rsidRPr="00C11B1D" w:rsidRDefault="00C11B1D" w:rsidP="00C11B1D">
            <w:pPr>
              <w:spacing w:line="360" w:lineRule="auto"/>
              <w:jc w:val="center"/>
              <w:rPr>
                <w:color w:val="000000"/>
              </w:rPr>
            </w:pPr>
          </w:p>
        </w:tc>
        <w:tc>
          <w:tcPr>
            <w:tcW w:w="521" w:type="pct"/>
            <w:tcBorders>
              <w:top w:val="single" w:sz="4" w:space="0" w:color="auto"/>
              <w:left w:val="nil"/>
              <w:right w:val="single" w:sz="4" w:space="0" w:color="auto"/>
            </w:tcBorders>
            <w:shd w:val="clear" w:color="auto" w:fill="auto"/>
            <w:noWrap/>
          </w:tcPr>
          <w:p w14:paraId="5BE4019C" w14:textId="77777777" w:rsidR="00C11B1D" w:rsidRPr="00C11B1D" w:rsidRDefault="00C11B1D" w:rsidP="00C11B1D">
            <w:pPr>
              <w:spacing w:line="360" w:lineRule="auto"/>
              <w:jc w:val="center"/>
              <w:rPr>
                <w:color w:val="000000"/>
              </w:rPr>
            </w:pPr>
          </w:p>
        </w:tc>
        <w:tc>
          <w:tcPr>
            <w:tcW w:w="729" w:type="pct"/>
            <w:tcBorders>
              <w:top w:val="single" w:sz="4" w:space="0" w:color="auto"/>
              <w:left w:val="single" w:sz="4" w:space="0" w:color="auto"/>
              <w:right w:val="nil"/>
            </w:tcBorders>
            <w:shd w:val="clear" w:color="auto" w:fill="auto"/>
            <w:noWrap/>
          </w:tcPr>
          <w:p w14:paraId="1665C796" w14:textId="77777777" w:rsidR="00C11B1D" w:rsidRPr="00C11B1D" w:rsidRDefault="00C11B1D" w:rsidP="00C11B1D">
            <w:pPr>
              <w:spacing w:line="360" w:lineRule="auto"/>
              <w:jc w:val="center"/>
              <w:rPr>
                <w:color w:val="000000"/>
              </w:rPr>
            </w:pPr>
          </w:p>
        </w:tc>
        <w:tc>
          <w:tcPr>
            <w:tcW w:w="518" w:type="pct"/>
            <w:tcBorders>
              <w:top w:val="single" w:sz="4" w:space="0" w:color="auto"/>
              <w:left w:val="nil"/>
              <w:right w:val="nil"/>
            </w:tcBorders>
            <w:shd w:val="clear" w:color="auto" w:fill="auto"/>
            <w:noWrap/>
          </w:tcPr>
          <w:p w14:paraId="59A68C99" w14:textId="77777777" w:rsidR="00C11B1D" w:rsidRPr="00C11B1D" w:rsidRDefault="00C11B1D" w:rsidP="00C11B1D">
            <w:pPr>
              <w:spacing w:line="360" w:lineRule="auto"/>
              <w:jc w:val="center"/>
              <w:rPr>
                <w:color w:val="000000"/>
              </w:rPr>
            </w:pPr>
          </w:p>
        </w:tc>
      </w:tr>
      <w:tr w:rsidR="00C11B1D" w:rsidRPr="00C11B1D" w14:paraId="6EB3F3CC" w14:textId="77777777" w:rsidTr="00C11B1D">
        <w:trPr>
          <w:jc w:val="center"/>
        </w:trPr>
        <w:tc>
          <w:tcPr>
            <w:tcW w:w="730" w:type="pct"/>
            <w:tcBorders>
              <w:left w:val="nil"/>
              <w:right w:val="nil"/>
            </w:tcBorders>
            <w:shd w:val="clear" w:color="auto" w:fill="auto"/>
            <w:noWrap/>
            <w:hideMark/>
          </w:tcPr>
          <w:p w14:paraId="15F0FEF3" w14:textId="77777777" w:rsidR="00C11B1D" w:rsidRPr="00C11B1D" w:rsidRDefault="00C11B1D" w:rsidP="00C11B1D">
            <w:pPr>
              <w:spacing w:line="360" w:lineRule="auto"/>
              <w:jc w:val="center"/>
              <w:rPr>
                <w:color w:val="000000"/>
              </w:rPr>
            </w:pPr>
            <w:r w:rsidRPr="00C11B1D">
              <w:rPr>
                <w:color w:val="000000"/>
              </w:rPr>
              <w:t>BIH</w:t>
            </w:r>
          </w:p>
        </w:tc>
        <w:tc>
          <w:tcPr>
            <w:tcW w:w="522" w:type="pct"/>
            <w:tcBorders>
              <w:left w:val="nil"/>
              <w:right w:val="single" w:sz="4" w:space="0" w:color="auto"/>
            </w:tcBorders>
            <w:shd w:val="clear" w:color="auto" w:fill="auto"/>
            <w:noWrap/>
            <w:hideMark/>
          </w:tcPr>
          <w:p w14:paraId="59716D91"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left w:val="single" w:sz="4" w:space="0" w:color="auto"/>
              <w:right w:val="nil"/>
            </w:tcBorders>
            <w:shd w:val="clear" w:color="auto" w:fill="auto"/>
            <w:noWrap/>
            <w:hideMark/>
          </w:tcPr>
          <w:p w14:paraId="66888C15" w14:textId="77777777" w:rsidR="00C11B1D" w:rsidRPr="00C11B1D" w:rsidRDefault="00C11B1D" w:rsidP="00C11B1D">
            <w:pPr>
              <w:spacing w:line="360" w:lineRule="auto"/>
              <w:jc w:val="center"/>
              <w:rPr>
                <w:color w:val="000000"/>
              </w:rPr>
            </w:pPr>
            <w:r w:rsidRPr="00C11B1D">
              <w:rPr>
                <w:color w:val="000000"/>
              </w:rPr>
              <w:t>ISL</w:t>
            </w:r>
          </w:p>
        </w:tc>
        <w:tc>
          <w:tcPr>
            <w:tcW w:w="521" w:type="pct"/>
            <w:tcBorders>
              <w:left w:val="nil"/>
              <w:right w:val="single" w:sz="4" w:space="0" w:color="auto"/>
            </w:tcBorders>
            <w:shd w:val="clear" w:color="auto" w:fill="auto"/>
            <w:noWrap/>
            <w:hideMark/>
          </w:tcPr>
          <w:p w14:paraId="1F7300EF" w14:textId="77777777" w:rsidR="00C11B1D" w:rsidRPr="00C11B1D" w:rsidRDefault="00C11B1D" w:rsidP="00D22A16">
            <w:pPr>
              <w:tabs>
                <w:tab w:val="decimal" w:pos="371"/>
              </w:tabs>
              <w:spacing w:line="360" w:lineRule="auto"/>
              <w:rPr>
                <w:color w:val="000000"/>
              </w:rPr>
            </w:pPr>
            <w:r w:rsidRPr="00C11B1D">
              <w:rPr>
                <w:color w:val="000000"/>
              </w:rPr>
              <w:t>0.533</w:t>
            </w:r>
          </w:p>
        </w:tc>
        <w:tc>
          <w:tcPr>
            <w:tcW w:w="729" w:type="pct"/>
            <w:tcBorders>
              <w:left w:val="single" w:sz="4" w:space="0" w:color="auto"/>
              <w:right w:val="nil"/>
            </w:tcBorders>
            <w:shd w:val="clear" w:color="auto" w:fill="auto"/>
            <w:noWrap/>
            <w:hideMark/>
          </w:tcPr>
          <w:p w14:paraId="4B19476C" w14:textId="77777777" w:rsidR="00C11B1D" w:rsidRPr="00C11B1D" w:rsidRDefault="00C11B1D" w:rsidP="00C11B1D">
            <w:pPr>
              <w:spacing w:line="360" w:lineRule="auto"/>
              <w:jc w:val="center"/>
              <w:rPr>
                <w:color w:val="000000"/>
              </w:rPr>
            </w:pPr>
            <w:r w:rsidRPr="00C11B1D">
              <w:rPr>
                <w:color w:val="000000"/>
              </w:rPr>
              <w:t>PHL</w:t>
            </w:r>
          </w:p>
        </w:tc>
        <w:tc>
          <w:tcPr>
            <w:tcW w:w="521" w:type="pct"/>
            <w:tcBorders>
              <w:left w:val="nil"/>
              <w:right w:val="single" w:sz="4" w:space="0" w:color="auto"/>
            </w:tcBorders>
            <w:shd w:val="clear" w:color="auto" w:fill="auto"/>
            <w:noWrap/>
            <w:hideMark/>
          </w:tcPr>
          <w:p w14:paraId="23D5EA54" w14:textId="77777777" w:rsidR="00C11B1D" w:rsidRPr="00C11B1D" w:rsidRDefault="00C11B1D" w:rsidP="00D22A16">
            <w:pPr>
              <w:tabs>
                <w:tab w:val="decimal" w:pos="300"/>
              </w:tabs>
              <w:spacing w:line="360" w:lineRule="auto"/>
              <w:rPr>
                <w:color w:val="000000"/>
              </w:rPr>
            </w:pPr>
            <w:r w:rsidRPr="00C11B1D">
              <w:rPr>
                <w:color w:val="000000"/>
              </w:rPr>
              <w:t>0.750</w:t>
            </w:r>
          </w:p>
        </w:tc>
        <w:tc>
          <w:tcPr>
            <w:tcW w:w="729" w:type="pct"/>
            <w:tcBorders>
              <w:left w:val="single" w:sz="4" w:space="0" w:color="auto"/>
              <w:right w:val="nil"/>
            </w:tcBorders>
            <w:shd w:val="clear" w:color="auto" w:fill="auto"/>
            <w:noWrap/>
            <w:hideMark/>
          </w:tcPr>
          <w:p w14:paraId="5F27F051" w14:textId="77777777" w:rsidR="00C11B1D" w:rsidRPr="00C11B1D" w:rsidRDefault="00C11B1D" w:rsidP="00C11B1D">
            <w:pPr>
              <w:spacing w:line="360" w:lineRule="auto"/>
              <w:jc w:val="center"/>
              <w:rPr>
                <w:color w:val="000000"/>
              </w:rPr>
            </w:pPr>
            <w:r w:rsidRPr="00C11B1D">
              <w:rPr>
                <w:color w:val="000000"/>
              </w:rPr>
              <w:t>MYS</w:t>
            </w:r>
          </w:p>
        </w:tc>
        <w:tc>
          <w:tcPr>
            <w:tcW w:w="518" w:type="pct"/>
            <w:tcBorders>
              <w:left w:val="nil"/>
              <w:right w:val="nil"/>
            </w:tcBorders>
            <w:shd w:val="clear" w:color="auto" w:fill="auto"/>
            <w:noWrap/>
            <w:hideMark/>
          </w:tcPr>
          <w:p w14:paraId="1A3B4432" w14:textId="77777777" w:rsidR="00C11B1D" w:rsidRPr="00C11B1D" w:rsidRDefault="00C11B1D" w:rsidP="00D22A16">
            <w:pPr>
              <w:tabs>
                <w:tab w:val="decimal" w:pos="304"/>
              </w:tabs>
              <w:spacing w:line="360" w:lineRule="auto"/>
              <w:rPr>
                <w:color w:val="000000"/>
              </w:rPr>
            </w:pPr>
            <w:r w:rsidRPr="00C11B1D">
              <w:rPr>
                <w:color w:val="000000"/>
              </w:rPr>
              <w:t>0.933</w:t>
            </w:r>
          </w:p>
        </w:tc>
      </w:tr>
      <w:tr w:rsidR="00C11B1D" w:rsidRPr="00C11B1D" w14:paraId="448340F4" w14:textId="77777777" w:rsidTr="00C11B1D">
        <w:trPr>
          <w:jc w:val="center"/>
        </w:trPr>
        <w:tc>
          <w:tcPr>
            <w:tcW w:w="730" w:type="pct"/>
            <w:tcBorders>
              <w:left w:val="nil"/>
              <w:bottom w:val="nil"/>
              <w:right w:val="nil"/>
            </w:tcBorders>
            <w:shd w:val="clear" w:color="auto" w:fill="auto"/>
            <w:noWrap/>
            <w:hideMark/>
          </w:tcPr>
          <w:p w14:paraId="089CDDD0" w14:textId="77777777" w:rsidR="00C11B1D" w:rsidRPr="00C11B1D" w:rsidRDefault="00C11B1D" w:rsidP="00C11B1D">
            <w:pPr>
              <w:spacing w:line="360" w:lineRule="auto"/>
              <w:jc w:val="center"/>
              <w:rPr>
                <w:color w:val="000000"/>
              </w:rPr>
            </w:pPr>
            <w:r w:rsidRPr="00C11B1D">
              <w:rPr>
                <w:color w:val="000000"/>
              </w:rPr>
              <w:t>COM</w:t>
            </w:r>
          </w:p>
        </w:tc>
        <w:tc>
          <w:tcPr>
            <w:tcW w:w="522" w:type="pct"/>
            <w:tcBorders>
              <w:left w:val="nil"/>
              <w:bottom w:val="nil"/>
              <w:right w:val="single" w:sz="4" w:space="0" w:color="auto"/>
            </w:tcBorders>
            <w:shd w:val="clear" w:color="auto" w:fill="auto"/>
            <w:noWrap/>
            <w:hideMark/>
          </w:tcPr>
          <w:p w14:paraId="04F61C0E"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left w:val="single" w:sz="4" w:space="0" w:color="auto"/>
              <w:bottom w:val="nil"/>
              <w:right w:val="nil"/>
            </w:tcBorders>
            <w:shd w:val="clear" w:color="auto" w:fill="auto"/>
            <w:noWrap/>
            <w:hideMark/>
          </w:tcPr>
          <w:p w14:paraId="1C1D3039" w14:textId="77777777" w:rsidR="00C11B1D" w:rsidRPr="00C11B1D" w:rsidRDefault="00C11B1D" w:rsidP="00C11B1D">
            <w:pPr>
              <w:spacing w:line="360" w:lineRule="auto"/>
              <w:jc w:val="center"/>
              <w:rPr>
                <w:color w:val="000000"/>
              </w:rPr>
            </w:pPr>
            <w:r w:rsidRPr="00C11B1D">
              <w:rPr>
                <w:color w:val="000000"/>
              </w:rPr>
              <w:t>JPN</w:t>
            </w:r>
          </w:p>
        </w:tc>
        <w:tc>
          <w:tcPr>
            <w:tcW w:w="521" w:type="pct"/>
            <w:tcBorders>
              <w:left w:val="nil"/>
              <w:bottom w:val="nil"/>
              <w:right w:val="single" w:sz="4" w:space="0" w:color="auto"/>
            </w:tcBorders>
            <w:shd w:val="clear" w:color="auto" w:fill="auto"/>
            <w:noWrap/>
            <w:hideMark/>
          </w:tcPr>
          <w:p w14:paraId="26CFB36E" w14:textId="77777777" w:rsidR="00C11B1D" w:rsidRPr="00C11B1D" w:rsidRDefault="00C11B1D" w:rsidP="00D22A16">
            <w:pPr>
              <w:tabs>
                <w:tab w:val="decimal" w:pos="371"/>
              </w:tabs>
              <w:spacing w:line="360" w:lineRule="auto"/>
              <w:rPr>
                <w:color w:val="000000"/>
              </w:rPr>
            </w:pPr>
            <w:r w:rsidRPr="00C11B1D">
              <w:rPr>
                <w:color w:val="000000"/>
              </w:rPr>
              <w:t>0.538</w:t>
            </w:r>
          </w:p>
        </w:tc>
        <w:tc>
          <w:tcPr>
            <w:tcW w:w="729" w:type="pct"/>
            <w:tcBorders>
              <w:left w:val="single" w:sz="4" w:space="0" w:color="auto"/>
              <w:bottom w:val="nil"/>
              <w:right w:val="nil"/>
            </w:tcBorders>
            <w:shd w:val="clear" w:color="auto" w:fill="auto"/>
            <w:noWrap/>
            <w:hideMark/>
          </w:tcPr>
          <w:p w14:paraId="29CEF720" w14:textId="77777777" w:rsidR="00C11B1D" w:rsidRPr="00C11B1D" w:rsidRDefault="00C11B1D" w:rsidP="00C11B1D">
            <w:pPr>
              <w:spacing w:line="360" w:lineRule="auto"/>
              <w:jc w:val="center"/>
              <w:rPr>
                <w:color w:val="000000"/>
              </w:rPr>
            </w:pPr>
            <w:r w:rsidRPr="00C11B1D">
              <w:rPr>
                <w:color w:val="000000"/>
              </w:rPr>
              <w:t>SGP</w:t>
            </w:r>
          </w:p>
        </w:tc>
        <w:tc>
          <w:tcPr>
            <w:tcW w:w="521" w:type="pct"/>
            <w:tcBorders>
              <w:left w:val="nil"/>
              <w:bottom w:val="nil"/>
              <w:right w:val="single" w:sz="4" w:space="0" w:color="auto"/>
            </w:tcBorders>
            <w:shd w:val="clear" w:color="auto" w:fill="auto"/>
            <w:noWrap/>
            <w:hideMark/>
          </w:tcPr>
          <w:p w14:paraId="03EB48B7" w14:textId="77777777" w:rsidR="00C11B1D" w:rsidRPr="00C11B1D" w:rsidRDefault="00C11B1D" w:rsidP="00D22A16">
            <w:pPr>
              <w:tabs>
                <w:tab w:val="decimal" w:pos="300"/>
              </w:tabs>
              <w:spacing w:line="360" w:lineRule="auto"/>
              <w:rPr>
                <w:color w:val="000000"/>
              </w:rPr>
            </w:pPr>
            <w:r w:rsidRPr="00C11B1D">
              <w:rPr>
                <w:color w:val="000000"/>
              </w:rPr>
              <w:t>0.750</w:t>
            </w:r>
          </w:p>
        </w:tc>
        <w:tc>
          <w:tcPr>
            <w:tcW w:w="729" w:type="pct"/>
            <w:tcBorders>
              <w:left w:val="single" w:sz="4" w:space="0" w:color="auto"/>
              <w:bottom w:val="nil"/>
              <w:right w:val="nil"/>
            </w:tcBorders>
            <w:shd w:val="clear" w:color="auto" w:fill="auto"/>
            <w:noWrap/>
            <w:hideMark/>
          </w:tcPr>
          <w:p w14:paraId="6E7305F7" w14:textId="77777777" w:rsidR="00C11B1D" w:rsidRPr="00C11B1D" w:rsidRDefault="00C11B1D" w:rsidP="00C11B1D">
            <w:pPr>
              <w:spacing w:line="360" w:lineRule="auto"/>
              <w:jc w:val="center"/>
              <w:rPr>
                <w:color w:val="000000"/>
              </w:rPr>
            </w:pPr>
            <w:r w:rsidRPr="00C11B1D">
              <w:rPr>
                <w:color w:val="000000"/>
              </w:rPr>
              <w:t>SWZ</w:t>
            </w:r>
          </w:p>
        </w:tc>
        <w:tc>
          <w:tcPr>
            <w:tcW w:w="518" w:type="pct"/>
            <w:tcBorders>
              <w:left w:val="nil"/>
              <w:bottom w:val="nil"/>
              <w:right w:val="nil"/>
            </w:tcBorders>
            <w:shd w:val="clear" w:color="auto" w:fill="auto"/>
            <w:noWrap/>
            <w:hideMark/>
          </w:tcPr>
          <w:p w14:paraId="4DB8C5A6" w14:textId="77777777" w:rsidR="00C11B1D" w:rsidRPr="00C11B1D" w:rsidRDefault="00C11B1D" w:rsidP="00D22A16">
            <w:pPr>
              <w:tabs>
                <w:tab w:val="decimal" w:pos="304"/>
              </w:tabs>
              <w:spacing w:line="360" w:lineRule="auto"/>
              <w:rPr>
                <w:color w:val="000000"/>
              </w:rPr>
            </w:pPr>
            <w:r w:rsidRPr="00C11B1D">
              <w:rPr>
                <w:color w:val="000000"/>
              </w:rPr>
              <w:t>0.933</w:t>
            </w:r>
          </w:p>
        </w:tc>
      </w:tr>
      <w:tr w:rsidR="00C11B1D" w:rsidRPr="00C11B1D" w14:paraId="16E71D40" w14:textId="77777777" w:rsidTr="00C11B1D">
        <w:trPr>
          <w:jc w:val="center"/>
        </w:trPr>
        <w:tc>
          <w:tcPr>
            <w:tcW w:w="730" w:type="pct"/>
            <w:tcBorders>
              <w:top w:val="nil"/>
              <w:left w:val="nil"/>
              <w:bottom w:val="nil"/>
              <w:right w:val="nil"/>
            </w:tcBorders>
            <w:shd w:val="clear" w:color="auto" w:fill="auto"/>
            <w:noWrap/>
            <w:hideMark/>
          </w:tcPr>
          <w:p w14:paraId="7A5FADB3" w14:textId="77777777" w:rsidR="00C11B1D" w:rsidRPr="00C11B1D" w:rsidRDefault="00C11B1D" w:rsidP="00C11B1D">
            <w:pPr>
              <w:spacing w:line="360" w:lineRule="auto"/>
              <w:jc w:val="center"/>
              <w:rPr>
                <w:color w:val="000000"/>
              </w:rPr>
            </w:pPr>
            <w:r w:rsidRPr="00C11B1D">
              <w:rPr>
                <w:color w:val="000000"/>
              </w:rPr>
              <w:t>GNB</w:t>
            </w:r>
          </w:p>
        </w:tc>
        <w:tc>
          <w:tcPr>
            <w:tcW w:w="522" w:type="pct"/>
            <w:tcBorders>
              <w:top w:val="nil"/>
              <w:left w:val="nil"/>
              <w:bottom w:val="nil"/>
              <w:right w:val="single" w:sz="4" w:space="0" w:color="auto"/>
            </w:tcBorders>
            <w:shd w:val="clear" w:color="auto" w:fill="auto"/>
            <w:noWrap/>
            <w:hideMark/>
          </w:tcPr>
          <w:p w14:paraId="43979CCB"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4C710097" w14:textId="77777777" w:rsidR="00C11B1D" w:rsidRPr="00C11B1D" w:rsidRDefault="00C11B1D" w:rsidP="00C11B1D">
            <w:pPr>
              <w:spacing w:line="360" w:lineRule="auto"/>
              <w:jc w:val="center"/>
              <w:rPr>
                <w:color w:val="000000"/>
              </w:rPr>
            </w:pPr>
            <w:r w:rsidRPr="00C11B1D">
              <w:rPr>
                <w:color w:val="000000"/>
              </w:rPr>
              <w:t>SLV</w:t>
            </w:r>
          </w:p>
        </w:tc>
        <w:tc>
          <w:tcPr>
            <w:tcW w:w="521" w:type="pct"/>
            <w:tcBorders>
              <w:top w:val="nil"/>
              <w:left w:val="nil"/>
              <w:bottom w:val="nil"/>
              <w:right w:val="single" w:sz="4" w:space="0" w:color="auto"/>
            </w:tcBorders>
            <w:shd w:val="clear" w:color="auto" w:fill="auto"/>
            <w:noWrap/>
            <w:hideMark/>
          </w:tcPr>
          <w:p w14:paraId="263090E0" w14:textId="77777777" w:rsidR="00C11B1D" w:rsidRPr="00C11B1D" w:rsidRDefault="00C11B1D" w:rsidP="00D22A16">
            <w:pPr>
              <w:tabs>
                <w:tab w:val="decimal" w:pos="371"/>
              </w:tabs>
              <w:spacing w:line="360" w:lineRule="auto"/>
              <w:rPr>
                <w:color w:val="000000"/>
              </w:rPr>
            </w:pPr>
            <w:r w:rsidRPr="00C11B1D">
              <w:rPr>
                <w:color w:val="000000"/>
              </w:rPr>
              <w:t>0.538</w:t>
            </w:r>
          </w:p>
        </w:tc>
        <w:tc>
          <w:tcPr>
            <w:tcW w:w="729" w:type="pct"/>
            <w:tcBorders>
              <w:top w:val="nil"/>
              <w:left w:val="single" w:sz="4" w:space="0" w:color="auto"/>
              <w:bottom w:val="nil"/>
              <w:right w:val="nil"/>
            </w:tcBorders>
            <w:shd w:val="clear" w:color="auto" w:fill="auto"/>
            <w:noWrap/>
            <w:hideMark/>
          </w:tcPr>
          <w:p w14:paraId="22B2BC45" w14:textId="77777777" w:rsidR="00C11B1D" w:rsidRPr="00C11B1D" w:rsidRDefault="00C11B1D" w:rsidP="00C11B1D">
            <w:pPr>
              <w:spacing w:line="360" w:lineRule="auto"/>
              <w:jc w:val="center"/>
              <w:rPr>
                <w:color w:val="000000"/>
              </w:rPr>
            </w:pPr>
            <w:r w:rsidRPr="00C11B1D">
              <w:rPr>
                <w:color w:val="000000"/>
              </w:rPr>
              <w:t>NOR</w:t>
            </w:r>
          </w:p>
        </w:tc>
        <w:tc>
          <w:tcPr>
            <w:tcW w:w="521" w:type="pct"/>
            <w:tcBorders>
              <w:top w:val="nil"/>
              <w:left w:val="nil"/>
              <w:bottom w:val="nil"/>
              <w:right w:val="single" w:sz="4" w:space="0" w:color="auto"/>
            </w:tcBorders>
            <w:shd w:val="clear" w:color="auto" w:fill="auto"/>
            <w:noWrap/>
            <w:hideMark/>
          </w:tcPr>
          <w:p w14:paraId="3DED6D19" w14:textId="77777777" w:rsidR="00C11B1D" w:rsidRPr="00C11B1D" w:rsidRDefault="00C11B1D" w:rsidP="00D22A16">
            <w:pPr>
              <w:tabs>
                <w:tab w:val="decimal" w:pos="300"/>
              </w:tabs>
              <w:spacing w:line="360" w:lineRule="auto"/>
              <w:rPr>
                <w:color w:val="000000"/>
              </w:rPr>
            </w:pPr>
            <w:r w:rsidRPr="00C11B1D">
              <w:rPr>
                <w:color w:val="000000"/>
              </w:rPr>
              <w:t>0.760</w:t>
            </w:r>
          </w:p>
        </w:tc>
        <w:tc>
          <w:tcPr>
            <w:tcW w:w="729" w:type="pct"/>
            <w:tcBorders>
              <w:top w:val="nil"/>
              <w:left w:val="single" w:sz="4" w:space="0" w:color="auto"/>
              <w:bottom w:val="nil"/>
              <w:right w:val="nil"/>
            </w:tcBorders>
            <w:shd w:val="clear" w:color="auto" w:fill="auto"/>
            <w:noWrap/>
            <w:hideMark/>
          </w:tcPr>
          <w:p w14:paraId="1F91A01A" w14:textId="77777777" w:rsidR="00C11B1D" w:rsidRPr="00C11B1D" w:rsidRDefault="00C11B1D" w:rsidP="00C11B1D">
            <w:pPr>
              <w:spacing w:line="360" w:lineRule="auto"/>
              <w:jc w:val="center"/>
              <w:rPr>
                <w:color w:val="000000"/>
              </w:rPr>
            </w:pPr>
            <w:r w:rsidRPr="00C11B1D">
              <w:rPr>
                <w:color w:val="000000"/>
              </w:rPr>
              <w:t>VEN</w:t>
            </w:r>
          </w:p>
        </w:tc>
        <w:tc>
          <w:tcPr>
            <w:tcW w:w="518" w:type="pct"/>
            <w:tcBorders>
              <w:top w:val="nil"/>
              <w:left w:val="nil"/>
              <w:bottom w:val="nil"/>
              <w:right w:val="nil"/>
            </w:tcBorders>
            <w:shd w:val="clear" w:color="auto" w:fill="auto"/>
            <w:noWrap/>
            <w:hideMark/>
          </w:tcPr>
          <w:p w14:paraId="30B7D159" w14:textId="77777777" w:rsidR="00C11B1D" w:rsidRPr="00C11B1D" w:rsidRDefault="00C11B1D" w:rsidP="00D22A16">
            <w:pPr>
              <w:tabs>
                <w:tab w:val="decimal" w:pos="304"/>
              </w:tabs>
              <w:spacing w:line="360" w:lineRule="auto"/>
              <w:rPr>
                <w:color w:val="000000"/>
              </w:rPr>
            </w:pPr>
            <w:r w:rsidRPr="00C11B1D">
              <w:rPr>
                <w:color w:val="000000"/>
              </w:rPr>
              <w:t>0.933</w:t>
            </w:r>
          </w:p>
        </w:tc>
      </w:tr>
      <w:tr w:rsidR="00C11B1D" w:rsidRPr="00C11B1D" w14:paraId="7EBB030B" w14:textId="77777777" w:rsidTr="00C11B1D">
        <w:trPr>
          <w:jc w:val="center"/>
        </w:trPr>
        <w:tc>
          <w:tcPr>
            <w:tcW w:w="730" w:type="pct"/>
            <w:tcBorders>
              <w:top w:val="nil"/>
              <w:left w:val="nil"/>
              <w:bottom w:val="nil"/>
              <w:right w:val="nil"/>
            </w:tcBorders>
            <w:shd w:val="clear" w:color="auto" w:fill="auto"/>
            <w:noWrap/>
            <w:hideMark/>
          </w:tcPr>
          <w:p w14:paraId="3B59D287" w14:textId="77777777" w:rsidR="00C11B1D" w:rsidRPr="00C11B1D" w:rsidRDefault="00C11B1D" w:rsidP="00C11B1D">
            <w:pPr>
              <w:spacing w:line="360" w:lineRule="auto"/>
              <w:jc w:val="center"/>
              <w:rPr>
                <w:color w:val="000000"/>
              </w:rPr>
            </w:pPr>
            <w:r w:rsidRPr="00C11B1D">
              <w:rPr>
                <w:color w:val="000000"/>
              </w:rPr>
              <w:t>KGZ</w:t>
            </w:r>
          </w:p>
        </w:tc>
        <w:tc>
          <w:tcPr>
            <w:tcW w:w="522" w:type="pct"/>
            <w:tcBorders>
              <w:top w:val="nil"/>
              <w:left w:val="nil"/>
              <w:bottom w:val="nil"/>
              <w:right w:val="single" w:sz="4" w:space="0" w:color="auto"/>
            </w:tcBorders>
            <w:shd w:val="clear" w:color="auto" w:fill="auto"/>
            <w:noWrap/>
            <w:hideMark/>
          </w:tcPr>
          <w:p w14:paraId="7FEE5A4F"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31E0AB11" w14:textId="77777777" w:rsidR="00C11B1D" w:rsidRPr="00C11B1D" w:rsidRDefault="00C11B1D" w:rsidP="00C11B1D">
            <w:pPr>
              <w:spacing w:line="360" w:lineRule="auto"/>
              <w:jc w:val="center"/>
              <w:rPr>
                <w:color w:val="000000"/>
              </w:rPr>
            </w:pPr>
            <w:r w:rsidRPr="00C11B1D">
              <w:rPr>
                <w:color w:val="000000"/>
              </w:rPr>
              <w:t>TUR</w:t>
            </w:r>
          </w:p>
        </w:tc>
        <w:tc>
          <w:tcPr>
            <w:tcW w:w="521" w:type="pct"/>
            <w:tcBorders>
              <w:top w:val="nil"/>
              <w:left w:val="nil"/>
              <w:bottom w:val="nil"/>
              <w:right w:val="single" w:sz="4" w:space="0" w:color="auto"/>
            </w:tcBorders>
            <w:shd w:val="clear" w:color="auto" w:fill="auto"/>
            <w:noWrap/>
            <w:hideMark/>
          </w:tcPr>
          <w:p w14:paraId="130F6998" w14:textId="77777777" w:rsidR="00C11B1D" w:rsidRPr="00C11B1D" w:rsidRDefault="00C11B1D" w:rsidP="00D22A16">
            <w:pPr>
              <w:tabs>
                <w:tab w:val="decimal" w:pos="371"/>
              </w:tabs>
              <w:spacing w:line="360" w:lineRule="auto"/>
              <w:rPr>
                <w:color w:val="000000"/>
              </w:rPr>
            </w:pPr>
            <w:r w:rsidRPr="00C11B1D">
              <w:rPr>
                <w:color w:val="000000"/>
              </w:rPr>
              <w:t>0.538</w:t>
            </w:r>
          </w:p>
        </w:tc>
        <w:tc>
          <w:tcPr>
            <w:tcW w:w="729" w:type="pct"/>
            <w:tcBorders>
              <w:top w:val="nil"/>
              <w:left w:val="single" w:sz="4" w:space="0" w:color="auto"/>
              <w:bottom w:val="nil"/>
              <w:right w:val="nil"/>
            </w:tcBorders>
            <w:shd w:val="clear" w:color="auto" w:fill="auto"/>
            <w:noWrap/>
            <w:hideMark/>
          </w:tcPr>
          <w:p w14:paraId="6B888D08" w14:textId="77777777" w:rsidR="00C11B1D" w:rsidRPr="00C11B1D" w:rsidRDefault="00C11B1D" w:rsidP="00C11B1D">
            <w:pPr>
              <w:spacing w:line="360" w:lineRule="auto"/>
              <w:jc w:val="center"/>
              <w:rPr>
                <w:color w:val="000000"/>
              </w:rPr>
            </w:pPr>
            <w:r w:rsidRPr="00C11B1D">
              <w:rPr>
                <w:color w:val="000000"/>
              </w:rPr>
              <w:t>BHR</w:t>
            </w:r>
          </w:p>
        </w:tc>
        <w:tc>
          <w:tcPr>
            <w:tcW w:w="521" w:type="pct"/>
            <w:tcBorders>
              <w:top w:val="nil"/>
              <w:left w:val="nil"/>
              <w:bottom w:val="nil"/>
              <w:right w:val="single" w:sz="4" w:space="0" w:color="auto"/>
            </w:tcBorders>
            <w:shd w:val="clear" w:color="auto" w:fill="auto"/>
            <w:noWrap/>
            <w:hideMark/>
          </w:tcPr>
          <w:p w14:paraId="70974A77" w14:textId="77777777" w:rsidR="00C11B1D" w:rsidRPr="00C11B1D" w:rsidRDefault="00C11B1D" w:rsidP="00D22A16">
            <w:pPr>
              <w:tabs>
                <w:tab w:val="decimal" w:pos="300"/>
              </w:tabs>
              <w:spacing w:line="360" w:lineRule="auto"/>
              <w:rPr>
                <w:color w:val="000000"/>
              </w:rPr>
            </w:pPr>
            <w:r w:rsidRPr="00C11B1D">
              <w:rPr>
                <w:color w:val="000000"/>
              </w:rPr>
              <w:t>0.778</w:t>
            </w:r>
          </w:p>
        </w:tc>
        <w:tc>
          <w:tcPr>
            <w:tcW w:w="729" w:type="pct"/>
            <w:tcBorders>
              <w:top w:val="nil"/>
              <w:left w:val="single" w:sz="4" w:space="0" w:color="auto"/>
              <w:bottom w:val="nil"/>
              <w:right w:val="nil"/>
            </w:tcBorders>
            <w:shd w:val="clear" w:color="auto" w:fill="auto"/>
            <w:noWrap/>
            <w:hideMark/>
          </w:tcPr>
          <w:p w14:paraId="52F321C4" w14:textId="77777777" w:rsidR="00C11B1D" w:rsidRPr="00C11B1D" w:rsidRDefault="00C11B1D" w:rsidP="00C11B1D">
            <w:pPr>
              <w:spacing w:line="360" w:lineRule="auto"/>
              <w:jc w:val="center"/>
              <w:rPr>
                <w:color w:val="000000"/>
              </w:rPr>
            </w:pPr>
            <w:r w:rsidRPr="00C11B1D">
              <w:rPr>
                <w:color w:val="000000"/>
              </w:rPr>
              <w:t>ZAF</w:t>
            </w:r>
          </w:p>
        </w:tc>
        <w:tc>
          <w:tcPr>
            <w:tcW w:w="518" w:type="pct"/>
            <w:tcBorders>
              <w:top w:val="nil"/>
              <w:left w:val="nil"/>
              <w:bottom w:val="nil"/>
              <w:right w:val="nil"/>
            </w:tcBorders>
            <w:shd w:val="clear" w:color="auto" w:fill="auto"/>
            <w:noWrap/>
            <w:hideMark/>
          </w:tcPr>
          <w:p w14:paraId="546340D5" w14:textId="77777777" w:rsidR="00C11B1D" w:rsidRPr="00C11B1D" w:rsidRDefault="00C11B1D" w:rsidP="00D22A16">
            <w:pPr>
              <w:tabs>
                <w:tab w:val="decimal" w:pos="304"/>
              </w:tabs>
              <w:spacing w:line="360" w:lineRule="auto"/>
              <w:rPr>
                <w:color w:val="000000"/>
              </w:rPr>
            </w:pPr>
            <w:r w:rsidRPr="00C11B1D">
              <w:rPr>
                <w:color w:val="000000"/>
              </w:rPr>
              <w:t>0.955</w:t>
            </w:r>
          </w:p>
        </w:tc>
      </w:tr>
      <w:tr w:rsidR="00C11B1D" w:rsidRPr="00C11B1D" w14:paraId="6070DDD7" w14:textId="77777777" w:rsidTr="00C11B1D">
        <w:trPr>
          <w:jc w:val="center"/>
        </w:trPr>
        <w:tc>
          <w:tcPr>
            <w:tcW w:w="730" w:type="pct"/>
            <w:tcBorders>
              <w:top w:val="nil"/>
              <w:left w:val="nil"/>
              <w:bottom w:val="nil"/>
              <w:right w:val="nil"/>
            </w:tcBorders>
            <w:shd w:val="clear" w:color="auto" w:fill="auto"/>
            <w:noWrap/>
            <w:hideMark/>
          </w:tcPr>
          <w:p w14:paraId="6770AAC4" w14:textId="77777777" w:rsidR="00C11B1D" w:rsidRPr="00C11B1D" w:rsidRDefault="00C11B1D" w:rsidP="00C11B1D">
            <w:pPr>
              <w:spacing w:line="360" w:lineRule="auto"/>
              <w:jc w:val="center"/>
              <w:rPr>
                <w:color w:val="000000"/>
              </w:rPr>
            </w:pPr>
            <w:r w:rsidRPr="00C11B1D">
              <w:rPr>
                <w:color w:val="000000"/>
              </w:rPr>
              <w:t>KWT</w:t>
            </w:r>
          </w:p>
        </w:tc>
        <w:tc>
          <w:tcPr>
            <w:tcW w:w="522" w:type="pct"/>
            <w:tcBorders>
              <w:top w:val="nil"/>
              <w:left w:val="nil"/>
              <w:bottom w:val="nil"/>
              <w:right w:val="single" w:sz="4" w:space="0" w:color="auto"/>
            </w:tcBorders>
            <w:shd w:val="clear" w:color="auto" w:fill="auto"/>
            <w:noWrap/>
            <w:hideMark/>
          </w:tcPr>
          <w:p w14:paraId="6853FF16"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072B1D9C" w14:textId="77777777" w:rsidR="00C11B1D" w:rsidRPr="00C11B1D" w:rsidRDefault="00C11B1D" w:rsidP="00C11B1D">
            <w:pPr>
              <w:spacing w:line="360" w:lineRule="auto"/>
              <w:jc w:val="center"/>
              <w:rPr>
                <w:color w:val="000000"/>
              </w:rPr>
            </w:pPr>
            <w:r w:rsidRPr="00C11B1D">
              <w:rPr>
                <w:color w:val="000000"/>
              </w:rPr>
              <w:t>LUX</w:t>
            </w:r>
          </w:p>
        </w:tc>
        <w:tc>
          <w:tcPr>
            <w:tcW w:w="521" w:type="pct"/>
            <w:tcBorders>
              <w:top w:val="nil"/>
              <w:left w:val="nil"/>
              <w:bottom w:val="nil"/>
              <w:right w:val="single" w:sz="4" w:space="0" w:color="auto"/>
            </w:tcBorders>
            <w:shd w:val="clear" w:color="auto" w:fill="auto"/>
            <w:noWrap/>
            <w:hideMark/>
          </w:tcPr>
          <w:p w14:paraId="1C1BA5D8" w14:textId="77777777" w:rsidR="00C11B1D" w:rsidRPr="00C11B1D" w:rsidRDefault="00C11B1D" w:rsidP="00D22A16">
            <w:pPr>
              <w:tabs>
                <w:tab w:val="decimal" w:pos="371"/>
              </w:tabs>
              <w:spacing w:line="360" w:lineRule="auto"/>
              <w:rPr>
                <w:color w:val="000000"/>
              </w:rPr>
            </w:pPr>
            <w:r w:rsidRPr="00C11B1D">
              <w:rPr>
                <w:color w:val="000000"/>
              </w:rPr>
              <w:t>0.545</w:t>
            </w:r>
          </w:p>
        </w:tc>
        <w:tc>
          <w:tcPr>
            <w:tcW w:w="729" w:type="pct"/>
            <w:tcBorders>
              <w:top w:val="nil"/>
              <w:left w:val="single" w:sz="4" w:space="0" w:color="auto"/>
              <w:bottom w:val="nil"/>
              <w:right w:val="nil"/>
            </w:tcBorders>
            <w:shd w:val="clear" w:color="auto" w:fill="auto"/>
            <w:noWrap/>
            <w:hideMark/>
          </w:tcPr>
          <w:p w14:paraId="3FC9F907" w14:textId="77777777" w:rsidR="00C11B1D" w:rsidRPr="00C11B1D" w:rsidRDefault="00C11B1D" w:rsidP="00C11B1D">
            <w:pPr>
              <w:spacing w:line="360" w:lineRule="auto"/>
              <w:jc w:val="center"/>
              <w:rPr>
                <w:color w:val="000000"/>
              </w:rPr>
            </w:pPr>
            <w:r w:rsidRPr="00C11B1D">
              <w:rPr>
                <w:color w:val="000000"/>
              </w:rPr>
              <w:t>ERI</w:t>
            </w:r>
          </w:p>
        </w:tc>
        <w:tc>
          <w:tcPr>
            <w:tcW w:w="521" w:type="pct"/>
            <w:tcBorders>
              <w:top w:val="nil"/>
              <w:left w:val="nil"/>
              <w:bottom w:val="nil"/>
              <w:right w:val="single" w:sz="4" w:space="0" w:color="auto"/>
            </w:tcBorders>
            <w:shd w:val="clear" w:color="auto" w:fill="auto"/>
            <w:noWrap/>
            <w:hideMark/>
          </w:tcPr>
          <w:p w14:paraId="426354F0" w14:textId="77777777" w:rsidR="00C11B1D" w:rsidRPr="00C11B1D" w:rsidRDefault="00C11B1D" w:rsidP="00D22A16">
            <w:pPr>
              <w:tabs>
                <w:tab w:val="decimal" w:pos="300"/>
              </w:tabs>
              <w:spacing w:line="360" w:lineRule="auto"/>
              <w:rPr>
                <w:color w:val="000000"/>
              </w:rPr>
            </w:pPr>
            <w:r w:rsidRPr="00C11B1D">
              <w:rPr>
                <w:color w:val="000000"/>
              </w:rPr>
              <w:t>0.778</w:t>
            </w:r>
          </w:p>
        </w:tc>
        <w:tc>
          <w:tcPr>
            <w:tcW w:w="729" w:type="pct"/>
            <w:tcBorders>
              <w:top w:val="nil"/>
              <w:left w:val="single" w:sz="4" w:space="0" w:color="auto"/>
              <w:bottom w:val="nil"/>
              <w:right w:val="nil"/>
            </w:tcBorders>
            <w:shd w:val="clear" w:color="auto" w:fill="auto"/>
            <w:noWrap/>
            <w:hideMark/>
          </w:tcPr>
          <w:p w14:paraId="5CC51438" w14:textId="77777777" w:rsidR="00C11B1D" w:rsidRPr="00C11B1D" w:rsidRDefault="00C11B1D" w:rsidP="00C11B1D">
            <w:pPr>
              <w:spacing w:line="360" w:lineRule="auto"/>
              <w:jc w:val="center"/>
              <w:rPr>
                <w:color w:val="000000"/>
              </w:rPr>
            </w:pPr>
            <w:r w:rsidRPr="00C11B1D">
              <w:rPr>
                <w:color w:val="000000"/>
              </w:rPr>
              <w:t>MNG</w:t>
            </w:r>
          </w:p>
        </w:tc>
        <w:tc>
          <w:tcPr>
            <w:tcW w:w="518" w:type="pct"/>
            <w:tcBorders>
              <w:top w:val="nil"/>
              <w:left w:val="nil"/>
              <w:bottom w:val="nil"/>
              <w:right w:val="nil"/>
            </w:tcBorders>
            <w:shd w:val="clear" w:color="auto" w:fill="auto"/>
            <w:noWrap/>
            <w:hideMark/>
          </w:tcPr>
          <w:p w14:paraId="0FA5A328" w14:textId="77777777" w:rsidR="00C11B1D" w:rsidRPr="00C11B1D" w:rsidRDefault="00C11B1D" w:rsidP="00D22A16">
            <w:pPr>
              <w:tabs>
                <w:tab w:val="decimal" w:pos="304"/>
              </w:tabs>
              <w:spacing w:line="360" w:lineRule="auto"/>
              <w:rPr>
                <w:color w:val="000000"/>
              </w:rPr>
            </w:pPr>
            <w:r w:rsidRPr="00C11B1D">
              <w:rPr>
                <w:color w:val="000000"/>
              </w:rPr>
              <w:t>0.972</w:t>
            </w:r>
          </w:p>
        </w:tc>
      </w:tr>
      <w:tr w:rsidR="00C11B1D" w:rsidRPr="00C11B1D" w14:paraId="58A63F9B" w14:textId="77777777" w:rsidTr="00C11B1D">
        <w:trPr>
          <w:jc w:val="center"/>
        </w:trPr>
        <w:tc>
          <w:tcPr>
            <w:tcW w:w="730" w:type="pct"/>
            <w:tcBorders>
              <w:top w:val="nil"/>
              <w:left w:val="nil"/>
              <w:bottom w:val="nil"/>
              <w:right w:val="nil"/>
            </w:tcBorders>
            <w:shd w:val="clear" w:color="auto" w:fill="auto"/>
            <w:noWrap/>
            <w:hideMark/>
          </w:tcPr>
          <w:p w14:paraId="64FB76AB" w14:textId="77777777" w:rsidR="00C11B1D" w:rsidRPr="00C11B1D" w:rsidRDefault="00C11B1D" w:rsidP="00C11B1D">
            <w:pPr>
              <w:spacing w:line="360" w:lineRule="auto"/>
              <w:jc w:val="center"/>
              <w:rPr>
                <w:color w:val="000000"/>
              </w:rPr>
            </w:pPr>
            <w:r w:rsidRPr="00C11B1D">
              <w:rPr>
                <w:color w:val="000000"/>
              </w:rPr>
              <w:t>LBR</w:t>
            </w:r>
          </w:p>
        </w:tc>
        <w:tc>
          <w:tcPr>
            <w:tcW w:w="522" w:type="pct"/>
            <w:tcBorders>
              <w:top w:val="nil"/>
              <w:left w:val="nil"/>
              <w:bottom w:val="nil"/>
              <w:right w:val="single" w:sz="4" w:space="0" w:color="auto"/>
            </w:tcBorders>
            <w:shd w:val="clear" w:color="auto" w:fill="auto"/>
            <w:noWrap/>
            <w:hideMark/>
          </w:tcPr>
          <w:p w14:paraId="1E0457BD"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3FE4FD5A" w14:textId="77777777" w:rsidR="00C11B1D" w:rsidRPr="00C11B1D" w:rsidRDefault="00C11B1D" w:rsidP="00C11B1D">
            <w:pPr>
              <w:spacing w:line="360" w:lineRule="auto"/>
              <w:jc w:val="center"/>
              <w:rPr>
                <w:color w:val="000000"/>
              </w:rPr>
            </w:pPr>
            <w:r w:rsidRPr="00C11B1D">
              <w:rPr>
                <w:color w:val="000000"/>
              </w:rPr>
              <w:t>MOZ</w:t>
            </w:r>
          </w:p>
        </w:tc>
        <w:tc>
          <w:tcPr>
            <w:tcW w:w="521" w:type="pct"/>
            <w:tcBorders>
              <w:top w:val="nil"/>
              <w:left w:val="nil"/>
              <w:bottom w:val="nil"/>
              <w:right w:val="single" w:sz="4" w:space="0" w:color="auto"/>
            </w:tcBorders>
            <w:shd w:val="clear" w:color="auto" w:fill="auto"/>
            <w:noWrap/>
            <w:hideMark/>
          </w:tcPr>
          <w:p w14:paraId="4ED832CC" w14:textId="77777777" w:rsidR="00C11B1D" w:rsidRPr="00C11B1D" w:rsidRDefault="00C11B1D" w:rsidP="00D22A16">
            <w:pPr>
              <w:tabs>
                <w:tab w:val="decimal" w:pos="371"/>
              </w:tabs>
              <w:spacing w:line="360" w:lineRule="auto"/>
              <w:rPr>
                <w:color w:val="000000"/>
              </w:rPr>
            </w:pPr>
            <w:r w:rsidRPr="00C11B1D">
              <w:rPr>
                <w:color w:val="000000"/>
              </w:rPr>
              <w:t>0.545</w:t>
            </w:r>
          </w:p>
        </w:tc>
        <w:tc>
          <w:tcPr>
            <w:tcW w:w="729" w:type="pct"/>
            <w:tcBorders>
              <w:top w:val="nil"/>
              <w:left w:val="single" w:sz="4" w:space="0" w:color="auto"/>
              <w:bottom w:val="nil"/>
              <w:right w:val="nil"/>
            </w:tcBorders>
            <w:shd w:val="clear" w:color="auto" w:fill="auto"/>
            <w:noWrap/>
            <w:hideMark/>
          </w:tcPr>
          <w:p w14:paraId="3DFB4307" w14:textId="77777777" w:rsidR="00C11B1D" w:rsidRPr="00C11B1D" w:rsidRDefault="00C11B1D" w:rsidP="00C11B1D">
            <w:pPr>
              <w:spacing w:line="360" w:lineRule="auto"/>
              <w:jc w:val="center"/>
              <w:rPr>
                <w:color w:val="000000"/>
              </w:rPr>
            </w:pPr>
            <w:r w:rsidRPr="00C11B1D">
              <w:rPr>
                <w:color w:val="000000"/>
              </w:rPr>
              <w:t>LBN</w:t>
            </w:r>
          </w:p>
        </w:tc>
        <w:tc>
          <w:tcPr>
            <w:tcW w:w="521" w:type="pct"/>
            <w:tcBorders>
              <w:top w:val="nil"/>
              <w:left w:val="nil"/>
              <w:bottom w:val="nil"/>
              <w:right w:val="single" w:sz="4" w:space="0" w:color="auto"/>
            </w:tcBorders>
            <w:shd w:val="clear" w:color="auto" w:fill="auto"/>
            <w:noWrap/>
            <w:hideMark/>
          </w:tcPr>
          <w:p w14:paraId="6B473ECE" w14:textId="77777777" w:rsidR="00C11B1D" w:rsidRPr="00C11B1D" w:rsidRDefault="00C11B1D" w:rsidP="00D22A16">
            <w:pPr>
              <w:tabs>
                <w:tab w:val="decimal" w:pos="300"/>
              </w:tabs>
              <w:spacing w:line="360" w:lineRule="auto"/>
              <w:rPr>
                <w:color w:val="000000"/>
              </w:rPr>
            </w:pPr>
            <w:r w:rsidRPr="00C11B1D">
              <w:rPr>
                <w:color w:val="000000"/>
              </w:rPr>
              <w:t>0.778</w:t>
            </w:r>
          </w:p>
        </w:tc>
        <w:tc>
          <w:tcPr>
            <w:tcW w:w="729" w:type="pct"/>
            <w:tcBorders>
              <w:top w:val="nil"/>
              <w:left w:val="single" w:sz="4" w:space="0" w:color="auto"/>
              <w:bottom w:val="nil"/>
              <w:right w:val="nil"/>
            </w:tcBorders>
            <w:shd w:val="clear" w:color="auto" w:fill="auto"/>
            <w:noWrap/>
            <w:hideMark/>
          </w:tcPr>
          <w:p w14:paraId="0E6CF4D2" w14:textId="77777777" w:rsidR="00C11B1D" w:rsidRPr="00C11B1D" w:rsidRDefault="00C11B1D" w:rsidP="00C11B1D">
            <w:pPr>
              <w:spacing w:line="360" w:lineRule="auto"/>
              <w:jc w:val="center"/>
              <w:rPr>
                <w:color w:val="000000"/>
              </w:rPr>
            </w:pPr>
            <w:r w:rsidRPr="00C11B1D">
              <w:rPr>
                <w:color w:val="000000"/>
              </w:rPr>
              <w:t>BWA</w:t>
            </w:r>
          </w:p>
        </w:tc>
        <w:tc>
          <w:tcPr>
            <w:tcW w:w="518" w:type="pct"/>
            <w:tcBorders>
              <w:top w:val="nil"/>
              <w:left w:val="nil"/>
              <w:bottom w:val="nil"/>
              <w:right w:val="nil"/>
            </w:tcBorders>
            <w:shd w:val="clear" w:color="auto" w:fill="auto"/>
            <w:noWrap/>
            <w:hideMark/>
          </w:tcPr>
          <w:p w14:paraId="04F8D23E" w14:textId="77777777" w:rsidR="00C11B1D" w:rsidRPr="00C11B1D" w:rsidRDefault="00C11B1D" w:rsidP="00D22A16">
            <w:pPr>
              <w:tabs>
                <w:tab w:val="decimal" w:pos="304"/>
              </w:tabs>
              <w:spacing w:line="360" w:lineRule="auto"/>
              <w:rPr>
                <w:color w:val="000000"/>
              </w:rPr>
            </w:pPr>
            <w:r w:rsidRPr="00C11B1D">
              <w:rPr>
                <w:color w:val="000000"/>
              </w:rPr>
              <w:t>0.988</w:t>
            </w:r>
          </w:p>
        </w:tc>
      </w:tr>
      <w:tr w:rsidR="00C11B1D" w:rsidRPr="00C11B1D" w14:paraId="2D520908" w14:textId="77777777" w:rsidTr="00C11B1D">
        <w:trPr>
          <w:jc w:val="center"/>
        </w:trPr>
        <w:tc>
          <w:tcPr>
            <w:tcW w:w="730" w:type="pct"/>
            <w:tcBorders>
              <w:top w:val="nil"/>
              <w:left w:val="nil"/>
              <w:bottom w:val="nil"/>
              <w:right w:val="nil"/>
            </w:tcBorders>
            <w:shd w:val="clear" w:color="auto" w:fill="auto"/>
            <w:noWrap/>
            <w:hideMark/>
          </w:tcPr>
          <w:p w14:paraId="7CE30827" w14:textId="77777777" w:rsidR="00C11B1D" w:rsidRPr="00C11B1D" w:rsidRDefault="00C11B1D" w:rsidP="00C11B1D">
            <w:pPr>
              <w:spacing w:line="360" w:lineRule="auto"/>
              <w:jc w:val="center"/>
              <w:rPr>
                <w:color w:val="000000"/>
              </w:rPr>
            </w:pPr>
            <w:r w:rsidRPr="00C11B1D">
              <w:rPr>
                <w:color w:val="000000"/>
              </w:rPr>
              <w:t>LBY</w:t>
            </w:r>
          </w:p>
        </w:tc>
        <w:tc>
          <w:tcPr>
            <w:tcW w:w="522" w:type="pct"/>
            <w:tcBorders>
              <w:top w:val="nil"/>
              <w:left w:val="nil"/>
              <w:bottom w:val="nil"/>
              <w:right w:val="single" w:sz="4" w:space="0" w:color="auto"/>
            </w:tcBorders>
            <w:shd w:val="clear" w:color="auto" w:fill="auto"/>
            <w:noWrap/>
            <w:hideMark/>
          </w:tcPr>
          <w:p w14:paraId="2CBCC11F"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00B1BD3F" w14:textId="77777777" w:rsidR="00C11B1D" w:rsidRPr="00C11B1D" w:rsidRDefault="00C11B1D" w:rsidP="00C11B1D">
            <w:pPr>
              <w:spacing w:line="360" w:lineRule="auto"/>
              <w:jc w:val="center"/>
              <w:rPr>
                <w:color w:val="000000"/>
              </w:rPr>
            </w:pPr>
            <w:r w:rsidRPr="00C11B1D">
              <w:rPr>
                <w:color w:val="000000"/>
              </w:rPr>
              <w:t>MAR</w:t>
            </w:r>
          </w:p>
        </w:tc>
        <w:tc>
          <w:tcPr>
            <w:tcW w:w="521" w:type="pct"/>
            <w:tcBorders>
              <w:top w:val="nil"/>
              <w:left w:val="nil"/>
              <w:bottom w:val="nil"/>
              <w:right w:val="single" w:sz="4" w:space="0" w:color="auto"/>
            </w:tcBorders>
            <w:shd w:val="clear" w:color="auto" w:fill="auto"/>
            <w:noWrap/>
            <w:hideMark/>
          </w:tcPr>
          <w:p w14:paraId="3DB5C160" w14:textId="77777777" w:rsidR="00C11B1D" w:rsidRPr="00C11B1D" w:rsidRDefault="00C11B1D" w:rsidP="00D22A16">
            <w:pPr>
              <w:tabs>
                <w:tab w:val="decimal" w:pos="371"/>
              </w:tabs>
              <w:spacing w:line="360" w:lineRule="auto"/>
              <w:rPr>
                <w:color w:val="000000"/>
              </w:rPr>
            </w:pPr>
            <w:r w:rsidRPr="00C11B1D">
              <w:rPr>
                <w:color w:val="000000"/>
              </w:rPr>
              <w:t>0.574</w:t>
            </w:r>
          </w:p>
        </w:tc>
        <w:tc>
          <w:tcPr>
            <w:tcW w:w="729" w:type="pct"/>
            <w:tcBorders>
              <w:top w:val="nil"/>
              <w:left w:val="single" w:sz="4" w:space="0" w:color="auto"/>
              <w:bottom w:val="nil"/>
              <w:right w:val="nil"/>
            </w:tcBorders>
            <w:shd w:val="clear" w:color="auto" w:fill="auto"/>
            <w:noWrap/>
            <w:hideMark/>
          </w:tcPr>
          <w:p w14:paraId="1F9150DB" w14:textId="77777777" w:rsidR="00C11B1D" w:rsidRPr="00C11B1D" w:rsidRDefault="00C11B1D" w:rsidP="00C11B1D">
            <w:pPr>
              <w:spacing w:line="360" w:lineRule="auto"/>
              <w:jc w:val="center"/>
              <w:rPr>
                <w:color w:val="000000"/>
              </w:rPr>
            </w:pPr>
            <w:r w:rsidRPr="00C11B1D">
              <w:rPr>
                <w:color w:val="000000"/>
              </w:rPr>
              <w:t>MEX</w:t>
            </w:r>
          </w:p>
        </w:tc>
        <w:tc>
          <w:tcPr>
            <w:tcW w:w="521" w:type="pct"/>
            <w:tcBorders>
              <w:top w:val="nil"/>
              <w:left w:val="nil"/>
              <w:bottom w:val="nil"/>
              <w:right w:val="single" w:sz="4" w:space="0" w:color="auto"/>
            </w:tcBorders>
            <w:shd w:val="clear" w:color="auto" w:fill="auto"/>
            <w:noWrap/>
            <w:hideMark/>
          </w:tcPr>
          <w:p w14:paraId="24D79231" w14:textId="77777777" w:rsidR="00C11B1D" w:rsidRPr="00C11B1D" w:rsidRDefault="00C11B1D" w:rsidP="00D22A16">
            <w:pPr>
              <w:tabs>
                <w:tab w:val="decimal" w:pos="300"/>
              </w:tabs>
              <w:spacing w:line="360" w:lineRule="auto"/>
              <w:rPr>
                <w:color w:val="000000"/>
              </w:rPr>
            </w:pPr>
            <w:r w:rsidRPr="00C11B1D">
              <w:rPr>
                <w:color w:val="000000"/>
              </w:rPr>
              <w:t>0.778</w:t>
            </w:r>
          </w:p>
        </w:tc>
        <w:tc>
          <w:tcPr>
            <w:tcW w:w="729" w:type="pct"/>
            <w:tcBorders>
              <w:top w:val="nil"/>
              <w:left w:val="single" w:sz="4" w:space="0" w:color="auto"/>
              <w:bottom w:val="nil"/>
              <w:right w:val="nil"/>
            </w:tcBorders>
            <w:shd w:val="clear" w:color="auto" w:fill="auto"/>
            <w:noWrap/>
            <w:hideMark/>
          </w:tcPr>
          <w:p w14:paraId="6E1CBA3E" w14:textId="77777777" w:rsidR="00C11B1D" w:rsidRPr="00C11B1D" w:rsidRDefault="00C11B1D" w:rsidP="00C11B1D">
            <w:pPr>
              <w:spacing w:line="360" w:lineRule="auto"/>
              <w:jc w:val="center"/>
              <w:rPr>
                <w:color w:val="000000"/>
              </w:rPr>
            </w:pPr>
            <w:r w:rsidRPr="00C11B1D">
              <w:rPr>
                <w:color w:val="000000"/>
              </w:rPr>
              <w:t>AZE</w:t>
            </w:r>
          </w:p>
        </w:tc>
        <w:tc>
          <w:tcPr>
            <w:tcW w:w="518" w:type="pct"/>
            <w:tcBorders>
              <w:top w:val="nil"/>
              <w:left w:val="nil"/>
              <w:bottom w:val="nil"/>
              <w:right w:val="nil"/>
            </w:tcBorders>
            <w:shd w:val="clear" w:color="auto" w:fill="auto"/>
            <w:noWrap/>
            <w:hideMark/>
          </w:tcPr>
          <w:p w14:paraId="5F21C366" w14:textId="77777777" w:rsidR="00C11B1D" w:rsidRPr="00C11B1D" w:rsidRDefault="00C11B1D" w:rsidP="00D22A16">
            <w:pPr>
              <w:tabs>
                <w:tab w:val="decimal" w:pos="304"/>
              </w:tabs>
              <w:spacing w:line="360" w:lineRule="auto"/>
              <w:rPr>
                <w:color w:val="000000"/>
              </w:rPr>
            </w:pPr>
            <w:r w:rsidRPr="00C11B1D">
              <w:rPr>
                <w:color w:val="000000"/>
              </w:rPr>
              <w:t>1.000</w:t>
            </w:r>
          </w:p>
        </w:tc>
      </w:tr>
      <w:tr w:rsidR="00C11B1D" w:rsidRPr="00C11B1D" w14:paraId="4B4B311E" w14:textId="77777777" w:rsidTr="00C11B1D">
        <w:trPr>
          <w:jc w:val="center"/>
        </w:trPr>
        <w:tc>
          <w:tcPr>
            <w:tcW w:w="730" w:type="pct"/>
            <w:tcBorders>
              <w:top w:val="nil"/>
              <w:left w:val="nil"/>
              <w:bottom w:val="nil"/>
              <w:right w:val="nil"/>
            </w:tcBorders>
            <w:shd w:val="clear" w:color="auto" w:fill="auto"/>
            <w:noWrap/>
            <w:hideMark/>
          </w:tcPr>
          <w:p w14:paraId="3F313DBD" w14:textId="77777777" w:rsidR="00C11B1D" w:rsidRPr="00C11B1D" w:rsidRDefault="00C11B1D" w:rsidP="00C11B1D">
            <w:pPr>
              <w:spacing w:line="360" w:lineRule="auto"/>
              <w:jc w:val="center"/>
              <w:rPr>
                <w:color w:val="000000"/>
              </w:rPr>
            </w:pPr>
            <w:r w:rsidRPr="00C11B1D">
              <w:rPr>
                <w:color w:val="000000"/>
              </w:rPr>
              <w:t>LTU</w:t>
            </w:r>
          </w:p>
        </w:tc>
        <w:tc>
          <w:tcPr>
            <w:tcW w:w="522" w:type="pct"/>
            <w:tcBorders>
              <w:top w:val="nil"/>
              <w:left w:val="nil"/>
              <w:bottom w:val="nil"/>
              <w:right w:val="single" w:sz="4" w:space="0" w:color="auto"/>
            </w:tcBorders>
            <w:shd w:val="clear" w:color="auto" w:fill="auto"/>
            <w:noWrap/>
            <w:hideMark/>
          </w:tcPr>
          <w:p w14:paraId="5F1A6096"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7DD66630" w14:textId="77777777" w:rsidR="00C11B1D" w:rsidRPr="00C11B1D" w:rsidRDefault="00C11B1D" w:rsidP="00C11B1D">
            <w:pPr>
              <w:spacing w:line="360" w:lineRule="auto"/>
              <w:jc w:val="center"/>
              <w:rPr>
                <w:color w:val="000000"/>
              </w:rPr>
            </w:pPr>
            <w:r w:rsidRPr="00C11B1D">
              <w:rPr>
                <w:color w:val="000000"/>
              </w:rPr>
              <w:t>SVK</w:t>
            </w:r>
          </w:p>
        </w:tc>
        <w:tc>
          <w:tcPr>
            <w:tcW w:w="521" w:type="pct"/>
            <w:tcBorders>
              <w:top w:val="nil"/>
              <w:left w:val="nil"/>
              <w:bottom w:val="nil"/>
              <w:right w:val="single" w:sz="4" w:space="0" w:color="auto"/>
            </w:tcBorders>
            <w:shd w:val="clear" w:color="auto" w:fill="auto"/>
            <w:noWrap/>
            <w:hideMark/>
          </w:tcPr>
          <w:p w14:paraId="251B451D" w14:textId="77777777" w:rsidR="00C11B1D" w:rsidRPr="00C11B1D" w:rsidRDefault="00C11B1D" w:rsidP="00D22A16">
            <w:pPr>
              <w:tabs>
                <w:tab w:val="decimal" w:pos="371"/>
              </w:tabs>
              <w:spacing w:line="360" w:lineRule="auto"/>
              <w:rPr>
                <w:color w:val="000000"/>
              </w:rPr>
            </w:pPr>
            <w:r w:rsidRPr="00C11B1D">
              <w:rPr>
                <w:color w:val="000000"/>
              </w:rPr>
              <w:t>0.581</w:t>
            </w:r>
          </w:p>
        </w:tc>
        <w:tc>
          <w:tcPr>
            <w:tcW w:w="729" w:type="pct"/>
            <w:tcBorders>
              <w:top w:val="nil"/>
              <w:left w:val="single" w:sz="4" w:space="0" w:color="auto"/>
              <w:bottom w:val="nil"/>
              <w:right w:val="nil"/>
            </w:tcBorders>
            <w:shd w:val="clear" w:color="auto" w:fill="auto"/>
            <w:noWrap/>
            <w:hideMark/>
          </w:tcPr>
          <w:p w14:paraId="37A5CAA9" w14:textId="77777777" w:rsidR="00C11B1D" w:rsidRPr="00C11B1D" w:rsidRDefault="00C11B1D" w:rsidP="00C11B1D">
            <w:pPr>
              <w:spacing w:line="360" w:lineRule="auto"/>
              <w:jc w:val="center"/>
              <w:rPr>
                <w:color w:val="000000"/>
              </w:rPr>
            </w:pPr>
            <w:r w:rsidRPr="00C11B1D">
              <w:rPr>
                <w:color w:val="000000"/>
              </w:rPr>
              <w:t>KAZ</w:t>
            </w:r>
          </w:p>
        </w:tc>
        <w:tc>
          <w:tcPr>
            <w:tcW w:w="521" w:type="pct"/>
            <w:tcBorders>
              <w:top w:val="nil"/>
              <w:left w:val="nil"/>
              <w:bottom w:val="nil"/>
              <w:right w:val="single" w:sz="4" w:space="0" w:color="auto"/>
            </w:tcBorders>
            <w:shd w:val="clear" w:color="auto" w:fill="auto"/>
            <w:noWrap/>
            <w:hideMark/>
          </w:tcPr>
          <w:p w14:paraId="6E5C789A" w14:textId="77777777" w:rsidR="00C11B1D" w:rsidRPr="00C11B1D" w:rsidRDefault="00C11B1D" w:rsidP="00D22A16">
            <w:pPr>
              <w:tabs>
                <w:tab w:val="decimal" w:pos="300"/>
              </w:tabs>
              <w:spacing w:line="360" w:lineRule="auto"/>
              <w:rPr>
                <w:color w:val="000000"/>
              </w:rPr>
            </w:pPr>
            <w:r w:rsidRPr="00C11B1D">
              <w:rPr>
                <w:color w:val="000000"/>
              </w:rPr>
              <w:t>0.783</w:t>
            </w:r>
          </w:p>
        </w:tc>
        <w:tc>
          <w:tcPr>
            <w:tcW w:w="729" w:type="pct"/>
            <w:tcBorders>
              <w:top w:val="nil"/>
              <w:left w:val="single" w:sz="4" w:space="0" w:color="auto"/>
              <w:bottom w:val="nil"/>
              <w:right w:val="nil"/>
            </w:tcBorders>
            <w:shd w:val="clear" w:color="auto" w:fill="auto"/>
            <w:noWrap/>
            <w:hideMark/>
          </w:tcPr>
          <w:p w14:paraId="44F36401" w14:textId="77777777" w:rsidR="00C11B1D" w:rsidRPr="00C11B1D" w:rsidRDefault="00C11B1D" w:rsidP="00C11B1D">
            <w:pPr>
              <w:spacing w:line="360" w:lineRule="auto"/>
              <w:jc w:val="center"/>
              <w:rPr>
                <w:color w:val="000000"/>
              </w:rPr>
            </w:pPr>
            <w:r w:rsidRPr="00C11B1D">
              <w:rPr>
                <w:color w:val="000000"/>
              </w:rPr>
              <w:t>IRN</w:t>
            </w:r>
          </w:p>
        </w:tc>
        <w:tc>
          <w:tcPr>
            <w:tcW w:w="518" w:type="pct"/>
            <w:tcBorders>
              <w:top w:val="nil"/>
              <w:left w:val="nil"/>
              <w:bottom w:val="nil"/>
              <w:right w:val="nil"/>
            </w:tcBorders>
            <w:shd w:val="clear" w:color="auto" w:fill="auto"/>
            <w:noWrap/>
            <w:hideMark/>
          </w:tcPr>
          <w:p w14:paraId="48504A9C" w14:textId="77777777" w:rsidR="00C11B1D" w:rsidRPr="00C11B1D" w:rsidRDefault="00C11B1D" w:rsidP="00D22A16">
            <w:pPr>
              <w:tabs>
                <w:tab w:val="decimal" w:pos="304"/>
              </w:tabs>
              <w:spacing w:line="360" w:lineRule="auto"/>
              <w:rPr>
                <w:color w:val="000000"/>
              </w:rPr>
            </w:pPr>
            <w:r w:rsidRPr="00C11B1D">
              <w:rPr>
                <w:color w:val="000000"/>
              </w:rPr>
              <w:t>1.000</w:t>
            </w:r>
          </w:p>
        </w:tc>
      </w:tr>
      <w:tr w:rsidR="00C11B1D" w:rsidRPr="00C11B1D" w14:paraId="5C4A4585" w14:textId="77777777" w:rsidTr="00C11B1D">
        <w:trPr>
          <w:jc w:val="center"/>
        </w:trPr>
        <w:tc>
          <w:tcPr>
            <w:tcW w:w="730" w:type="pct"/>
            <w:tcBorders>
              <w:top w:val="nil"/>
              <w:left w:val="nil"/>
              <w:bottom w:val="nil"/>
              <w:right w:val="nil"/>
            </w:tcBorders>
            <w:shd w:val="clear" w:color="auto" w:fill="auto"/>
            <w:noWrap/>
            <w:hideMark/>
          </w:tcPr>
          <w:p w14:paraId="1EA81BB3" w14:textId="77777777" w:rsidR="00C11B1D" w:rsidRPr="00C11B1D" w:rsidRDefault="00C11B1D" w:rsidP="00C11B1D">
            <w:pPr>
              <w:spacing w:line="360" w:lineRule="auto"/>
              <w:jc w:val="center"/>
              <w:rPr>
                <w:color w:val="000000"/>
              </w:rPr>
            </w:pPr>
            <w:r w:rsidRPr="00C11B1D">
              <w:rPr>
                <w:color w:val="000000"/>
              </w:rPr>
              <w:t>SSD</w:t>
            </w:r>
          </w:p>
        </w:tc>
        <w:tc>
          <w:tcPr>
            <w:tcW w:w="522" w:type="pct"/>
            <w:tcBorders>
              <w:top w:val="nil"/>
              <w:left w:val="nil"/>
              <w:bottom w:val="nil"/>
              <w:right w:val="single" w:sz="4" w:space="0" w:color="auto"/>
            </w:tcBorders>
            <w:shd w:val="clear" w:color="auto" w:fill="auto"/>
            <w:noWrap/>
            <w:hideMark/>
          </w:tcPr>
          <w:p w14:paraId="323B66AA"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09C6A520" w14:textId="77777777" w:rsidR="00C11B1D" w:rsidRPr="00C11B1D" w:rsidRDefault="00C11B1D" w:rsidP="00C11B1D">
            <w:pPr>
              <w:spacing w:line="360" w:lineRule="auto"/>
              <w:jc w:val="center"/>
              <w:rPr>
                <w:color w:val="000000"/>
              </w:rPr>
            </w:pPr>
            <w:r w:rsidRPr="00C11B1D">
              <w:rPr>
                <w:color w:val="000000"/>
              </w:rPr>
              <w:t>BLZ</w:t>
            </w:r>
          </w:p>
        </w:tc>
        <w:tc>
          <w:tcPr>
            <w:tcW w:w="521" w:type="pct"/>
            <w:tcBorders>
              <w:top w:val="nil"/>
              <w:left w:val="nil"/>
              <w:bottom w:val="nil"/>
              <w:right w:val="single" w:sz="4" w:space="0" w:color="auto"/>
            </w:tcBorders>
            <w:shd w:val="clear" w:color="auto" w:fill="auto"/>
            <w:noWrap/>
            <w:hideMark/>
          </w:tcPr>
          <w:p w14:paraId="24B96D8E" w14:textId="77777777" w:rsidR="00C11B1D" w:rsidRPr="00C11B1D" w:rsidRDefault="00C11B1D" w:rsidP="00D22A16">
            <w:pPr>
              <w:tabs>
                <w:tab w:val="decimal" w:pos="371"/>
              </w:tabs>
              <w:spacing w:line="360" w:lineRule="auto"/>
              <w:rPr>
                <w:color w:val="000000"/>
              </w:rPr>
            </w:pPr>
            <w:r w:rsidRPr="00C11B1D">
              <w:rPr>
                <w:color w:val="000000"/>
              </w:rPr>
              <w:t>0.583</w:t>
            </w:r>
          </w:p>
        </w:tc>
        <w:tc>
          <w:tcPr>
            <w:tcW w:w="729" w:type="pct"/>
            <w:tcBorders>
              <w:top w:val="nil"/>
              <w:left w:val="single" w:sz="4" w:space="0" w:color="auto"/>
              <w:bottom w:val="nil"/>
              <w:right w:val="nil"/>
            </w:tcBorders>
            <w:shd w:val="clear" w:color="auto" w:fill="auto"/>
            <w:noWrap/>
            <w:hideMark/>
          </w:tcPr>
          <w:p w14:paraId="133CB302" w14:textId="77777777" w:rsidR="00C11B1D" w:rsidRPr="00C11B1D" w:rsidRDefault="00C11B1D" w:rsidP="00C11B1D">
            <w:pPr>
              <w:spacing w:line="360" w:lineRule="auto"/>
              <w:jc w:val="center"/>
              <w:rPr>
                <w:color w:val="000000"/>
              </w:rPr>
            </w:pPr>
            <w:r w:rsidRPr="00C11B1D">
              <w:rPr>
                <w:color w:val="000000"/>
              </w:rPr>
              <w:t>MDV</w:t>
            </w:r>
          </w:p>
        </w:tc>
        <w:tc>
          <w:tcPr>
            <w:tcW w:w="521" w:type="pct"/>
            <w:tcBorders>
              <w:top w:val="nil"/>
              <w:left w:val="nil"/>
              <w:bottom w:val="nil"/>
              <w:right w:val="single" w:sz="4" w:space="0" w:color="auto"/>
            </w:tcBorders>
            <w:shd w:val="clear" w:color="auto" w:fill="auto"/>
            <w:noWrap/>
            <w:hideMark/>
          </w:tcPr>
          <w:p w14:paraId="1AAC154B"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27B95C26" w14:textId="77777777" w:rsidR="00C11B1D" w:rsidRPr="00C11B1D" w:rsidRDefault="00C11B1D" w:rsidP="00C11B1D">
            <w:pPr>
              <w:spacing w:line="360" w:lineRule="auto"/>
              <w:jc w:val="center"/>
              <w:rPr>
                <w:color w:val="000000"/>
              </w:rPr>
            </w:pPr>
            <w:r w:rsidRPr="00C11B1D">
              <w:rPr>
                <w:color w:val="000000"/>
              </w:rPr>
              <w:t>NER</w:t>
            </w:r>
          </w:p>
        </w:tc>
        <w:tc>
          <w:tcPr>
            <w:tcW w:w="518" w:type="pct"/>
            <w:tcBorders>
              <w:top w:val="nil"/>
              <w:left w:val="nil"/>
              <w:bottom w:val="nil"/>
              <w:right w:val="nil"/>
            </w:tcBorders>
            <w:shd w:val="clear" w:color="auto" w:fill="auto"/>
            <w:noWrap/>
            <w:hideMark/>
          </w:tcPr>
          <w:p w14:paraId="0D10E5BD" w14:textId="77777777" w:rsidR="00C11B1D" w:rsidRPr="00C11B1D" w:rsidRDefault="00C11B1D" w:rsidP="00D22A16">
            <w:pPr>
              <w:tabs>
                <w:tab w:val="decimal" w:pos="304"/>
              </w:tabs>
              <w:spacing w:line="360" w:lineRule="auto"/>
              <w:rPr>
                <w:color w:val="000000"/>
              </w:rPr>
            </w:pPr>
            <w:r w:rsidRPr="00C11B1D">
              <w:rPr>
                <w:color w:val="000000"/>
              </w:rPr>
              <w:t>1.000</w:t>
            </w:r>
          </w:p>
        </w:tc>
      </w:tr>
      <w:tr w:rsidR="00C11B1D" w:rsidRPr="00C11B1D" w14:paraId="11A05F98" w14:textId="77777777" w:rsidTr="00C11B1D">
        <w:trPr>
          <w:jc w:val="center"/>
        </w:trPr>
        <w:tc>
          <w:tcPr>
            <w:tcW w:w="730" w:type="pct"/>
            <w:tcBorders>
              <w:top w:val="nil"/>
              <w:left w:val="nil"/>
              <w:bottom w:val="nil"/>
              <w:right w:val="nil"/>
            </w:tcBorders>
            <w:shd w:val="clear" w:color="auto" w:fill="auto"/>
            <w:noWrap/>
            <w:hideMark/>
          </w:tcPr>
          <w:p w14:paraId="2859F28F" w14:textId="77777777" w:rsidR="00C11B1D" w:rsidRPr="00C11B1D" w:rsidRDefault="00C11B1D" w:rsidP="00C11B1D">
            <w:pPr>
              <w:spacing w:line="360" w:lineRule="auto"/>
              <w:jc w:val="center"/>
              <w:rPr>
                <w:color w:val="000000"/>
              </w:rPr>
            </w:pPr>
            <w:r w:rsidRPr="00C11B1D">
              <w:rPr>
                <w:color w:val="000000"/>
              </w:rPr>
              <w:t>TKM</w:t>
            </w:r>
          </w:p>
        </w:tc>
        <w:tc>
          <w:tcPr>
            <w:tcW w:w="522" w:type="pct"/>
            <w:tcBorders>
              <w:top w:val="nil"/>
              <w:left w:val="nil"/>
              <w:bottom w:val="nil"/>
              <w:right w:val="single" w:sz="4" w:space="0" w:color="auto"/>
            </w:tcBorders>
            <w:shd w:val="clear" w:color="auto" w:fill="auto"/>
            <w:noWrap/>
            <w:hideMark/>
          </w:tcPr>
          <w:p w14:paraId="1DBB195D"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0B9BEE1F" w14:textId="77777777" w:rsidR="00C11B1D" w:rsidRPr="00C11B1D" w:rsidRDefault="00C11B1D" w:rsidP="00C11B1D">
            <w:pPr>
              <w:spacing w:line="360" w:lineRule="auto"/>
              <w:jc w:val="center"/>
              <w:rPr>
                <w:color w:val="000000"/>
              </w:rPr>
            </w:pPr>
            <w:r w:rsidRPr="00C11B1D">
              <w:rPr>
                <w:color w:val="000000"/>
              </w:rPr>
              <w:t>EST</w:t>
            </w:r>
          </w:p>
        </w:tc>
        <w:tc>
          <w:tcPr>
            <w:tcW w:w="521" w:type="pct"/>
            <w:tcBorders>
              <w:top w:val="nil"/>
              <w:left w:val="nil"/>
              <w:bottom w:val="nil"/>
              <w:right w:val="single" w:sz="4" w:space="0" w:color="auto"/>
            </w:tcBorders>
            <w:shd w:val="clear" w:color="auto" w:fill="auto"/>
            <w:noWrap/>
            <w:hideMark/>
          </w:tcPr>
          <w:p w14:paraId="780AE271" w14:textId="77777777" w:rsidR="00C11B1D" w:rsidRPr="00C11B1D" w:rsidRDefault="00C11B1D" w:rsidP="00D22A16">
            <w:pPr>
              <w:tabs>
                <w:tab w:val="decimal" w:pos="371"/>
              </w:tabs>
              <w:spacing w:line="360" w:lineRule="auto"/>
              <w:rPr>
                <w:color w:val="000000"/>
              </w:rPr>
            </w:pPr>
            <w:r w:rsidRPr="00C11B1D">
              <w:rPr>
                <w:color w:val="000000"/>
              </w:rPr>
              <w:t>0.583</w:t>
            </w:r>
          </w:p>
        </w:tc>
        <w:tc>
          <w:tcPr>
            <w:tcW w:w="729" w:type="pct"/>
            <w:tcBorders>
              <w:top w:val="nil"/>
              <w:left w:val="single" w:sz="4" w:space="0" w:color="auto"/>
              <w:bottom w:val="nil"/>
              <w:right w:val="nil"/>
            </w:tcBorders>
            <w:shd w:val="clear" w:color="auto" w:fill="auto"/>
            <w:noWrap/>
            <w:hideMark/>
          </w:tcPr>
          <w:p w14:paraId="4B4C3196" w14:textId="77777777" w:rsidR="00C11B1D" w:rsidRPr="00C11B1D" w:rsidRDefault="00C11B1D" w:rsidP="00C11B1D">
            <w:pPr>
              <w:spacing w:line="360" w:lineRule="auto"/>
              <w:jc w:val="center"/>
              <w:rPr>
                <w:color w:val="000000"/>
              </w:rPr>
            </w:pPr>
            <w:r w:rsidRPr="00C11B1D">
              <w:rPr>
                <w:color w:val="000000"/>
              </w:rPr>
              <w:t>SVN</w:t>
            </w:r>
          </w:p>
        </w:tc>
        <w:tc>
          <w:tcPr>
            <w:tcW w:w="521" w:type="pct"/>
            <w:tcBorders>
              <w:top w:val="nil"/>
              <w:left w:val="nil"/>
              <w:bottom w:val="nil"/>
              <w:right w:val="single" w:sz="4" w:space="0" w:color="auto"/>
            </w:tcBorders>
            <w:shd w:val="clear" w:color="auto" w:fill="auto"/>
            <w:noWrap/>
            <w:hideMark/>
          </w:tcPr>
          <w:p w14:paraId="4517327D"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55013293" w14:textId="77777777" w:rsidR="00C11B1D" w:rsidRPr="00C11B1D" w:rsidRDefault="00C11B1D" w:rsidP="00C11B1D">
            <w:pPr>
              <w:spacing w:line="360" w:lineRule="auto"/>
              <w:jc w:val="center"/>
              <w:rPr>
                <w:color w:val="000000"/>
              </w:rPr>
            </w:pPr>
            <w:r w:rsidRPr="00C11B1D">
              <w:rPr>
                <w:color w:val="000000"/>
              </w:rPr>
              <w:t>SLE</w:t>
            </w:r>
          </w:p>
        </w:tc>
        <w:tc>
          <w:tcPr>
            <w:tcW w:w="518" w:type="pct"/>
            <w:tcBorders>
              <w:top w:val="nil"/>
              <w:left w:val="nil"/>
              <w:bottom w:val="nil"/>
              <w:right w:val="nil"/>
            </w:tcBorders>
            <w:shd w:val="clear" w:color="auto" w:fill="auto"/>
            <w:noWrap/>
            <w:hideMark/>
          </w:tcPr>
          <w:p w14:paraId="29FE08B2" w14:textId="77777777" w:rsidR="00C11B1D" w:rsidRPr="00C11B1D" w:rsidRDefault="00C11B1D" w:rsidP="00D22A16">
            <w:pPr>
              <w:tabs>
                <w:tab w:val="decimal" w:pos="304"/>
              </w:tabs>
              <w:spacing w:line="360" w:lineRule="auto"/>
              <w:rPr>
                <w:color w:val="000000"/>
              </w:rPr>
            </w:pPr>
            <w:r w:rsidRPr="00C11B1D">
              <w:rPr>
                <w:color w:val="000000"/>
              </w:rPr>
              <w:t>1.000</w:t>
            </w:r>
          </w:p>
        </w:tc>
      </w:tr>
      <w:tr w:rsidR="00C11B1D" w:rsidRPr="00C11B1D" w14:paraId="5DE02E08" w14:textId="77777777" w:rsidTr="00C11B1D">
        <w:trPr>
          <w:jc w:val="center"/>
        </w:trPr>
        <w:tc>
          <w:tcPr>
            <w:tcW w:w="730" w:type="pct"/>
            <w:tcBorders>
              <w:top w:val="nil"/>
              <w:left w:val="nil"/>
              <w:bottom w:val="nil"/>
              <w:right w:val="nil"/>
            </w:tcBorders>
            <w:shd w:val="clear" w:color="auto" w:fill="auto"/>
            <w:noWrap/>
            <w:hideMark/>
          </w:tcPr>
          <w:p w14:paraId="50801645" w14:textId="77777777" w:rsidR="00C11B1D" w:rsidRPr="00C11B1D" w:rsidRDefault="00C11B1D" w:rsidP="00C11B1D">
            <w:pPr>
              <w:spacing w:line="360" w:lineRule="auto"/>
              <w:jc w:val="center"/>
              <w:rPr>
                <w:color w:val="000000"/>
              </w:rPr>
            </w:pPr>
            <w:r w:rsidRPr="00C11B1D">
              <w:rPr>
                <w:color w:val="000000"/>
              </w:rPr>
              <w:t>TLS</w:t>
            </w:r>
          </w:p>
        </w:tc>
        <w:tc>
          <w:tcPr>
            <w:tcW w:w="522" w:type="pct"/>
            <w:tcBorders>
              <w:top w:val="nil"/>
              <w:left w:val="nil"/>
              <w:bottom w:val="nil"/>
              <w:right w:val="single" w:sz="4" w:space="0" w:color="auto"/>
            </w:tcBorders>
            <w:shd w:val="clear" w:color="auto" w:fill="auto"/>
            <w:noWrap/>
            <w:hideMark/>
          </w:tcPr>
          <w:p w14:paraId="5CE33CEA"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125D0296" w14:textId="77777777" w:rsidR="00C11B1D" w:rsidRPr="00C11B1D" w:rsidRDefault="00C11B1D" w:rsidP="00C11B1D">
            <w:pPr>
              <w:spacing w:line="360" w:lineRule="auto"/>
              <w:jc w:val="center"/>
              <w:rPr>
                <w:color w:val="000000"/>
              </w:rPr>
            </w:pPr>
            <w:r w:rsidRPr="00C11B1D">
              <w:rPr>
                <w:color w:val="000000"/>
              </w:rPr>
              <w:t>MRT</w:t>
            </w:r>
          </w:p>
        </w:tc>
        <w:tc>
          <w:tcPr>
            <w:tcW w:w="521" w:type="pct"/>
            <w:tcBorders>
              <w:top w:val="nil"/>
              <w:left w:val="nil"/>
              <w:bottom w:val="nil"/>
              <w:right w:val="single" w:sz="4" w:space="0" w:color="auto"/>
            </w:tcBorders>
            <w:shd w:val="clear" w:color="auto" w:fill="auto"/>
            <w:noWrap/>
            <w:hideMark/>
          </w:tcPr>
          <w:p w14:paraId="1538FC0D" w14:textId="77777777" w:rsidR="00C11B1D" w:rsidRPr="00C11B1D" w:rsidRDefault="00C11B1D" w:rsidP="00D22A16">
            <w:pPr>
              <w:tabs>
                <w:tab w:val="decimal" w:pos="371"/>
              </w:tabs>
              <w:spacing w:line="360" w:lineRule="auto"/>
              <w:rPr>
                <w:color w:val="000000"/>
              </w:rPr>
            </w:pPr>
            <w:r w:rsidRPr="00C11B1D">
              <w:rPr>
                <w:color w:val="000000"/>
              </w:rPr>
              <w:t>0.583</w:t>
            </w:r>
          </w:p>
        </w:tc>
        <w:tc>
          <w:tcPr>
            <w:tcW w:w="729" w:type="pct"/>
            <w:tcBorders>
              <w:top w:val="nil"/>
              <w:left w:val="single" w:sz="4" w:space="0" w:color="auto"/>
              <w:bottom w:val="nil"/>
              <w:right w:val="nil"/>
            </w:tcBorders>
            <w:shd w:val="clear" w:color="auto" w:fill="auto"/>
            <w:noWrap/>
            <w:hideMark/>
          </w:tcPr>
          <w:p w14:paraId="5E83A14A" w14:textId="77777777" w:rsidR="00C11B1D" w:rsidRPr="00C11B1D" w:rsidRDefault="00C11B1D" w:rsidP="00C11B1D">
            <w:pPr>
              <w:spacing w:line="360" w:lineRule="auto"/>
              <w:jc w:val="center"/>
              <w:rPr>
                <w:color w:val="000000"/>
              </w:rPr>
            </w:pPr>
            <w:r w:rsidRPr="00C11B1D">
              <w:rPr>
                <w:color w:val="000000"/>
              </w:rPr>
              <w:t>ZWE</w:t>
            </w:r>
          </w:p>
        </w:tc>
        <w:tc>
          <w:tcPr>
            <w:tcW w:w="521" w:type="pct"/>
            <w:tcBorders>
              <w:top w:val="nil"/>
              <w:left w:val="nil"/>
              <w:bottom w:val="nil"/>
              <w:right w:val="single" w:sz="4" w:space="0" w:color="auto"/>
            </w:tcBorders>
            <w:shd w:val="clear" w:color="auto" w:fill="auto"/>
            <w:noWrap/>
            <w:hideMark/>
          </w:tcPr>
          <w:p w14:paraId="7ACF79C8"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3B02E09A" w14:textId="77777777" w:rsidR="00C11B1D" w:rsidRPr="00C11B1D" w:rsidRDefault="00C11B1D" w:rsidP="00C11B1D">
            <w:pPr>
              <w:spacing w:line="360" w:lineRule="auto"/>
              <w:jc w:val="center"/>
              <w:rPr>
                <w:color w:val="000000"/>
              </w:rPr>
            </w:pPr>
            <w:r w:rsidRPr="00C11B1D">
              <w:rPr>
                <w:color w:val="000000"/>
              </w:rPr>
              <w:t>TJK</w:t>
            </w:r>
          </w:p>
        </w:tc>
        <w:tc>
          <w:tcPr>
            <w:tcW w:w="518" w:type="pct"/>
            <w:tcBorders>
              <w:top w:val="nil"/>
              <w:left w:val="nil"/>
              <w:bottom w:val="nil"/>
              <w:right w:val="nil"/>
            </w:tcBorders>
            <w:shd w:val="clear" w:color="auto" w:fill="auto"/>
            <w:noWrap/>
            <w:hideMark/>
          </w:tcPr>
          <w:p w14:paraId="786F38BA" w14:textId="77777777" w:rsidR="00C11B1D" w:rsidRPr="00C11B1D" w:rsidRDefault="00C11B1D" w:rsidP="00D22A16">
            <w:pPr>
              <w:tabs>
                <w:tab w:val="decimal" w:pos="304"/>
              </w:tabs>
              <w:spacing w:line="360" w:lineRule="auto"/>
              <w:rPr>
                <w:color w:val="000000"/>
              </w:rPr>
            </w:pPr>
            <w:r w:rsidRPr="00C11B1D">
              <w:rPr>
                <w:color w:val="000000"/>
              </w:rPr>
              <w:t>1.000</w:t>
            </w:r>
          </w:p>
        </w:tc>
      </w:tr>
      <w:tr w:rsidR="00C11B1D" w:rsidRPr="00C11B1D" w14:paraId="06B2B668" w14:textId="77777777" w:rsidTr="00C11B1D">
        <w:trPr>
          <w:jc w:val="center"/>
        </w:trPr>
        <w:tc>
          <w:tcPr>
            <w:tcW w:w="730" w:type="pct"/>
            <w:tcBorders>
              <w:top w:val="nil"/>
              <w:left w:val="nil"/>
              <w:bottom w:val="nil"/>
              <w:right w:val="nil"/>
            </w:tcBorders>
            <w:shd w:val="clear" w:color="auto" w:fill="auto"/>
            <w:noWrap/>
            <w:hideMark/>
          </w:tcPr>
          <w:p w14:paraId="7C52C97C" w14:textId="77777777" w:rsidR="00C11B1D" w:rsidRPr="00C11B1D" w:rsidRDefault="00C11B1D" w:rsidP="00C11B1D">
            <w:pPr>
              <w:spacing w:line="360" w:lineRule="auto"/>
              <w:jc w:val="center"/>
              <w:rPr>
                <w:color w:val="000000"/>
              </w:rPr>
            </w:pPr>
            <w:r w:rsidRPr="00C11B1D">
              <w:rPr>
                <w:color w:val="000000"/>
              </w:rPr>
              <w:t>TUN</w:t>
            </w:r>
          </w:p>
        </w:tc>
        <w:tc>
          <w:tcPr>
            <w:tcW w:w="522" w:type="pct"/>
            <w:tcBorders>
              <w:top w:val="nil"/>
              <w:left w:val="nil"/>
              <w:bottom w:val="nil"/>
              <w:right w:val="single" w:sz="4" w:space="0" w:color="auto"/>
            </w:tcBorders>
            <w:shd w:val="clear" w:color="auto" w:fill="auto"/>
            <w:noWrap/>
            <w:hideMark/>
          </w:tcPr>
          <w:p w14:paraId="0F089F6C" w14:textId="77777777" w:rsidR="00C11B1D" w:rsidRPr="00C11B1D" w:rsidRDefault="00C11B1D" w:rsidP="00D22A16">
            <w:pPr>
              <w:tabs>
                <w:tab w:val="decimal" w:pos="312"/>
              </w:tabs>
              <w:spacing w:line="360" w:lineRule="auto"/>
              <w:rPr>
                <w:color w:val="000000"/>
              </w:rPr>
            </w:pPr>
            <w:r w:rsidRPr="00C11B1D">
              <w:rPr>
                <w:color w:val="000000"/>
              </w:rPr>
              <w:t>0</w:t>
            </w:r>
          </w:p>
        </w:tc>
        <w:tc>
          <w:tcPr>
            <w:tcW w:w="730" w:type="pct"/>
            <w:tcBorders>
              <w:top w:val="nil"/>
              <w:left w:val="single" w:sz="4" w:space="0" w:color="auto"/>
              <w:bottom w:val="nil"/>
              <w:right w:val="nil"/>
            </w:tcBorders>
            <w:shd w:val="clear" w:color="auto" w:fill="auto"/>
            <w:noWrap/>
            <w:hideMark/>
          </w:tcPr>
          <w:p w14:paraId="0C317395" w14:textId="77777777" w:rsidR="00C11B1D" w:rsidRPr="00C11B1D" w:rsidRDefault="00C11B1D" w:rsidP="00C11B1D">
            <w:pPr>
              <w:spacing w:line="360" w:lineRule="auto"/>
              <w:jc w:val="center"/>
              <w:rPr>
                <w:color w:val="000000"/>
              </w:rPr>
            </w:pPr>
            <w:r w:rsidRPr="00C11B1D">
              <w:rPr>
                <w:color w:val="000000"/>
              </w:rPr>
              <w:t>PAK</w:t>
            </w:r>
          </w:p>
        </w:tc>
        <w:tc>
          <w:tcPr>
            <w:tcW w:w="521" w:type="pct"/>
            <w:tcBorders>
              <w:top w:val="nil"/>
              <w:left w:val="nil"/>
              <w:bottom w:val="nil"/>
              <w:right w:val="single" w:sz="4" w:space="0" w:color="auto"/>
            </w:tcBorders>
            <w:shd w:val="clear" w:color="auto" w:fill="auto"/>
            <w:noWrap/>
            <w:hideMark/>
          </w:tcPr>
          <w:p w14:paraId="602BDCD7" w14:textId="77777777" w:rsidR="00C11B1D" w:rsidRPr="00C11B1D" w:rsidRDefault="00C11B1D" w:rsidP="00D22A16">
            <w:pPr>
              <w:tabs>
                <w:tab w:val="decimal" w:pos="371"/>
              </w:tabs>
              <w:spacing w:line="360" w:lineRule="auto"/>
              <w:rPr>
                <w:color w:val="000000"/>
              </w:rPr>
            </w:pPr>
            <w:r w:rsidRPr="00C11B1D">
              <w:rPr>
                <w:color w:val="000000"/>
              </w:rPr>
              <w:t>0.599</w:t>
            </w:r>
          </w:p>
        </w:tc>
        <w:tc>
          <w:tcPr>
            <w:tcW w:w="729" w:type="pct"/>
            <w:tcBorders>
              <w:top w:val="nil"/>
              <w:left w:val="single" w:sz="4" w:space="0" w:color="auto"/>
              <w:bottom w:val="nil"/>
              <w:right w:val="nil"/>
            </w:tcBorders>
            <w:shd w:val="clear" w:color="auto" w:fill="auto"/>
            <w:noWrap/>
            <w:hideMark/>
          </w:tcPr>
          <w:p w14:paraId="34A9CACD" w14:textId="77777777" w:rsidR="00C11B1D" w:rsidRPr="00C11B1D" w:rsidRDefault="00C11B1D" w:rsidP="00C11B1D">
            <w:pPr>
              <w:spacing w:line="360" w:lineRule="auto"/>
              <w:jc w:val="center"/>
              <w:rPr>
                <w:color w:val="000000"/>
              </w:rPr>
            </w:pPr>
            <w:r w:rsidRPr="00C11B1D">
              <w:rPr>
                <w:color w:val="000000"/>
              </w:rPr>
              <w:t>FJI</w:t>
            </w:r>
          </w:p>
        </w:tc>
        <w:tc>
          <w:tcPr>
            <w:tcW w:w="521" w:type="pct"/>
            <w:tcBorders>
              <w:top w:val="nil"/>
              <w:left w:val="nil"/>
              <w:bottom w:val="nil"/>
              <w:right w:val="single" w:sz="4" w:space="0" w:color="auto"/>
            </w:tcBorders>
            <w:shd w:val="clear" w:color="auto" w:fill="auto"/>
            <w:noWrap/>
            <w:hideMark/>
          </w:tcPr>
          <w:p w14:paraId="70D5E327"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15E3B6CD" w14:textId="77777777" w:rsidR="00C11B1D" w:rsidRPr="00C11B1D" w:rsidRDefault="00C11B1D" w:rsidP="00C11B1D">
            <w:pPr>
              <w:spacing w:line="360" w:lineRule="auto"/>
              <w:jc w:val="center"/>
              <w:rPr>
                <w:color w:val="000000"/>
              </w:rPr>
            </w:pPr>
            <w:r w:rsidRPr="00C11B1D">
              <w:rPr>
                <w:color w:val="000000"/>
              </w:rPr>
              <w:t>FRA</w:t>
            </w:r>
          </w:p>
        </w:tc>
        <w:tc>
          <w:tcPr>
            <w:tcW w:w="518" w:type="pct"/>
            <w:tcBorders>
              <w:top w:val="nil"/>
              <w:left w:val="nil"/>
              <w:bottom w:val="nil"/>
              <w:right w:val="nil"/>
            </w:tcBorders>
            <w:shd w:val="clear" w:color="auto" w:fill="auto"/>
            <w:noWrap/>
            <w:hideMark/>
          </w:tcPr>
          <w:p w14:paraId="5BE8A299" w14:textId="77777777" w:rsidR="00C11B1D" w:rsidRPr="00C11B1D" w:rsidRDefault="00C11B1D" w:rsidP="00D22A16">
            <w:pPr>
              <w:tabs>
                <w:tab w:val="decimal" w:pos="304"/>
              </w:tabs>
              <w:spacing w:line="360" w:lineRule="auto"/>
              <w:rPr>
                <w:color w:val="000000"/>
              </w:rPr>
            </w:pPr>
            <w:r w:rsidRPr="00C11B1D">
              <w:rPr>
                <w:color w:val="000000"/>
              </w:rPr>
              <w:t>1.018</w:t>
            </w:r>
          </w:p>
        </w:tc>
      </w:tr>
      <w:tr w:rsidR="00C11B1D" w:rsidRPr="00C11B1D" w14:paraId="7F3BF5B6" w14:textId="77777777" w:rsidTr="00C11B1D">
        <w:trPr>
          <w:jc w:val="center"/>
        </w:trPr>
        <w:tc>
          <w:tcPr>
            <w:tcW w:w="730" w:type="pct"/>
            <w:tcBorders>
              <w:top w:val="nil"/>
              <w:left w:val="nil"/>
              <w:bottom w:val="nil"/>
              <w:right w:val="nil"/>
            </w:tcBorders>
            <w:shd w:val="clear" w:color="auto" w:fill="auto"/>
            <w:noWrap/>
            <w:hideMark/>
          </w:tcPr>
          <w:p w14:paraId="110C59B3" w14:textId="77777777" w:rsidR="00C11B1D" w:rsidRPr="00C11B1D" w:rsidRDefault="00C11B1D" w:rsidP="00C11B1D">
            <w:pPr>
              <w:spacing w:line="360" w:lineRule="auto"/>
              <w:jc w:val="center"/>
              <w:rPr>
                <w:color w:val="000000"/>
              </w:rPr>
            </w:pPr>
            <w:r w:rsidRPr="00C11B1D">
              <w:rPr>
                <w:color w:val="000000"/>
              </w:rPr>
              <w:t>CZE</w:t>
            </w:r>
          </w:p>
        </w:tc>
        <w:tc>
          <w:tcPr>
            <w:tcW w:w="522" w:type="pct"/>
            <w:tcBorders>
              <w:top w:val="nil"/>
              <w:left w:val="nil"/>
              <w:bottom w:val="nil"/>
              <w:right w:val="single" w:sz="4" w:space="0" w:color="auto"/>
            </w:tcBorders>
            <w:shd w:val="clear" w:color="auto" w:fill="auto"/>
            <w:noWrap/>
            <w:hideMark/>
          </w:tcPr>
          <w:p w14:paraId="21D9D80F" w14:textId="77777777" w:rsidR="00C11B1D" w:rsidRPr="00C11B1D" w:rsidRDefault="00C11B1D" w:rsidP="00D22A16">
            <w:pPr>
              <w:tabs>
                <w:tab w:val="decimal" w:pos="312"/>
              </w:tabs>
              <w:spacing w:line="360" w:lineRule="auto"/>
              <w:rPr>
                <w:color w:val="000000"/>
              </w:rPr>
            </w:pPr>
            <w:r w:rsidRPr="00C11B1D">
              <w:rPr>
                <w:color w:val="000000"/>
              </w:rPr>
              <w:t>0.207</w:t>
            </w:r>
          </w:p>
        </w:tc>
        <w:tc>
          <w:tcPr>
            <w:tcW w:w="730" w:type="pct"/>
            <w:tcBorders>
              <w:top w:val="nil"/>
              <w:left w:val="single" w:sz="4" w:space="0" w:color="auto"/>
              <w:bottom w:val="nil"/>
              <w:right w:val="nil"/>
            </w:tcBorders>
            <w:shd w:val="clear" w:color="auto" w:fill="auto"/>
            <w:noWrap/>
            <w:hideMark/>
          </w:tcPr>
          <w:p w14:paraId="3A881B30" w14:textId="77777777" w:rsidR="00C11B1D" w:rsidRPr="00C11B1D" w:rsidRDefault="00C11B1D" w:rsidP="00C11B1D">
            <w:pPr>
              <w:spacing w:line="360" w:lineRule="auto"/>
              <w:jc w:val="center"/>
              <w:rPr>
                <w:color w:val="000000"/>
              </w:rPr>
            </w:pPr>
            <w:r w:rsidRPr="00C11B1D">
              <w:rPr>
                <w:color w:val="000000"/>
              </w:rPr>
              <w:t>THA</w:t>
            </w:r>
          </w:p>
        </w:tc>
        <w:tc>
          <w:tcPr>
            <w:tcW w:w="521" w:type="pct"/>
            <w:tcBorders>
              <w:top w:val="nil"/>
              <w:left w:val="nil"/>
              <w:bottom w:val="nil"/>
              <w:right w:val="single" w:sz="4" w:space="0" w:color="auto"/>
            </w:tcBorders>
            <w:shd w:val="clear" w:color="auto" w:fill="auto"/>
            <w:noWrap/>
            <w:hideMark/>
          </w:tcPr>
          <w:p w14:paraId="1287E3CC" w14:textId="77777777" w:rsidR="00C11B1D" w:rsidRPr="00C11B1D" w:rsidRDefault="00C11B1D" w:rsidP="00D22A16">
            <w:pPr>
              <w:tabs>
                <w:tab w:val="decimal" w:pos="371"/>
              </w:tabs>
              <w:spacing w:line="360" w:lineRule="auto"/>
              <w:rPr>
                <w:color w:val="000000"/>
              </w:rPr>
            </w:pPr>
            <w:r w:rsidRPr="00C11B1D">
              <w:rPr>
                <w:color w:val="000000"/>
              </w:rPr>
              <w:t>0.600</w:t>
            </w:r>
          </w:p>
        </w:tc>
        <w:tc>
          <w:tcPr>
            <w:tcW w:w="729" w:type="pct"/>
            <w:tcBorders>
              <w:top w:val="nil"/>
              <w:left w:val="single" w:sz="4" w:space="0" w:color="auto"/>
              <w:bottom w:val="nil"/>
              <w:right w:val="nil"/>
            </w:tcBorders>
            <w:shd w:val="clear" w:color="auto" w:fill="auto"/>
            <w:noWrap/>
            <w:hideMark/>
          </w:tcPr>
          <w:p w14:paraId="218CE1BC" w14:textId="77777777" w:rsidR="00C11B1D" w:rsidRPr="00C11B1D" w:rsidRDefault="00C11B1D" w:rsidP="00C11B1D">
            <w:pPr>
              <w:spacing w:line="360" w:lineRule="auto"/>
              <w:jc w:val="center"/>
              <w:rPr>
                <w:color w:val="000000"/>
              </w:rPr>
            </w:pPr>
            <w:r w:rsidRPr="00C11B1D">
              <w:rPr>
                <w:color w:val="000000"/>
              </w:rPr>
              <w:t>NGA</w:t>
            </w:r>
          </w:p>
        </w:tc>
        <w:tc>
          <w:tcPr>
            <w:tcW w:w="521" w:type="pct"/>
            <w:tcBorders>
              <w:top w:val="nil"/>
              <w:left w:val="nil"/>
              <w:bottom w:val="nil"/>
              <w:right w:val="single" w:sz="4" w:space="0" w:color="auto"/>
            </w:tcBorders>
            <w:shd w:val="clear" w:color="auto" w:fill="auto"/>
            <w:noWrap/>
            <w:hideMark/>
          </w:tcPr>
          <w:p w14:paraId="34BCC0BE"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1ADCD627" w14:textId="77777777" w:rsidR="00C11B1D" w:rsidRPr="00C11B1D" w:rsidRDefault="00C11B1D" w:rsidP="00C11B1D">
            <w:pPr>
              <w:spacing w:line="360" w:lineRule="auto"/>
              <w:jc w:val="center"/>
              <w:rPr>
                <w:color w:val="000000"/>
              </w:rPr>
            </w:pPr>
            <w:r w:rsidRPr="00C11B1D">
              <w:rPr>
                <w:color w:val="000000"/>
              </w:rPr>
              <w:t>LAO</w:t>
            </w:r>
          </w:p>
        </w:tc>
        <w:tc>
          <w:tcPr>
            <w:tcW w:w="518" w:type="pct"/>
            <w:tcBorders>
              <w:top w:val="nil"/>
              <w:left w:val="nil"/>
              <w:bottom w:val="nil"/>
              <w:right w:val="nil"/>
            </w:tcBorders>
            <w:shd w:val="clear" w:color="auto" w:fill="auto"/>
            <w:noWrap/>
            <w:hideMark/>
          </w:tcPr>
          <w:p w14:paraId="2510593B" w14:textId="77777777" w:rsidR="00C11B1D" w:rsidRPr="00C11B1D" w:rsidRDefault="00C11B1D" w:rsidP="00D22A16">
            <w:pPr>
              <w:tabs>
                <w:tab w:val="decimal" w:pos="304"/>
              </w:tabs>
              <w:spacing w:line="360" w:lineRule="auto"/>
              <w:rPr>
                <w:color w:val="000000"/>
              </w:rPr>
            </w:pPr>
            <w:r w:rsidRPr="00C11B1D">
              <w:rPr>
                <w:color w:val="000000"/>
              </w:rPr>
              <w:t>1.018</w:t>
            </w:r>
          </w:p>
        </w:tc>
      </w:tr>
      <w:tr w:rsidR="00C11B1D" w:rsidRPr="00C11B1D" w14:paraId="3C532177" w14:textId="77777777" w:rsidTr="00C11B1D">
        <w:trPr>
          <w:jc w:val="center"/>
        </w:trPr>
        <w:tc>
          <w:tcPr>
            <w:tcW w:w="730" w:type="pct"/>
            <w:tcBorders>
              <w:top w:val="nil"/>
              <w:left w:val="nil"/>
              <w:bottom w:val="nil"/>
              <w:right w:val="nil"/>
            </w:tcBorders>
            <w:shd w:val="clear" w:color="auto" w:fill="auto"/>
            <w:noWrap/>
            <w:hideMark/>
          </w:tcPr>
          <w:p w14:paraId="3A4E39AF" w14:textId="77777777" w:rsidR="00C11B1D" w:rsidRPr="00C11B1D" w:rsidRDefault="00C11B1D" w:rsidP="00C11B1D">
            <w:pPr>
              <w:spacing w:line="360" w:lineRule="auto"/>
              <w:jc w:val="center"/>
              <w:rPr>
                <w:color w:val="000000"/>
              </w:rPr>
            </w:pPr>
            <w:r w:rsidRPr="00C11B1D">
              <w:rPr>
                <w:color w:val="000000"/>
              </w:rPr>
              <w:t>MLI</w:t>
            </w:r>
          </w:p>
        </w:tc>
        <w:tc>
          <w:tcPr>
            <w:tcW w:w="522" w:type="pct"/>
            <w:tcBorders>
              <w:top w:val="nil"/>
              <w:left w:val="nil"/>
              <w:bottom w:val="nil"/>
              <w:right w:val="single" w:sz="4" w:space="0" w:color="auto"/>
            </w:tcBorders>
            <w:shd w:val="clear" w:color="auto" w:fill="auto"/>
            <w:noWrap/>
            <w:hideMark/>
          </w:tcPr>
          <w:p w14:paraId="6607BE12" w14:textId="77777777" w:rsidR="00C11B1D" w:rsidRPr="00C11B1D" w:rsidRDefault="00C11B1D" w:rsidP="00D22A16">
            <w:pPr>
              <w:tabs>
                <w:tab w:val="decimal" w:pos="312"/>
              </w:tabs>
              <w:spacing w:line="360" w:lineRule="auto"/>
              <w:rPr>
                <w:color w:val="000000"/>
              </w:rPr>
            </w:pPr>
            <w:r w:rsidRPr="00C11B1D">
              <w:rPr>
                <w:color w:val="000000"/>
              </w:rPr>
              <w:t>0.240</w:t>
            </w:r>
          </w:p>
        </w:tc>
        <w:tc>
          <w:tcPr>
            <w:tcW w:w="730" w:type="pct"/>
            <w:tcBorders>
              <w:top w:val="nil"/>
              <w:left w:val="single" w:sz="4" w:space="0" w:color="auto"/>
              <w:bottom w:val="nil"/>
              <w:right w:val="nil"/>
            </w:tcBorders>
            <w:shd w:val="clear" w:color="auto" w:fill="auto"/>
            <w:noWrap/>
            <w:hideMark/>
          </w:tcPr>
          <w:p w14:paraId="58081530" w14:textId="77777777" w:rsidR="00C11B1D" w:rsidRPr="00C11B1D" w:rsidRDefault="00C11B1D" w:rsidP="00C11B1D">
            <w:pPr>
              <w:spacing w:line="360" w:lineRule="auto"/>
              <w:jc w:val="center"/>
              <w:rPr>
                <w:color w:val="000000"/>
              </w:rPr>
            </w:pPr>
            <w:r w:rsidRPr="00C11B1D">
              <w:rPr>
                <w:color w:val="000000"/>
              </w:rPr>
              <w:t>AGO</w:t>
            </w:r>
          </w:p>
        </w:tc>
        <w:tc>
          <w:tcPr>
            <w:tcW w:w="521" w:type="pct"/>
            <w:tcBorders>
              <w:top w:val="nil"/>
              <w:left w:val="nil"/>
              <w:bottom w:val="nil"/>
              <w:right w:val="single" w:sz="4" w:space="0" w:color="auto"/>
            </w:tcBorders>
            <w:shd w:val="clear" w:color="auto" w:fill="auto"/>
            <w:noWrap/>
            <w:hideMark/>
          </w:tcPr>
          <w:p w14:paraId="4921B9B0" w14:textId="77777777" w:rsidR="00C11B1D" w:rsidRPr="00C11B1D" w:rsidRDefault="00C11B1D" w:rsidP="00D22A16">
            <w:pPr>
              <w:tabs>
                <w:tab w:val="decimal" w:pos="371"/>
              </w:tabs>
              <w:spacing w:line="360" w:lineRule="auto"/>
              <w:rPr>
                <w:color w:val="000000"/>
              </w:rPr>
            </w:pPr>
            <w:r w:rsidRPr="00C11B1D">
              <w:rPr>
                <w:color w:val="000000"/>
              </w:rPr>
              <w:t>0.614</w:t>
            </w:r>
          </w:p>
        </w:tc>
        <w:tc>
          <w:tcPr>
            <w:tcW w:w="729" w:type="pct"/>
            <w:tcBorders>
              <w:top w:val="nil"/>
              <w:left w:val="single" w:sz="4" w:space="0" w:color="auto"/>
              <w:bottom w:val="nil"/>
              <w:right w:val="nil"/>
            </w:tcBorders>
            <w:shd w:val="clear" w:color="auto" w:fill="auto"/>
            <w:noWrap/>
            <w:hideMark/>
          </w:tcPr>
          <w:p w14:paraId="24AA460D" w14:textId="77777777" w:rsidR="00C11B1D" w:rsidRPr="00C11B1D" w:rsidRDefault="00C11B1D" w:rsidP="00C11B1D">
            <w:pPr>
              <w:spacing w:line="360" w:lineRule="auto"/>
              <w:jc w:val="center"/>
              <w:rPr>
                <w:color w:val="000000"/>
              </w:rPr>
            </w:pPr>
            <w:r w:rsidRPr="00C11B1D">
              <w:rPr>
                <w:color w:val="000000"/>
              </w:rPr>
              <w:t>NPL</w:t>
            </w:r>
          </w:p>
        </w:tc>
        <w:tc>
          <w:tcPr>
            <w:tcW w:w="521" w:type="pct"/>
            <w:tcBorders>
              <w:top w:val="nil"/>
              <w:left w:val="nil"/>
              <w:bottom w:val="nil"/>
              <w:right w:val="single" w:sz="4" w:space="0" w:color="auto"/>
            </w:tcBorders>
            <w:shd w:val="clear" w:color="auto" w:fill="auto"/>
            <w:noWrap/>
            <w:hideMark/>
          </w:tcPr>
          <w:p w14:paraId="334E2548" w14:textId="77777777" w:rsidR="00C11B1D" w:rsidRPr="00C11B1D" w:rsidRDefault="00C11B1D" w:rsidP="00D22A16">
            <w:pPr>
              <w:tabs>
                <w:tab w:val="decimal" w:pos="300"/>
              </w:tabs>
              <w:spacing w:line="360" w:lineRule="auto"/>
              <w:rPr>
                <w:color w:val="000000"/>
              </w:rPr>
            </w:pPr>
            <w:r w:rsidRPr="00C11B1D">
              <w:rPr>
                <w:color w:val="000000"/>
              </w:rPr>
              <w:t>0.800</w:t>
            </w:r>
          </w:p>
        </w:tc>
        <w:tc>
          <w:tcPr>
            <w:tcW w:w="729" w:type="pct"/>
            <w:tcBorders>
              <w:top w:val="nil"/>
              <w:left w:val="single" w:sz="4" w:space="0" w:color="auto"/>
              <w:bottom w:val="nil"/>
              <w:right w:val="nil"/>
            </w:tcBorders>
            <w:shd w:val="clear" w:color="auto" w:fill="auto"/>
            <w:noWrap/>
            <w:hideMark/>
          </w:tcPr>
          <w:p w14:paraId="0ACF5EFE" w14:textId="77777777" w:rsidR="00C11B1D" w:rsidRPr="00C11B1D" w:rsidRDefault="00C11B1D" w:rsidP="00C11B1D">
            <w:pPr>
              <w:spacing w:line="360" w:lineRule="auto"/>
              <w:jc w:val="center"/>
              <w:rPr>
                <w:color w:val="000000"/>
              </w:rPr>
            </w:pPr>
            <w:r w:rsidRPr="00C11B1D">
              <w:rPr>
                <w:color w:val="000000"/>
              </w:rPr>
              <w:t>NAM</w:t>
            </w:r>
          </w:p>
        </w:tc>
        <w:tc>
          <w:tcPr>
            <w:tcW w:w="518" w:type="pct"/>
            <w:tcBorders>
              <w:top w:val="nil"/>
              <w:left w:val="nil"/>
              <w:bottom w:val="nil"/>
              <w:right w:val="nil"/>
            </w:tcBorders>
            <w:shd w:val="clear" w:color="auto" w:fill="auto"/>
            <w:noWrap/>
            <w:hideMark/>
          </w:tcPr>
          <w:p w14:paraId="507BE6D4" w14:textId="77777777" w:rsidR="00C11B1D" w:rsidRPr="00C11B1D" w:rsidRDefault="00C11B1D" w:rsidP="00D22A16">
            <w:pPr>
              <w:tabs>
                <w:tab w:val="decimal" w:pos="304"/>
              </w:tabs>
              <w:spacing w:line="360" w:lineRule="auto"/>
              <w:rPr>
                <w:color w:val="000000"/>
              </w:rPr>
            </w:pPr>
            <w:r w:rsidRPr="00C11B1D">
              <w:rPr>
                <w:color w:val="000000"/>
              </w:rPr>
              <w:t>1.018</w:t>
            </w:r>
          </w:p>
        </w:tc>
      </w:tr>
      <w:tr w:rsidR="00C11B1D" w:rsidRPr="00C11B1D" w14:paraId="43FB1022" w14:textId="77777777" w:rsidTr="00C11B1D">
        <w:trPr>
          <w:jc w:val="center"/>
        </w:trPr>
        <w:tc>
          <w:tcPr>
            <w:tcW w:w="730" w:type="pct"/>
            <w:tcBorders>
              <w:top w:val="nil"/>
              <w:left w:val="nil"/>
              <w:bottom w:val="nil"/>
              <w:right w:val="nil"/>
            </w:tcBorders>
            <w:shd w:val="clear" w:color="auto" w:fill="auto"/>
            <w:noWrap/>
            <w:hideMark/>
          </w:tcPr>
          <w:p w14:paraId="5C37B2E3" w14:textId="77777777" w:rsidR="00C11B1D" w:rsidRPr="00C11B1D" w:rsidRDefault="00C11B1D" w:rsidP="00C11B1D">
            <w:pPr>
              <w:spacing w:line="360" w:lineRule="auto"/>
              <w:jc w:val="center"/>
              <w:rPr>
                <w:color w:val="000000"/>
              </w:rPr>
            </w:pPr>
            <w:r w:rsidRPr="00C11B1D">
              <w:rPr>
                <w:color w:val="000000"/>
              </w:rPr>
              <w:t>VNM</w:t>
            </w:r>
          </w:p>
        </w:tc>
        <w:tc>
          <w:tcPr>
            <w:tcW w:w="522" w:type="pct"/>
            <w:tcBorders>
              <w:top w:val="nil"/>
              <w:left w:val="nil"/>
              <w:bottom w:val="nil"/>
              <w:right w:val="single" w:sz="4" w:space="0" w:color="auto"/>
            </w:tcBorders>
            <w:shd w:val="clear" w:color="auto" w:fill="auto"/>
            <w:noWrap/>
            <w:hideMark/>
          </w:tcPr>
          <w:p w14:paraId="5FD69471" w14:textId="77777777" w:rsidR="00C11B1D" w:rsidRPr="00C11B1D" w:rsidRDefault="00C11B1D" w:rsidP="00D22A16">
            <w:pPr>
              <w:tabs>
                <w:tab w:val="decimal" w:pos="312"/>
              </w:tabs>
              <w:spacing w:line="360" w:lineRule="auto"/>
              <w:rPr>
                <w:color w:val="000000"/>
              </w:rPr>
            </w:pPr>
            <w:r w:rsidRPr="00C11B1D">
              <w:rPr>
                <w:color w:val="000000"/>
              </w:rPr>
              <w:t>0.249</w:t>
            </w:r>
          </w:p>
        </w:tc>
        <w:tc>
          <w:tcPr>
            <w:tcW w:w="730" w:type="pct"/>
            <w:tcBorders>
              <w:top w:val="nil"/>
              <w:left w:val="single" w:sz="4" w:space="0" w:color="auto"/>
              <w:bottom w:val="nil"/>
              <w:right w:val="nil"/>
            </w:tcBorders>
            <w:shd w:val="clear" w:color="auto" w:fill="auto"/>
            <w:noWrap/>
            <w:hideMark/>
          </w:tcPr>
          <w:p w14:paraId="78A82A66" w14:textId="77777777" w:rsidR="00C11B1D" w:rsidRPr="00C11B1D" w:rsidRDefault="00C11B1D" w:rsidP="00C11B1D">
            <w:pPr>
              <w:spacing w:line="360" w:lineRule="auto"/>
              <w:jc w:val="center"/>
              <w:rPr>
                <w:color w:val="000000"/>
              </w:rPr>
            </w:pPr>
            <w:r w:rsidRPr="00C11B1D">
              <w:rPr>
                <w:color w:val="000000"/>
              </w:rPr>
              <w:t>ARE</w:t>
            </w:r>
          </w:p>
        </w:tc>
        <w:tc>
          <w:tcPr>
            <w:tcW w:w="521" w:type="pct"/>
            <w:tcBorders>
              <w:top w:val="nil"/>
              <w:left w:val="nil"/>
              <w:bottom w:val="nil"/>
              <w:right w:val="single" w:sz="4" w:space="0" w:color="auto"/>
            </w:tcBorders>
            <w:shd w:val="clear" w:color="auto" w:fill="auto"/>
            <w:noWrap/>
            <w:hideMark/>
          </w:tcPr>
          <w:p w14:paraId="666F95F8" w14:textId="77777777" w:rsidR="00C11B1D" w:rsidRPr="00C11B1D" w:rsidRDefault="00C11B1D" w:rsidP="00D22A16">
            <w:pPr>
              <w:tabs>
                <w:tab w:val="decimal" w:pos="371"/>
              </w:tabs>
              <w:spacing w:line="360" w:lineRule="auto"/>
              <w:rPr>
                <w:color w:val="000000"/>
              </w:rPr>
            </w:pPr>
            <w:r w:rsidRPr="00C11B1D">
              <w:rPr>
                <w:color w:val="000000"/>
              </w:rPr>
              <w:t>0.622</w:t>
            </w:r>
          </w:p>
        </w:tc>
        <w:tc>
          <w:tcPr>
            <w:tcW w:w="729" w:type="pct"/>
            <w:tcBorders>
              <w:top w:val="nil"/>
              <w:left w:val="single" w:sz="4" w:space="0" w:color="auto"/>
              <w:bottom w:val="nil"/>
              <w:right w:val="nil"/>
            </w:tcBorders>
            <w:shd w:val="clear" w:color="auto" w:fill="auto"/>
            <w:noWrap/>
            <w:hideMark/>
          </w:tcPr>
          <w:p w14:paraId="66D183CC" w14:textId="77777777" w:rsidR="00C11B1D" w:rsidRPr="00C11B1D" w:rsidRDefault="00C11B1D" w:rsidP="00C11B1D">
            <w:pPr>
              <w:spacing w:line="360" w:lineRule="auto"/>
              <w:jc w:val="center"/>
              <w:rPr>
                <w:color w:val="000000"/>
              </w:rPr>
            </w:pPr>
            <w:r w:rsidRPr="00C11B1D">
              <w:rPr>
                <w:color w:val="000000"/>
              </w:rPr>
              <w:t>NZL</w:t>
            </w:r>
          </w:p>
        </w:tc>
        <w:tc>
          <w:tcPr>
            <w:tcW w:w="521" w:type="pct"/>
            <w:tcBorders>
              <w:top w:val="nil"/>
              <w:left w:val="nil"/>
              <w:bottom w:val="nil"/>
              <w:right w:val="single" w:sz="4" w:space="0" w:color="auto"/>
            </w:tcBorders>
            <w:shd w:val="clear" w:color="auto" w:fill="auto"/>
            <w:noWrap/>
            <w:hideMark/>
          </w:tcPr>
          <w:p w14:paraId="0EBA24AB" w14:textId="77777777" w:rsidR="00C11B1D" w:rsidRPr="00C11B1D" w:rsidRDefault="00C11B1D" w:rsidP="00D22A16">
            <w:pPr>
              <w:tabs>
                <w:tab w:val="decimal" w:pos="300"/>
              </w:tabs>
              <w:spacing w:line="360" w:lineRule="auto"/>
              <w:rPr>
                <w:color w:val="000000"/>
              </w:rPr>
            </w:pPr>
            <w:r w:rsidRPr="00C11B1D">
              <w:rPr>
                <w:color w:val="000000"/>
              </w:rPr>
              <w:t>0.808</w:t>
            </w:r>
          </w:p>
        </w:tc>
        <w:tc>
          <w:tcPr>
            <w:tcW w:w="729" w:type="pct"/>
            <w:tcBorders>
              <w:top w:val="nil"/>
              <w:left w:val="single" w:sz="4" w:space="0" w:color="auto"/>
              <w:bottom w:val="nil"/>
              <w:right w:val="nil"/>
            </w:tcBorders>
            <w:shd w:val="clear" w:color="auto" w:fill="auto"/>
            <w:noWrap/>
            <w:hideMark/>
          </w:tcPr>
          <w:p w14:paraId="04216778" w14:textId="77777777" w:rsidR="00C11B1D" w:rsidRPr="00C11B1D" w:rsidRDefault="00C11B1D" w:rsidP="00C11B1D">
            <w:pPr>
              <w:spacing w:line="360" w:lineRule="auto"/>
              <w:jc w:val="center"/>
              <w:rPr>
                <w:color w:val="000000"/>
              </w:rPr>
            </w:pPr>
            <w:r w:rsidRPr="00C11B1D">
              <w:rPr>
                <w:color w:val="000000"/>
              </w:rPr>
              <w:t>MKD</w:t>
            </w:r>
          </w:p>
        </w:tc>
        <w:tc>
          <w:tcPr>
            <w:tcW w:w="518" w:type="pct"/>
            <w:tcBorders>
              <w:top w:val="nil"/>
              <w:left w:val="nil"/>
              <w:bottom w:val="nil"/>
              <w:right w:val="nil"/>
            </w:tcBorders>
            <w:shd w:val="clear" w:color="auto" w:fill="auto"/>
            <w:noWrap/>
            <w:hideMark/>
          </w:tcPr>
          <w:p w14:paraId="108B1D98" w14:textId="77777777" w:rsidR="00C11B1D" w:rsidRPr="00C11B1D" w:rsidRDefault="00C11B1D" w:rsidP="00D22A16">
            <w:pPr>
              <w:tabs>
                <w:tab w:val="decimal" w:pos="304"/>
              </w:tabs>
              <w:spacing w:line="360" w:lineRule="auto"/>
              <w:rPr>
                <w:color w:val="000000"/>
              </w:rPr>
            </w:pPr>
            <w:r w:rsidRPr="00C11B1D">
              <w:rPr>
                <w:color w:val="000000"/>
              </w:rPr>
              <w:t>1.050</w:t>
            </w:r>
          </w:p>
        </w:tc>
      </w:tr>
      <w:tr w:rsidR="00C11B1D" w:rsidRPr="00C11B1D" w14:paraId="51652ECD" w14:textId="77777777" w:rsidTr="00C11B1D">
        <w:trPr>
          <w:jc w:val="center"/>
        </w:trPr>
        <w:tc>
          <w:tcPr>
            <w:tcW w:w="730" w:type="pct"/>
            <w:tcBorders>
              <w:top w:val="nil"/>
              <w:left w:val="nil"/>
              <w:bottom w:val="nil"/>
              <w:right w:val="nil"/>
            </w:tcBorders>
            <w:shd w:val="clear" w:color="auto" w:fill="auto"/>
            <w:noWrap/>
            <w:hideMark/>
          </w:tcPr>
          <w:p w14:paraId="11A6BFDF" w14:textId="77777777" w:rsidR="00C11B1D" w:rsidRPr="00C11B1D" w:rsidRDefault="00C11B1D" w:rsidP="00C11B1D">
            <w:pPr>
              <w:spacing w:line="360" w:lineRule="auto"/>
              <w:jc w:val="center"/>
              <w:rPr>
                <w:color w:val="000000"/>
              </w:rPr>
            </w:pPr>
            <w:r w:rsidRPr="00C11B1D">
              <w:rPr>
                <w:color w:val="000000"/>
              </w:rPr>
              <w:t>ESP</w:t>
            </w:r>
          </w:p>
        </w:tc>
        <w:tc>
          <w:tcPr>
            <w:tcW w:w="522" w:type="pct"/>
            <w:tcBorders>
              <w:top w:val="nil"/>
              <w:left w:val="nil"/>
              <w:bottom w:val="nil"/>
              <w:right w:val="single" w:sz="4" w:space="0" w:color="auto"/>
            </w:tcBorders>
            <w:shd w:val="clear" w:color="auto" w:fill="auto"/>
            <w:noWrap/>
            <w:hideMark/>
          </w:tcPr>
          <w:p w14:paraId="451B877B" w14:textId="77777777" w:rsidR="00C11B1D" w:rsidRPr="00C11B1D" w:rsidRDefault="00C11B1D" w:rsidP="00D22A16">
            <w:pPr>
              <w:tabs>
                <w:tab w:val="decimal" w:pos="312"/>
              </w:tabs>
              <w:spacing w:line="360" w:lineRule="auto"/>
              <w:rPr>
                <w:color w:val="000000"/>
              </w:rPr>
            </w:pPr>
            <w:r w:rsidRPr="00C11B1D">
              <w:rPr>
                <w:color w:val="000000"/>
              </w:rPr>
              <w:t>0.267</w:t>
            </w:r>
          </w:p>
        </w:tc>
        <w:tc>
          <w:tcPr>
            <w:tcW w:w="730" w:type="pct"/>
            <w:tcBorders>
              <w:top w:val="nil"/>
              <w:left w:val="single" w:sz="4" w:space="0" w:color="auto"/>
              <w:bottom w:val="nil"/>
              <w:right w:val="nil"/>
            </w:tcBorders>
            <w:shd w:val="clear" w:color="auto" w:fill="auto"/>
            <w:noWrap/>
            <w:hideMark/>
          </w:tcPr>
          <w:p w14:paraId="6A4A9845" w14:textId="77777777" w:rsidR="00C11B1D" w:rsidRPr="00C11B1D" w:rsidRDefault="00C11B1D" w:rsidP="00C11B1D">
            <w:pPr>
              <w:spacing w:line="360" w:lineRule="auto"/>
              <w:jc w:val="center"/>
              <w:rPr>
                <w:color w:val="000000"/>
              </w:rPr>
            </w:pPr>
            <w:r w:rsidRPr="00C11B1D">
              <w:rPr>
                <w:color w:val="000000"/>
              </w:rPr>
              <w:t>ECU</w:t>
            </w:r>
          </w:p>
        </w:tc>
        <w:tc>
          <w:tcPr>
            <w:tcW w:w="521" w:type="pct"/>
            <w:tcBorders>
              <w:top w:val="nil"/>
              <w:left w:val="nil"/>
              <w:bottom w:val="nil"/>
              <w:right w:val="single" w:sz="4" w:space="0" w:color="auto"/>
            </w:tcBorders>
            <w:shd w:val="clear" w:color="auto" w:fill="auto"/>
            <w:noWrap/>
            <w:hideMark/>
          </w:tcPr>
          <w:p w14:paraId="4AC07B43" w14:textId="77777777" w:rsidR="00C11B1D" w:rsidRPr="00C11B1D" w:rsidRDefault="00C11B1D" w:rsidP="00D22A16">
            <w:pPr>
              <w:tabs>
                <w:tab w:val="decimal" w:pos="371"/>
              </w:tabs>
              <w:spacing w:line="360" w:lineRule="auto"/>
              <w:rPr>
                <w:color w:val="000000"/>
              </w:rPr>
            </w:pPr>
            <w:r w:rsidRPr="00C11B1D">
              <w:rPr>
                <w:color w:val="000000"/>
              </w:rPr>
              <w:t>0.622</w:t>
            </w:r>
          </w:p>
        </w:tc>
        <w:tc>
          <w:tcPr>
            <w:tcW w:w="729" w:type="pct"/>
            <w:tcBorders>
              <w:top w:val="nil"/>
              <w:left w:val="single" w:sz="4" w:space="0" w:color="auto"/>
              <w:bottom w:val="nil"/>
              <w:right w:val="nil"/>
            </w:tcBorders>
            <w:shd w:val="clear" w:color="auto" w:fill="auto"/>
            <w:noWrap/>
            <w:hideMark/>
          </w:tcPr>
          <w:p w14:paraId="6AD58A3E" w14:textId="77777777" w:rsidR="00C11B1D" w:rsidRPr="00C11B1D" w:rsidRDefault="00C11B1D" w:rsidP="00C11B1D">
            <w:pPr>
              <w:spacing w:line="360" w:lineRule="auto"/>
              <w:jc w:val="center"/>
              <w:rPr>
                <w:color w:val="000000"/>
              </w:rPr>
            </w:pPr>
            <w:r w:rsidRPr="00C11B1D">
              <w:rPr>
                <w:color w:val="000000"/>
              </w:rPr>
              <w:t>BRN</w:t>
            </w:r>
          </w:p>
        </w:tc>
        <w:tc>
          <w:tcPr>
            <w:tcW w:w="521" w:type="pct"/>
            <w:tcBorders>
              <w:top w:val="nil"/>
              <w:left w:val="nil"/>
              <w:bottom w:val="nil"/>
              <w:right w:val="single" w:sz="4" w:space="0" w:color="auto"/>
            </w:tcBorders>
            <w:shd w:val="clear" w:color="auto" w:fill="auto"/>
            <w:noWrap/>
            <w:hideMark/>
          </w:tcPr>
          <w:p w14:paraId="1D2549D0" w14:textId="77777777" w:rsidR="00C11B1D" w:rsidRPr="00C11B1D" w:rsidRDefault="00C11B1D" w:rsidP="00D22A16">
            <w:pPr>
              <w:tabs>
                <w:tab w:val="decimal" w:pos="300"/>
              </w:tabs>
              <w:spacing w:line="360" w:lineRule="auto"/>
              <w:rPr>
                <w:color w:val="000000"/>
              </w:rPr>
            </w:pPr>
            <w:r w:rsidRPr="00C11B1D">
              <w:rPr>
                <w:color w:val="000000"/>
              </w:rPr>
              <w:t>0.824</w:t>
            </w:r>
          </w:p>
        </w:tc>
        <w:tc>
          <w:tcPr>
            <w:tcW w:w="729" w:type="pct"/>
            <w:tcBorders>
              <w:top w:val="nil"/>
              <w:left w:val="single" w:sz="4" w:space="0" w:color="auto"/>
              <w:bottom w:val="nil"/>
              <w:right w:val="nil"/>
            </w:tcBorders>
            <w:shd w:val="clear" w:color="auto" w:fill="auto"/>
            <w:noWrap/>
            <w:hideMark/>
          </w:tcPr>
          <w:p w14:paraId="5E185BBC" w14:textId="77777777" w:rsidR="00C11B1D" w:rsidRPr="00C11B1D" w:rsidRDefault="00C11B1D" w:rsidP="00C11B1D">
            <w:pPr>
              <w:spacing w:line="360" w:lineRule="auto"/>
              <w:jc w:val="center"/>
              <w:rPr>
                <w:color w:val="000000"/>
              </w:rPr>
            </w:pPr>
            <w:r w:rsidRPr="00C11B1D">
              <w:rPr>
                <w:color w:val="000000"/>
              </w:rPr>
              <w:t>OMN</w:t>
            </w:r>
          </w:p>
        </w:tc>
        <w:tc>
          <w:tcPr>
            <w:tcW w:w="518" w:type="pct"/>
            <w:tcBorders>
              <w:top w:val="nil"/>
              <w:left w:val="nil"/>
              <w:bottom w:val="nil"/>
              <w:right w:val="nil"/>
            </w:tcBorders>
            <w:shd w:val="clear" w:color="auto" w:fill="auto"/>
            <w:noWrap/>
            <w:hideMark/>
          </w:tcPr>
          <w:p w14:paraId="678416A2" w14:textId="77777777" w:rsidR="00C11B1D" w:rsidRPr="00C11B1D" w:rsidRDefault="00C11B1D" w:rsidP="00D22A16">
            <w:pPr>
              <w:tabs>
                <w:tab w:val="decimal" w:pos="304"/>
              </w:tabs>
              <w:spacing w:line="360" w:lineRule="auto"/>
              <w:rPr>
                <w:color w:val="000000"/>
              </w:rPr>
            </w:pPr>
            <w:r w:rsidRPr="00C11B1D">
              <w:rPr>
                <w:color w:val="000000"/>
              </w:rPr>
              <w:t>1.077</w:t>
            </w:r>
          </w:p>
        </w:tc>
      </w:tr>
      <w:tr w:rsidR="00C11B1D" w:rsidRPr="00C11B1D" w14:paraId="653B1784" w14:textId="77777777" w:rsidTr="00C11B1D">
        <w:trPr>
          <w:jc w:val="center"/>
        </w:trPr>
        <w:tc>
          <w:tcPr>
            <w:tcW w:w="730" w:type="pct"/>
            <w:tcBorders>
              <w:top w:val="nil"/>
              <w:left w:val="nil"/>
              <w:bottom w:val="nil"/>
              <w:right w:val="nil"/>
            </w:tcBorders>
            <w:shd w:val="clear" w:color="auto" w:fill="auto"/>
            <w:noWrap/>
            <w:hideMark/>
          </w:tcPr>
          <w:p w14:paraId="31C1422B" w14:textId="77777777" w:rsidR="00C11B1D" w:rsidRPr="00C11B1D" w:rsidRDefault="00C11B1D" w:rsidP="00C11B1D">
            <w:pPr>
              <w:spacing w:line="360" w:lineRule="auto"/>
              <w:jc w:val="center"/>
              <w:rPr>
                <w:color w:val="000000"/>
              </w:rPr>
            </w:pPr>
            <w:r w:rsidRPr="00C11B1D">
              <w:rPr>
                <w:color w:val="000000"/>
              </w:rPr>
              <w:t>YEM</w:t>
            </w:r>
          </w:p>
        </w:tc>
        <w:tc>
          <w:tcPr>
            <w:tcW w:w="522" w:type="pct"/>
            <w:tcBorders>
              <w:top w:val="nil"/>
              <w:left w:val="nil"/>
              <w:bottom w:val="nil"/>
              <w:right w:val="single" w:sz="4" w:space="0" w:color="auto"/>
            </w:tcBorders>
            <w:shd w:val="clear" w:color="auto" w:fill="auto"/>
            <w:noWrap/>
            <w:hideMark/>
          </w:tcPr>
          <w:p w14:paraId="5E144156" w14:textId="77777777" w:rsidR="00C11B1D" w:rsidRPr="00C11B1D" w:rsidRDefault="00C11B1D" w:rsidP="00D22A16">
            <w:pPr>
              <w:tabs>
                <w:tab w:val="decimal" w:pos="312"/>
              </w:tabs>
              <w:spacing w:line="360" w:lineRule="auto"/>
              <w:rPr>
                <w:color w:val="000000"/>
              </w:rPr>
            </w:pPr>
            <w:r w:rsidRPr="00C11B1D">
              <w:rPr>
                <w:color w:val="000000"/>
              </w:rPr>
              <w:t>0.275</w:t>
            </w:r>
          </w:p>
        </w:tc>
        <w:tc>
          <w:tcPr>
            <w:tcW w:w="730" w:type="pct"/>
            <w:tcBorders>
              <w:top w:val="nil"/>
              <w:left w:val="single" w:sz="4" w:space="0" w:color="auto"/>
              <w:bottom w:val="nil"/>
              <w:right w:val="nil"/>
            </w:tcBorders>
            <w:shd w:val="clear" w:color="auto" w:fill="auto"/>
            <w:noWrap/>
            <w:hideMark/>
          </w:tcPr>
          <w:p w14:paraId="1AF0748A" w14:textId="77777777" w:rsidR="00C11B1D" w:rsidRPr="00C11B1D" w:rsidRDefault="00C11B1D" w:rsidP="00C11B1D">
            <w:pPr>
              <w:spacing w:line="360" w:lineRule="auto"/>
              <w:jc w:val="center"/>
              <w:rPr>
                <w:color w:val="000000"/>
              </w:rPr>
            </w:pPr>
            <w:r w:rsidRPr="00C11B1D">
              <w:rPr>
                <w:color w:val="000000"/>
              </w:rPr>
              <w:t>FIN</w:t>
            </w:r>
          </w:p>
        </w:tc>
        <w:tc>
          <w:tcPr>
            <w:tcW w:w="521" w:type="pct"/>
            <w:tcBorders>
              <w:top w:val="nil"/>
              <w:left w:val="nil"/>
              <w:bottom w:val="nil"/>
              <w:right w:val="single" w:sz="4" w:space="0" w:color="auto"/>
            </w:tcBorders>
            <w:shd w:val="clear" w:color="auto" w:fill="auto"/>
            <w:noWrap/>
            <w:hideMark/>
          </w:tcPr>
          <w:p w14:paraId="15B38BC1" w14:textId="77777777" w:rsidR="00C11B1D" w:rsidRPr="00C11B1D" w:rsidRDefault="00C11B1D" w:rsidP="00D22A16">
            <w:pPr>
              <w:tabs>
                <w:tab w:val="decimal" w:pos="371"/>
              </w:tabs>
              <w:spacing w:line="360" w:lineRule="auto"/>
              <w:rPr>
                <w:color w:val="000000"/>
              </w:rPr>
            </w:pPr>
            <w:r w:rsidRPr="00C11B1D">
              <w:rPr>
                <w:color w:val="000000"/>
              </w:rPr>
              <w:t>0.622</w:t>
            </w:r>
          </w:p>
        </w:tc>
        <w:tc>
          <w:tcPr>
            <w:tcW w:w="729" w:type="pct"/>
            <w:tcBorders>
              <w:top w:val="nil"/>
              <w:left w:val="single" w:sz="4" w:space="0" w:color="auto"/>
              <w:bottom w:val="nil"/>
              <w:right w:val="nil"/>
            </w:tcBorders>
            <w:shd w:val="clear" w:color="auto" w:fill="auto"/>
            <w:noWrap/>
            <w:hideMark/>
          </w:tcPr>
          <w:p w14:paraId="775E8B64" w14:textId="77777777" w:rsidR="00C11B1D" w:rsidRPr="00C11B1D" w:rsidRDefault="00C11B1D" w:rsidP="00C11B1D">
            <w:pPr>
              <w:spacing w:line="360" w:lineRule="auto"/>
              <w:jc w:val="center"/>
              <w:rPr>
                <w:color w:val="000000"/>
              </w:rPr>
            </w:pPr>
            <w:r w:rsidRPr="00C11B1D">
              <w:rPr>
                <w:color w:val="000000"/>
              </w:rPr>
              <w:t>LVA</w:t>
            </w:r>
          </w:p>
        </w:tc>
        <w:tc>
          <w:tcPr>
            <w:tcW w:w="521" w:type="pct"/>
            <w:tcBorders>
              <w:top w:val="nil"/>
              <w:left w:val="nil"/>
              <w:bottom w:val="nil"/>
              <w:right w:val="single" w:sz="4" w:space="0" w:color="auto"/>
            </w:tcBorders>
            <w:shd w:val="clear" w:color="auto" w:fill="auto"/>
            <w:noWrap/>
            <w:hideMark/>
          </w:tcPr>
          <w:p w14:paraId="01166847" w14:textId="77777777" w:rsidR="00C11B1D" w:rsidRPr="00C11B1D" w:rsidRDefault="00C11B1D" w:rsidP="00D22A16">
            <w:pPr>
              <w:tabs>
                <w:tab w:val="decimal" w:pos="300"/>
              </w:tabs>
              <w:spacing w:line="360" w:lineRule="auto"/>
              <w:rPr>
                <w:color w:val="000000"/>
              </w:rPr>
            </w:pPr>
            <w:r w:rsidRPr="00C11B1D">
              <w:rPr>
                <w:color w:val="000000"/>
              </w:rPr>
              <w:t>0.824</w:t>
            </w:r>
          </w:p>
        </w:tc>
        <w:tc>
          <w:tcPr>
            <w:tcW w:w="729" w:type="pct"/>
            <w:tcBorders>
              <w:top w:val="nil"/>
              <w:left w:val="single" w:sz="4" w:space="0" w:color="auto"/>
              <w:bottom w:val="nil"/>
              <w:right w:val="nil"/>
            </w:tcBorders>
            <w:shd w:val="clear" w:color="auto" w:fill="auto"/>
            <w:noWrap/>
            <w:hideMark/>
          </w:tcPr>
          <w:p w14:paraId="677C647F" w14:textId="77777777" w:rsidR="00C11B1D" w:rsidRPr="00C11B1D" w:rsidRDefault="00C11B1D" w:rsidP="00C11B1D">
            <w:pPr>
              <w:spacing w:line="360" w:lineRule="auto"/>
              <w:jc w:val="center"/>
              <w:rPr>
                <w:color w:val="000000"/>
              </w:rPr>
            </w:pPr>
            <w:r w:rsidRPr="00C11B1D">
              <w:rPr>
                <w:color w:val="000000"/>
              </w:rPr>
              <w:t>RWA</w:t>
            </w:r>
          </w:p>
        </w:tc>
        <w:tc>
          <w:tcPr>
            <w:tcW w:w="518" w:type="pct"/>
            <w:tcBorders>
              <w:top w:val="nil"/>
              <w:left w:val="nil"/>
              <w:bottom w:val="nil"/>
              <w:right w:val="nil"/>
            </w:tcBorders>
            <w:shd w:val="clear" w:color="auto" w:fill="auto"/>
            <w:noWrap/>
            <w:hideMark/>
          </w:tcPr>
          <w:p w14:paraId="2A284064" w14:textId="77777777" w:rsidR="00C11B1D" w:rsidRPr="00C11B1D" w:rsidRDefault="00C11B1D" w:rsidP="00D22A16">
            <w:pPr>
              <w:tabs>
                <w:tab w:val="decimal" w:pos="304"/>
              </w:tabs>
              <w:spacing w:line="360" w:lineRule="auto"/>
              <w:rPr>
                <w:color w:val="000000"/>
              </w:rPr>
            </w:pPr>
            <w:r w:rsidRPr="00C11B1D">
              <w:rPr>
                <w:color w:val="000000"/>
              </w:rPr>
              <w:t>1.077</w:t>
            </w:r>
          </w:p>
        </w:tc>
      </w:tr>
      <w:tr w:rsidR="00C11B1D" w:rsidRPr="00C11B1D" w14:paraId="5A4A8801" w14:textId="77777777" w:rsidTr="00C11B1D">
        <w:trPr>
          <w:jc w:val="center"/>
        </w:trPr>
        <w:tc>
          <w:tcPr>
            <w:tcW w:w="730" w:type="pct"/>
            <w:tcBorders>
              <w:top w:val="nil"/>
              <w:left w:val="nil"/>
              <w:bottom w:val="nil"/>
              <w:right w:val="nil"/>
            </w:tcBorders>
            <w:shd w:val="clear" w:color="auto" w:fill="auto"/>
            <w:noWrap/>
            <w:hideMark/>
          </w:tcPr>
          <w:p w14:paraId="2701FEF8" w14:textId="77777777" w:rsidR="00C11B1D" w:rsidRPr="00C11B1D" w:rsidRDefault="00C11B1D" w:rsidP="00C11B1D">
            <w:pPr>
              <w:spacing w:line="360" w:lineRule="auto"/>
              <w:jc w:val="center"/>
              <w:rPr>
                <w:color w:val="000000"/>
              </w:rPr>
            </w:pPr>
            <w:r w:rsidRPr="00C11B1D">
              <w:rPr>
                <w:color w:val="000000"/>
              </w:rPr>
              <w:t>GAB</w:t>
            </w:r>
          </w:p>
        </w:tc>
        <w:tc>
          <w:tcPr>
            <w:tcW w:w="522" w:type="pct"/>
            <w:tcBorders>
              <w:top w:val="nil"/>
              <w:left w:val="nil"/>
              <w:bottom w:val="nil"/>
              <w:right w:val="single" w:sz="4" w:space="0" w:color="auto"/>
            </w:tcBorders>
            <w:shd w:val="clear" w:color="auto" w:fill="auto"/>
            <w:noWrap/>
            <w:hideMark/>
          </w:tcPr>
          <w:p w14:paraId="129F25AC" w14:textId="77777777" w:rsidR="00C11B1D" w:rsidRPr="00C11B1D" w:rsidRDefault="00C11B1D" w:rsidP="00D22A16">
            <w:pPr>
              <w:tabs>
                <w:tab w:val="decimal" w:pos="312"/>
              </w:tabs>
              <w:spacing w:line="360" w:lineRule="auto"/>
              <w:rPr>
                <w:color w:val="000000"/>
              </w:rPr>
            </w:pPr>
            <w:r w:rsidRPr="00C11B1D">
              <w:rPr>
                <w:color w:val="000000"/>
              </w:rPr>
              <w:t>0.286</w:t>
            </w:r>
          </w:p>
        </w:tc>
        <w:tc>
          <w:tcPr>
            <w:tcW w:w="730" w:type="pct"/>
            <w:tcBorders>
              <w:top w:val="nil"/>
              <w:left w:val="single" w:sz="4" w:space="0" w:color="auto"/>
              <w:bottom w:val="nil"/>
              <w:right w:val="nil"/>
            </w:tcBorders>
            <w:shd w:val="clear" w:color="auto" w:fill="auto"/>
            <w:noWrap/>
            <w:hideMark/>
          </w:tcPr>
          <w:p w14:paraId="65ABD971" w14:textId="77777777" w:rsidR="00C11B1D" w:rsidRPr="00C11B1D" w:rsidRDefault="00C11B1D" w:rsidP="00C11B1D">
            <w:pPr>
              <w:spacing w:line="360" w:lineRule="auto"/>
              <w:jc w:val="center"/>
              <w:rPr>
                <w:color w:val="000000"/>
              </w:rPr>
            </w:pPr>
            <w:r w:rsidRPr="00C11B1D">
              <w:rPr>
                <w:color w:val="000000"/>
              </w:rPr>
              <w:t>GIN</w:t>
            </w:r>
          </w:p>
        </w:tc>
        <w:tc>
          <w:tcPr>
            <w:tcW w:w="521" w:type="pct"/>
            <w:tcBorders>
              <w:top w:val="nil"/>
              <w:left w:val="nil"/>
              <w:bottom w:val="nil"/>
              <w:right w:val="single" w:sz="4" w:space="0" w:color="auto"/>
            </w:tcBorders>
            <w:shd w:val="clear" w:color="auto" w:fill="auto"/>
            <w:noWrap/>
            <w:hideMark/>
          </w:tcPr>
          <w:p w14:paraId="0CC1C335" w14:textId="77777777" w:rsidR="00C11B1D" w:rsidRPr="00C11B1D" w:rsidRDefault="00C11B1D" w:rsidP="00D22A16">
            <w:pPr>
              <w:tabs>
                <w:tab w:val="decimal" w:pos="371"/>
              </w:tabs>
              <w:spacing w:line="360" w:lineRule="auto"/>
              <w:rPr>
                <w:color w:val="000000"/>
              </w:rPr>
            </w:pPr>
            <w:r w:rsidRPr="00C11B1D">
              <w:rPr>
                <w:color w:val="000000"/>
              </w:rPr>
              <w:t>0.622</w:t>
            </w:r>
          </w:p>
        </w:tc>
        <w:tc>
          <w:tcPr>
            <w:tcW w:w="729" w:type="pct"/>
            <w:tcBorders>
              <w:top w:val="nil"/>
              <w:left w:val="single" w:sz="4" w:space="0" w:color="auto"/>
              <w:bottom w:val="nil"/>
              <w:right w:val="nil"/>
            </w:tcBorders>
            <w:shd w:val="clear" w:color="auto" w:fill="auto"/>
            <w:noWrap/>
            <w:hideMark/>
          </w:tcPr>
          <w:p w14:paraId="1180D671" w14:textId="77777777" w:rsidR="00C11B1D" w:rsidRPr="00C11B1D" w:rsidRDefault="00C11B1D" w:rsidP="00C11B1D">
            <w:pPr>
              <w:spacing w:line="360" w:lineRule="auto"/>
              <w:jc w:val="center"/>
              <w:rPr>
                <w:color w:val="000000"/>
              </w:rPr>
            </w:pPr>
            <w:r w:rsidRPr="00C11B1D">
              <w:rPr>
                <w:color w:val="000000"/>
              </w:rPr>
              <w:t>NLD</w:t>
            </w:r>
          </w:p>
        </w:tc>
        <w:tc>
          <w:tcPr>
            <w:tcW w:w="521" w:type="pct"/>
            <w:tcBorders>
              <w:top w:val="nil"/>
              <w:left w:val="nil"/>
              <w:bottom w:val="nil"/>
              <w:right w:val="single" w:sz="4" w:space="0" w:color="auto"/>
            </w:tcBorders>
            <w:shd w:val="clear" w:color="auto" w:fill="auto"/>
            <w:noWrap/>
            <w:hideMark/>
          </w:tcPr>
          <w:p w14:paraId="16AF7609" w14:textId="77777777" w:rsidR="00C11B1D" w:rsidRPr="00C11B1D" w:rsidRDefault="00C11B1D" w:rsidP="00D22A16">
            <w:pPr>
              <w:tabs>
                <w:tab w:val="decimal" w:pos="300"/>
              </w:tabs>
              <w:spacing w:line="360" w:lineRule="auto"/>
              <w:rPr>
                <w:color w:val="000000"/>
              </w:rPr>
            </w:pPr>
            <w:r w:rsidRPr="00C11B1D">
              <w:rPr>
                <w:color w:val="000000"/>
              </w:rPr>
              <w:t>0.824</w:t>
            </w:r>
          </w:p>
        </w:tc>
        <w:tc>
          <w:tcPr>
            <w:tcW w:w="729" w:type="pct"/>
            <w:tcBorders>
              <w:top w:val="nil"/>
              <w:left w:val="single" w:sz="4" w:space="0" w:color="auto"/>
              <w:bottom w:val="nil"/>
              <w:right w:val="nil"/>
            </w:tcBorders>
            <w:shd w:val="clear" w:color="auto" w:fill="auto"/>
            <w:noWrap/>
            <w:hideMark/>
          </w:tcPr>
          <w:p w14:paraId="6A2DF4A3" w14:textId="77777777" w:rsidR="00C11B1D" w:rsidRPr="00C11B1D" w:rsidRDefault="00C11B1D" w:rsidP="00C11B1D">
            <w:pPr>
              <w:spacing w:line="360" w:lineRule="auto"/>
              <w:jc w:val="center"/>
              <w:rPr>
                <w:color w:val="000000"/>
              </w:rPr>
            </w:pPr>
            <w:r w:rsidRPr="00C11B1D">
              <w:rPr>
                <w:color w:val="000000"/>
              </w:rPr>
              <w:t>SLB</w:t>
            </w:r>
          </w:p>
        </w:tc>
        <w:tc>
          <w:tcPr>
            <w:tcW w:w="518" w:type="pct"/>
            <w:tcBorders>
              <w:top w:val="nil"/>
              <w:left w:val="nil"/>
              <w:bottom w:val="nil"/>
              <w:right w:val="nil"/>
            </w:tcBorders>
            <w:shd w:val="clear" w:color="auto" w:fill="auto"/>
            <w:noWrap/>
            <w:hideMark/>
          </w:tcPr>
          <w:p w14:paraId="000EFE9D" w14:textId="77777777" w:rsidR="00C11B1D" w:rsidRPr="00C11B1D" w:rsidRDefault="00C11B1D" w:rsidP="00D22A16">
            <w:pPr>
              <w:tabs>
                <w:tab w:val="decimal" w:pos="304"/>
              </w:tabs>
              <w:spacing w:line="360" w:lineRule="auto"/>
              <w:rPr>
                <w:color w:val="000000"/>
              </w:rPr>
            </w:pPr>
            <w:r w:rsidRPr="00C11B1D">
              <w:rPr>
                <w:color w:val="000000"/>
              </w:rPr>
              <w:t>1.077</w:t>
            </w:r>
          </w:p>
        </w:tc>
      </w:tr>
      <w:tr w:rsidR="00C11B1D" w:rsidRPr="00C11B1D" w14:paraId="5464EC9F" w14:textId="77777777" w:rsidTr="00C11B1D">
        <w:trPr>
          <w:jc w:val="center"/>
        </w:trPr>
        <w:tc>
          <w:tcPr>
            <w:tcW w:w="730" w:type="pct"/>
            <w:tcBorders>
              <w:top w:val="nil"/>
              <w:left w:val="nil"/>
              <w:bottom w:val="nil"/>
              <w:right w:val="nil"/>
            </w:tcBorders>
            <w:shd w:val="clear" w:color="auto" w:fill="auto"/>
            <w:noWrap/>
            <w:hideMark/>
          </w:tcPr>
          <w:p w14:paraId="78506654" w14:textId="77777777" w:rsidR="00C11B1D" w:rsidRPr="00C11B1D" w:rsidRDefault="00C11B1D" w:rsidP="00C11B1D">
            <w:pPr>
              <w:spacing w:line="360" w:lineRule="auto"/>
              <w:jc w:val="center"/>
              <w:rPr>
                <w:color w:val="000000"/>
              </w:rPr>
            </w:pPr>
            <w:r w:rsidRPr="00C11B1D">
              <w:rPr>
                <w:color w:val="000000"/>
              </w:rPr>
              <w:t>RUS</w:t>
            </w:r>
          </w:p>
        </w:tc>
        <w:tc>
          <w:tcPr>
            <w:tcW w:w="522" w:type="pct"/>
            <w:tcBorders>
              <w:top w:val="nil"/>
              <w:left w:val="nil"/>
              <w:bottom w:val="nil"/>
              <w:right w:val="single" w:sz="4" w:space="0" w:color="auto"/>
            </w:tcBorders>
            <w:shd w:val="clear" w:color="auto" w:fill="auto"/>
            <w:noWrap/>
            <w:hideMark/>
          </w:tcPr>
          <w:p w14:paraId="3F72956F" w14:textId="77777777" w:rsidR="00C11B1D" w:rsidRPr="00C11B1D" w:rsidRDefault="00C11B1D" w:rsidP="00D22A16">
            <w:pPr>
              <w:tabs>
                <w:tab w:val="decimal" w:pos="312"/>
              </w:tabs>
              <w:spacing w:line="360" w:lineRule="auto"/>
              <w:rPr>
                <w:color w:val="000000"/>
              </w:rPr>
            </w:pPr>
            <w:r w:rsidRPr="00C11B1D">
              <w:rPr>
                <w:color w:val="000000"/>
              </w:rPr>
              <w:t>0.292</w:t>
            </w:r>
          </w:p>
        </w:tc>
        <w:tc>
          <w:tcPr>
            <w:tcW w:w="730" w:type="pct"/>
            <w:tcBorders>
              <w:top w:val="nil"/>
              <w:left w:val="single" w:sz="4" w:space="0" w:color="auto"/>
              <w:bottom w:val="nil"/>
              <w:right w:val="nil"/>
            </w:tcBorders>
            <w:shd w:val="clear" w:color="auto" w:fill="auto"/>
            <w:noWrap/>
            <w:hideMark/>
          </w:tcPr>
          <w:p w14:paraId="67A23784" w14:textId="77777777" w:rsidR="00C11B1D" w:rsidRPr="00C11B1D" w:rsidRDefault="00C11B1D" w:rsidP="00C11B1D">
            <w:pPr>
              <w:spacing w:line="360" w:lineRule="auto"/>
              <w:jc w:val="center"/>
              <w:rPr>
                <w:color w:val="000000"/>
              </w:rPr>
            </w:pPr>
            <w:r w:rsidRPr="00C11B1D">
              <w:rPr>
                <w:color w:val="000000"/>
              </w:rPr>
              <w:t>SUR</w:t>
            </w:r>
          </w:p>
        </w:tc>
        <w:tc>
          <w:tcPr>
            <w:tcW w:w="521" w:type="pct"/>
            <w:tcBorders>
              <w:top w:val="nil"/>
              <w:left w:val="nil"/>
              <w:bottom w:val="nil"/>
              <w:right w:val="single" w:sz="4" w:space="0" w:color="auto"/>
            </w:tcBorders>
            <w:shd w:val="clear" w:color="auto" w:fill="auto"/>
            <w:noWrap/>
            <w:hideMark/>
          </w:tcPr>
          <w:p w14:paraId="5538B3B8" w14:textId="77777777" w:rsidR="00C11B1D" w:rsidRPr="00C11B1D" w:rsidRDefault="00C11B1D" w:rsidP="00D22A16">
            <w:pPr>
              <w:tabs>
                <w:tab w:val="decimal" w:pos="371"/>
              </w:tabs>
              <w:spacing w:line="360" w:lineRule="auto"/>
              <w:rPr>
                <w:color w:val="000000"/>
              </w:rPr>
            </w:pPr>
            <w:r w:rsidRPr="00C11B1D">
              <w:rPr>
                <w:color w:val="000000"/>
              </w:rPr>
              <w:t>0.622</w:t>
            </w:r>
          </w:p>
        </w:tc>
        <w:tc>
          <w:tcPr>
            <w:tcW w:w="729" w:type="pct"/>
            <w:tcBorders>
              <w:top w:val="nil"/>
              <w:left w:val="single" w:sz="4" w:space="0" w:color="auto"/>
              <w:bottom w:val="nil"/>
              <w:right w:val="nil"/>
            </w:tcBorders>
            <w:shd w:val="clear" w:color="auto" w:fill="auto"/>
            <w:noWrap/>
            <w:hideMark/>
          </w:tcPr>
          <w:p w14:paraId="4DA919CE" w14:textId="77777777" w:rsidR="00C11B1D" w:rsidRPr="00C11B1D" w:rsidRDefault="00C11B1D" w:rsidP="00C11B1D">
            <w:pPr>
              <w:spacing w:line="360" w:lineRule="auto"/>
              <w:jc w:val="center"/>
              <w:rPr>
                <w:color w:val="000000"/>
              </w:rPr>
            </w:pPr>
            <w:r w:rsidRPr="00C11B1D">
              <w:rPr>
                <w:color w:val="000000"/>
              </w:rPr>
              <w:t>ROU</w:t>
            </w:r>
          </w:p>
        </w:tc>
        <w:tc>
          <w:tcPr>
            <w:tcW w:w="521" w:type="pct"/>
            <w:tcBorders>
              <w:top w:val="nil"/>
              <w:left w:val="nil"/>
              <w:bottom w:val="nil"/>
              <w:right w:val="single" w:sz="4" w:space="0" w:color="auto"/>
            </w:tcBorders>
            <w:shd w:val="clear" w:color="auto" w:fill="auto"/>
            <w:noWrap/>
            <w:hideMark/>
          </w:tcPr>
          <w:p w14:paraId="6B4FC1AF" w14:textId="77777777" w:rsidR="00C11B1D" w:rsidRPr="00C11B1D" w:rsidRDefault="00C11B1D" w:rsidP="00D22A16">
            <w:pPr>
              <w:tabs>
                <w:tab w:val="decimal" w:pos="300"/>
              </w:tabs>
              <w:spacing w:line="360" w:lineRule="auto"/>
              <w:rPr>
                <w:color w:val="000000"/>
              </w:rPr>
            </w:pPr>
            <w:r w:rsidRPr="00C11B1D">
              <w:rPr>
                <w:color w:val="000000"/>
              </w:rPr>
              <w:t>0.824</w:t>
            </w:r>
          </w:p>
        </w:tc>
        <w:tc>
          <w:tcPr>
            <w:tcW w:w="729" w:type="pct"/>
            <w:tcBorders>
              <w:top w:val="nil"/>
              <w:left w:val="single" w:sz="4" w:space="0" w:color="auto"/>
              <w:bottom w:val="nil"/>
              <w:right w:val="nil"/>
            </w:tcBorders>
            <w:shd w:val="clear" w:color="auto" w:fill="auto"/>
            <w:noWrap/>
            <w:hideMark/>
          </w:tcPr>
          <w:p w14:paraId="6B669459" w14:textId="77777777" w:rsidR="00C11B1D" w:rsidRPr="00C11B1D" w:rsidRDefault="00C11B1D" w:rsidP="00C11B1D">
            <w:pPr>
              <w:spacing w:line="360" w:lineRule="auto"/>
              <w:jc w:val="center"/>
              <w:rPr>
                <w:color w:val="000000"/>
              </w:rPr>
            </w:pPr>
            <w:r w:rsidRPr="00C11B1D">
              <w:rPr>
                <w:color w:val="000000"/>
              </w:rPr>
              <w:t>UKR</w:t>
            </w:r>
          </w:p>
        </w:tc>
        <w:tc>
          <w:tcPr>
            <w:tcW w:w="518" w:type="pct"/>
            <w:tcBorders>
              <w:top w:val="nil"/>
              <w:left w:val="nil"/>
              <w:bottom w:val="nil"/>
              <w:right w:val="nil"/>
            </w:tcBorders>
            <w:shd w:val="clear" w:color="auto" w:fill="auto"/>
            <w:noWrap/>
            <w:hideMark/>
          </w:tcPr>
          <w:p w14:paraId="5956075A" w14:textId="77777777" w:rsidR="00C11B1D" w:rsidRPr="00C11B1D" w:rsidRDefault="00C11B1D" w:rsidP="00D22A16">
            <w:pPr>
              <w:tabs>
                <w:tab w:val="decimal" w:pos="304"/>
              </w:tabs>
              <w:spacing w:line="360" w:lineRule="auto"/>
              <w:rPr>
                <w:color w:val="000000"/>
              </w:rPr>
            </w:pPr>
            <w:r w:rsidRPr="00C11B1D">
              <w:rPr>
                <w:color w:val="000000"/>
              </w:rPr>
              <w:t>1.089</w:t>
            </w:r>
          </w:p>
        </w:tc>
      </w:tr>
      <w:tr w:rsidR="00C11B1D" w:rsidRPr="00C11B1D" w14:paraId="0C1794DE" w14:textId="77777777" w:rsidTr="00C11B1D">
        <w:trPr>
          <w:jc w:val="center"/>
        </w:trPr>
        <w:tc>
          <w:tcPr>
            <w:tcW w:w="730" w:type="pct"/>
            <w:tcBorders>
              <w:top w:val="nil"/>
              <w:left w:val="nil"/>
              <w:bottom w:val="nil"/>
              <w:right w:val="nil"/>
            </w:tcBorders>
            <w:shd w:val="clear" w:color="auto" w:fill="auto"/>
            <w:noWrap/>
            <w:hideMark/>
          </w:tcPr>
          <w:p w14:paraId="3ED6834D" w14:textId="77777777" w:rsidR="00C11B1D" w:rsidRPr="00C11B1D" w:rsidRDefault="00C11B1D" w:rsidP="00C11B1D">
            <w:pPr>
              <w:spacing w:line="360" w:lineRule="auto"/>
              <w:jc w:val="center"/>
              <w:rPr>
                <w:color w:val="000000"/>
              </w:rPr>
            </w:pPr>
            <w:r w:rsidRPr="00C11B1D">
              <w:rPr>
                <w:color w:val="000000"/>
              </w:rPr>
              <w:lastRenderedPageBreak/>
              <w:t>TTO</w:t>
            </w:r>
          </w:p>
        </w:tc>
        <w:tc>
          <w:tcPr>
            <w:tcW w:w="522" w:type="pct"/>
            <w:tcBorders>
              <w:top w:val="nil"/>
              <w:left w:val="nil"/>
              <w:bottom w:val="nil"/>
              <w:right w:val="single" w:sz="4" w:space="0" w:color="auto"/>
            </w:tcBorders>
            <w:shd w:val="clear" w:color="auto" w:fill="auto"/>
            <w:noWrap/>
            <w:hideMark/>
          </w:tcPr>
          <w:p w14:paraId="4677FE42" w14:textId="77777777" w:rsidR="00C11B1D" w:rsidRPr="00C11B1D" w:rsidRDefault="00C11B1D" w:rsidP="00D22A16">
            <w:pPr>
              <w:tabs>
                <w:tab w:val="decimal" w:pos="312"/>
              </w:tabs>
              <w:spacing w:line="360" w:lineRule="auto"/>
              <w:rPr>
                <w:color w:val="000000"/>
              </w:rPr>
            </w:pPr>
            <w:r w:rsidRPr="00C11B1D">
              <w:rPr>
                <w:color w:val="000000"/>
              </w:rPr>
              <w:t>0.311</w:t>
            </w:r>
          </w:p>
        </w:tc>
        <w:tc>
          <w:tcPr>
            <w:tcW w:w="730" w:type="pct"/>
            <w:tcBorders>
              <w:top w:val="nil"/>
              <w:left w:val="single" w:sz="4" w:space="0" w:color="auto"/>
              <w:bottom w:val="nil"/>
              <w:right w:val="nil"/>
            </w:tcBorders>
            <w:shd w:val="clear" w:color="auto" w:fill="auto"/>
            <w:noWrap/>
            <w:hideMark/>
          </w:tcPr>
          <w:p w14:paraId="400B1128" w14:textId="77777777" w:rsidR="00C11B1D" w:rsidRPr="00C11B1D" w:rsidRDefault="00C11B1D" w:rsidP="00C11B1D">
            <w:pPr>
              <w:spacing w:line="360" w:lineRule="auto"/>
              <w:jc w:val="center"/>
              <w:rPr>
                <w:color w:val="000000"/>
              </w:rPr>
            </w:pPr>
            <w:r w:rsidRPr="00C11B1D">
              <w:rPr>
                <w:color w:val="000000"/>
              </w:rPr>
              <w:t>KOR</w:t>
            </w:r>
          </w:p>
        </w:tc>
        <w:tc>
          <w:tcPr>
            <w:tcW w:w="521" w:type="pct"/>
            <w:tcBorders>
              <w:top w:val="nil"/>
              <w:left w:val="nil"/>
              <w:bottom w:val="nil"/>
              <w:right w:val="single" w:sz="4" w:space="0" w:color="auto"/>
            </w:tcBorders>
            <w:shd w:val="clear" w:color="auto" w:fill="auto"/>
            <w:noWrap/>
            <w:hideMark/>
          </w:tcPr>
          <w:p w14:paraId="039E0AFE" w14:textId="77777777" w:rsidR="00C11B1D" w:rsidRPr="00C11B1D" w:rsidRDefault="00C11B1D" w:rsidP="00D22A16">
            <w:pPr>
              <w:tabs>
                <w:tab w:val="decimal" w:pos="371"/>
              </w:tabs>
              <w:spacing w:line="360" w:lineRule="auto"/>
              <w:rPr>
                <w:color w:val="000000"/>
              </w:rPr>
            </w:pPr>
            <w:r w:rsidRPr="00C11B1D">
              <w:rPr>
                <w:color w:val="000000"/>
              </w:rPr>
              <w:t>0.636</w:t>
            </w:r>
          </w:p>
        </w:tc>
        <w:tc>
          <w:tcPr>
            <w:tcW w:w="729" w:type="pct"/>
            <w:tcBorders>
              <w:top w:val="nil"/>
              <w:left w:val="single" w:sz="4" w:space="0" w:color="auto"/>
              <w:bottom w:val="nil"/>
              <w:right w:val="nil"/>
            </w:tcBorders>
            <w:shd w:val="clear" w:color="auto" w:fill="auto"/>
            <w:noWrap/>
            <w:hideMark/>
          </w:tcPr>
          <w:p w14:paraId="025FED44" w14:textId="77777777" w:rsidR="00C11B1D" w:rsidRPr="00C11B1D" w:rsidRDefault="00C11B1D" w:rsidP="00C11B1D">
            <w:pPr>
              <w:spacing w:line="360" w:lineRule="auto"/>
              <w:jc w:val="center"/>
              <w:rPr>
                <w:color w:val="000000"/>
              </w:rPr>
            </w:pPr>
            <w:r w:rsidRPr="00C11B1D">
              <w:rPr>
                <w:color w:val="000000"/>
              </w:rPr>
              <w:t>URY</w:t>
            </w:r>
          </w:p>
        </w:tc>
        <w:tc>
          <w:tcPr>
            <w:tcW w:w="521" w:type="pct"/>
            <w:tcBorders>
              <w:top w:val="nil"/>
              <w:left w:val="nil"/>
              <w:bottom w:val="nil"/>
              <w:right w:val="single" w:sz="4" w:space="0" w:color="auto"/>
            </w:tcBorders>
            <w:shd w:val="clear" w:color="auto" w:fill="auto"/>
            <w:noWrap/>
            <w:hideMark/>
          </w:tcPr>
          <w:p w14:paraId="351E0DAA" w14:textId="77777777" w:rsidR="00C11B1D" w:rsidRPr="00C11B1D" w:rsidRDefault="00C11B1D" w:rsidP="00D22A16">
            <w:pPr>
              <w:tabs>
                <w:tab w:val="decimal" w:pos="300"/>
              </w:tabs>
              <w:spacing w:line="360" w:lineRule="auto"/>
              <w:rPr>
                <w:color w:val="000000"/>
              </w:rPr>
            </w:pPr>
            <w:r w:rsidRPr="00C11B1D">
              <w:rPr>
                <w:color w:val="000000"/>
              </w:rPr>
              <w:t>0.824</w:t>
            </w:r>
          </w:p>
        </w:tc>
        <w:tc>
          <w:tcPr>
            <w:tcW w:w="729" w:type="pct"/>
            <w:tcBorders>
              <w:top w:val="nil"/>
              <w:left w:val="single" w:sz="4" w:space="0" w:color="auto"/>
              <w:bottom w:val="nil"/>
              <w:right w:val="nil"/>
            </w:tcBorders>
            <w:shd w:val="clear" w:color="auto" w:fill="auto"/>
            <w:noWrap/>
            <w:hideMark/>
          </w:tcPr>
          <w:p w14:paraId="3E2062F1" w14:textId="77777777" w:rsidR="00C11B1D" w:rsidRPr="00C11B1D" w:rsidRDefault="00C11B1D" w:rsidP="00C11B1D">
            <w:pPr>
              <w:spacing w:line="360" w:lineRule="auto"/>
              <w:jc w:val="center"/>
              <w:rPr>
                <w:color w:val="000000"/>
              </w:rPr>
            </w:pPr>
            <w:r w:rsidRPr="00C11B1D">
              <w:rPr>
                <w:color w:val="000000"/>
              </w:rPr>
              <w:t>GTM</w:t>
            </w:r>
          </w:p>
        </w:tc>
        <w:tc>
          <w:tcPr>
            <w:tcW w:w="518" w:type="pct"/>
            <w:tcBorders>
              <w:top w:val="nil"/>
              <w:left w:val="nil"/>
              <w:bottom w:val="nil"/>
              <w:right w:val="nil"/>
            </w:tcBorders>
            <w:shd w:val="clear" w:color="auto" w:fill="auto"/>
            <w:noWrap/>
            <w:hideMark/>
          </w:tcPr>
          <w:p w14:paraId="7B808267" w14:textId="77777777" w:rsidR="00C11B1D" w:rsidRPr="00C11B1D" w:rsidRDefault="00C11B1D" w:rsidP="00D22A16">
            <w:pPr>
              <w:tabs>
                <w:tab w:val="decimal" w:pos="304"/>
              </w:tabs>
              <w:spacing w:line="360" w:lineRule="auto"/>
              <w:rPr>
                <w:color w:val="000000"/>
              </w:rPr>
            </w:pPr>
            <w:r w:rsidRPr="00C11B1D">
              <w:rPr>
                <w:color w:val="000000"/>
              </w:rPr>
              <w:t>1.094</w:t>
            </w:r>
          </w:p>
        </w:tc>
      </w:tr>
      <w:tr w:rsidR="00C11B1D" w:rsidRPr="00C11B1D" w14:paraId="723E7E56" w14:textId="77777777" w:rsidTr="00C11B1D">
        <w:trPr>
          <w:jc w:val="center"/>
        </w:trPr>
        <w:tc>
          <w:tcPr>
            <w:tcW w:w="730" w:type="pct"/>
            <w:tcBorders>
              <w:top w:val="nil"/>
              <w:left w:val="nil"/>
              <w:bottom w:val="nil"/>
              <w:right w:val="nil"/>
            </w:tcBorders>
            <w:shd w:val="clear" w:color="auto" w:fill="auto"/>
            <w:noWrap/>
            <w:hideMark/>
          </w:tcPr>
          <w:p w14:paraId="7FB6CE67" w14:textId="77777777" w:rsidR="00C11B1D" w:rsidRPr="00C11B1D" w:rsidRDefault="00C11B1D" w:rsidP="00C11B1D">
            <w:pPr>
              <w:spacing w:line="360" w:lineRule="auto"/>
              <w:jc w:val="center"/>
              <w:rPr>
                <w:color w:val="000000"/>
              </w:rPr>
            </w:pPr>
            <w:r w:rsidRPr="00C11B1D">
              <w:rPr>
                <w:color w:val="000000"/>
              </w:rPr>
              <w:t>USA</w:t>
            </w:r>
          </w:p>
        </w:tc>
        <w:tc>
          <w:tcPr>
            <w:tcW w:w="522" w:type="pct"/>
            <w:tcBorders>
              <w:top w:val="nil"/>
              <w:left w:val="nil"/>
              <w:bottom w:val="nil"/>
              <w:right w:val="single" w:sz="4" w:space="0" w:color="auto"/>
            </w:tcBorders>
            <w:shd w:val="clear" w:color="auto" w:fill="auto"/>
            <w:noWrap/>
            <w:hideMark/>
          </w:tcPr>
          <w:p w14:paraId="231949BE" w14:textId="77777777" w:rsidR="00C11B1D" w:rsidRPr="00C11B1D" w:rsidRDefault="00C11B1D" w:rsidP="00D22A16">
            <w:pPr>
              <w:tabs>
                <w:tab w:val="decimal" w:pos="312"/>
              </w:tabs>
              <w:spacing w:line="360" w:lineRule="auto"/>
              <w:rPr>
                <w:color w:val="000000"/>
              </w:rPr>
            </w:pPr>
            <w:r w:rsidRPr="00C11B1D">
              <w:rPr>
                <w:color w:val="000000"/>
              </w:rPr>
              <w:t>0.318</w:t>
            </w:r>
          </w:p>
        </w:tc>
        <w:tc>
          <w:tcPr>
            <w:tcW w:w="730" w:type="pct"/>
            <w:tcBorders>
              <w:top w:val="nil"/>
              <w:left w:val="single" w:sz="4" w:space="0" w:color="auto"/>
              <w:bottom w:val="nil"/>
              <w:right w:val="nil"/>
            </w:tcBorders>
            <w:shd w:val="clear" w:color="auto" w:fill="auto"/>
            <w:noWrap/>
            <w:hideMark/>
          </w:tcPr>
          <w:p w14:paraId="4ADA1971" w14:textId="77777777" w:rsidR="00C11B1D" w:rsidRPr="00C11B1D" w:rsidRDefault="00C11B1D" w:rsidP="00C11B1D">
            <w:pPr>
              <w:spacing w:line="360" w:lineRule="auto"/>
              <w:jc w:val="center"/>
              <w:rPr>
                <w:color w:val="000000"/>
              </w:rPr>
            </w:pPr>
            <w:r w:rsidRPr="00C11B1D">
              <w:rPr>
                <w:color w:val="000000"/>
              </w:rPr>
              <w:t>AFG</w:t>
            </w:r>
          </w:p>
        </w:tc>
        <w:tc>
          <w:tcPr>
            <w:tcW w:w="521" w:type="pct"/>
            <w:tcBorders>
              <w:top w:val="nil"/>
              <w:left w:val="nil"/>
              <w:bottom w:val="nil"/>
              <w:right w:val="single" w:sz="4" w:space="0" w:color="auto"/>
            </w:tcBorders>
            <w:shd w:val="clear" w:color="auto" w:fill="auto"/>
            <w:noWrap/>
            <w:hideMark/>
          </w:tcPr>
          <w:p w14:paraId="2C0EDEA4" w14:textId="77777777" w:rsidR="00C11B1D" w:rsidRPr="00C11B1D" w:rsidRDefault="00C11B1D" w:rsidP="00D22A16">
            <w:pPr>
              <w:tabs>
                <w:tab w:val="decimal" w:pos="371"/>
              </w:tabs>
              <w:spacing w:line="360" w:lineRule="auto"/>
              <w:rPr>
                <w:color w:val="000000"/>
              </w:rPr>
            </w:pPr>
            <w:r w:rsidRPr="00C11B1D">
              <w:rPr>
                <w:color w:val="000000"/>
              </w:rPr>
              <w:t>0.655</w:t>
            </w:r>
          </w:p>
        </w:tc>
        <w:tc>
          <w:tcPr>
            <w:tcW w:w="729" w:type="pct"/>
            <w:tcBorders>
              <w:top w:val="nil"/>
              <w:left w:val="single" w:sz="4" w:space="0" w:color="auto"/>
              <w:bottom w:val="nil"/>
              <w:right w:val="nil"/>
            </w:tcBorders>
            <w:shd w:val="clear" w:color="auto" w:fill="auto"/>
            <w:noWrap/>
            <w:hideMark/>
          </w:tcPr>
          <w:p w14:paraId="372E3BCC" w14:textId="77777777" w:rsidR="00C11B1D" w:rsidRPr="00C11B1D" w:rsidRDefault="00C11B1D" w:rsidP="00C11B1D">
            <w:pPr>
              <w:spacing w:line="360" w:lineRule="auto"/>
              <w:jc w:val="center"/>
              <w:rPr>
                <w:color w:val="000000"/>
              </w:rPr>
            </w:pPr>
            <w:r w:rsidRPr="00C11B1D">
              <w:rPr>
                <w:color w:val="000000"/>
              </w:rPr>
              <w:t>IND</w:t>
            </w:r>
          </w:p>
        </w:tc>
        <w:tc>
          <w:tcPr>
            <w:tcW w:w="521" w:type="pct"/>
            <w:tcBorders>
              <w:top w:val="nil"/>
              <w:left w:val="nil"/>
              <w:bottom w:val="nil"/>
              <w:right w:val="single" w:sz="4" w:space="0" w:color="auto"/>
            </w:tcBorders>
            <w:shd w:val="clear" w:color="auto" w:fill="auto"/>
            <w:noWrap/>
            <w:hideMark/>
          </w:tcPr>
          <w:p w14:paraId="03B8D316" w14:textId="77777777" w:rsidR="00C11B1D" w:rsidRPr="00C11B1D" w:rsidRDefault="00C11B1D" w:rsidP="00D22A16">
            <w:pPr>
              <w:tabs>
                <w:tab w:val="decimal" w:pos="300"/>
              </w:tabs>
              <w:spacing w:line="360" w:lineRule="auto"/>
              <w:rPr>
                <w:color w:val="000000"/>
              </w:rPr>
            </w:pPr>
            <w:r w:rsidRPr="00C11B1D">
              <w:rPr>
                <w:color w:val="000000"/>
              </w:rPr>
              <w:t>0.830</w:t>
            </w:r>
          </w:p>
        </w:tc>
        <w:tc>
          <w:tcPr>
            <w:tcW w:w="729" w:type="pct"/>
            <w:tcBorders>
              <w:top w:val="nil"/>
              <w:left w:val="single" w:sz="4" w:space="0" w:color="auto"/>
              <w:bottom w:val="nil"/>
              <w:right w:val="nil"/>
            </w:tcBorders>
            <w:shd w:val="clear" w:color="auto" w:fill="auto"/>
            <w:noWrap/>
            <w:hideMark/>
          </w:tcPr>
          <w:p w14:paraId="1B096E26" w14:textId="77777777" w:rsidR="00C11B1D" w:rsidRPr="00C11B1D" w:rsidRDefault="00C11B1D" w:rsidP="00C11B1D">
            <w:pPr>
              <w:spacing w:line="360" w:lineRule="auto"/>
              <w:jc w:val="center"/>
              <w:rPr>
                <w:color w:val="000000"/>
              </w:rPr>
            </w:pPr>
            <w:r w:rsidRPr="00C11B1D">
              <w:rPr>
                <w:color w:val="000000"/>
              </w:rPr>
              <w:t>CMR</w:t>
            </w:r>
          </w:p>
        </w:tc>
        <w:tc>
          <w:tcPr>
            <w:tcW w:w="518" w:type="pct"/>
            <w:tcBorders>
              <w:top w:val="nil"/>
              <w:left w:val="nil"/>
              <w:bottom w:val="nil"/>
              <w:right w:val="nil"/>
            </w:tcBorders>
            <w:shd w:val="clear" w:color="auto" w:fill="auto"/>
            <w:noWrap/>
            <w:hideMark/>
          </w:tcPr>
          <w:p w14:paraId="53D3750E" w14:textId="77777777" w:rsidR="00C11B1D" w:rsidRPr="00C11B1D" w:rsidRDefault="00C11B1D" w:rsidP="00D22A16">
            <w:pPr>
              <w:tabs>
                <w:tab w:val="decimal" w:pos="304"/>
              </w:tabs>
              <w:spacing w:line="360" w:lineRule="auto"/>
              <w:rPr>
                <w:color w:val="000000"/>
              </w:rPr>
            </w:pPr>
            <w:r w:rsidRPr="00C11B1D">
              <w:rPr>
                <w:color w:val="000000"/>
              </w:rPr>
              <w:t>1.120</w:t>
            </w:r>
          </w:p>
        </w:tc>
      </w:tr>
      <w:tr w:rsidR="00C11B1D" w:rsidRPr="00C11B1D" w14:paraId="21C4714C" w14:textId="77777777" w:rsidTr="00C11B1D">
        <w:trPr>
          <w:jc w:val="center"/>
        </w:trPr>
        <w:tc>
          <w:tcPr>
            <w:tcW w:w="730" w:type="pct"/>
            <w:tcBorders>
              <w:top w:val="nil"/>
              <w:left w:val="nil"/>
              <w:bottom w:val="nil"/>
              <w:right w:val="nil"/>
            </w:tcBorders>
            <w:shd w:val="clear" w:color="auto" w:fill="auto"/>
            <w:noWrap/>
            <w:hideMark/>
          </w:tcPr>
          <w:p w14:paraId="6281AACB" w14:textId="77777777" w:rsidR="00C11B1D" w:rsidRPr="00C11B1D" w:rsidRDefault="00C11B1D" w:rsidP="00C11B1D">
            <w:pPr>
              <w:spacing w:line="360" w:lineRule="auto"/>
              <w:jc w:val="center"/>
              <w:rPr>
                <w:color w:val="000000"/>
              </w:rPr>
            </w:pPr>
            <w:r w:rsidRPr="00C11B1D">
              <w:rPr>
                <w:color w:val="000000"/>
              </w:rPr>
              <w:t>CIV</w:t>
            </w:r>
          </w:p>
        </w:tc>
        <w:tc>
          <w:tcPr>
            <w:tcW w:w="522" w:type="pct"/>
            <w:tcBorders>
              <w:top w:val="nil"/>
              <w:left w:val="nil"/>
              <w:bottom w:val="nil"/>
              <w:right w:val="single" w:sz="4" w:space="0" w:color="auto"/>
            </w:tcBorders>
            <w:shd w:val="clear" w:color="auto" w:fill="auto"/>
            <w:noWrap/>
            <w:hideMark/>
          </w:tcPr>
          <w:p w14:paraId="238209D6" w14:textId="77777777" w:rsidR="00C11B1D" w:rsidRPr="00C11B1D" w:rsidRDefault="00C11B1D" w:rsidP="00D22A16">
            <w:pPr>
              <w:tabs>
                <w:tab w:val="decimal" w:pos="312"/>
              </w:tabs>
              <w:spacing w:line="360" w:lineRule="auto"/>
              <w:rPr>
                <w:color w:val="000000"/>
              </w:rPr>
            </w:pPr>
            <w:r w:rsidRPr="00C11B1D">
              <w:rPr>
                <w:color w:val="000000"/>
              </w:rPr>
              <w:t>0.333</w:t>
            </w:r>
          </w:p>
        </w:tc>
        <w:tc>
          <w:tcPr>
            <w:tcW w:w="730" w:type="pct"/>
            <w:tcBorders>
              <w:top w:val="nil"/>
              <w:left w:val="single" w:sz="4" w:space="0" w:color="auto"/>
              <w:bottom w:val="nil"/>
              <w:right w:val="nil"/>
            </w:tcBorders>
            <w:shd w:val="clear" w:color="auto" w:fill="auto"/>
            <w:noWrap/>
            <w:hideMark/>
          </w:tcPr>
          <w:p w14:paraId="39B0A85E" w14:textId="77777777" w:rsidR="00C11B1D" w:rsidRPr="00C11B1D" w:rsidRDefault="00C11B1D" w:rsidP="00C11B1D">
            <w:pPr>
              <w:spacing w:line="360" w:lineRule="auto"/>
              <w:jc w:val="center"/>
              <w:rPr>
                <w:color w:val="000000"/>
              </w:rPr>
            </w:pPr>
            <w:r w:rsidRPr="00C11B1D">
              <w:rPr>
                <w:color w:val="000000"/>
              </w:rPr>
              <w:t>BOL</w:t>
            </w:r>
          </w:p>
        </w:tc>
        <w:tc>
          <w:tcPr>
            <w:tcW w:w="521" w:type="pct"/>
            <w:tcBorders>
              <w:top w:val="nil"/>
              <w:left w:val="nil"/>
              <w:bottom w:val="nil"/>
              <w:right w:val="single" w:sz="4" w:space="0" w:color="auto"/>
            </w:tcBorders>
            <w:shd w:val="clear" w:color="auto" w:fill="auto"/>
            <w:noWrap/>
            <w:hideMark/>
          </w:tcPr>
          <w:p w14:paraId="4937F79D" w14:textId="77777777" w:rsidR="00C11B1D" w:rsidRPr="00C11B1D" w:rsidRDefault="00C11B1D" w:rsidP="00D22A16">
            <w:pPr>
              <w:tabs>
                <w:tab w:val="decimal" w:pos="371"/>
              </w:tabs>
              <w:spacing w:line="360" w:lineRule="auto"/>
              <w:rPr>
                <w:color w:val="000000"/>
              </w:rPr>
            </w:pPr>
            <w:r w:rsidRPr="00C11B1D">
              <w:rPr>
                <w:color w:val="000000"/>
              </w:rPr>
              <w:t>0.656</w:t>
            </w:r>
          </w:p>
        </w:tc>
        <w:tc>
          <w:tcPr>
            <w:tcW w:w="729" w:type="pct"/>
            <w:tcBorders>
              <w:top w:val="nil"/>
              <w:left w:val="single" w:sz="4" w:space="0" w:color="auto"/>
              <w:bottom w:val="nil"/>
              <w:right w:val="nil"/>
            </w:tcBorders>
            <w:shd w:val="clear" w:color="auto" w:fill="auto"/>
            <w:noWrap/>
            <w:hideMark/>
          </w:tcPr>
          <w:p w14:paraId="743EFA10" w14:textId="77777777" w:rsidR="00C11B1D" w:rsidRPr="00C11B1D" w:rsidRDefault="00C11B1D" w:rsidP="00C11B1D">
            <w:pPr>
              <w:spacing w:line="360" w:lineRule="auto"/>
              <w:jc w:val="center"/>
              <w:rPr>
                <w:color w:val="000000"/>
              </w:rPr>
            </w:pPr>
            <w:r w:rsidRPr="00C11B1D">
              <w:rPr>
                <w:color w:val="000000"/>
              </w:rPr>
              <w:t>DNK</w:t>
            </w:r>
          </w:p>
        </w:tc>
        <w:tc>
          <w:tcPr>
            <w:tcW w:w="521" w:type="pct"/>
            <w:tcBorders>
              <w:top w:val="nil"/>
              <w:left w:val="nil"/>
              <w:bottom w:val="nil"/>
              <w:right w:val="single" w:sz="4" w:space="0" w:color="auto"/>
            </w:tcBorders>
            <w:shd w:val="clear" w:color="auto" w:fill="auto"/>
            <w:noWrap/>
            <w:hideMark/>
          </w:tcPr>
          <w:p w14:paraId="2F0C2A88" w14:textId="77777777" w:rsidR="00C11B1D" w:rsidRPr="00C11B1D" w:rsidRDefault="00C11B1D" w:rsidP="00D22A16">
            <w:pPr>
              <w:tabs>
                <w:tab w:val="decimal" w:pos="300"/>
              </w:tabs>
              <w:spacing w:line="360" w:lineRule="auto"/>
              <w:rPr>
                <w:color w:val="000000"/>
              </w:rPr>
            </w:pPr>
            <w:r w:rsidRPr="00C11B1D">
              <w:rPr>
                <w:color w:val="000000"/>
              </w:rPr>
              <w:t>0.848</w:t>
            </w:r>
          </w:p>
        </w:tc>
        <w:tc>
          <w:tcPr>
            <w:tcW w:w="729" w:type="pct"/>
            <w:tcBorders>
              <w:top w:val="nil"/>
              <w:left w:val="single" w:sz="4" w:space="0" w:color="auto"/>
              <w:bottom w:val="nil"/>
              <w:right w:val="nil"/>
            </w:tcBorders>
            <w:shd w:val="clear" w:color="auto" w:fill="auto"/>
            <w:noWrap/>
            <w:hideMark/>
          </w:tcPr>
          <w:p w14:paraId="24B37FFE" w14:textId="77777777" w:rsidR="00C11B1D" w:rsidRPr="00C11B1D" w:rsidRDefault="00C11B1D" w:rsidP="00C11B1D">
            <w:pPr>
              <w:spacing w:line="360" w:lineRule="auto"/>
              <w:jc w:val="center"/>
              <w:rPr>
                <w:color w:val="000000"/>
              </w:rPr>
            </w:pPr>
            <w:r w:rsidRPr="00C11B1D">
              <w:rPr>
                <w:color w:val="000000"/>
              </w:rPr>
              <w:t>COG</w:t>
            </w:r>
          </w:p>
        </w:tc>
        <w:tc>
          <w:tcPr>
            <w:tcW w:w="518" w:type="pct"/>
            <w:tcBorders>
              <w:top w:val="nil"/>
              <w:left w:val="nil"/>
              <w:bottom w:val="nil"/>
              <w:right w:val="nil"/>
            </w:tcBorders>
            <w:shd w:val="clear" w:color="auto" w:fill="auto"/>
            <w:noWrap/>
            <w:hideMark/>
          </w:tcPr>
          <w:p w14:paraId="15420B9E" w14:textId="77777777" w:rsidR="00C11B1D" w:rsidRPr="00C11B1D" w:rsidRDefault="00C11B1D" w:rsidP="00D22A16">
            <w:pPr>
              <w:tabs>
                <w:tab w:val="decimal" w:pos="304"/>
              </w:tabs>
              <w:spacing w:line="360" w:lineRule="auto"/>
              <w:rPr>
                <w:color w:val="000000"/>
              </w:rPr>
            </w:pPr>
            <w:r w:rsidRPr="00C11B1D">
              <w:rPr>
                <w:color w:val="000000"/>
              </w:rPr>
              <w:t>1.143</w:t>
            </w:r>
          </w:p>
        </w:tc>
      </w:tr>
      <w:tr w:rsidR="00C11B1D" w:rsidRPr="00C11B1D" w14:paraId="46FE5F0F" w14:textId="77777777" w:rsidTr="00C11B1D">
        <w:trPr>
          <w:jc w:val="center"/>
        </w:trPr>
        <w:tc>
          <w:tcPr>
            <w:tcW w:w="730" w:type="pct"/>
            <w:tcBorders>
              <w:top w:val="nil"/>
              <w:left w:val="nil"/>
              <w:bottom w:val="nil"/>
              <w:right w:val="nil"/>
            </w:tcBorders>
            <w:shd w:val="clear" w:color="auto" w:fill="auto"/>
            <w:noWrap/>
            <w:hideMark/>
          </w:tcPr>
          <w:p w14:paraId="083B37FB" w14:textId="77777777" w:rsidR="00C11B1D" w:rsidRPr="00C11B1D" w:rsidRDefault="00C11B1D" w:rsidP="00C11B1D">
            <w:pPr>
              <w:spacing w:line="360" w:lineRule="auto"/>
              <w:jc w:val="center"/>
              <w:rPr>
                <w:color w:val="000000"/>
              </w:rPr>
            </w:pPr>
            <w:r w:rsidRPr="00C11B1D">
              <w:rPr>
                <w:color w:val="000000"/>
              </w:rPr>
              <w:t>BLR</w:t>
            </w:r>
          </w:p>
        </w:tc>
        <w:tc>
          <w:tcPr>
            <w:tcW w:w="522" w:type="pct"/>
            <w:tcBorders>
              <w:top w:val="nil"/>
              <w:left w:val="nil"/>
              <w:bottom w:val="nil"/>
              <w:right w:val="single" w:sz="4" w:space="0" w:color="auto"/>
            </w:tcBorders>
            <w:shd w:val="clear" w:color="auto" w:fill="auto"/>
            <w:noWrap/>
            <w:hideMark/>
          </w:tcPr>
          <w:p w14:paraId="62DF5F54" w14:textId="77777777" w:rsidR="00C11B1D" w:rsidRPr="00C11B1D" w:rsidRDefault="00C11B1D" w:rsidP="00D22A16">
            <w:pPr>
              <w:tabs>
                <w:tab w:val="decimal" w:pos="312"/>
              </w:tabs>
              <w:spacing w:line="360" w:lineRule="auto"/>
              <w:rPr>
                <w:color w:val="000000"/>
              </w:rPr>
            </w:pPr>
            <w:r w:rsidRPr="00C11B1D">
              <w:rPr>
                <w:color w:val="000000"/>
              </w:rPr>
              <w:t>0.339</w:t>
            </w:r>
          </w:p>
        </w:tc>
        <w:tc>
          <w:tcPr>
            <w:tcW w:w="730" w:type="pct"/>
            <w:tcBorders>
              <w:top w:val="nil"/>
              <w:left w:val="single" w:sz="4" w:space="0" w:color="auto"/>
              <w:bottom w:val="nil"/>
              <w:right w:val="nil"/>
            </w:tcBorders>
            <w:shd w:val="clear" w:color="auto" w:fill="auto"/>
            <w:noWrap/>
            <w:hideMark/>
          </w:tcPr>
          <w:p w14:paraId="254D4DE7" w14:textId="77777777" w:rsidR="00C11B1D" w:rsidRPr="00C11B1D" w:rsidRDefault="00C11B1D" w:rsidP="00C11B1D">
            <w:pPr>
              <w:spacing w:line="360" w:lineRule="auto"/>
              <w:jc w:val="center"/>
              <w:rPr>
                <w:color w:val="000000"/>
              </w:rPr>
            </w:pPr>
            <w:r w:rsidRPr="00C11B1D">
              <w:rPr>
                <w:color w:val="000000"/>
              </w:rPr>
              <w:t>MLT</w:t>
            </w:r>
          </w:p>
        </w:tc>
        <w:tc>
          <w:tcPr>
            <w:tcW w:w="521" w:type="pct"/>
            <w:tcBorders>
              <w:top w:val="nil"/>
              <w:left w:val="nil"/>
              <w:bottom w:val="nil"/>
              <w:right w:val="single" w:sz="4" w:space="0" w:color="auto"/>
            </w:tcBorders>
            <w:shd w:val="clear" w:color="auto" w:fill="auto"/>
            <w:noWrap/>
            <w:hideMark/>
          </w:tcPr>
          <w:p w14:paraId="21B26B11" w14:textId="77777777" w:rsidR="00C11B1D" w:rsidRPr="00C11B1D" w:rsidRDefault="00C11B1D" w:rsidP="00D22A16">
            <w:pPr>
              <w:tabs>
                <w:tab w:val="decimal" w:pos="371"/>
              </w:tabs>
              <w:spacing w:line="360" w:lineRule="auto"/>
              <w:rPr>
                <w:color w:val="000000"/>
              </w:rPr>
            </w:pPr>
            <w:r w:rsidRPr="00C11B1D">
              <w:rPr>
                <w:color w:val="000000"/>
              </w:rPr>
              <w:t>0.656</w:t>
            </w:r>
          </w:p>
        </w:tc>
        <w:tc>
          <w:tcPr>
            <w:tcW w:w="729" w:type="pct"/>
            <w:tcBorders>
              <w:top w:val="nil"/>
              <w:left w:val="single" w:sz="4" w:space="0" w:color="auto"/>
              <w:bottom w:val="nil"/>
              <w:right w:val="nil"/>
            </w:tcBorders>
            <w:shd w:val="clear" w:color="auto" w:fill="auto"/>
            <w:noWrap/>
            <w:hideMark/>
          </w:tcPr>
          <w:p w14:paraId="3604DF81" w14:textId="77777777" w:rsidR="00C11B1D" w:rsidRPr="00C11B1D" w:rsidRDefault="00C11B1D" w:rsidP="00C11B1D">
            <w:pPr>
              <w:spacing w:line="360" w:lineRule="auto"/>
              <w:jc w:val="center"/>
              <w:rPr>
                <w:color w:val="000000"/>
              </w:rPr>
            </w:pPr>
            <w:r w:rsidRPr="00C11B1D">
              <w:rPr>
                <w:color w:val="000000"/>
              </w:rPr>
              <w:t>MMR</w:t>
            </w:r>
          </w:p>
        </w:tc>
        <w:tc>
          <w:tcPr>
            <w:tcW w:w="521" w:type="pct"/>
            <w:tcBorders>
              <w:top w:val="nil"/>
              <w:left w:val="nil"/>
              <w:bottom w:val="nil"/>
              <w:right w:val="single" w:sz="4" w:space="0" w:color="auto"/>
            </w:tcBorders>
            <w:shd w:val="clear" w:color="auto" w:fill="auto"/>
            <w:noWrap/>
            <w:hideMark/>
          </w:tcPr>
          <w:p w14:paraId="73FF2FFA" w14:textId="77777777" w:rsidR="00C11B1D" w:rsidRPr="00C11B1D" w:rsidRDefault="00C11B1D" w:rsidP="00D22A16">
            <w:pPr>
              <w:tabs>
                <w:tab w:val="decimal" w:pos="300"/>
              </w:tabs>
              <w:spacing w:line="360" w:lineRule="auto"/>
              <w:rPr>
                <w:color w:val="000000"/>
              </w:rPr>
            </w:pPr>
            <w:r w:rsidRPr="00C11B1D">
              <w:rPr>
                <w:color w:val="000000"/>
              </w:rPr>
              <w:t>0.848</w:t>
            </w:r>
          </w:p>
        </w:tc>
        <w:tc>
          <w:tcPr>
            <w:tcW w:w="729" w:type="pct"/>
            <w:tcBorders>
              <w:top w:val="nil"/>
              <w:left w:val="single" w:sz="4" w:space="0" w:color="auto"/>
              <w:bottom w:val="nil"/>
              <w:right w:val="nil"/>
            </w:tcBorders>
            <w:shd w:val="clear" w:color="auto" w:fill="auto"/>
            <w:noWrap/>
            <w:hideMark/>
          </w:tcPr>
          <w:p w14:paraId="01DCF3CC" w14:textId="77777777" w:rsidR="00C11B1D" w:rsidRPr="00C11B1D" w:rsidRDefault="00C11B1D" w:rsidP="00C11B1D">
            <w:pPr>
              <w:spacing w:line="360" w:lineRule="auto"/>
              <w:jc w:val="center"/>
              <w:rPr>
                <w:color w:val="000000"/>
              </w:rPr>
            </w:pPr>
            <w:r w:rsidRPr="00C11B1D">
              <w:rPr>
                <w:color w:val="000000"/>
              </w:rPr>
              <w:t>CPV</w:t>
            </w:r>
          </w:p>
        </w:tc>
        <w:tc>
          <w:tcPr>
            <w:tcW w:w="518" w:type="pct"/>
            <w:tcBorders>
              <w:top w:val="nil"/>
              <w:left w:val="nil"/>
              <w:bottom w:val="nil"/>
              <w:right w:val="nil"/>
            </w:tcBorders>
            <w:shd w:val="clear" w:color="auto" w:fill="auto"/>
            <w:noWrap/>
            <w:hideMark/>
          </w:tcPr>
          <w:p w14:paraId="14817F53" w14:textId="77777777" w:rsidR="00C11B1D" w:rsidRPr="00C11B1D" w:rsidRDefault="00C11B1D" w:rsidP="00D22A16">
            <w:pPr>
              <w:tabs>
                <w:tab w:val="decimal" w:pos="304"/>
              </w:tabs>
              <w:spacing w:line="360" w:lineRule="auto"/>
              <w:rPr>
                <w:color w:val="000000"/>
              </w:rPr>
            </w:pPr>
            <w:r w:rsidRPr="00C11B1D">
              <w:rPr>
                <w:color w:val="000000"/>
              </w:rPr>
              <w:t>1.143</w:t>
            </w:r>
          </w:p>
        </w:tc>
      </w:tr>
      <w:tr w:rsidR="00C11B1D" w:rsidRPr="00C11B1D" w14:paraId="133F7B54" w14:textId="77777777" w:rsidTr="00C11B1D">
        <w:trPr>
          <w:jc w:val="center"/>
        </w:trPr>
        <w:tc>
          <w:tcPr>
            <w:tcW w:w="730" w:type="pct"/>
            <w:tcBorders>
              <w:top w:val="nil"/>
              <w:left w:val="nil"/>
              <w:bottom w:val="nil"/>
              <w:right w:val="nil"/>
            </w:tcBorders>
            <w:shd w:val="clear" w:color="auto" w:fill="auto"/>
            <w:noWrap/>
            <w:hideMark/>
          </w:tcPr>
          <w:p w14:paraId="27918D01" w14:textId="77777777" w:rsidR="00C11B1D" w:rsidRPr="00C11B1D" w:rsidRDefault="00C11B1D" w:rsidP="00C11B1D">
            <w:pPr>
              <w:spacing w:line="360" w:lineRule="auto"/>
              <w:jc w:val="center"/>
              <w:rPr>
                <w:color w:val="000000"/>
              </w:rPr>
            </w:pPr>
            <w:r w:rsidRPr="00C11B1D">
              <w:rPr>
                <w:color w:val="000000"/>
              </w:rPr>
              <w:t>PNG</w:t>
            </w:r>
          </w:p>
        </w:tc>
        <w:tc>
          <w:tcPr>
            <w:tcW w:w="522" w:type="pct"/>
            <w:tcBorders>
              <w:top w:val="nil"/>
              <w:left w:val="nil"/>
              <w:bottom w:val="nil"/>
              <w:right w:val="single" w:sz="4" w:space="0" w:color="auto"/>
            </w:tcBorders>
            <w:shd w:val="clear" w:color="auto" w:fill="auto"/>
            <w:noWrap/>
            <w:hideMark/>
          </w:tcPr>
          <w:p w14:paraId="15DB2EF1" w14:textId="77777777" w:rsidR="00C11B1D" w:rsidRPr="00C11B1D" w:rsidRDefault="00C11B1D" w:rsidP="00D22A16">
            <w:pPr>
              <w:tabs>
                <w:tab w:val="decimal" w:pos="312"/>
              </w:tabs>
              <w:spacing w:line="360" w:lineRule="auto"/>
              <w:rPr>
                <w:color w:val="000000"/>
              </w:rPr>
            </w:pPr>
            <w:r w:rsidRPr="00C11B1D">
              <w:rPr>
                <w:color w:val="000000"/>
              </w:rPr>
              <w:t>0.346</w:t>
            </w:r>
          </w:p>
        </w:tc>
        <w:tc>
          <w:tcPr>
            <w:tcW w:w="730" w:type="pct"/>
            <w:tcBorders>
              <w:top w:val="nil"/>
              <w:left w:val="single" w:sz="4" w:space="0" w:color="auto"/>
              <w:bottom w:val="nil"/>
              <w:right w:val="nil"/>
            </w:tcBorders>
            <w:shd w:val="clear" w:color="auto" w:fill="auto"/>
            <w:noWrap/>
            <w:hideMark/>
          </w:tcPr>
          <w:p w14:paraId="064D2FAF" w14:textId="77777777" w:rsidR="00C11B1D" w:rsidRPr="00C11B1D" w:rsidRDefault="00C11B1D" w:rsidP="00C11B1D">
            <w:pPr>
              <w:spacing w:line="360" w:lineRule="auto"/>
              <w:jc w:val="center"/>
              <w:rPr>
                <w:color w:val="000000"/>
              </w:rPr>
            </w:pPr>
            <w:r w:rsidRPr="00C11B1D">
              <w:rPr>
                <w:color w:val="000000"/>
              </w:rPr>
              <w:t>TUV</w:t>
            </w:r>
          </w:p>
        </w:tc>
        <w:tc>
          <w:tcPr>
            <w:tcW w:w="521" w:type="pct"/>
            <w:tcBorders>
              <w:top w:val="nil"/>
              <w:left w:val="nil"/>
              <w:bottom w:val="nil"/>
              <w:right w:val="single" w:sz="4" w:space="0" w:color="auto"/>
            </w:tcBorders>
            <w:shd w:val="clear" w:color="auto" w:fill="auto"/>
            <w:noWrap/>
            <w:hideMark/>
          </w:tcPr>
          <w:p w14:paraId="5A2B0DD6" w14:textId="77777777" w:rsidR="00C11B1D" w:rsidRPr="00C11B1D" w:rsidRDefault="00C11B1D" w:rsidP="00D22A16">
            <w:pPr>
              <w:tabs>
                <w:tab w:val="decimal" w:pos="371"/>
              </w:tabs>
              <w:spacing w:line="360" w:lineRule="auto"/>
              <w:rPr>
                <w:color w:val="000000"/>
              </w:rPr>
            </w:pPr>
            <w:r w:rsidRPr="00C11B1D">
              <w:rPr>
                <w:color w:val="000000"/>
              </w:rPr>
              <w:t>0.656</w:t>
            </w:r>
          </w:p>
        </w:tc>
        <w:tc>
          <w:tcPr>
            <w:tcW w:w="729" w:type="pct"/>
            <w:tcBorders>
              <w:top w:val="nil"/>
              <w:left w:val="single" w:sz="4" w:space="0" w:color="auto"/>
              <w:bottom w:val="nil"/>
              <w:right w:val="nil"/>
            </w:tcBorders>
            <w:shd w:val="clear" w:color="auto" w:fill="auto"/>
            <w:noWrap/>
            <w:hideMark/>
          </w:tcPr>
          <w:p w14:paraId="6DF04BF6" w14:textId="77777777" w:rsidR="00C11B1D" w:rsidRPr="00C11B1D" w:rsidRDefault="00C11B1D" w:rsidP="00C11B1D">
            <w:pPr>
              <w:spacing w:line="360" w:lineRule="auto"/>
              <w:jc w:val="center"/>
              <w:rPr>
                <w:color w:val="000000"/>
              </w:rPr>
            </w:pPr>
            <w:r w:rsidRPr="00C11B1D">
              <w:rPr>
                <w:color w:val="000000"/>
              </w:rPr>
              <w:t>MWI</w:t>
            </w:r>
          </w:p>
        </w:tc>
        <w:tc>
          <w:tcPr>
            <w:tcW w:w="521" w:type="pct"/>
            <w:tcBorders>
              <w:top w:val="nil"/>
              <w:left w:val="nil"/>
              <w:bottom w:val="nil"/>
              <w:right w:val="single" w:sz="4" w:space="0" w:color="auto"/>
            </w:tcBorders>
            <w:shd w:val="clear" w:color="auto" w:fill="auto"/>
            <w:noWrap/>
            <w:hideMark/>
          </w:tcPr>
          <w:p w14:paraId="369F092A" w14:textId="77777777" w:rsidR="00C11B1D" w:rsidRPr="00C11B1D" w:rsidRDefault="00C11B1D" w:rsidP="00D22A16">
            <w:pPr>
              <w:tabs>
                <w:tab w:val="decimal" w:pos="300"/>
              </w:tabs>
              <w:spacing w:line="360" w:lineRule="auto"/>
              <w:rPr>
                <w:color w:val="000000"/>
              </w:rPr>
            </w:pPr>
            <w:r w:rsidRPr="00C11B1D">
              <w:rPr>
                <w:color w:val="000000"/>
              </w:rPr>
              <w:t>0.848</w:t>
            </w:r>
          </w:p>
        </w:tc>
        <w:tc>
          <w:tcPr>
            <w:tcW w:w="729" w:type="pct"/>
            <w:tcBorders>
              <w:top w:val="nil"/>
              <w:left w:val="single" w:sz="4" w:space="0" w:color="auto"/>
              <w:bottom w:val="nil"/>
              <w:right w:val="nil"/>
            </w:tcBorders>
            <w:shd w:val="clear" w:color="auto" w:fill="auto"/>
            <w:noWrap/>
            <w:hideMark/>
          </w:tcPr>
          <w:p w14:paraId="4A8AA3D3" w14:textId="77777777" w:rsidR="00C11B1D" w:rsidRPr="00C11B1D" w:rsidRDefault="00C11B1D" w:rsidP="00C11B1D">
            <w:pPr>
              <w:spacing w:line="360" w:lineRule="auto"/>
              <w:jc w:val="center"/>
              <w:rPr>
                <w:color w:val="000000"/>
              </w:rPr>
            </w:pPr>
            <w:r w:rsidRPr="00C11B1D">
              <w:rPr>
                <w:color w:val="000000"/>
              </w:rPr>
              <w:t>ARM</w:t>
            </w:r>
          </w:p>
        </w:tc>
        <w:tc>
          <w:tcPr>
            <w:tcW w:w="518" w:type="pct"/>
            <w:tcBorders>
              <w:top w:val="nil"/>
              <w:left w:val="nil"/>
              <w:bottom w:val="nil"/>
              <w:right w:val="nil"/>
            </w:tcBorders>
            <w:shd w:val="clear" w:color="auto" w:fill="auto"/>
            <w:noWrap/>
            <w:hideMark/>
          </w:tcPr>
          <w:p w14:paraId="43BBB5EF" w14:textId="77777777" w:rsidR="00C11B1D" w:rsidRPr="00C11B1D" w:rsidRDefault="00C11B1D" w:rsidP="00D22A16">
            <w:pPr>
              <w:tabs>
                <w:tab w:val="decimal" w:pos="304"/>
              </w:tabs>
              <w:spacing w:line="360" w:lineRule="auto"/>
              <w:rPr>
                <w:color w:val="000000"/>
              </w:rPr>
            </w:pPr>
            <w:r w:rsidRPr="00C11B1D">
              <w:rPr>
                <w:color w:val="000000"/>
              </w:rPr>
              <w:t>1.167</w:t>
            </w:r>
          </w:p>
        </w:tc>
      </w:tr>
      <w:tr w:rsidR="00C11B1D" w:rsidRPr="00C11B1D" w14:paraId="070C0741" w14:textId="77777777" w:rsidTr="00C11B1D">
        <w:trPr>
          <w:jc w:val="center"/>
        </w:trPr>
        <w:tc>
          <w:tcPr>
            <w:tcW w:w="730" w:type="pct"/>
            <w:tcBorders>
              <w:top w:val="nil"/>
              <w:left w:val="nil"/>
              <w:bottom w:val="nil"/>
              <w:right w:val="nil"/>
            </w:tcBorders>
            <w:shd w:val="clear" w:color="auto" w:fill="auto"/>
            <w:noWrap/>
            <w:hideMark/>
          </w:tcPr>
          <w:p w14:paraId="056AEF68" w14:textId="77777777" w:rsidR="00C11B1D" w:rsidRPr="00C11B1D" w:rsidRDefault="00C11B1D" w:rsidP="00C11B1D">
            <w:pPr>
              <w:spacing w:line="360" w:lineRule="auto"/>
              <w:jc w:val="center"/>
              <w:rPr>
                <w:color w:val="000000"/>
              </w:rPr>
            </w:pPr>
            <w:r w:rsidRPr="00C11B1D">
              <w:rPr>
                <w:color w:val="000000"/>
              </w:rPr>
              <w:t>BFA</w:t>
            </w:r>
          </w:p>
        </w:tc>
        <w:tc>
          <w:tcPr>
            <w:tcW w:w="522" w:type="pct"/>
            <w:tcBorders>
              <w:top w:val="nil"/>
              <w:left w:val="nil"/>
              <w:bottom w:val="nil"/>
              <w:right w:val="single" w:sz="4" w:space="0" w:color="auto"/>
            </w:tcBorders>
            <w:shd w:val="clear" w:color="auto" w:fill="auto"/>
            <w:noWrap/>
            <w:hideMark/>
          </w:tcPr>
          <w:p w14:paraId="726F0A7F" w14:textId="77777777" w:rsidR="00C11B1D" w:rsidRPr="00C11B1D" w:rsidRDefault="00C11B1D" w:rsidP="00D22A16">
            <w:pPr>
              <w:tabs>
                <w:tab w:val="decimal" w:pos="312"/>
              </w:tabs>
              <w:spacing w:line="360" w:lineRule="auto"/>
              <w:rPr>
                <w:color w:val="000000"/>
              </w:rPr>
            </w:pPr>
            <w:r w:rsidRPr="00C11B1D">
              <w:rPr>
                <w:color w:val="000000"/>
              </w:rPr>
              <w:t>0.359</w:t>
            </w:r>
          </w:p>
        </w:tc>
        <w:tc>
          <w:tcPr>
            <w:tcW w:w="730" w:type="pct"/>
            <w:tcBorders>
              <w:top w:val="nil"/>
              <w:left w:val="single" w:sz="4" w:space="0" w:color="auto"/>
              <w:bottom w:val="nil"/>
              <w:right w:val="nil"/>
            </w:tcBorders>
            <w:shd w:val="clear" w:color="auto" w:fill="auto"/>
            <w:noWrap/>
            <w:hideMark/>
          </w:tcPr>
          <w:p w14:paraId="7EFC6EAE" w14:textId="77777777" w:rsidR="00C11B1D" w:rsidRPr="00C11B1D" w:rsidRDefault="00C11B1D" w:rsidP="00C11B1D">
            <w:pPr>
              <w:spacing w:line="360" w:lineRule="auto"/>
              <w:jc w:val="center"/>
              <w:rPr>
                <w:color w:val="000000"/>
              </w:rPr>
            </w:pPr>
            <w:r w:rsidRPr="00C11B1D">
              <w:rPr>
                <w:color w:val="000000"/>
              </w:rPr>
              <w:t>TZA</w:t>
            </w:r>
          </w:p>
        </w:tc>
        <w:tc>
          <w:tcPr>
            <w:tcW w:w="521" w:type="pct"/>
            <w:tcBorders>
              <w:top w:val="nil"/>
              <w:left w:val="nil"/>
              <w:bottom w:val="nil"/>
              <w:right w:val="single" w:sz="4" w:space="0" w:color="auto"/>
            </w:tcBorders>
            <w:shd w:val="clear" w:color="auto" w:fill="auto"/>
            <w:noWrap/>
            <w:hideMark/>
          </w:tcPr>
          <w:p w14:paraId="352EF8B5" w14:textId="77777777" w:rsidR="00C11B1D" w:rsidRPr="00C11B1D" w:rsidRDefault="00C11B1D" w:rsidP="00D22A16">
            <w:pPr>
              <w:tabs>
                <w:tab w:val="decimal" w:pos="371"/>
              </w:tabs>
              <w:spacing w:line="360" w:lineRule="auto"/>
              <w:rPr>
                <w:color w:val="000000"/>
              </w:rPr>
            </w:pPr>
            <w:r w:rsidRPr="00C11B1D">
              <w:rPr>
                <w:color w:val="000000"/>
              </w:rPr>
              <w:t>0.663</w:t>
            </w:r>
          </w:p>
        </w:tc>
        <w:tc>
          <w:tcPr>
            <w:tcW w:w="729" w:type="pct"/>
            <w:tcBorders>
              <w:top w:val="nil"/>
              <w:left w:val="single" w:sz="4" w:space="0" w:color="auto"/>
              <w:bottom w:val="nil"/>
              <w:right w:val="nil"/>
            </w:tcBorders>
            <w:shd w:val="clear" w:color="auto" w:fill="auto"/>
            <w:noWrap/>
            <w:hideMark/>
          </w:tcPr>
          <w:p w14:paraId="5A75F57B" w14:textId="77777777" w:rsidR="00C11B1D" w:rsidRPr="00C11B1D" w:rsidRDefault="00C11B1D" w:rsidP="00C11B1D">
            <w:pPr>
              <w:spacing w:line="360" w:lineRule="auto"/>
              <w:jc w:val="center"/>
              <w:rPr>
                <w:color w:val="000000"/>
              </w:rPr>
            </w:pPr>
            <w:r w:rsidRPr="00C11B1D">
              <w:rPr>
                <w:color w:val="000000"/>
              </w:rPr>
              <w:t>SAU</w:t>
            </w:r>
          </w:p>
        </w:tc>
        <w:tc>
          <w:tcPr>
            <w:tcW w:w="521" w:type="pct"/>
            <w:tcBorders>
              <w:top w:val="nil"/>
              <w:left w:val="nil"/>
              <w:bottom w:val="nil"/>
              <w:right w:val="single" w:sz="4" w:space="0" w:color="auto"/>
            </w:tcBorders>
            <w:shd w:val="clear" w:color="auto" w:fill="auto"/>
            <w:noWrap/>
            <w:hideMark/>
          </w:tcPr>
          <w:p w14:paraId="7A575D73" w14:textId="77777777" w:rsidR="00C11B1D" w:rsidRPr="00C11B1D" w:rsidRDefault="00C11B1D" w:rsidP="00D22A16">
            <w:pPr>
              <w:tabs>
                <w:tab w:val="decimal" w:pos="300"/>
              </w:tabs>
              <w:spacing w:line="360" w:lineRule="auto"/>
              <w:rPr>
                <w:color w:val="000000"/>
              </w:rPr>
            </w:pPr>
            <w:r w:rsidRPr="00C11B1D">
              <w:rPr>
                <w:color w:val="000000"/>
              </w:rPr>
              <w:t>0.848</w:t>
            </w:r>
          </w:p>
        </w:tc>
        <w:tc>
          <w:tcPr>
            <w:tcW w:w="729" w:type="pct"/>
            <w:tcBorders>
              <w:top w:val="nil"/>
              <w:left w:val="single" w:sz="4" w:space="0" w:color="auto"/>
              <w:bottom w:val="nil"/>
              <w:right w:val="nil"/>
            </w:tcBorders>
            <w:shd w:val="clear" w:color="auto" w:fill="auto"/>
            <w:noWrap/>
            <w:hideMark/>
          </w:tcPr>
          <w:p w14:paraId="63C93C00" w14:textId="77777777" w:rsidR="00C11B1D" w:rsidRPr="00C11B1D" w:rsidRDefault="00C11B1D" w:rsidP="00C11B1D">
            <w:pPr>
              <w:spacing w:line="360" w:lineRule="auto"/>
              <w:jc w:val="center"/>
              <w:rPr>
                <w:color w:val="000000"/>
              </w:rPr>
            </w:pPr>
            <w:r w:rsidRPr="00C11B1D">
              <w:rPr>
                <w:color w:val="000000"/>
              </w:rPr>
              <w:t>BEN</w:t>
            </w:r>
          </w:p>
        </w:tc>
        <w:tc>
          <w:tcPr>
            <w:tcW w:w="518" w:type="pct"/>
            <w:tcBorders>
              <w:top w:val="nil"/>
              <w:left w:val="nil"/>
              <w:bottom w:val="nil"/>
              <w:right w:val="nil"/>
            </w:tcBorders>
            <w:shd w:val="clear" w:color="auto" w:fill="auto"/>
            <w:noWrap/>
            <w:hideMark/>
          </w:tcPr>
          <w:p w14:paraId="3A0FB127" w14:textId="77777777" w:rsidR="00C11B1D" w:rsidRPr="00C11B1D" w:rsidRDefault="00C11B1D" w:rsidP="00D22A16">
            <w:pPr>
              <w:tabs>
                <w:tab w:val="decimal" w:pos="304"/>
              </w:tabs>
              <w:spacing w:line="360" w:lineRule="auto"/>
              <w:rPr>
                <w:color w:val="000000"/>
              </w:rPr>
            </w:pPr>
            <w:r w:rsidRPr="00C11B1D">
              <w:rPr>
                <w:color w:val="000000"/>
              </w:rPr>
              <w:t>1.167</w:t>
            </w:r>
          </w:p>
        </w:tc>
      </w:tr>
      <w:tr w:rsidR="00C11B1D" w:rsidRPr="00C11B1D" w14:paraId="18A4C766" w14:textId="77777777" w:rsidTr="00C11B1D">
        <w:trPr>
          <w:jc w:val="center"/>
        </w:trPr>
        <w:tc>
          <w:tcPr>
            <w:tcW w:w="730" w:type="pct"/>
            <w:tcBorders>
              <w:top w:val="nil"/>
              <w:left w:val="nil"/>
              <w:bottom w:val="nil"/>
              <w:right w:val="nil"/>
            </w:tcBorders>
            <w:shd w:val="clear" w:color="auto" w:fill="auto"/>
            <w:noWrap/>
            <w:hideMark/>
          </w:tcPr>
          <w:p w14:paraId="737EF32B" w14:textId="77777777" w:rsidR="00C11B1D" w:rsidRPr="00C11B1D" w:rsidRDefault="00C11B1D" w:rsidP="00C11B1D">
            <w:pPr>
              <w:spacing w:line="360" w:lineRule="auto"/>
              <w:jc w:val="center"/>
              <w:rPr>
                <w:color w:val="000000"/>
              </w:rPr>
            </w:pPr>
            <w:r w:rsidRPr="00C11B1D">
              <w:rPr>
                <w:color w:val="000000"/>
              </w:rPr>
              <w:t>KEN</w:t>
            </w:r>
          </w:p>
        </w:tc>
        <w:tc>
          <w:tcPr>
            <w:tcW w:w="522" w:type="pct"/>
            <w:tcBorders>
              <w:top w:val="nil"/>
              <w:left w:val="nil"/>
              <w:bottom w:val="nil"/>
              <w:right w:val="single" w:sz="4" w:space="0" w:color="auto"/>
            </w:tcBorders>
            <w:shd w:val="clear" w:color="auto" w:fill="auto"/>
            <w:noWrap/>
            <w:hideMark/>
          </w:tcPr>
          <w:p w14:paraId="6843BF6A" w14:textId="77777777" w:rsidR="00C11B1D" w:rsidRPr="00C11B1D" w:rsidRDefault="00C11B1D" w:rsidP="00D22A16">
            <w:pPr>
              <w:tabs>
                <w:tab w:val="decimal" w:pos="312"/>
              </w:tabs>
              <w:spacing w:line="360" w:lineRule="auto"/>
              <w:rPr>
                <w:color w:val="000000"/>
              </w:rPr>
            </w:pPr>
            <w:r w:rsidRPr="00C11B1D">
              <w:rPr>
                <w:color w:val="000000"/>
              </w:rPr>
              <w:t>0.359</w:t>
            </w:r>
          </w:p>
        </w:tc>
        <w:tc>
          <w:tcPr>
            <w:tcW w:w="730" w:type="pct"/>
            <w:tcBorders>
              <w:top w:val="nil"/>
              <w:left w:val="single" w:sz="4" w:space="0" w:color="auto"/>
              <w:bottom w:val="nil"/>
              <w:right w:val="nil"/>
            </w:tcBorders>
            <w:shd w:val="clear" w:color="auto" w:fill="auto"/>
            <w:noWrap/>
            <w:hideMark/>
          </w:tcPr>
          <w:p w14:paraId="1F18B7CB" w14:textId="77777777" w:rsidR="00C11B1D" w:rsidRPr="00C11B1D" w:rsidRDefault="00C11B1D" w:rsidP="00C11B1D">
            <w:pPr>
              <w:spacing w:line="360" w:lineRule="auto"/>
              <w:jc w:val="center"/>
              <w:rPr>
                <w:color w:val="000000"/>
              </w:rPr>
            </w:pPr>
            <w:r w:rsidRPr="00C11B1D">
              <w:rPr>
                <w:color w:val="000000"/>
              </w:rPr>
              <w:t>GRC</w:t>
            </w:r>
          </w:p>
        </w:tc>
        <w:tc>
          <w:tcPr>
            <w:tcW w:w="521" w:type="pct"/>
            <w:tcBorders>
              <w:top w:val="nil"/>
              <w:left w:val="nil"/>
              <w:bottom w:val="nil"/>
              <w:right w:val="single" w:sz="4" w:space="0" w:color="auto"/>
            </w:tcBorders>
            <w:shd w:val="clear" w:color="auto" w:fill="auto"/>
            <w:noWrap/>
            <w:hideMark/>
          </w:tcPr>
          <w:p w14:paraId="124FAB75" w14:textId="77777777" w:rsidR="00C11B1D" w:rsidRPr="00C11B1D" w:rsidRDefault="00C11B1D" w:rsidP="00D22A16">
            <w:pPr>
              <w:tabs>
                <w:tab w:val="decimal" w:pos="371"/>
              </w:tabs>
              <w:spacing w:line="360" w:lineRule="auto"/>
              <w:rPr>
                <w:color w:val="000000"/>
              </w:rPr>
            </w:pPr>
            <w:r w:rsidRPr="00C11B1D">
              <w:rPr>
                <w:color w:val="000000"/>
              </w:rPr>
              <w:t>0.667</w:t>
            </w:r>
          </w:p>
        </w:tc>
        <w:tc>
          <w:tcPr>
            <w:tcW w:w="729" w:type="pct"/>
            <w:tcBorders>
              <w:top w:val="nil"/>
              <w:left w:val="single" w:sz="4" w:space="0" w:color="auto"/>
              <w:bottom w:val="nil"/>
              <w:right w:val="nil"/>
            </w:tcBorders>
            <w:shd w:val="clear" w:color="auto" w:fill="auto"/>
            <w:noWrap/>
            <w:hideMark/>
          </w:tcPr>
          <w:p w14:paraId="3BFADB7B" w14:textId="77777777" w:rsidR="00C11B1D" w:rsidRPr="00C11B1D" w:rsidRDefault="00C11B1D" w:rsidP="00C11B1D">
            <w:pPr>
              <w:spacing w:line="360" w:lineRule="auto"/>
              <w:jc w:val="center"/>
              <w:rPr>
                <w:color w:val="000000"/>
              </w:rPr>
            </w:pPr>
            <w:r w:rsidRPr="00C11B1D">
              <w:rPr>
                <w:color w:val="000000"/>
              </w:rPr>
              <w:t>IRL</w:t>
            </w:r>
          </w:p>
        </w:tc>
        <w:tc>
          <w:tcPr>
            <w:tcW w:w="521" w:type="pct"/>
            <w:tcBorders>
              <w:top w:val="nil"/>
              <w:left w:val="nil"/>
              <w:bottom w:val="nil"/>
              <w:right w:val="single" w:sz="4" w:space="0" w:color="auto"/>
            </w:tcBorders>
            <w:shd w:val="clear" w:color="auto" w:fill="auto"/>
            <w:noWrap/>
            <w:hideMark/>
          </w:tcPr>
          <w:p w14:paraId="21C2D55A" w14:textId="77777777" w:rsidR="00C11B1D" w:rsidRPr="00C11B1D" w:rsidRDefault="00C11B1D" w:rsidP="00D22A16">
            <w:pPr>
              <w:tabs>
                <w:tab w:val="decimal" w:pos="300"/>
              </w:tabs>
              <w:spacing w:line="360" w:lineRule="auto"/>
              <w:rPr>
                <w:color w:val="000000"/>
              </w:rPr>
            </w:pPr>
            <w:r w:rsidRPr="00C11B1D">
              <w:rPr>
                <w:color w:val="000000"/>
              </w:rPr>
              <w:t>0.857</w:t>
            </w:r>
          </w:p>
        </w:tc>
        <w:tc>
          <w:tcPr>
            <w:tcW w:w="729" w:type="pct"/>
            <w:tcBorders>
              <w:top w:val="nil"/>
              <w:left w:val="single" w:sz="4" w:space="0" w:color="auto"/>
              <w:bottom w:val="nil"/>
              <w:right w:val="nil"/>
            </w:tcBorders>
            <w:shd w:val="clear" w:color="auto" w:fill="auto"/>
            <w:noWrap/>
            <w:hideMark/>
          </w:tcPr>
          <w:p w14:paraId="1DEDB442" w14:textId="77777777" w:rsidR="00C11B1D" w:rsidRPr="00C11B1D" w:rsidRDefault="00C11B1D" w:rsidP="00C11B1D">
            <w:pPr>
              <w:spacing w:line="360" w:lineRule="auto"/>
              <w:jc w:val="center"/>
              <w:rPr>
                <w:color w:val="000000"/>
              </w:rPr>
            </w:pPr>
            <w:r w:rsidRPr="00C11B1D">
              <w:rPr>
                <w:color w:val="000000"/>
              </w:rPr>
              <w:t>BHS</w:t>
            </w:r>
          </w:p>
        </w:tc>
        <w:tc>
          <w:tcPr>
            <w:tcW w:w="518" w:type="pct"/>
            <w:tcBorders>
              <w:top w:val="nil"/>
              <w:left w:val="nil"/>
              <w:bottom w:val="nil"/>
              <w:right w:val="nil"/>
            </w:tcBorders>
            <w:shd w:val="clear" w:color="auto" w:fill="auto"/>
            <w:noWrap/>
            <w:hideMark/>
          </w:tcPr>
          <w:p w14:paraId="43290B56" w14:textId="77777777" w:rsidR="00C11B1D" w:rsidRPr="00C11B1D" w:rsidRDefault="00C11B1D" w:rsidP="00D22A16">
            <w:pPr>
              <w:tabs>
                <w:tab w:val="decimal" w:pos="304"/>
              </w:tabs>
              <w:spacing w:line="360" w:lineRule="auto"/>
              <w:rPr>
                <w:color w:val="000000"/>
              </w:rPr>
            </w:pPr>
            <w:r w:rsidRPr="00C11B1D">
              <w:rPr>
                <w:color w:val="000000"/>
              </w:rPr>
              <w:t>1.167</w:t>
            </w:r>
          </w:p>
        </w:tc>
      </w:tr>
      <w:tr w:rsidR="00C11B1D" w:rsidRPr="00C11B1D" w14:paraId="1F5FFBA6" w14:textId="77777777" w:rsidTr="00C11B1D">
        <w:trPr>
          <w:jc w:val="center"/>
        </w:trPr>
        <w:tc>
          <w:tcPr>
            <w:tcW w:w="730" w:type="pct"/>
            <w:tcBorders>
              <w:top w:val="nil"/>
              <w:left w:val="nil"/>
              <w:bottom w:val="nil"/>
              <w:right w:val="nil"/>
            </w:tcBorders>
            <w:shd w:val="clear" w:color="auto" w:fill="auto"/>
            <w:noWrap/>
            <w:hideMark/>
          </w:tcPr>
          <w:p w14:paraId="04824FC7" w14:textId="77777777" w:rsidR="00C11B1D" w:rsidRPr="00C11B1D" w:rsidRDefault="00C11B1D" w:rsidP="00C11B1D">
            <w:pPr>
              <w:spacing w:line="360" w:lineRule="auto"/>
              <w:jc w:val="center"/>
              <w:rPr>
                <w:color w:val="000000"/>
              </w:rPr>
            </w:pPr>
            <w:r w:rsidRPr="00C11B1D">
              <w:rPr>
                <w:color w:val="000000"/>
              </w:rPr>
              <w:t>HUN</w:t>
            </w:r>
          </w:p>
        </w:tc>
        <w:tc>
          <w:tcPr>
            <w:tcW w:w="522" w:type="pct"/>
            <w:tcBorders>
              <w:top w:val="nil"/>
              <w:left w:val="nil"/>
              <w:bottom w:val="nil"/>
              <w:right w:val="single" w:sz="4" w:space="0" w:color="auto"/>
            </w:tcBorders>
            <w:shd w:val="clear" w:color="auto" w:fill="auto"/>
            <w:noWrap/>
            <w:hideMark/>
          </w:tcPr>
          <w:p w14:paraId="163B2FDB" w14:textId="77777777" w:rsidR="00C11B1D" w:rsidRPr="00C11B1D" w:rsidRDefault="00C11B1D" w:rsidP="00D22A16">
            <w:pPr>
              <w:tabs>
                <w:tab w:val="decimal" w:pos="312"/>
              </w:tabs>
              <w:spacing w:line="360" w:lineRule="auto"/>
              <w:rPr>
                <w:color w:val="000000"/>
              </w:rPr>
            </w:pPr>
            <w:r w:rsidRPr="00C11B1D">
              <w:rPr>
                <w:color w:val="000000"/>
              </w:rPr>
              <w:t>0.364</w:t>
            </w:r>
          </w:p>
        </w:tc>
        <w:tc>
          <w:tcPr>
            <w:tcW w:w="730" w:type="pct"/>
            <w:tcBorders>
              <w:top w:val="nil"/>
              <w:left w:val="single" w:sz="4" w:space="0" w:color="auto"/>
              <w:bottom w:val="nil"/>
              <w:right w:val="nil"/>
            </w:tcBorders>
            <w:shd w:val="clear" w:color="auto" w:fill="auto"/>
            <w:noWrap/>
            <w:hideMark/>
          </w:tcPr>
          <w:p w14:paraId="747D578F" w14:textId="77777777" w:rsidR="00C11B1D" w:rsidRPr="00C11B1D" w:rsidRDefault="00C11B1D" w:rsidP="00C11B1D">
            <w:pPr>
              <w:spacing w:line="360" w:lineRule="auto"/>
              <w:jc w:val="center"/>
              <w:rPr>
                <w:color w:val="000000"/>
              </w:rPr>
            </w:pPr>
            <w:r w:rsidRPr="00C11B1D">
              <w:rPr>
                <w:color w:val="000000"/>
              </w:rPr>
              <w:t>GHA</w:t>
            </w:r>
          </w:p>
        </w:tc>
        <w:tc>
          <w:tcPr>
            <w:tcW w:w="521" w:type="pct"/>
            <w:tcBorders>
              <w:top w:val="nil"/>
              <w:left w:val="nil"/>
              <w:bottom w:val="nil"/>
              <w:right w:val="single" w:sz="4" w:space="0" w:color="auto"/>
            </w:tcBorders>
            <w:shd w:val="clear" w:color="auto" w:fill="auto"/>
            <w:noWrap/>
            <w:hideMark/>
          </w:tcPr>
          <w:p w14:paraId="0794F779" w14:textId="77777777" w:rsidR="00C11B1D" w:rsidRPr="00C11B1D" w:rsidRDefault="00C11B1D" w:rsidP="00D22A16">
            <w:pPr>
              <w:tabs>
                <w:tab w:val="decimal" w:pos="371"/>
              </w:tabs>
              <w:spacing w:line="360" w:lineRule="auto"/>
              <w:rPr>
                <w:color w:val="000000"/>
              </w:rPr>
            </w:pPr>
            <w:r w:rsidRPr="00C11B1D">
              <w:rPr>
                <w:color w:val="000000"/>
              </w:rPr>
              <w:t>0.667</w:t>
            </w:r>
          </w:p>
        </w:tc>
        <w:tc>
          <w:tcPr>
            <w:tcW w:w="729" w:type="pct"/>
            <w:tcBorders>
              <w:top w:val="nil"/>
              <w:left w:val="single" w:sz="4" w:space="0" w:color="auto"/>
              <w:bottom w:val="nil"/>
              <w:right w:val="nil"/>
            </w:tcBorders>
            <w:shd w:val="clear" w:color="auto" w:fill="auto"/>
            <w:noWrap/>
            <w:hideMark/>
          </w:tcPr>
          <w:p w14:paraId="3FCCC92B" w14:textId="77777777" w:rsidR="00C11B1D" w:rsidRPr="00C11B1D" w:rsidRDefault="00C11B1D" w:rsidP="00C11B1D">
            <w:pPr>
              <w:spacing w:line="360" w:lineRule="auto"/>
              <w:jc w:val="center"/>
              <w:rPr>
                <w:color w:val="000000"/>
              </w:rPr>
            </w:pPr>
            <w:r w:rsidRPr="00C11B1D">
              <w:rPr>
                <w:color w:val="000000"/>
              </w:rPr>
              <w:t>ATG</w:t>
            </w:r>
          </w:p>
        </w:tc>
        <w:tc>
          <w:tcPr>
            <w:tcW w:w="521" w:type="pct"/>
            <w:tcBorders>
              <w:top w:val="nil"/>
              <w:left w:val="nil"/>
              <w:bottom w:val="nil"/>
              <w:right w:val="single" w:sz="4" w:space="0" w:color="auto"/>
            </w:tcBorders>
            <w:shd w:val="clear" w:color="auto" w:fill="auto"/>
            <w:noWrap/>
            <w:hideMark/>
          </w:tcPr>
          <w:p w14:paraId="2E4E5B8D" w14:textId="77777777" w:rsidR="00C11B1D" w:rsidRPr="00C11B1D" w:rsidRDefault="00C11B1D" w:rsidP="00D22A16">
            <w:pPr>
              <w:tabs>
                <w:tab w:val="decimal" w:pos="300"/>
              </w:tabs>
              <w:spacing w:line="360" w:lineRule="auto"/>
              <w:rPr>
                <w:color w:val="000000"/>
              </w:rPr>
            </w:pPr>
            <w:r w:rsidRPr="00C11B1D">
              <w:rPr>
                <w:color w:val="000000"/>
              </w:rPr>
              <w:t>0.862</w:t>
            </w:r>
          </w:p>
        </w:tc>
        <w:tc>
          <w:tcPr>
            <w:tcW w:w="729" w:type="pct"/>
            <w:tcBorders>
              <w:top w:val="nil"/>
              <w:left w:val="single" w:sz="4" w:space="0" w:color="auto"/>
              <w:bottom w:val="nil"/>
              <w:right w:val="nil"/>
            </w:tcBorders>
            <w:shd w:val="clear" w:color="auto" w:fill="auto"/>
            <w:noWrap/>
            <w:hideMark/>
          </w:tcPr>
          <w:p w14:paraId="19780F58" w14:textId="77777777" w:rsidR="00C11B1D" w:rsidRPr="00C11B1D" w:rsidRDefault="00C11B1D" w:rsidP="00C11B1D">
            <w:pPr>
              <w:spacing w:line="360" w:lineRule="auto"/>
              <w:jc w:val="center"/>
              <w:rPr>
                <w:color w:val="000000"/>
              </w:rPr>
            </w:pPr>
            <w:r w:rsidRPr="00C11B1D">
              <w:rPr>
                <w:color w:val="000000"/>
              </w:rPr>
              <w:t>LKA</w:t>
            </w:r>
          </w:p>
        </w:tc>
        <w:tc>
          <w:tcPr>
            <w:tcW w:w="518" w:type="pct"/>
            <w:tcBorders>
              <w:top w:val="nil"/>
              <w:left w:val="nil"/>
              <w:bottom w:val="nil"/>
              <w:right w:val="nil"/>
            </w:tcBorders>
            <w:shd w:val="clear" w:color="auto" w:fill="auto"/>
            <w:noWrap/>
            <w:hideMark/>
          </w:tcPr>
          <w:p w14:paraId="2DF15BEA" w14:textId="77777777" w:rsidR="00C11B1D" w:rsidRPr="00C11B1D" w:rsidRDefault="00C11B1D" w:rsidP="00D22A16">
            <w:pPr>
              <w:tabs>
                <w:tab w:val="decimal" w:pos="304"/>
              </w:tabs>
              <w:spacing w:line="360" w:lineRule="auto"/>
              <w:rPr>
                <w:color w:val="000000"/>
              </w:rPr>
            </w:pPr>
            <w:r w:rsidRPr="00C11B1D">
              <w:rPr>
                <w:color w:val="000000"/>
              </w:rPr>
              <w:t>1.167</w:t>
            </w:r>
          </w:p>
        </w:tc>
      </w:tr>
      <w:tr w:rsidR="00C11B1D" w:rsidRPr="00C11B1D" w14:paraId="4EC9E7E1" w14:textId="77777777" w:rsidTr="00C11B1D">
        <w:trPr>
          <w:jc w:val="center"/>
        </w:trPr>
        <w:tc>
          <w:tcPr>
            <w:tcW w:w="730" w:type="pct"/>
            <w:tcBorders>
              <w:top w:val="nil"/>
              <w:left w:val="nil"/>
              <w:bottom w:val="nil"/>
              <w:right w:val="nil"/>
            </w:tcBorders>
            <w:shd w:val="clear" w:color="auto" w:fill="auto"/>
            <w:noWrap/>
            <w:hideMark/>
          </w:tcPr>
          <w:p w14:paraId="4045C866" w14:textId="77777777" w:rsidR="00C11B1D" w:rsidRPr="00C11B1D" w:rsidRDefault="00C11B1D" w:rsidP="00C11B1D">
            <w:pPr>
              <w:spacing w:line="360" w:lineRule="auto"/>
              <w:jc w:val="center"/>
              <w:rPr>
                <w:color w:val="000000"/>
              </w:rPr>
            </w:pPr>
            <w:r w:rsidRPr="00C11B1D">
              <w:rPr>
                <w:color w:val="000000"/>
              </w:rPr>
              <w:t>AUS</w:t>
            </w:r>
          </w:p>
        </w:tc>
        <w:tc>
          <w:tcPr>
            <w:tcW w:w="522" w:type="pct"/>
            <w:tcBorders>
              <w:top w:val="nil"/>
              <w:left w:val="nil"/>
              <w:bottom w:val="nil"/>
              <w:right w:val="single" w:sz="4" w:space="0" w:color="auto"/>
            </w:tcBorders>
            <w:shd w:val="clear" w:color="auto" w:fill="auto"/>
            <w:noWrap/>
            <w:hideMark/>
          </w:tcPr>
          <w:p w14:paraId="5025DAA1" w14:textId="77777777" w:rsidR="00C11B1D" w:rsidRPr="00C11B1D" w:rsidRDefault="00C11B1D" w:rsidP="00D22A16">
            <w:pPr>
              <w:tabs>
                <w:tab w:val="decimal" w:pos="312"/>
              </w:tabs>
              <w:spacing w:line="360" w:lineRule="auto"/>
              <w:rPr>
                <w:color w:val="000000"/>
              </w:rPr>
            </w:pPr>
            <w:r w:rsidRPr="00C11B1D">
              <w:rPr>
                <w:color w:val="000000"/>
              </w:rPr>
              <w:t>0.380</w:t>
            </w:r>
          </w:p>
        </w:tc>
        <w:tc>
          <w:tcPr>
            <w:tcW w:w="730" w:type="pct"/>
            <w:tcBorders>
              <w:top w:val="nil"/>
              <w:left w:val="single" w:sz="4" w:space="0" w:color="auto"/>
              <w:bottom w:val="nil"/>
              <w:right w:val="nil"/>
            </w:tcBorders>
            <w:shd w:val="clear" w:color="auto" w:fill="auto"/>
            <w:noWrap/>
            <w:hideMark/>
          </w:tcPr>
          <w:p w14:paraId="79E9C8B6" w14:textId="77777777" w:rsidR="00C11B1D" w:rsidRPr="00C11B1D" w:rsidRDefault="00C11B1D" w:rsidP="00C11B1D">
            <w:pPr>
              <w:spacing w:line="360" w:lineRule="auto"/>
              <w:jc w:val="center"/>
              <w:rPr>
                <w:color w:val="000000"/>
              </w:rPr>
            </w:pPr>
            <w:r w:rsidRPr="00C11B1D">
              <w:rPr>
                <w:color w:val="000000"/>
              </w:rPr>
              <w:t>GRD</w:t>
            </w:r>
          </w:p>
        </w:tc>
        <w:tc>
          <w:tcPr>
            <w:tcW w:w="521" w:type="pct"/>
            <w:tcBorders>
              <w:top w:val="nil"/>
              <w:left w:val="nil"/>
              <w:bottom w:val="nil"/>
              <w:right w:val="single" w:sz="4" w:space="0" w:color="auto"/>
            </w:tcBorders>
            <w:shd w:val="clear" w:color="auto" w:fill="auto"/>
            <w:noWrap/>
            <w:hideMark/>
          </w:tcPr>
          <w:p w14:paraId="18C5E4A8" w14:textId="77777777" w:rsidR="00C11B1D" w:rsidRPr="00C11B1D" w:rsidRDefault="00C11B1D" w:rsidP="00D22A16">
            <w:pPr>
              <w:tabs>
                <w:tab w:val="decimal" w:pos="371"/>
              </w:tabs>
              <w:spacing w:line="360" w:lineRule="auto"/>
              <w:rPr>
                <w:color w:val="000000"/>
              </w:rPr>
            </w:pPr>
            <w:r w:rsidRPr="00C11B1D">
              <w:rPr>
                <w:color w:val="000000"/>
              </w:rPr>
              <w:t>0.667</w:t>
            </w:r>
          </w:p>
        </w:tc>
        <w:tc>
          <w:tcPr>
            <w:tcW w:w="729" w:type="pct"/>
            <w:tcBorders>
              <w:top w:val="nil"/>
              <w:left w:val="single" w:sz="4" w:space="0" w:color="auto"/>
              <w:bottom w:val="nil"/>
              <w:right w:val="nil"/>
            </w:tcBorders>
            <w:shd w:val="clear" w:color="auto" w:fill="auto"/>
            <w:noWrap/>
            <w:hideMark/>
          </w:tcPr>
          <w:p w14:paraId="41E7991A" w14:textId="77777777" w:rsidR="00C11B1D" w:rsidRPr="00C11B1D" w:rsidRDefault="00C11B1D" w:rsidP="00C11B1D">
            <w:pPr>
              <w:spacing w:line="360" w:lineRule="auto"/>
              <w:jc w:val="center"/>
              <w:rPr>
                <w:color w:val="000000"/>
              </w:rPr>
            </w:pPr>
            <w:r w:rsidRPr="00C11B1D">
              <w:rPr>
                <w:color w:val="000000"/>
              </w:rPr>
              <w:t>COD</w:t>
            </w:r>
          </w:p>
        </w:tc>
        <w:tc>
          <w:tcPr>
            <w:tcW w:w="521" w:type="pct"/>
            <w:tcBorders>
              <w:top w:val="nil"/>
              <w:left w:val="nil"/>
              <w:bottom w:val="nil"/>
              <w:right w:val="single" w:sz="4" w:space="0" w:color="auto"/>
            </w:tcBorders>
            <w:shd w:val="clear" w:color="auto" w:fill="auto"/>
            <w:noWrap/>
            <w:hideMark/>
          </w:tcPr>
          <w:p w14:paraId="6CE95CF9" w14:textId="77777777" w:rsidR="00C11B1D" w:rsidRPr="00C11B1D" w:rsidRDefault="00C11B1D" w:rsidP="00D22A16">
            <w:pPr>
              <w:tabs>
                <w:tab w:val="decimal" w:pos="300"/>
              </w:tabs>
              <w:spacing w:line="360" w:lineRule="auto"/>
              <w:rPr>
                <w:color w:val="000000"/>
              </w:rPr>
            </w:pPr>
            <w:r w:rsidRPr="00C11B1D">
              <w:rPr>
                <w:color w:val="000000"/>
              </w:rPr>
              <w:t>0.862</w:t>
            </w:r>
          </w:p>
        </w:tc>
        <w:tc>
          <w:tcPr>
            <w:tcW w:w="729" w:type="pct"/>
            <w:tcBorders>
              <w:top w:val="nil"/>
              <w:left w:val="single" w:sz="4" w:space="0" w:color="auto"/>
              <w:bottom w:val="nil"/>
              <w:right w:val="nil"/>
            </w:tcBorders>
            <w:shd w:val="clear" w:color="auto" w:fill="auto"/>
            <w:noWrap/>
            <w:hideMark/>
          </w:tcPr>
          <w:p w14:paraId="63A09AA8" w14:textId="77777777" w:rsidR="00C11B1D" w:rsidRPr="00C11B1D" w:rsidRDefault="00C11B1D" w:rsidP="00C11B1D">
            <w:pPr>
              <w:spacing w:line="360" w:lineRule="auto"/>
              <w:jc w:val="center"/>
              <w:rPr>
                <w:color w:val="000000"/>
              </w:rPr>
            </w:pPr>
            <w:r w:rsidRPr="00C11B1D">
              <w:rPr>
                <w:color w:val="000000"/>
              </w:rPr>
              <w:t>BGD</w:t>
            </w:r>
          </w:p>
        </w:tc>
        <w:tc>
          <w:tcPr>
            <w:tcW w:w="518" w:type="pct"/>
            <w:tcBorders>
              <w:top w:val="nil"/>
              <w:left w:val="nil"/>
              <w:bottom w:val="nil"/>
              <w:right w:val="nil"/>
            </w:tcBorders>
            <w:shd w:val="clear" w:color="auto" w:fill="auto"/>
            <w:noWrap/>
            <w:hideMark/>
          </w:tcPr>
          <w:p w14:paraId="235A004A" w14:textId="77777777" w:rsidR="00C11B1D" w:rsidRPr="00C11B1D" w:rsidRDefault="00C11B1D" w:rsidP="00D22A16">
            <w:pPr>
              <w:tabs>
                <w:tab w:val="decimal" w:pos="304"/>
              </w:tabs>
              <w:spacing w:line="360" w:lineRule="auto"/>
              <w:rPr>
                <w:color w:val="000000"/>
              </w:rPr>
            </w:pPr>
            <w:r w:rsidRPr="00C11B1D">
              <w:rPr>
                <w:color w:val="000000"/>
              </w:rPr>
              <w:t>1.200</w:t>
            </w:r>
          </w:p>
        </w:tc>
      </w:tr>
      <w:tr w:rsidR="00C11B1D" w:rsidRPr="00C11B1D" w14:paraId="0BC74F52" w14:textId="77777777" w:rsidTr="00C11B1D">
        <w:trPr>
          <w:jc w:val="center"/>
        </w:trPr>
        <w:tc>
          <w:tcPr>
            <w:tcW w:w="730" w:type="pct"/>
            <w:tcBorders>
              <w:top w:val="nil"/>
              <w:left w:val="nil"/>
              <w:bottom w:val="nil"/>
              <w:right w:val="nil"/>
            </w:tcBorders>
            <w:shd w:val="clear" w:color="auto" w:fill="auto"/>
            <w:noWrap/>
            <w:hideMark/>
          </w:tcPr>
          <w:p w14:paraId="32D18A24" w14:textId="77777777" w:rsidR="00C11B1D" w:rsidRPr="00C11B1D" w:rsidRDefault="00C11B1D" w:rsidP="00C11B1D">
            <w:pPr>
              <w:spacing w:line="360" w:lineRule="auto"/>
              <w:jc w:val="center"/>
              <w:rPr>
                <w:color w:val="000000"/>
              </w:rPr>
            </w:pPr>
            <w:r w:rsidRPr="00C11B1D">
              <w:rPr>
                <w:color w:val="000000"/>
              </w:rPr>
              <w:t>IDN</w:t>
            </w:r>
          </w:p>
        </w:tc>
        <w:tc>
          <w:tcPr>
            <w:tcW w:w="522" w:type="pct"/>
            <w:tcBorders>
              <w:top w:val="nil"/>
              <w:left w:val="nil"/>
              <w:bottom w:val="nil"/>
              <w:right w:val="single" w:sz="4" w:space="0" w:color="auto"/>
            </w:tcBorders>
            <w:shd w:val="clear" w:color="auto" w:fill="auto"/>
            <w:noWrap/>
            <w:hideMark/>
          </w:tcPr>
          <w:p w14:paraId="2BAD5408" w14:textId="77777777" w:rsidR="00C11B1D" w:rsidRPr="00C11B1D" w:rsidRDefault="00C11B1D" w:rsidP="00D22A16">
            <w:pPr>
              <w:tabs>
                <w:tab w:val="decimal" w:pos="312"/>
              </w:tabs>
              <w:spacing w:line="360" w:lineRule="auto"/>
              <w:rPr>
                <w:color w:val="000000"/>
              </w:rPr>
            </w:pPr>
            <w:r w:rsidRPr="00C11B1D">
              <w:rPr>
                <w:color w:val="000000"/>
              </w:rPr>
              <w:t>0.381</w:t>
            </w:r>
          </w:p>
        </w:tc>
        <w:tc>
          <w:tcPr>
            <w:tcW w:w="730" w:type="pct"/>
            <w:tcBorders>
              <w:top w:val="nil"/>
              <w:left w:val="single" w:sz="4" w:space="0" w:color="auto"/>
              <w:bottom w:val="nil"/>
              <w:right w:val="nil"/>
            </w:tcBorders>
            <w:shd w:val="clear" w:color="auto" w:fill="auto"/>
            <w:noWrap/>
            <w:hideMark/>
          </w:tcPr>
          <w:p w14:paraId="7088FF30" w14:textId="77777777" w:rsidR="00C11B1D" w:rsidRPr="00C11B1D" w:rsidRDefault="00C11B1D" w:rsidP="00C11B1D">
            <w:pPr>
              <w:spacing w:line="360" w:lineRule="auto"/>
              <w:jc w:val="center"/>
              <w:rPr>
                <w:color w:val="000000"/>
              </w:rPr>
            </w:pPr>
            <w:r w:rsidRPr="00C11B1D">
              <w:rPr>
                <w:color w:val="000000"/>
              </w:rPr>
              <w:t>HRV</w:t>
            </w:r>
          </w:p>
        </w:tc>
        <w:tc>
          <w:tcPr>
            <w:tcW w:w="521" w:type="pct"/>
            <w:tcBorders>
              <w:top w:val="nil"/>
              <w:left w:val="nil"/>
              <w:bottom w:val="nil"/>
              <w:right w:val="single" w:sz="4" w:space="0" w:color="auto"/>
            </w:tcBorders>
            <w:shd w:val="clear" w:color="auto" w:fill="auto"/>
            <w:noWrap/>
            <w:hideMark/>
          </w:tcPr>
          <w:p w14:paraId="52B2D550" w14:textId="77777777" w:rsidR="00C11B1D" w:rsidRPr="00C11B1D" w:rsidRDefault="00C11B1D" w:rsidP="00D22A16">
            <w:pPr>
              <w:tabs>
                <w:tab w:val="decimal" w:pos="371"/>
              </w:tabs>
              <w:spacing w:line="360" w:lineRule="auto"/>
              <w:rPr>
                <w:color w:val="000000"/>
              </w:rPr>
            </w:pPr>
            <w:r w:rsidRPr="00C11B1D">
              <w:rPr>
                <w:color w:val="000000"/>
              </w:rPr>
              <w:t>0.688</w:t>
            </w:r>
          </w:p>
        </w:tc>
        <w:tc>
          <w:tcPr>
            <w:tcW w:w="729" w:type="pct"/>
            <w:tcBorders>
              <w:top w:val="nil"/>
              <w:left w:val="single" w:sz="4" w:space="0" w:color="auto"/>
              <w:bottom w:val="nil"/>
              <w:right w:val="nil"/>
            </w:tcBorders>
            <w:shd w:val="clear" w:color="auto" w:fill="auto"/>
            <w:noWrap/>
            <w:hideMark/>
          </w:tcPr>
          <w:p w14:paraId="06104EA9" w14:textId="77777777" w:rsidR="00C11B1D" w:rsidRPr="00C11B1D" w:rsidRDefault="00C11B1D" w:rsidP="00C11B1D">
            <w:pPr>
              <w:spacing w:line="360" w:lineRule="auto"/>
              <w:jc w:val="center"/>
              <w:rPr>
                <w:color w:val="000000"/>
              </w:rPr>
            </w:pPr>
            <w:r w:rsidRPr="00C11B1D">
              <w:rPr>
                <w:color w:val="000000"/>
              </w:rPr>
              <w:t>NIC</w:t>
            </w:r>
          </w:p>
        </w:tc>
        <w:tc>
          <w:tcPr>
            <w:tcW w:w="521" w:type="pct"/>
            <w:tcBorders>
              <w:top w:val="nil"/>
              <w:left w:val="nil"/>
              <w:bottom w:val="nil"/>
              <w:right w:val="single" w:sz="4" w:space="0" w:color="auto"/>
            </w:tcBorders>
            <w:shd w:val="clear" w:color="auto" w:fill="auto"/>
            <w:noWrap/>
            <w:hideMark/>
          </w:tcPr>
          <w:p w14:paraId="3AA654A1" w14:textId="77777777" w:rsidR="00C11B1D" w:rsidRPr="00C11B1D" w:rsidRDefault="00C11B1D" w:rsidP="00D22A16">
            <w:pPr>
              <w:tabs>
                <w:tab w:val="decimal" w:pos="300"/>
              </w:tabs>
              <w:spacing w:line="360" w:lineRule="auto"/>
              <w:rPr>
                <w:color w:val="000000"/>
              </w:rPr>
            </w:pPr>
            <w:r w:rsidRPr="00C11B1D">
              <w:rPr>
                <w:color w:val="000000"/>
              </w:rPr>
              <w:t>0.862</w:t>
            </w:r>
          </w:p>
        </w:tc>
        <w:tc>
          <w:tcPr>
            <w:tcW w:w="729" w:type="pct"/>
            <w:tcBorders>
              <w:top w:val="nil"/>
              <w:left w:val="single" w:sz="4" w:space="0" w:color="auto"/>
              <w:bottom w:val="nil"/>
              <w:right w:val="nil"/>
            </w:tcBorders>
            <w:shd w:val="clear" w:color="auto" w:fill="auto"/>
            <w:noWrap/>
            <w:hideMark/>
          </w:tcPr>
          <w:p w14:paraId="78239AFD" w14:textId="77777777" w:rsidR="00C11B1D" w:rsidRPr="00C11B1D" w:rsidRDefault="00C11B1D" w:rsidP="00C11B1D">
            <w:pPr>
              <w:spacing w:line="360" w:lineRule="auto"/>
              <w:jc w:val="center"/>
              <w:rPr>
                <w:color w:val="000000"/>
              </w:rPr>
            </w:pPr>
            <w:r w:rsidRPr="00C11B1D">
              <w:rPr>
                <w:color w:val="000000"/>
              </w:rPr>
              <w:t>ALB</w:t>
            </w:r>
          </w:p>
        </w:tc>
        <w:tc>
          <w:tcPr>
            <w:tcW w:w="518" w:type="pct"/>
            <w:tcBorders>
              <w:top w:val="nil"/>
              <w:left w:val="nil"/>
              <w:bottom w:val="nil"/>
              <w:right w:val="nil"/>
            </w:tcBorders>
            <w:shd w:val="clear" w:color="auto" w:fill="auto"/>
            <w:noWrap/>
            <w:hideMark/>
          </w:tcPr>
          <w:p w14:paraId="08FDCDA8" w14:textId="77777777" w:rsidR="00C11B1D" w:rsidRPr="00C11B1D" w:rsidRDefault="00C11B1D" w:rsidP="00D22A16">
            <w:pPr>
              <w:tabs>
                <w:tab w:val="decimal" w:pos="304"/>
              </w:tabs>
              <w:spacing w:line="360" w:lineRule="auto"/>
              <w:rPr>
                <w:color w:val="000000"/>
              </w:rPr>
            </w:pPr>
            <w:r w:rsidRPr="00C11B1D">
              <w:rPr>
                <w:color w:val="000000"/>
              </w:rPr>
              <w:t>1.244</w:t>
            </w:r>
          </w:p>
        </w:tc>
      </w:tr>
      <w:tr w:rsidR="00C11B1D" w:rsidRPr="00C11B1D" w14:paraId="468AC166" w14:textId="77777777" w:rsidTr="00C11B1D">
        <w:trPr>
          <w:jc w:val="center"/>
        </w:trPr>
        <w:tc>
          <w:tcPr>
            <w:tcW w:w="730" w:type="pct"/>
            <w:tcBorders>
              <w:top w:val="nil"/>
              <w:left w:val="nil"/>
              <w:bottom w:val="nil"/>
              <w:right w:val="nil"/>
            </w:tcBorders>
            <w:shd w:val="clear" w:color="auto" w:fill="auto"/>
            <w:noWrap/>
            <w:hideMark/>
          </w:tcPr>
          <w:p w14:paraId="783AB37C" w14:textId="77777777" w:rsidR="00C11B1D" w:rsidRPr="00C11B1D" w:rsidRDefault="00C11B1D" w:rsidP="00C11B1D">
            <w:pPr>
              <w:spacing w:line="360" w:lineRule="auto"/>
              <w:jc w:val="center"/>
              <w:rPr>
                <w:color w:val="000000"/>
              </w:rPr>
            </w:pPr>
            <w:r w:rsidRPr="00C11B1D">
              <w:rPr>
                <w:color w:val="000000"/>
              </w:rPr>
              <w:t>LSO</w:t>
            </w:r>
          </w:p>
        </w:tc>
        <w:tc>
          <w:tcPr>
            <w:tcW w:w="522" w:type="pct"/>
            <w:tcBorders>
              <w:top w:val="nil"/>
              <w:left w:val="nil"/>
              <w:bottom w:val="nil"/>
              <w:right w:val="single" w:sz="4" w:space="0" w:color="auto"/>
            </w:tcBorders>
            <w:shd w:val="clear" w:color="auto" w:fill="auto"/>
            <w:noWrap/>
            <w:hideMark/>
          </w:tcPr>
          <w:p w14:paraId="7F048CCF" w14:textId="77777777" w:rsidR="00C11B1D" w:rsidRPr="00C11B1D" w:rsidRDefault="00C11B1D" w:rsidP="00D22A16">
            <w:pPr>
              <w:tabs>
                <w:tab w:val="decimal" w:pos="312"/>
              </w:tabs>
              <w:spacing w:line="360" w:lineRule="auto"/>
              <w:rPr>
                <w:color w:val="000000"/>
              </w:rPr>
            </w:pPr>
            <w:r w:rsidRPr="00C11B1D">
              <w:rPr>
                <w:color w:val="000000"/>
              </w:rPr>
              <w:t>0.400</w:t>
            </w:r>
          </w:p>
        </w:tc>
        <w:tc>
          <w:tcPr>
            <w:tcW w:w="730" w:type="pct"/>
            <w:tcBorders>
              <w:top w:val="nil"/>
              <w:left w:val="single" w:sz="4" w:space="0" w:color="auto"/>
              <w:bottom w:val="nil"/>
              <w:right w:val="nil"/>
            </w:tcBorders>
            <w:shd w:val="clear" w:color="auto" w:fill="auto"/>
            <w:noWrap/>
            <w:hideMark/>
          </w:tcPr>
          <w:p w14:paraId="0EE82599" w14:textId="77777777" w:rsidR="00C11B1D" w:rsidRPr="00C11B1D" w:rsidRDefault="00C11B1D" w:rsidP="00C11B1D">
            <w:pPr>
              <w:spacing w:line="360" w:lineRule="auto"/>
              <w:jc w:val="center"/>
              <w:rPr>
                <w:color w:val="000000"/>
              </w:rPr>
            </w:pPr>
            <w:r w:rsidRPr="00C11B1D">
              <w:rPr>
                <w:color w:val="000000"/>
              </w:rPr>
              <w:t>ITA</w:t>
            </w:r>
          </w:p>
        </w:tc>
        <w:tc>
          <w:tcPr>
            <w:tcW w:w="521" w:type="pct"/>
            <w:tcBorders>
              <w:top w:val="nil"/>
              <w:left w:val="nil"/>
              <w:bottom w:val="nil"/>
              <w:right w:val="single" w:sz="4" w:space="0" w:color="auto"/>
            </w:tcBorders>
            <w:shd w:val="clear" w:color="auto" w:fill="auto"/>
            <w:noWrap/>
            <w:hideMark/>
          </w:tcPr>
          <w:p w14:paraId="7AF708EA" w14:textId="77777777" w:rsidR="00C11B1D" w:rsidRPr="00C11B1D" w:rsidRDefault="00C11B1D" w:rsidP="00D22A16">
            <w:pPr>
              <w:tabs>
                <w:tab w:val="decimal" w:pos="371"/>
              </w:tabs>
              <w:spacing w:line="360" w:lineRule="auto"/>
              <w:rPr>
                <w:color w:val="000000"/>
              </w:rPr>
            </w:pPr>
            <w:r w:rsidRPr="00C11B1D">
              <w:rPr>
                <w:color w:val="000000"/>
              </w:rPr>
              <w:t>0.696</w:t>
            </w:r>
          </w:p>
        </w:tc>
        <w:tc>
          <w:tcPr>
            <w:tcW w:w="729" w:type="pct"/>
            <w:tcBorders>
              <w:top w:val="nil"/>
              <w:left w:val="single" w:sz="4" w:space="0" w:color="auto"/>
              <w:bottom w:val="nil"/>
              <w:right w:val="nil"/>
            </w:tcBorders>
            <w:shd w:val="clear" w:color="auto" w:fill="auto"/>
            <w:noWrap/>
            <w:hideMark/>
          </w:tcPr>
          <w:p w14:paraId="00C956FF" w14:textId="77777777" w:rsidR="00C11B1D" w:rsidRPr="00C11B1D" w:rsidRDefault="00C11B1D" w:rsidP="00C11B1D">
            <w:pPr>
              <w:spacing w:line="360" w:lineRule="auto"/>
              <w:jc w:val="center"/>
              <w:rPr>
                <w:color w:val="000000"/>
              </w:rPr>
            </w:pPr>
            <w:r w:rsidRPr="00C11B1D">
              <w:rPr>
                <w:color w:val="000000"/>
              </w:rPr>
              <w:t>ETH</w:t>
            </w:r>
          </w:p>
        </w:tc>
        <w:tc>
          <w:tcPr>
            <w:tcW w:w="521" w:type="pct"/>
            <w:tcBorders>
              <w:top w:val="nil"/>
              <w:left w:val="nil"/>
              <w:bottom w:val="nil"/>
              <w:right w:val="single" w:sz="4" w:space="0" w:color="auto"/>
            </w:tcBorders>
            <w:shd w:val="clear" w:color="auto" w:fill="auto"/>
            <w:noWrap/>
            <w:hideMark/>
          </w:tcPr>
          <w:p w14:paraId="471B153B" w14:textId="77777777" w:rsidR="00C11B1D" w:rsidRPr="00C11B1D" w:rsidRDefault="00C11B1D" w:rsidP="00D22A16">
            <w:pPr>
              <w:tabs>
                <w:tab w:val="decimal" w:pos="300"/>
              </w:tabs>
              <w:spacing w:line="360" w:lineRule="auto"/>
              <w:rPr>
                <w:color w:val="000000"/>
              </w:rPr>
            </w:pPr>
            <w:r w:rsidRPr="00C11B1D">
              <w:rPr>
                <w:color w:val="000000"/>
              </w:rPr>
              <w:t>0.862</w:t>
            </w:r>
          </w:p>
        </w:tc>
        <w:tc>
          <w:tcPr>
            <w:tcW w:w="729" w:type="pct"/>
            <w:tcBorders>
              <w:top w:val="nil"/>
              <w:left w:val="single" w:sz="4" w:space="0" w:color="auto"/>
              <w:bottom w:val="nil"/>
              <w:right w:val="nil"/>
            </w:tcBorders>
            <w:shd w:val="clear" w:color="auto" w:fill="auto"/>
            <w:noWrap/>
            <w:hideMark/>
          </w:tcPr>
          <w:p w14:paraId="281743A9" w14:textId="77777777" w:rsidR="00C11B1D" w:rsidRPr="00C11B1D" w:rsidRDefault="00C11B1D" w:rsidP="00C11B1D">
            <w:pPr>
              <w:spacing w:line="360" w:lineRule="auto"/>
              <w:jc w:val="center"/>
              <w:rPr>
                <w:color w:val="000000"/>
              </w:rPr>
            </w:pPr>
            <w:r w:rsidRPr="00C11B1D">
              <w:rPr>
                <w:color w:val="000000"/>
              </w:rPr>
              <w:t>TCD</w:t>
            </w:r>
          </w:p>
        </w:tc>
        <w:tc>
          <w:tcPr>
            <w:tcW w:w="518" w:type="pct"/>
            <w:tcBorders>
              <w:top w:val="nil"/>
              <w:left w:val="nil"/>
              <w:bottom w:val="nil"/>
              <w:right w:val="nil"/>
            </w:tcBorders>
            <w:shd w:val="clear" w:color="auto" w:fill="auto"/>
            <w:noWrap/>
            <w:hideMark/>
          </w:tcPr>
          <w:p w14:paraId="1F8B856F" w14:textId="77777777" w:rsidR="00C11B1D" w:rsidRPr="00C11B1D" w:rsidRDefault="00C11B1D" w:rsidP="00D22A16">
            <w:pPr>
              <w:tabs>
                <w:tab w:val="decimal" w:pos="304"/>
              </w:tabs>
              <w:spacing w:line="360" w:lineRule="auto"/>
              <w:rPr>
                <w:color w:val="000000"/>
              </w:rPr>
            </w:pPr>
            <w:r w:rsidRPr="00C11B1D">
              <w:rPr>
                <w:color w:val="000000"/>
              </w:rPr>
              <w:t>1.244</w:t>
            </w:r>
          </w:p>
        </w:tc>
      </w:tr>
      <w:tr w:rsidR="00C11B1D" w:rsidRPr="00C11B1D" w14:paraId="7B5CFA07" w14:textId="77777777" w:rsidTr="00C11B1D">
        <w:trPr>
          <w:jc w:val="center"/>
        </w:trPr>
        <w:tc>
          <w:tcPr>
            <w:tcW w:w="730" w:type="pct"/>
            <w:tcBorders>
              <w:top w:val="nil"/>
              <w:left w:val="nil"/>
              <w:bottom w:val="nil"/>
              <w:right w:val="nil"/>
            </w:tcBorders>
            <w:shd w:val="clear" w:color="auto" w:fill="auto"/>
            <w:noWrap/>
            <w:hideMark/>
          </w:tcPr>
          <w:p w14:paraId="542A4A3C" w14:textId="77777777" w:rsidR="00C11B1D" w:rsidRPr="00C11B1D" w:rsidRDefault="00C11B1D" w:rsidP="00C11B1D">
            <w:pPr>
              <w:spacing w:line="360" w:lineRule="auto"/>
              <w:jc w:val="center"/>
              <w:rPr>
                <w:color w:val="000000"/>
              </w:rPr>
            </w:pPr>
            <w:r w:rsidRPr="00C11B1D">
              <w:rPr>
                <w:color w:val="000000"/>
              </w:rPr>
              <w:t>TGO</w:t>
            </w:r>
          </w:p>
        </w:tc>
        <w:tc>
          <w:tcPr>
            <w:tcW w:w="522" w:type="pct"/>
            <w:tcBorders>
              <w:top w:val="nil"/>
              <w:left w:val="nil"/>
              <w:bottom w:val="nil"/>
              <w:right w:val="single" w:sz="4" w:space="0" w:color="auto"/>
            </w:tcBorders>
            <w:shd w:val="clear" w:color="auto" w:fill="auto"/>
            <w:noWrap/>
            <w:hideMark/>
          </w:tcPr>
          <w:p w14:paraId="756EB403" w14:textId="77777777" w:rsidR="00C11B1D" w:rsidRPr="00C11B1D" w:rsidRDefault="00C11B1D" w:rsidP="00D22A16">
            <w:pPr>
              <w:tabs>
                <w:tab w:val="decimal" w:pos="312"/>
              </w:tabs>
              <w:spacing w:line="360" w:lineRule="auto"/>
              <w:rPr>
                <w:color w:val="000000"/>
              </w:rPr>
            </w:pPr>
            <w:r w:rsidRPr="00C11B1D">
              <w:rPr>
                <w:color w:val="000000"/>
              </w:rPr>
              <w:t>0.424</w:t>
            </w:r>
          </w:p>
        </w:tc>
        <w:tc>
          <w:tcPr>
            <w:tcW w:w="730" w:type="pct"/>
            <w:tcBorders>
              <w:top w:val="nil"/>
              <w:left w:val="single" w:sz="4" w:space="0" w:color="auto"/>
              <w:bottom w:val="nil"/>
              <w:right w:val="nil"/>
            </w:tcBorders>
            <w:shd w:val="clear" w:color="auto" w:fill="auto"/>
            <w:noWrap/>
            <w:hideMark/>
          </w:tcPr>
          <w:p w14:paraId="29CD9F22" w14:textId="77777777" w:rsidR="00C11B1D" w:rsidRPr="00C11B1D" w:rsidRDefault="00C11B1D" w:rsidP="00C11B1D">
            <w:pPr>
              <w:spacing w:line="360" w:lineRule="auto"/>
              <w:jc w:val="center"/>
              <w:rPr>
                <w:color w:val="000000"/>
              </w:rPr>
            </w:pPr>
            <w:r w:rsidRPr="00C11B1D">
              <w:rPr>
                <w:color w:val="000000"/>
              </w:rPr>
              <w:t>DOM</w:t>
            </w:r>
          </w:p>
        </w:tc>
        <w:tc>
          <w:tcPr>
            <w:tcW w:w="521" w:type="pct"/>
            <w:tcBorders>
              <w:top w:val="nil"/>
              <w:left w:val="nil"/>
              <w:bottom w:val="nil"/>
              <w:right w:val="single" w:sz="4" w:space="0" w:color="auto"/>
            </w:tcBorders>
            <w:shd w:val="clear" w:color="auto" w:fill="auto"/>
            <w:noWrap/>
            <w:hideMark/>
          </w:tcPr>
          <w:p w14:paraId="505E9472" w14:textId="77777777" w:rsidR="00C11B1D" w:rsidRPr="00C11B1D" w:rsidRDefault="00C11B1D" w:rsidP="00D22A16">
            <w:pPr>
              <w:tabs>
                <w:tab w:val="decimal" w:pos="371"/>
              </w:tabs>
              <w:spacing w:line="360" w:lineRule="auto"/>
              <w:rPr>
                <w:color w:val="000000"/>
              </w:rPr>
            </w:pPr>
            <w:r w:rsidRPr="00C11B1D">
              <w:rPr>
                <w:color w:val="000000"/>
              </w:rPr>
              <w:t>0.700</w:t>
            </w:r>
          </w:p>
        </w:tc>
        <w:tc>
          <w:tcPr>
            <w:tcW w:w="729" w:type="pct"/>
            <w:tcBorders>
              <w:top w:val="nil"/>
              <w:left w:val="single" w:sz="4" w:space="0" w:color="auto"/>
              <w:bottom w:val="nil"/>
              <w:right w:val="nil"/>
            </w:tcBorders>
            <w:shd w:val="clear" w:color="auto" w:fill="auto"/>
            <w:noWrap/>
            <w:hideMark/>
          </w:tcPr>
          <w:p w14:paraId="42523B20" w14:textId="77777777" w:rsidR="00C11B1D" w:rsidRPr="00C11B1D" w:rsidRDefault="00C11B1D" w:rsidP="00C11B1D">
            <w:pPr>
              <w:spacing w:line="360" w:lineRule="auto"/>
              <w:jc w:val="center"/>
              <w:rPr>
                <w:color w:val="000000"/>
              </w:rPr>
            </w:pPr>
            <w:r w:rsidRPr="00C11B1D">
              <w:rPr>
                <w:color w:val="000000"/>
              </w:rPr>
              <w:t>PRT</w:t>
            </w:r>
          </w:p>
        </w:tc>
        <w:tc>
          <w:tcPr>
            <w:tcW w:w="521" w:type="pct"/>
            <w:tcBorders>
              <w:top w:val="nil"/>
              <w:left w:val="nil"/>
              <w:bottom w:val="nil"/>
              <w:right w:val="single" w:sz="4" w:space="0" w:color="auto"/>
            </w:tcBorders>
            <w:shd w:val="clear" w:color="auto" w:fill="auto"/>
            <w:noWrap/>
            <w:hideMark/>
          </w:tcPr>
          <w:p w14:paraId="67B324F2" w14:textId="77777777" w:rsidR="00C11B1D" w:rsidRPr="00C11B1D" w:rsidRDefault="00C11B1D" w:rsidP="00D22A16">
            <w:pPr>
              <w:tabs>
                <w:tab w:val="decimal" w:pos="300"/>
              </w:tabs>
              <w:spacing w:line="360" w:lineRule="auto"/>
              <w:rPr>
                <w:color w:val="000000"/>
              </w:rPr>
            </w:pPr>
            <w:r w:rsidRPr="00C11B1D">
              <w:rPr>
                <w:color w:val="000000"/>
              </w:rPr>
              <w:t>0.862</w:t>
            </w:r>
          </w:p>
        </w:tc>
        <w:tc>
          <w:tcPr>
            <w:tcW w:w="729" w:type="pct"/>
            <w:tcBorders>
              <w:top w:val="nil"/>
              <w:left w:val="single" w:sz="4" w:space="0" w:color="auto"/>
              <w:bottom w:val="nil"/>
              <w:right w:val="nil"/>
            </w:tcBorders>
            <w:shd w:val="clear" w:color="auto" w:fill="auto"/>
            <w:noWrap/>
            <w:hideMark/>
          </w:tcPr>
          <w:p w14:paraId="53D77941" w14:textId="77777777" w:rsidR="00C11B1D" w:rsidRPr="00C11B1D" w:rsidRDefault="00C11B1D" w:rsidP="00C11B1D">
            <w:pPr>
              <w:spacing w:line="360" w:lineRule="auto"/>
              <w:jc w:val="center"/>
              <w:rPr>
                <w:color w:val="000000"/>
              </w:rPr>
            </w:pPr>
            <w:r w:rsidRPr="00C11B1D">
              <w:rPr>
                <w:color w:val="000000"/>
              </w:rPr>
              <w:t>BEL</w:t>
            </w:r>
          </w:p>
        </w:tc>
        <w:tc>
          <w:tcPr>
            <w:tcW w:w="518" w:type="pct"/>
            <w:tcBorders>
              <w:top w:val="nil"/>
              <w:left w:val="nil"/>
              <w:bottom w:val="nil"/>
              <w:right w:val="nil"/>
            </w:tcBorders>
            <w:shd w:val="clear" w:color="auto" w:fill="auto"/>
            <w:noWrap/>
            <w:hideMark/>
          </w:tcPr>
          <w:p w14:paraId="0C538689" w14:textId="77777777" w:rsidR="00C11B1D" w:rsidRPr="00C11B1D" w:rsidRDefault="00C11B1D" w:rsidP="00D22A16">
            <w:pPr>
              <w:tabs>
                <w:tab w:val="decimal" w:pos="304"/>
              </w:tabs>
              <w:spacing w:line="360" w:lineRule="auto"/>
              <w:rPr>
                <w:color w:val="000000"/>
              </w:rPr>
            </w:pPr>
            <w:r w:rsidRPr="00C11B1D">
              <w:rPr>
                <w:color w:val="000000"/>
              </w:rPr>
              <w:t>1.292</w:t>
            </w:r>
          </w:p>
        </w:tc>
      </w:tr>
      <w:tr w:rsidR="00C11B1D" w:rsidRPr="00C11B1D" w14:paraId="7AA0586F" w14:textId="77777777" w:rsidTr="00C11B1D">
        <w:trPr>
          <w:jc w:val="center"/>
        </w:trPr>
        <w:tc>
          <w:tcPr>
            <w:tcW w:w="730" w:type="pct"/>
            <w:tcBorders>
              <w:top w:val="nil"/>
              <w:left w:val="nil"/>
              <w:bottom w:val="nil"/>
              <w:right w:val="nil"/>
            </w:tcBorders>
            <w:shd w:val="clear" w:color="auto" w:fill="auto"/>
            <w:noWrap/>
            <w:hideMark/>
          </w:tcPr>
          <w:p w14:paraId="38F0CA97" w14:textId="77777777" w:rsidR="00C11B1D" w:rsidRPr="00C11B1D" w:rsidRDefault="00C11B1D" w:rsidP="00C11B1D">
            <w:pPr>
              <w:spacing w:line="360" w:lineRule="auto"/>
              <w:jc w:val="center"/>
              <w:rPr>
                <w:color w:val="000000"/>
              </w:rPr>
            </w:pPr>
            <w:r w:rsidRPr="00C11B1D">
              <w:rPr>
                <w:color w:val="000000"/>
              </w:rPr>
              <w:t>UZB</w:t>
            </w:r>
          </w:p>
        </w:tc>
        <w:tc>
          <w:tcPr>
            <w:tcW w:w="522" w:type="pct"/>
            <w:tcBorders>
              <w:top w:val="nil"/>
              <w:left w:val="nil"/>
              <w:bottom w:val="nil"/>
              <w:right w:val="single" w:sz="4" w:space="0" w:color="auto"/>
            </w:tcBorders>
            <w:shd w:val="clear" w:color="auto" w:fill="auto"/>
            <w:noWrap/>
            <w:hideMark/>
          </w:tcPr>
          <w:p w14:paraId="0898DA00" w14:textId="77777777" w:rsidR="00C11B1D" w:rsidRPr="00C11B1D" w:rsidRDefault="00C11B1D" w:rsidP="00D22A16">
            <w:pPr>
              <w:tabs>
                <w:tab w:val="decimal" w:pos="312"/>
              </w:tabs>
              <w:spacing w:line="360" w:lineRule="auto"/>
              <w:rPr>
                <w:color w:val="000000"/>
              </w:rPr>
            </w:pPr>
            <w:r w:rsidRPr="00C11B1D">
              <w:rPr>
                <w:color w:val="000000"/>
              </w:rPr>
              <w:t>0.424</w:t>
            </w:r>
          </w:p>
        </w:tc>
        <w:tc>
          <w:tcPr>
            <w:tcW w:w="730" w:type="pct"/>
            <w:tcBorders>
              <w:top w:val="nil"/>
              <w:left w:val="single" w:sz="4" w:space="0" w:color="auto"/>
              <w:bottom w:val="nil"/>
              <w:right w:val="nil"/>
            </w:tcBorders>
            <w:shd w:val="clear" w:color="auto" w:fill="auto"/>
            <w:noWrap/>
            <w:hideMark/>
          </w:tcPr>
          <w:p w14:paraId="11B05A92" w14:textId="77777777" w:rsidR="00C11B1D" w:rsidRPr="00C11B1D" w:rsidRDefault="00C11B1D" w:rsidP="00C11B1D">
            <w:pPr>
              <w:spacing w:line="360" w:lineRule="auto"/>
              <w:jc w:val="center"/>
              <w:rPr>
                <w:color w:val="000000"/>
              </w:rPr>
            </w:pPr>
            <w:r w:rsidRPr="00C11B1D">
              <w:rPr>
                <w:color w:val="000000"/>
              </w:rPr>
              <w:t>UGA</w:t>
            </w:r>
          </w:p>
        </w:tc>
        <w:tc>
          <w:tcPr>
            <w:tcW w:w="521" w:type="pct"/>
            <w:tcBorders>
              <w:top w:val="nil"/>
              <w:left w:val="nil"/>
              <w:bottom w:val="nil"/>
              <w:right w:val="single" w:sz="4" w:space="0" w:color="auto"/>
            </w:tcBorders>
            <w:shd w:val="clear" w:color="auto" w:fill="auto"/>
            <w:noWrap/>
            <w:hideMark/>
          </w:tcPr>
          <w:p w14:paraId="358F53DA" w14:textId="77777777" w:rsidR="00C11B1D" w:rsidRPr="00C11B1D" w:rsidRDefault="00C11B1D" w:rsidP="00D22A16">
            <w:pPr>
              <w:tabs>
                <w:tab w:val="decimal" w:pos="371"/>
              </w:tabs>
              <w:spacing w:line="360" w:lineRule="auto"/>
              <w:rPr>
                <w:color w:val="000000"/>
              </w:rPr>
            </w:pPr>
            <w:r w:rsidRPr="00C11B1D">
              <w:rPr>
                <w:color w:val="000000"/>
              </w:rPr>
              <w:t>0.718</w:t>
            </w:r>
          </w:p>
        </w:tc>
        <w:tc>
          <w:tcPr>
            <w:tcW w:w="729" w:type="pct"/>
            <w:tcBorders>
              <w:top w:val="nil"/>
              <w:left w:val="single" w:sz="4" w:space="0" w:color="auto"/>
              <w:bottom w:val="nil"/>
              <w:right w:val="nil"/>
            </w:tcBorders>
            <w:shd w:val="clear" w:color="auto" w:fill="auto"/>
            <w:noWrap/>
            <w:hideMark/>
          </w:tcPr>
          <w:p w14:paraId="07D3FF0E" w14:textId="77777777" w:rsidR="00C11B1D" w:rsidRPr="00C11B1D" w:rsidRDefault="00C11B1D" w:rsidP="00C11B1D">
            <w:pPr>
              <w:spacing w:line="360" w:lineRule="auto"/>
              <w:jc w:val="center"/>
              <w:rPr>
                <w:color w:val="000000"/>
              </w:rPr>
            </w:pPr>
            <w:r w:rsidRPr="00C11B1D">
              <w:rPr>
                <w:color w:val="000000"/>
              </w:rPr>
              <w:t>BDI</w:t>
            </w:r>
          </w:p>
        </w:tc>
        <w:tc>
          <w:tcPr>
            <w:tcW w:w="521" w:type="pct"/>
            <w:tcBorders>
              <w:top w:val="nil"/>
              <w:left w:val="nil"/>
              <w:bottom w:val="nil"/>
              <w:right w:val="single" w:sz="4" w:space="0" w:color="auto"/>
            </w:tcBorders>
            <w:shd w:val="clear" w:color="auto" w:fill="auto"/>
            <w:noWrap/>
            <w:hideMark/>
          </w:tcPr>
          <w:p w14:paraId="6AEC8045" w14:textId="77777777" w:rsidR="00C11B1D" w:rsidRPr="00C11B1D" w:rsidRDefault="00C11B1D" w:rsidP="00D22A16">
            <w:pPr>
              <w:tabs>
                <w:tab w:val="decimal" w:pos="300"/>
              </w:tabs>
              <w:spacing w:line="360" w:lineRule="auto"/>
              <w:rPr>
                <w:color w:val="000000"/>
              </w:rPr>
            </w:pPr>
            <w:r w:rsidRPr="00C11B1D">
              <w:rPr>
                <w:color w:val="000000"/>
              </w:rPr>
              <w:t>0.875</w:t>
            </w:r>
          </w:p>
        </w:tc>
        <w:tc>
          <w:tcPr>
            <w:tcW w:w="729" w:type="pct"/>
            <w:tcBorders>
              <w:top w:val="nil"/>
              <w:left w:val="single" w:sz="4" w:space="0" w:color="auto"/>
              <w:bottom w:val="nil"/>
              <w:right w:val="nil"/>
            </w:tcBorders>
            <w:shd w:val="clear" w:color="auto" w:fill="auto"/>
            <w:noWrap/>
            <w:hideMark/>
          </w:tcPr>
          <w:p w14:paraId="739BB2A0" w14:textId="77777777" w:rsidR="00C11B1D" w:rsidRPr="00C11B1D" w:rsidRDefault="00C11B1D" w:rsidP="00C11B1D">
            <w:pPr>
              <w:spacing w:line="360" w:lineRule="auto"/>
              <w:jc w:val="center"/>
              <w:rPr>
                <w:color w:val="000000"/>
              </w:rPr>
            </w:pPr>
            <w:r w:rsidRPr="00C11B1D">
              <w:rPr>
                <w:color w:val="000000"/>
              </w:rPr>
              <w:t>MUS</w:t>
            </w:r>
          </w:p>
        </w:tc>
        <w:tc>
          <w:tcPr>
            <w:tcW w:w="518" w:type="pct"/>
            <w:tcBorders>
              <w:top w:val="nil"/>
              <w:left w:val="nil"/>
              <w:bottom w:val="nil"/>
              <w:right w:val="nil"/>
            </w:tcBorders>
            <w:shd w:val="clear" w:color="auto" w:fill="auto"/>
            <w:noWrap/>
            <w:hideMark/>
          </w:tcPr>
          <w:p w14:paraId="3720A680" w14:textId="77777777" w:rsidR="00C11B1D" w:rsidRPr="00C11B1D" w:rsidRDefault="00C11B1D" w:rsidP="00D22A16">
            <w:pPr>
              <w:tabs>
                <w:tab w:val="decimal" w:pos="304"/>
              </w:tabs>
              <w:spacing w:line="360" w:lineRule="auto"/>
              <w:rPr>
                <w:color w:val="000000"/>
              </w:rPr>
            </w:pPr>
            <w:r w:rsidRPr="00C11B1D">
              <w:rPr>
                <w:color w:val="000000"/>
              </w:rPr>
              <w:t>1.292</w:t>
            </w:r>
          </w:p>
        </w:tc>
      </w:tr>
      <w:tr w:rsidR="00C11B1D" w:rsidRPr="00C11B1D" w14:paraId="311516E2" w14:textId="77777777" w:rsidTr="00C11B1D">
        <w:trPr>
          <w:jc w:val="center"/>
        </w:trPr>
        <w:tc>
          <w:tcPr>
            <w:tcW w:w="730" w:type="pct"/>
            <w:tcBorders>
              <w:top w:val="nil"/>
              <w:left w:val="nil"/>
              <w:bottom w:val="nil"/>
              <w:right w:val="nil"/>
            </w:tcBorders>
            <w:shd w:val="clear" w:color="auto" w:fill="auto"/>
            <w:noWrap/>
            <w:hideMark/>
          </w:tcPr>
          <w:p w14:paraId="746D95A7" w14:textId="77777777" w:rsidR="00C11B1D" w:rsidRPr="00C11B1D" w:rsidRDefault="00C11B1D" w:rsidP="00C11B1D">
            <w:pPr>
              <w:spacing w:line="360" w:lineRule="auto"/>
              <w:jc w:val="center"/>
              <w:rPr>
                <w:color w:val="000000"/>
              </w:rPr>
            </w:pPr>
            <w:r w:rsidRPr="00C11B1D">
              <w:rPr>
                <w:color w:val="000000"/>
              </w:rPr>
              <w:t>CHL</w:t>
            </w:r>
          </w:p>
        </w:tc>
        <w:tc>
          <w:tcPr>
            <w:tcW w:w="522" w:type="pct"/>
            <w:tcBorders>
              <w:top w:val="nil"/>
              <w:left w:val="nil"/>
              <w:bottom w:val="nil"/>
              <w:right w:val="single" w:sz="4" w:space="0" w:color="auto"/>
            </w:tcBorders>
            <w:shd w:val="clear" w:color="auto" w:fill="auto"/>
            <w:noWrap/>
            <w:hideMark/>
          </w:tcPr>
          <w:p w14:paraId="2B132746" w14:textId="77777777" w:rsidR="00C11B1D" w:rsidRPr="00C11B1D" w:rsidRDefault="00C11B1D" w:rsidP="00D22A16">
            <w:pPr>
              <w:tabs>
                <w:tab w:val="decimal" w:pos="312"/>
              </w:tabs>
              <w:spacing w:line="360" w:lineRule="auto"/>
              <w:rPr>
                <w:color w:val="000000"/>
              </w:rPr>
            </w:pPr>
            <w:r w:rsidRPr="00C11B1D">
              <w:rPr>
                <w:color w:val="000000"/>
              </w:rPr>
              <w:t>0.449</w:t>
            </w:r>
          </w:p>
        </w:tc>
        <w:tc>
          <w:tcPr>
            <w:tcW w:w="730" w:type="pct"/>
            <w:tcBorders>
              <w:top w:val="nil"/>
              <w:left w:val="single" w:sz="4" w:space="0" w:color="auto"/>
              <w:bottom w:val="nil"/>
              <w:right w:val="nil"/>
            </w:tcBorders>
            <w:shd w:val="clear" w:color="auto" w:fill="auto"/>
            <w:noWrap/>
            <w:hideMark/>
          </w:tcPr>
          <w:p w14:paraId="747F0EB5" w14:textId="77777777" w:rsidR="00C11B1D" w:rsidRPr="00C11B1D" w:rsidRDefault="00C11B1D" w:rsidP="00C11B1D">
            <w:pPr>
              <w:spacing w:line="360" w:lineRule="auto"/>
              <w:jc w:val="center"/>
              <w:rPr>
                <w:color w:val="000000"/>
              </w:rPr>
            </w:pPr>
            <w:r w:rsidRPr="00C11B1D">
              <w:rPr>
                <w:color w:val="000000"/>
              </w:rPr>
              <w:t>BRA</w:t>
            </w:r>
          </w:p>
        </w:tc>
        <w:tc>
          <w:tcPr>
            <w:tcW w:w="521" w:type="pct"/>
            <w:tcBorders>
              <w:top w:val="nil"/>
              <w:left w:val="nil"/>
              <w:bottom w:val="nil"/>
              <w:right w:val="single" w:sz="4" w:space="0" w:color="auto"/>
            </w:tcBorders>
            <w:shd w:val="clear" w:color="auto" w:fill="auto"/>
            <w:noWrap/>
            <w:hideMark/>
          </w:tcPr>
          <w:p w14:paraId="49642339" w14:textId="77777777" w:rsidR="00C11B1D" w:rsidRPr="00C11B1D" w:rsidRDefault="00C11B1D" w:rsidP="00D22A16">
            <w:pPr>
              <w:tabs>
                <w:tab w:val="decimal" w:pos="371"/>
              </w:tabs>
              <w:spacing w:line="360" w:lineRule="auto"/>
              <w:rPr>
                <w:color w:val="000000"/>
              </w:rPr>
            </w:pPr>
            <w:r w:rsidRPr="00C11B1D">
              <w:rPr>
                <w:color w:val="000000"/>
              </w:rPr>
              <w:t>0.718</w:t>
            </w:r>
          </w:p>
        </w:tc>
        <w:tc>
          <w:tcPr>
            <w:tcW w:w="729" w:type="pct"/>
            <w:tcBorders>
              <w:top w:val="nil"/>
              <w:left w:val="single" w:sz="4" w:space="0" w:color="auto"/>
              <w:bottom w:val="nil"/>
              <w:right w:val="nil"/>
            </w:tcBorders>
            <w:shd w:val="clear" w:color="auto" w:fill="auto"/>
            <w:noWrap/>
            <w:hideMark/>
          </w:tcPr>
          <w:p w14:paraId="4B634271" w14:textId="77777777" w:rsidR="00C11B1D" w:rsidRPr="00C11B1D" w:rsidRDefault="00C11B1D" w:rsidP="00C11B1D">
            <w:pPr>
              <w:spacing w:line="360" w:lineRule="auto"/>
              <w:jc w:val="center"/>
              <w:rPr>
                <w:color w:val="000000"/>
              </w:rPr>
            </w:pPr>
            <w:r w:rsidRPr="00C11B1D">
              <w:rPr>
                <w:color w:val="000000"/>
              </w:rPr>
              <w:t>BTN</w:t>
            </w:r>
          </w:p>
        </w:tc>
        <w:tc>
          <w:tcPr>
            <w:tcW w:w="521" w:type="pct"/>
            <w:tcBorders>
              <w:top w:val="nil"/>
              <w:left w:val="nil"/>
              <w:bottom w:val="nil"/>
              <w:right w:val="single" w:sz="4" w:space="0" w:color="auto"/>
            </w:tcBorders>
            <w:shd w:val="clear" w:color="auto" w:fill="auto"/>
            <w:noWrap/>
            <w:hideMark/>
          </w:tcPr>
          <w:p w14:paraId="39F8C896" w14:textId="77777777" w:rsidR="00C11B1D" w:rsidRPr="00C11B1D" w:rsidRDefault="00C11B1D" w:rsidP="00D22A16">
            <w:pPr>
              <w:tabs>
                <w:tab w:val="decimal" w:pos="300"/>
              </w:tabs>
              <w:spacing w:line="360" w:lineRule="auto"/>
              <w:rPr>
                <w:color w:val="000000"/>
              </w:rPr>
            </w:pPr>
            <w:r w:rsidRPr="00C11B1D">
              <w:rPr>
                <w:color w:val="000000"/>
              </w:rPr>
              <w:t>0.875</w:t>
            </w:r>
          </w:p>
        </w:tc>
        <w:tc>
          <w:tcPr>
            <w:tcW w:w="729" w:type="pct"/>
            <w:tcBorders>
              <w:top w:val="nil"/>
              <w:left w:val="single" w:sz="4" w:space="0" w:color="auto"/>
              <w:bottom w:val="nil"/>
              <w:right w:val="nil"/>
            </w:tcBorders>
            <w:shd w:val="clear" w:color="auto" w:fill="auto"/>
            <w:noWrap/>
            <w:hideMark/>
          </w:tcPr>
          <w:p w14:paraId="1B0B5595" w14:textId="77777777" w:rsidR="00C11B1D" w:rsidRPr="00C11B1D" w:rsidRDefault="00C11B1D" w:rsidP="00C11B1D">
            <w:pPr>
              <w:spacing w:line="360" w:lineRule="auto"/>
              <w:jc w:val="center"/>
              <w:rPr>
                <w:color w:val="000000"/>
              </w:rPr>
            </w:pPr>
            <w:r w:rsidRPr="00C11B1D">
              <w:rPr>
                <w:color w:val="000000"/>
              </w:rPr>
              <w:t>BRB</w:t>
            </w:r>
          </w:p>
        </w:tc>
        <w:tc>
          <w:tcPr>
            <w:tcW w:w="518" w:type="pct"/>
            <w:tcBorders>
              <w:top w:val="nil"/>
              <w:left w:val="nil"/>
              <w:bottom w:val="nil"/>
              <w:right w:val="nil"/>
            </w:tcBorders>
            <w:shd w:val="clear" w:color="auto" w:fill="auto"/>
            <w:noWrap/>
            <w:hideMark/>
          </w:tcPr>
          <w:p w14:paraId="1CDEF977" w14:textId="77777777" w:rsidR="00C11B1D" w:rsidRPr="00C11B1D" w:rsidRDefault="00C11B1D" w:rsidP="00D22A16">
            <w:pPr>
              <w:tabs>
                <w:tab w:val="decimal" w:pos="304"/>
              </w:tabs>
              <w:spacing w:line="360" w:lineRule="auto"/>
              <w:rPr>
                <w:color w:val="000000"/>
              </w:rPr>
            </w:pPr>
            <w:r w:rsidRPr="00C11B1D">
              <w:rPr>
                <w:color w:val="000000"/>
              </w:rPr>
              <w:t>1.400</w:t>
            </w:r>
          </w:p>
        </w:tc>
      </w:tr>
      <w:tr w:rsidR="00C11B1D" w:rsidRPr="00C11B1D" w14:paraId="16B227AE" w14:textId="77777777" w:rsidTr="00C11B1D">
        <w:trPr>
          <w:jc w:val="center"/>
        </w:trPr>
        <w:tc>
          <w:tcPr>
            <w:tcW w:w="730" w:type="pct"/>
            <w:tcBorders>
              <w:top w:val="nil"/>
              <w:left w:val="nil"/>
              <w:bottom w:val="nil"/>
              <w:right w:val="nil"/>
            </w:tcBorders>
            <w:shd w:val="clear" w:color="auto" w:fill="auto"/>
            <w:noWrap/>
            <w:hideMark/>
          </w:tcPr>
          <w:p w14:paraId="111BAEFA" w14:textId="77777777" w:rsidR="00C11B1D" w:rsidRPr="00C11B1D" w:rsidRDefault="00C11B1D" w:rsidP="00C11B1D">
            <w:pPr>
              <w:spacing w:line="360" w:lineRule="auto"/>
              <w:jc w:val="center"/>
              <w:rPr>
                <w:color w:val="000000"/>
              </w:rPr>
            </w:pPr>
            <w:r w:rsidRPr="00C11B1D">
              <w:rPr>
                <w:color w:val="000000"/>
              </w:rPr>
              <w:t>DZA</w:t>
            </w:r>
          </w:p>
        </w:tc>
        <w:tc>
          <w:tcPr>
            <w:tcW w:w="522" w:type="pct"/>
            <w:tcBorders>
              <w:top w:val="nil"/>
              <w:left w:val="nil"/>
              <w:bottom w:val="nil"/>
              <w:right w:val="single" w:sz="4" w:space="0" w:color="auto"/>
            </w:tcBorders>
            <w:shd w:val="clear" w:color="auto" w:fill="auto"/>
            <w:noWrap/>
            <w:hideMark/>
          </w:tcPr>
          <w:p w14:paraId="6E145C3F" w14:textId="77777777" w:rsidR="00C11B1D" w:rsidRPr="00C11B1D" w:rsidRDefault="00C11B1D" w:rsidP="00D22A16">
            <w:pPr>
              <w:tabs>
                <w:tab w:val="decimal" w:pos="312"/>
              </w:tabs>
              <w:spacing w:line="360" w:lineRule="auto"/>
              <w:rPr>
                <w:color w:val="000000"/>
              </w:rPr>
            </w:pPr>
            <w:r w:rsidRPr="00C11B1D">
              <w:rPr>
                <w:color w:val="000000"/>
              </w:rPr>
              <w:t>0.462</w:t>
            </w:r>
          </w:p>
        </w:tc>
        <w:tc>
          <w:tcPr>
            <w:tcW w:w="730" w:type="pct"/>
            <w:tcBorders>
              <w:top w:val="nil"/>
              <w:left w:val="single" w:sz="4" w:space="0" w:color="auto"/>
              <w:bottom w:val="nil"/>
              <w:right w:val="nil"/>
            </w:tcBorders>
            <w:shd w:val="clear" w:color="auto" w:fill="auto"/>
            <w:noWrap/>
            <w:hideMark/>
          </w:tcPr>
          <w:p w14:paraId="60C5EE73" w14:textId="77777777" w:rsidR="00C11B1D" w:rsidRPr="00C11B1D" w:rsidRDefault="00C11B1D" w:rsidP="00C11B1D">
            <w:pPr>
              <w:spacing w:line="360" w:lineRule="auto"/>
              <w:jc w:val="center"/>
              <w:rPr>
                <w:color w:val="000000"/>
              </w:rPr>
            </w:pPr>
            <w:r w:rsidRPr="00C11B1D">
              <w:rPr>
                <w:color w:val="000000"/>
              </w:rPr>
              <w:t>AUT</w:t>
            </w:r>
          </w:p>
        </w:tc>
        <w:tc>
          <w:tcPr>
            <w:tcW w:w="521" w:type="pct"/>
            <w:tcBorders>
              <w:top w:val="nil"/>
              <w:left w:val="nil"/>
              <w:bottom w:val="nil"/>
              <w:right w:val="single" w:sz="4" w:space="0" w:color="auto"/>
            </w:tcBorders>
            <w:shd w:val="clear" w:color="auto" w:fill="auto"/>
            <w:noWrap/>
            <w:hideMark/>
          </w:tcPr>
          <w:p w14:paraId="24599223" w14:textId="77777777" w:rsidR="00C11B1D" w:rsidRPr="00C11B1D" w:rsidRDefault="00C11B1D" w:rsidP="00D22A16">
            <w:pPr>
              <w:tabs>
                <w:tab w:val="decimal" w:pos="371"/>
              </w:tabs>
              <w:spacing w:line="360" w:lineRule="auto"/>
              <w:rPr>
                <w:color w:val="000000"/>
              </w:rPr>
            </w:pPr>
            <w:r w:rsidRPr="00C11B1D">
              <w:rPr>
                <w:color w:val="000000"/>
              </w:rPr>
              <w:t>0.732</w:t>
            </w:r>
          </w:p>
        </w:tc>
        <w:tc>
          <w:tcPr>
            <w:tcW w:w="729" w:type="pct"/>
            <w:tcBorders>
              <w:top w:val="nil"/>
              <w:left w:val="single" w:sz="4" w:space="0" w:color="auto"/>
              <w:bottom w:val="nil"/>
              <w:right w:val="nil"/>
            </w:tcBorders>
            <w:shd w:val="clear" w:color="auto" w:fill="auto"/>
            <w:noWrap/>
            <w:hideMark/>
          </w:tcPr>
          <w:p w14:paraId="3706CE6B" w14:textId="77777777" w:rsidR="00C11B1D" w:rsidRPr="00C11B1D" w:rsidRDefault="00C11B1D" w:rsidP="00C11B1D">
            <w:pPr>
              <w:spacing w:line="360" w:lineRule="auto"/>
              <w:jc w:val="center"/>
              <w:rPr>
                <w:color w:val="000000"/>
              </w:rPr>
            </w:pPr>
            <w:r w:rsidRPr="00C11B1D">
              <w:rPr>
                <w:color w:val="000000"/>
              </w:rPr>
              <w:t>EGY</w:t>
            </w:r>
          </w:p>
        </w:tc>
        <w:tc>
          <w:tcPr>
            <w:tcW w:w="521" w:type="pct"/>
            <w:tcBorders>
              <w:top w:val="nil"/>
              <w:left w:val="nil"/>
              <w:bottom w:val="nil"/>
              <w:right w:val="single" w:sz="4" w:space="0" w:color="auto"/>
            </w:tcBorders>
            <w:shd w:val="clear" w:color="auto" w:fill="auto"/>
            <w:noWrap/>
            <w:hideMark/>
          </w:tcPr>
          <w:p w14:paraId="1B29A754" w14:textId="77777777" w:rsidR="00C11B1D" w:rsidRPr="00C11B1D" w:rsidRDefault="00C11B1D" w:rsidP="00D22A16">
            <w:pPr>
              <w:tabs>
                <w:tab w:val="decimal" w:pos="300"/>
              </w:tabs>
              <w:spacing w:line="360" w:lineRule="auto"/>
              <w:rPr>
                <w:color w:val="000000"/>
              </w:rPr>
            </w:pPr>
            <w:r w:rsidRPr="00C11B1D">
              <w:rPr>
                <w:color w:val="000000"/>
              </w:rPr>
              <w:t>0.875</w:t>
            </w:r>
          </w:p>
        </w:tc>
        <w:tc>
          <w:tcPr>
            <w:tcW w:w="729" w:type="pct"/>
            <w:tcBorders>
              <w:top w:val="nil"/>
              <w:left w:val="single" w:sz="4" w:space="0" w:color="auto"/>
              <w:bottom w:val="nil"/>
              <w:right w:val="nil"/>
            </w:tcBorders>
            <w:shd w:val="clear" w:color="auto" w:fill="auto"/>
            <w:noWrap/>
            <w:hideMark/>
          </w:tcPr>
          <w:p w14:paraId="64EEFB23" w14:textId="77777777" w:rsidR="00C11B1D" w:rsidRPr="00C11B1D" w:rsidRDefault="00C11B1D" w:rsidP="00C11B1D">
            <w:pPr>
              <w:spacing w:line="360" w:lineRule="auto"/>
              <w:jc w:val="center"/>
              <w:rPr>
                <w:color w:val="000000"/>
              </w:rPr>
            </w:pPr>
            <w:r w:rsidRPr="00C11B1D">
              <w:rPr>
                <w:color w:val="000000"/>
              </w:rPr>
              <w:t>GUY</w:t>
            </w:r>
          </w:p>
        </w:tc>
        <w:tc>
          <w:tcPr>
            <w:tcW w:w="518" w:type="pct"/>
            <w:tcBorders>
              <w:top w:val="nil"/>
              <w:left w:val="nil"/>
              <w:bottom w:val="nil"/>
              <w:right w:val="nil"/>
            </w:tcBorders>
            <w:shd w:val="clear" w:color="auto" w:fill="auto"/>
            <w:noWrap/>
            <w:hideMark/>
          </w:tcPr>
          <w:p w14:paraId="3F25581D" w14:textId="77777777" w:rsidR="00C11B1D" w:rsidRPr="00C11B1D" w:rsidRDefault="00C11B1D" w:rsidP="00D22A16">
            <w:pPr>
              <w:tabs>
                <w:tab w:val="decimal" w:pos="304"/>
              </w:tabs>
              <w:spacing w:line="360" w:lineRule="auto"/>
              <w:rPr>
                <w:color w:val="000000"/>
              </w:rPr>
            </w:pPr>
            <w:r w:rsidRPr="00C11B1D">
              <w:rPr>
                <w:color w:val="000000"/>
              </w:rPr>
              <w:t>1.436</w:t>
            </w:r>
          </w:p>
        </w:tc>
      </w:tr>
      <w:tr w:rsidR="00C11B1D" w:rsidRPr="00C11B1D" w14:paraId="615C16E5" w14:textId="77777777" w:rsidTr="00C11B1D">
        <w:trPr>
          <w:jc w:val="center"/>
        </w:trPr>
        <w:tc>
          <w:tcPr>
            <w:tcW w:w="730" w:type="pct"/>
            <w:tcBorders>
              <w:top w:val="nil"/>
              <w:left w:val="nil"/>
              <w:bottom w:val="nil"/>
              <w:right w:val="nil"/>
            </w:tcBorders>
            <w:shd w:val="clear" w:color="auto" w:fill="auto"/>
            <w:noWrap/>
            <w:hideMark/>
          </w:tcPr>
          <w:p w14:paraId="4BA8FB34" w14:textId="77777777" w:rsidR="00C11B1D" w:rsidRPr="00C11B1D" w:rsidRDefault="00C11B1D" w:rsidP="00C11B1D">
            <w:pPr>
              <w:spacing w:line="360" w:lineRule="auto"/>
              <w:jc w:val="center"/>
              <w:rPr>
                <w:color w:val="000000"/>
              </w:rPr>
            </w:pPr>
            <w:r w:rsidRPr="00C11B1D">
              <w:rPr>
                <w:color w:val="000000"/>
              </w:rPr>
              <w:t>ISR</w:t>
            </w:r>
          </w:p>
        </w:tc>
        <w:tc>
          <w:tcPr>
            <w:tcW w:w="522" w:type="pct"/>
            <w:tcBorders>
              <w:top w:val="nil"/>
              <w:left w:val="nil"/>
              <w:bottom w:val="nil"/>
              <w:right w:val="single" w:sz="4" w:space="0" w:color="auto"/>
            </w:tcBorders>
            <w:shd w:val="clear" w:color="auto" w:fill="auto"/>
            <w:noWrap/>
            <w:hideMark/>
          </w:tcPr>
          <w:p w14:paraId="2CB9CE30" w14:textId="77777777" w:rsidR="00C11B1D" w:rsidRPr="00C11B1D" w:rsidRDefault="00C11B1D" w:rsidP="00D22A16">
            <w:pPr>
              <w:tabs>
                <w:tab w:val="decimal" w:pos="312"/>
              </w:tabs>
              <w:spacing w:line="360" w:lineRule="auto"/>
              <w:rPr>
                <w:color w:val="000000"/>
              </w:rPr>
            </w:pPr>
            <w:r w:rsidRPr="00C11B1D">
              <w:rPr>
                <w:color w:val="000000"/>
              </w:rPr>
              <w:t>0.471</w:t>
            </w:r>
          </w:p>
        </w:tc>
        <w:tc>
          <w:tcPr>
            <w:tcW w:w="730" w:type="pct"/>
            <w:tcBorders>
              <w:top w:val="nil"/>
              <w:left w:val="single" w:sz="4" w:space="0" w:color="auto"/>
              <w:bottom w:val="nil"/>
              <w:right w:val="nil"/>
            </w:tcBorders>
            <w:shd w:val="clear" w:color="auto" w:fill="auto"/>
            <w:noWrap/>
            <w:hideMark/>
          </w:tcPr>
          <w:p w14:paraId="64373DC9" w14:textId="77777777" w:rsidR="00C11B1D" w:rsidRPr="00C11B1D" w:rsidRDefault="00C11B1D" w:rsidP="00C11B1D">
            <w:pPr>
              <w:spacing w:line="360" w:lineRule="auto"/>
              <w:jc w:val="center"/>
              <w:rPr>
                <w:color w:val="000000"/>
              </w:rPr>
            </w:pPr>
            <w:r w:rsidRPr="00C11B1D">
              <w:rPr>
                <w:color w:val="000000"/>
              </w:rPr>
              <w:t>CHE</w:t>
            </w:r>
          </w:p>
        </w:tc>
        <w:tc>
          <w:tcPr>
            <w:tcW w:w="521" w:type="pct"/>
            <w:tcBorders>
              <w:top w:val="nil"/>
              <w:left w:val="nil"/>
              <w:bottom w:val="nil"/>
              <w:right w:val="single" w:sz="4" w:space="0" w:color="auto"/>
            </w:tcBorders>
            <w:shd w:val="clear" w:color="auto" w:fill="auto"/>
            <w:noWrap/>
            <w:hideMark/>
          </w:tcPr>
          <w:p w14:paraId="364A4753" w14:textId="77777777" w:rsidR="00C11B1D" w:rsidRPr="00C11B1D" w:rsidRDefault="00C11B1D" w:rsidP="00D22A16">
            <w:pPr>
              <w:tabs>
                <w:tab w:val="decimal" w:pos="371"/>
              </w:tabs>
              <w:spacing w:line="360" w:lineRule="auto"/>
              <w:rPr>
                <w:color w:val="000000"/>
              </w:rPr>
            </w:pPr>
            <w:r w:rsidRPr="00C11B1D">
              <w:rPr>
                <w:color w:val="000000"/>
              </w:rPr>
              <w:t>0.732</w:t>
            </w:r>
          </w:p>
        </w:tc>
        <w:tc>
          <w:tcPr>
            <w:tcW w:w="729" w:type="pct"/>
            <w:tcBorders>
              <w:top w:val="nil"/>
              <w:left w:val="single" w:sz="4" w:space="0" w:color="auto"/>
              <w:bottom w:val="nil"/>
              <w:right w:val="nil"/>
            </w:tcBorders>
            <w:shd w:val="clear" w:color="auto" w:fill="auto"/>
            <w:noWrap/>
            <w:hideMark/>
          </w:tcPr>
          <w:p w14:paraId="21B35FF1" w14:textId="77777777" w:rsidR="00C11B1D" w:rsidRPr="00C11B1D" w:rsidRDefault="00C11B1D" w:rsidP="00C11B1D">
            <w:pPr>
              <w:spacing w:line="360" w:lineRule="auto"/>
              <w:jc w:val="center"/>
              <w:rPr>
                <w:color w:val="000000"/>
              </w:rPr>
            </w:pPr>
            <w:r w:rsidRPr="00C11B1D">
              <w:rPr>
                <w:color w:val="000000"/>
              </w:rPr>
              <w:t>POL</w:t>
            </w:r>
          </w:p>
        </w:tc>
        <w:tc>
          <w:tcPr>
            <w:tcW w:w="521" w:type="pct"/>
            <w:tcBorders>
              <w:top w:val="nil"/>
              <w:left w:val="nil"/>
              <w:bottom w:val="nil"/>
              <w:right w:val="single" w:sz="4" w:space="0" w:color="auto"/>
            </w:tcBorders>
            <w:shd w:val="clear" w:color="auto" w:fill="auto"/>
            <w:noWrap/>
            <w:hideMark/>
          </w:tcPr>
          <w:p w14:paraId="79746A47" w14:textId="77777777" w:rsidR="00C11B1D" w:rsidRPr="00C11B1D" w:rsidRDefault="00C11B1D" w:rsidP="00D22A16">
            <w:pPr>
              <w:tabs>
                <w:tab w:val="decimal" w:pos="300"/>
              </w:tabs>
              <w:spacing w:line="360" w:lineRule="auto"/>
              <w:rPr>
                <w:color w:val="000000"/>
              </w:rPr>
            </w:pPr>
            <w:r w:rsidRPr="00C11B1D">
              <w:rPr>
                <w:color w:val="000000"/>
              </w:rPr>
              <w:t>0.875</w:t>
            </w:r>
          </w:p>
        </w:tc>
        <w:tc>
          <w:tcPr>
            <w:tcW w:w="729" w:type="pct"/>
            <w:tcBorders>
              <w:top w:val="nil"/>
              <w:left w:val="single" w:sz="4" w:space="0" w:color="auto"/>
              <w:bottom w:val="nil"/>
              <w:right w:val="nil"/>
            </w:tcBorders>
            <w:shd w:val="clear" w:color="auto" w:fill="auto"/>
            <w:noWrap/>
            <w:hideMark/>
          </w:tcPr>
          <w:p w14:paraId="581D8AF8" w14:textId="77777777" w:rsidR="00C11B1D" w:rsidRPr="00C11B1D" w:rsidRDefault="00C11B1D" w:rsidP="00C11B1D">
            <w:pPr>
              <w:spacing w:line="360" w:lineRule="auto"/>
              <w:jc w:val="center"/>
              <w:rPr>
                <w:color w:val="000000"/>
              </w:rPr>
            </w:pPr>
            <w:r w:rsidRPr="00C11B1D">
              <w:rPr>
                <w:color w:val="000000"/>
              </w:rPr>
              <w:t>VUT</w:t>
            </w:r>
          </w:p>
        </w:tc>
        <w:tc>
          <w:tcPr>
            <w:tcW w:w="518" w:type="pct"/>
            <w:tcBorders>
              <w:top w:val="nil"/>
              <w:left w:val="nil"/>
              <w:bottom w:val="nil"/>
              <w:right w:val="nil"/>
            </w:tcBorders>
            <w:shd w:val="clear" w:color="auto" w:fill="auto"/>
            <w:noWrap/>
            <w:hideMark/>
          </w:tcPr>
          <w:p w14:paraId="006943D6" w14:textId="77777777" w:rsidR="00C11B1D" w:rsidRPr="00C11B1D" w:rsidRDefault="00C11B1D" w:rsidP="00D22A16">
            <w:pPr>
              <w:tabs>
                <w:tab w:val="decimal" w:pos="304"/>
              </w:tabs>
              <w:spacing w:line="360" w:lineRule="auto"/>
              <w:rPr>
                <w:color w:val="000000"/>
              </w:rPr>
            </w:pPr>
            <w:r w:rsidRPr="00C11B1D">
              <w:rPr>
                <w:color w:val="000000"/>
              </w:rPr>
              <w:t>1.436</w:t>
            </w:r>
          </w:p>
        </w:tc>
      </w:tr>
      <w:tr w:rsidR="00C11B1D" w:rsidRPr="00C11B1D" w14:paraId="44DDE050" w14:textId="77777777" w:rsidTr="00C11B1D">
        <w:trPr>
          <w:jc w:val="center"/>
        </w:trPr>
        <w:tc>
          <w:tcPr>
            <w:tcW w:w="730" w:type="pct"/>
            <w:tcBorders>
              <w:top w:val="nil"/>
              <w:left w:val="nil"/>
              <w:bottom w:val="nil"/>
              <w:right w:val="nil"/>
            </w:tcBorders>
            <w:shd w:val="clear" w:color="auto" w:fill="auto"/>
            <w:noWrap/>
            <w:hideMark/>
          </w:tcPr>
          <w:p w14:paraId="24E74B33" w14:textId="77777777" w:rsidR="00C11B1D" w:rsidRPr="00C11B1D" w:rsidRDefault="00C11B1D" w:rsidP="00C11B1D">
            <w:pPr>
              <w:spacing w:line="360" w:lineRule="auto"/>
              <w:jc w:val="center"/>
              <w:rPr>
                <w:color w:val="000000"/>
              </w:rPr>
            </w:pPr>
            <w:r w:rsidRPr="00C11B1D">
              <w:rPr>
                <w:color w:val="000000"/>
              </w:rPr>
              <w:t>COL</w:t>
            </w:r>
          </w:p>
        </w:tc>
        <w:tc>
          <w:tcPr>
            <w:tcW w:w="522" w:type="pct"/>
            <w:tcBorders>
              <w:top w:val="nil"/>
              <w:left w:val="nil"/>
              <w:bottom w:val="nil"/>
              <w:right w:val="single" w:sz="4" w:space="0" w:color="auto"/>
            </w:tcBorders>
            <w:shd w:val="clear" w:color="auto" w:fill="auto"/>
            <w:noWrap/>
            <w:hideMark/>
          </w:tcPr>
          <w:p w14:paraId="583CBCFE" w14:textId="77777777" w:rsidR="00C11B1D" w:rsidRPr="00C11B1D" w:rsidRDefault="00C11B1D" w:rsidP="00D22A16">
            <w:pPr>
              <w:tabs>
                <w:tab w:val="decimal" w:pos="312"/>
              </w:tabs>
              <w:spacing w:line="360" w:lineRule="auto"/>
              <w:rPr>
                <w:color w:val="000000"/>
              </w:rPr>
            </w:pPr>
            <w:r w:rsidRPr="00C11B1D">
              <w:rPr>
                <w:color w:val="000000"/>
              </w:rPr>
              <w:t>0.500</w:t>
            </w:r>
          </w:p>
        </w:tc>
        <w:tc>
          <w:tcPr>
            <w:tcW w:w="730" w:type="pct"/>
            <w:tcBorders>
              <w:top w:val="nil"/>
              <w:left w:val="single" w:sz="4" w:space="0" w:color="auto"/>
              <w:bottom w:val="nil"/>
              <w:right w:val="nil"/>
            </w:tcBorders>
            <w:shd w:val="clear" w:color="auto" w:fill="auto"/>
            <w:noWrap/>
            <w:hideMark/>
          </w:tcPr>
          <w:p w14:paraId="6D159039" w14:textId="77777777" w:rsidR="00C11B1D" w:rsidRPr="00C11B1D" w:rsidRDefault="00C11B1D" w:rsidP="00C11B1D">
            <w:pPr>
              <w:spacing w:line="360" w:lineRule="auto"/>
              <w:jc w:val="center"/>
              <w:rPr>
                <w:color w:val="000000"/>
              </w:rPr>
            </w:pPr>
            <w:r w:rsidRPr="00C11B1D">
              <w:rPr>
                <w:color w:val="000000"/>
              </w:rPr>
              <w:t>MDG</w:t>
            </w:r>
          </w:p>
        </w:tc>
        <w:tc>
          <w:tcPr>
            <w:tcW w:w="521" w:type="pct"/>
            <w:tcBorders>
              <w:top w:val="nil"/>
              <w:left w:val="nil"/>
              <w:bottom w:val="nil"/>
              <w:right w:val="single" w:sz="4" w:space="0" w:color="auto"/>
            </w:tcBorders>
            <w:shd w:val="clear" w:color="auto" w:fill="auto"/>
            <w:noWrap/>
            <w:hideMark/>
          </w:tcPr>
          <w:p w14:paraId="6F4ACD6B" w14:textId="77777777" w:rsidR="00C11B1D" w:rsidRPr="00C11B1D" w:rsidRDefault="00C11B1D" w:rsidP="00D22A16">
            <w:pPr>
              <w:tabs>
                <w:tab w:val="decimal" w:pos="371"/>
              </w:tabs>
              <w:spacing w:line="360" w:lineRule="auto"/>
              <w:rPr>
                <w:color w:val="000000"/>
              </w:rPr>
            </w:pPr>
            <w:r w:rsidRPr="00C11B1D">
              <w:rPr>
                <w:color w:val="000000"/>
              </w:rPr>
              <w:t>0.737</w:t>
            </w:r>
          </w:p>
        </w:tc>
        <w:tc>
          <w:tcPr>
            <w:tcW w:w="729" w:type="pct"/>
            <w:tcBorders>
              <w:top w:val="nil"/>
              <w:left w:val="single" w:sz="4" w:space="0" w:color="auto"/>
              <w:bottom w:val="nil"/>
              <w:right w:val="nil"/>
            </w:tcBorders>
            <w:shd w:val="clear" w:color="auto" w:fill="auto"/>
            <w:noWrap/>
            <w:hideMark/>
          </w:tcPr>
          <w:p w14:paraId="528FDE71" w14:textId="77777777" w:rsidR="00C11B1D" w:rsidRPr="00C11B1D" w:rsidRDefault="00C11B1D" w:rsidP="00C11B1D">
            <w:pPr>
              <w:spacing w:line="360" w:lineRule="auto"/>
              <w:jc w:val="center"/>
              <w:rPr>
                <w:color w:val="000000"/>
              </w:rPr>
            </w:pPr>
            <w:r w:rsidRPr="00C11B1D">
              <w:rPr>
                <w:color w:val="000000"/>
              </w:rPr>
              <w:t>PRY</w:t>
            </w:r>
          </w:p>
        </w:tc>
        <w:tc>
          <w:tcPr>
            <w:tcW w:w="521" w:type="pct"/>
            <w:tcBorders>
              <w:top w:val="nil"/>
              <w:left w:val="nil"/>
              <w:bottom w:val="nil"/>
              <w:right w:val="single" w:sz="4" w:space="0" w:color="auto"/>
            </w:tcBorders>
            <w:shd w:val="clear" w:color="auto" w:fill="auto"/>
            <w:noWrap/>
            <w:hideMark/>
          </w:tcPr>
          <w:p w14:paraId="74556F69" w14:textId="77777777" w:rsidR="00C11B1D" w:rsidRPr="00C11B1D" w:rsidRDefault="00C11B1D" w:rsidP="00D22A16">
            <w:pPr>
              <w:tabs>
                <w:tab w:val="decimal" w:pos="300"/>
              </w:tabs>
              <w:spacing w:line="360" w:lineRule="auto"/>
              <w:rPr>
                <w:color w:val="000000"/>
              </w:rPr>
            </w:pPr>
            <w:r w:rsidRPr="00C11B1D">
              <w:rPr>
                <w:color w:val="000000"/>
              </w:rPr>
              <w:t>0.897</w:t>
            </w:r>
          </w:p>
        </w:tc>
        <w:tc>
          <w:tcPr>
            <w:tcW w:w="729" w:type="pct"/>
            <w:tcBorders>
              <w:top w:val="nil"/>
              <w:left w:val="single" w:sz="4" w:space="0" w:color="auto"/>
              <w:bottom w:val="nil"/>
              <w:right w:val="nil"/>
            </w:tcBorders>
            <w:shd w:val="clear" w:color="auto" w:fill="auto"/>
            <w:noWrap/>
            <w:hideMark/>
          </w:tcPr>
          <w:p w14:paraId="73CFD732" w14:textId="77777777" w:rsidR="00C11B1D" w:rsidRPr="00C11B1D" w:rsidRDefault="00C11B1D" w:rsidP="00C11B1D">
            <w:pPr>
              <w:spacing w:line="360" w:lineRule="auto"/>
              <w:jc w:val="center"/>
              <w:rPr>
                <w:color w:val="000000"/>
              </w:rPr>
            </w:pPr>
            <w:r w:rsidRPr="00C11B1D">
              <w:rPr>
                <w:color w:val="000000"/>
              </w:rPr>
              <w:t>SDN</w:t>
            </w:r>
          </w:p>
        </w:tc>
        <w:tc>
          <w:tcPr>
            <w:tcW w:w="518" w:type="pct"/>
            <w:tcBorders>
              <w:top w:val="nil"/>
              <w:left w:val="nil"/>
              <w:bottom w:val="nil"/>
              <w:right w:val="nil"/>
            </w:tcBorders>
            <w:shd w:val="clear" w:color="auto" w:fill="auto"/>
            <w:noWrap/>
            <w:hideMark/>
          </w:tcPr>
          <w:p w14:paraId="077F9759" w14:textId="77777777" w:rsidR="00C11B1D" w:rsidRPr="00C11B1D" w:rsidRDefault="00C11B1D" w:rsidP="00D22A16">
            <w:pPr>
              <w:tabs>
                <w:tab w:val="decimal" w:pos="304"/>
              </w:tabs>
              <w:spacing w:line="360" w:lineRule="auto"/>
              <w:rPr>
                <w:color w:val="000000"/>
              </w:rPr>
            </w:pPr>
            <w:r w:rsidRPr="00C11B1D">
              <w:rPr>
                <w:color w:val="000000"/>
              </w:rPr>
              <w:t>1.750</w:t>
            </w:r>
          </w:p>
        </w:tc>
      </w:tr>
      <w:tr w:rsidR="00C11B1D" w:rsidRPr="00C11B1D" w14:paraId="0504ED3E" w14:textId="77777777" w:rsidTr="00C11B1D">
        <w:trPr>
          <w:jc w:val="center"/>
        </w:trPr>
        <w:tc>
          <w:tcPr>
            <w:tcW w:w="730" w:type="pct"/>
            <w:tcBorders>
              <w:top w:val="nil"/>
              <w:left w:val="nil"/>
              <w:bottom w:val="nil"/>
              <w:right w:val="nil"/>
            </w:tcBorders>
            <w:shd w:val="clear" w:color="auto" w:fill="auto"/>
            <w:noWrap/>
            <w:hideMark/>
          </w:tcPr>
          <w:p w14:paraId="0EF332A2" w14:textId="77777777" w:rsidR="00C11B1D" w:rsidRPr="00C11B1D" w:rsidRDefault="00C11B1D" w:rsidP="00C11B1D">
            <w:pPr>
              <w:spacing w:line="360" w:lineRule="auto"/>
              <w:jc w:val="center"/>
              <w:rPr>
                <w:color w:val="000000"/>
              </w:rPr>
            </w:pPr>
            <w:r w:rsidRPr="00C11B1D">
              <w:rPr>
                <w:color w:val="000000"/>
              </w:rPr>
              <w:t>CRI</w:t>
            </w:r>
          </w:p>
        </w:tc>
        <w:tc>
          <w:tcPr>
            <w:tcW w:w="522" w:type="pct"/>
            <w:tcBorders>
              <w:top w:val="nil"/>
              <w:left w:val="nil"/>
              <w:bottom w:val="nil"/>
              <w:right w:val="single" w:sz="4" w:space="0" w:color="auto"/>
            </w:tcBorders>
            <w:shd w:val="clear" w:color="auto" w:fill="auto"/>
            <w:noWrap/>
            <w:hideMark/>
          </w:tcPr>
          <w:p w14:paraId="22EA34F7" w14:textId="77777777" w:rsidR="00C11B1D" w:rsidRPr="00C11B1D" w:rsidRDefault="00C11B1D" w:rsidP="00D22A16">
            <w:pPr>
              <w:tabs>
                <w:tab w:val="decimal" w:pos="312"/>
              </w:tabs>
              <w:spacing w:line="360" w:lineRule="auto"/>
              <w:rPr>
                <w:color w:val="000000"/>
              </w:rPr>
            </w:pPr>
            <w:r w:rsidRPr="00C11B1D">
              <w:rPr>
                <w:color w:val="000000"/>
              </w:rPr>
              <w:t>0.500</w:t>
            </w:r>
          </w:p>
        </w:tc>
        <w:tc>
          <w:tcPr>
            <w:tcW w:w="730" w:type="pct"/>
            <w:tcBorders>
              <w:top w:val="nil"/>
              <w:left w:val="single" w:sz="4" w:space="0" w:color="auto"/>
              <w:bottom w:val="nil"/>
              <w:right w:val="nil"/>
            </w:tcBorders>
            <w:shd w:val="clear" w:color="auto" w:fill="auto"/>
            <w:noWrap/>
            <w:hideMark/>
          </w:tcPr>
          <w:p w14:paraId="7C38EA8D" w14:textId="77777777" w:rsidR="00C11B1D" w:rsidRPr="00C11B1D" w:rsidRDefault="00C11B1D" w:rsidP="00C11B1D">
            <w:pPr>
              <w:spacing w:line="360" w:lineRule="auto"/>
              <w:jc w:val="center"/>
              <w:rPr>
                <w:color w:val="000000"/>
              </w:rPr>
            </w:pPr>
            <w:r w:rsidRPr="00C11B1D">
              <w:rPr>
                <w:color w:val="000000"/>
              </w:rPr>
              <w:t>QAT</w:t>
            </w:r>
          </w:p>
        </w:tc>
        <w:tc>
          <w:tcPr>
            <w:tcW w:w="521" w:type="pct"/>
            <w:tcBorders>
              <w:top w:val="nil"/>
              <w:left w:val="nil"/>
              <w:bottom w:val="nil"/>
              <w:right w:val="single" w:sz="4" w:space="0" w:color="auto"/>
            </w:tcBorders>
            <w:shd w:val="clear" w:color="auto" w:fill="auto"/>
            <w:noWrap/>
            <w:hideMark/>
          </w:tcPr>
          <w:p w14:paraId="2E8B1E42" w14:textId="77777777" w:rsidR="00C11B1D" w:rsidRPr="00C11B1D" w:rsidRDefault="00C11B1D" w:rsidP="00D22A16">
            <w:pPr>
              <w:tabs>
                <w:tab w:val="decimal" w:pos="371"/>
              </w:tabs>
              <w:spacing w:line="360" w:lineRule="auto"/>
              <w:rPr>
                <w:color w:val="000000"/>
              </w:rPr>
            </w:pPr>
            <w:r w:rsidRPr="00C11B1D">
              <w:rPr>
                <w:color w:val="000000"/>
              </w:rPr>
              <w:t>0.737</w:t>
            </w:r>
          </w:p>
        </w:tc>
        <w:tc>
          <w:tcPr>
            <w:tcW w:w="729" w:type="pct"/>
            <w:tcBorders>
              <w:top w:val="nil"/>
              <w:left w:val="single" w:sz="4" w:space="0" w:color="auto"/>
              <w:bottom w:val="nil"/>
              <w:right w:val="nil"/>
            </w:tcBorders>
            <w:shd w:val="clear" w:color="auto" w:fill="auto"/>
            <w:noWrap/>
            <w:hideMark/>
          </w:tcPr>
          <w:p w14:paraId="70990BBD" w14:textId="77777777" w:rsidR="00C11B1D" w:rsidRPr="00C11B1D" w:rsidRDefault="00C11B1D" w:rsidP="00C11B1D">
            <w:pPr>
              <w:spacing w:line="360" w:lineRule="auto"/>
              <w:jc w:val="center"/>
              <w:rPr>
                <w:color w:val="000000"/>
              </w:rPr>
            </w:pPr>
            <w:r w:rsidRPr="00C11B1D">
              <w:rPr>
                <w:color w:val="000000"/>
              </w:rPr>
              <w:t>HND</w:t>
            </w:r>
          </w:p>
        </w:tc>
        <w:tc>
          <w:tcPr>
            <w:tcW w:w="521" w:type="pct"/>
            <w:tcBorders>
              <w:top w:val="nil"/>
              <w:left w:val="nil"/>
              <w:bottom w:val="nil"/>
              <w:right w:val="single" w:sz="4" w:space="0" w:color="auto"/>
            </w:tcBorders>
            <w:shd w:val="clear" w:color="auto" w:fill="auto"/>
            <w:noWrap/>
            <w:hideMark/>
          </w:tcPr>
          <w:p w14:paraId="3A644A85" w14:textId="77777777" w:rsidR="00C11B1D" w:rsidRPr="00C11B1D" w:rsidRDefault="00C11B1D" w:rsidP="00D22A16">
            <w:pPr>
              <w:tabs>
                <w:tab w:val="decimal" w:pos="300"/>
              </w:tabs>
              <w:spacing w:line="360" w:lineRule="auto"/>
              <w:rPr>
                <w:color w:val="000000"/>
              </w:rPr>
            </w:pPr>
            <w:r w:rsidRPr="00C11B1D">
              <w:rPr>
                <w:color w:val="000000"/>
              </w:rPr>
              <w:t>0.915</w:t>
            </w:r>
          </w:p>
        </w:tc>
        <w:tc>
          <w:tcPr>
            <w:tcW w:w="729" w:type="pct"/>
            <w:tcBorders>
              <w:top w:val="nil"/>
              <w:left w:val="single" w:sz="4" w:space="0" w:color="auto"/>
              <w:bottom w:val="nil"/>
              <w:right w:val="nil"/>
            </w:tcBorders>
            <w:shd w:val="clear" w:color="auto" w:fill="auto"/>
            <w:noWrap/>
            <w:hideMark/>
          </w:tcPr>
          <w:p w14:paraId="6CFA52FA" w14:textId="77777777" w:rsidR="00C11B1D" w:rsidRPr="00C11B1D" w:rsidRDefault="00C11B1D" w:rsidP="00C11B1D">
            <w:pPr>
              <w:spacing w:line="360" w:lineRule="auto"/>
              <w:jc w:val="center"/>
              <w:rPr>
                <w:color w:val="000000"/>
              </w:rPr>
            </w:pPr>
            <w:r w:rsidRPr="00C11B1D">
              <w:rPr>
                <w:color w:val="000000"/>
              </w:rPr>
              <w:t>CYP</w:t>
            </w:r>
          </w:p>
        </w:tc>
        <w:tc>
          <w:tcPr>
            <w:tcW w:w="518" w:type="pct"/>
            <w:tcBorders>
              <w:top w:val="nil"/>
              <w:left w:val="nil"/>
              <w:bottom w:val="nil"/>
              <w:right w:val="nil"/>
            </w:tcBorders>
            <w:shd w:val="clear" w:color="auto" w:fill="auto"/>
            <w:noWrap/>
            <w:hideMark/>
          </w:tcPr>
          <w:p w14:paraId="5A4E32EF" w14:textId="77777777" w:rsidR="00C11B1D" w:rsidRPr="00C11B1D" w:rsidRDefault="00C11B1D" w:rsidP="00D22A16">
            <w:pPr>
              <w:tabs>
                <w:tab w:val="decimal" w:pos="304"/>
              </w:tabs>
              <w:spacing w:line="360" w:lineRule="auto"/>
              <w:rPr>
                <w:color w:val="000000"/>
              </w:rPr>
            </w:pPr>
            <w:r w:rsidRPr="00C11B1D">
              <w:rPr>
                <w:color w:val="000000"/>
              </w:rPr>
              <w:t>1.867</w:t>
            </w:r>
          </w:p>
        </w:tc>
      </w:tr>
      <w:tr w:rsidR="00C11B1D" w:rsidRPr="00C11B1D" w14:paraId="7A54103C" w14:textId="77777777" w:rsidTr="00C11B1D">
        <w:trPr>
          <w:jc w:val="center"/>
        </w:trPr>
        <w:tc>
          <w:tcPr>
            <w:tcW w:w="730" w:type="pct"/>
            <w:tcBorders>
              <w:top w:val="nil"/>
              <w:left w:val="nil"/>
              <w:bottom w:val="nil"/>
              <w:right w:val="nil"/>
            </w:tcBorders>
            <w:shd w:val="clear" w:color="auto" w:fill="auto"/>
            <w:noWrap/>
            <w:hideMark/>
          </w:tcPr>
          <w:p w14:paraId="290E2503" w14:textId="77777777" w:rsidR="00C11B1D" w:rsidRPr="00C11B1D" w:rsidRDefault="00C11B1D" w:rsidP="00C11B1D">
            <w:pPr>
              <w:spacing w:line="360" w:lineRule="auto"/>
              <w:jc w:val="center"/>
              <w:rPr>
                <w:color w:val="000000"/>
              </w:rPr>
            </w:pPr>
            <w:r w:rsidRPr="00C11B1D">
              <w:rPr>
                <w:color w:val="000000"/>
              </w:rPr>
              <w:t>GBR</w:t>
            </w:r>
          </w:p>
        </w:tc>
        <w:tc>
          <w:tcPr>
            <w:tcW w:w="522" w:type="pct"/>
            <w:tcBorders>
              <w:top w:val="nil"/>
              <w:left w:val="nil"/>
              <w:bottom w:val="nil"/>
              <w:right w:val="single" w:sz="4" w:space="0" w:color="auto"/>
            </w:tcBorders>
            <w:shd w:val="clear" w:color="auto" w:fill="auto"/>
            <w:noWrap/>
            <w:hideMark/>
          </w:tcPr>
          <w:p w14:paraId="1EAEB47E" w14:textId="77777777" w:rsidR="00C11B1D" w:rsidRPr="00C11B1D" w:rsidRDefault="00C11B1D" w:rsidP="00D22A16">
            <w:pPr>
              <w:tabs>
                <w:tab w:val="decimal" w:pos="312"/>
              </w:tabs>
              <w:spacing w:line="360" w:lineRule="auto"/>
              <w:rPr>
                <w:color w:val="000000"/>
              </w:rPr>
            </w:pPr>
            <w:r w:rsidRPr="00C11B1D">
              <w:rPr>
                <w:color w:val="000000"/>
              </w:rPr>
              <w:t>0.500</w:t>
            </w:r>
          </w:p>
        </w:tc>
        <w:tc>
          <w:tcPr>
            <w:tcW w:w="730" w:type="pct"/>
            <w:tcBorders>
              <w:top w:val="nil"/>
              <w:left w:val="single" w:sz="4" w:space="0" w:color="auto"/>
              <w:bottom w:val="nil"/>
              <w:right w:val="nil"/>
            </w:tcBorders>
            <w:shd w:val="clear" w:color="auto" w:fill="auto"/>
            <w:noWrap/>
            <w:hideMark/>
          </w:tcPr>
          <w:p w14:paraId="032A4486" w14:textId="77777777" w:rsidR="00C11B1D" w:rsidRPr="00C11B1D" w:rsidRDefault="00C11B1D" w:rsidP="00C11B1D">
            <w:pPr>
              <w:spacing w:line="360" w:lineRule="auto"/>
              <w:jc w:val="center"/>
              <w:rPr>
                <w:color w:val="000000"/>
              </w:rPr>
            </w:pPr>
            <w:r w:rsidRPr="00C11B1D">
              <w:rPr>
                <w:color w:val="000000"/>
              </w:rPr>
              <w:t>PAN</w:t>
            </w:r>
          </w:p>
        </w:tc>
        <w:tc>
          <w:tcPr>
            <w:tcW w:w="521" w:type="pct"/>
            <w:tcBorders>
              <w:top w:val="nil"/>
              <w:left w:val="nil"/>
              <w:bottom w:val="nil"/>
              <w:right w:val="single" w:sz="4" w:space="0" w:color="auto"/>
            </w:tcBorders>
            <w:shd w:val="clear" w:color="auto" w:fill="auto"/>
            <w:noWrap/>
            <w:hideMark/>
          </w:tcPr>
          <w:p w14:paraId="079367B4" w14:textId="77777777" w:rsidR="00C11B1D" w:rsidRPr="00C11B1D" w:rsidRDefault="00C11B1D" w:rsidP="00D22A16">
            <w:pPr>
              <w:tabs>
                <w:tab w:val="decimal" w:pos="371"/>
              </w:tabs>
              <w:spacing w:line="360" w:lineRule="auto"/>
              <w:rPr>
                <w:color w:val="000000"/>
              </w:rPr>
            </w:pPr>
            <w:r w:rsidRPr="00C11B1D">
              <w:rPr>
                <w:color w:val="000000"/>
              </w:rPr>
              <w:t>0.747</w:t>
            </w:r>
          </w:p>
        </w:tc>
        <w:tc>
          <w:tcPr>
            <w:tcW w:w="729" w:type="pct"/>
            <w:tcBorders>
              <w:top w:val="nil"/>
              <w:left w:val="single" w:sz="4" w:space="0" w:color="auto"/>
              <w:bottom w:val="nil"/>
              <w:right w:val="nil"/>
            </w:tcBorders>
            <w:shd w:val="clear" w:color="auto" w:fill="auto"/>
            <w:noWrap/>
            <w:hideMark/>
          </w:tcPr>
          <w:p w14:paraId="7C0BBB1F" w14:textId="77777777" w:rsidR="00C11B1D" w:rsidRPr="00C11B1D" w:rsidRDefault="00C11B1D" w:rsidP="00C11B1D">
            <w:pPr>
              <w:spacing w:line="360" w:lineRule="auto"/>
              <w:jc w:val="center"/>
              <w:rPr>
                <w:color w:val="000000"/>
              </w:rPr>
            </w:pPr>
            <w:r w:rsidRPr="00C11B1D">
              <w:rPr>
                <w:color w:val="000000"/>
              </w:rPr>
              <w:t>CAF</w:t>
            </w:r>
          </w:p>
        </w:tc>
        <w:tc>
          <w:tcPr>
            <w:tcW w:w="521" w:type="pct"/>
            <w:tcBorders>
              <w:top w:val="nil"/>
              <w:left w:val="nil"/>
              <w:bottom w:val="nil"/>
              <w:right w:val="single" w:sz="4" w:space="0" w:color="auto"/>
            </w:tcBorders>
            <w:shd w:val="clear" w:color="auto" w:fill="auto"/>
            <w:noWrap/>
            <w:hideMark/>
          </w:tcPr>
          <w:p w14:paraId="69167D4F" w14:textId="77777777" w:rsidR="00C11B1D" w:rsidRPr="00C11B1D" w:rsidRDefault="00C11B1D" w:rsidP="00D22A16">
            <w:pPr>
              <w:tabs>
                <w:tab w:val="decimal" w:pos="300"/>
              </w:tabs>
              <w:spacing w:line="360" w:lineRule="auto"/>
              <w:rPr>
                <w:color w:val="000000"/>
              </w:rPr>
            </w:pPr>
            <w:r w:rsidRPr="00C11B1D">
              <w:rPr>
                <w:color w:val="000000"/>
              </w:rPr>
              <w:t>0.933</w:t>
            </w:r>
          </w:p>
        </w:tc>
        <w:tc>
          <w:tcPr>
            <w:tcW w:w="729" w:type="pct"/>
            <w:tcBorders>
              <w:top w:val="nil"/>
              <w:left w:val="single" w:sz="4" w:space="0" w:color="auto"/>
              <w:bottom w:val="nil"/>
              <w:right w:val="nil"/>
            </w:tcBorders>
            <w:shd w:val="clear" w:color="auto" w:fill="auto"/>
            <w:noWrap/>
            <w:hideMark/>
          </w:tcPr>
          <w:p w14:paraId="00FBE8D7" w14:textId="77777777" w:rsidR="00C11B1D" w:rsidRPr="00C11B1D" w:rsidRDefault="00C11B1D" w:rsidP="00C11B1D">
            <w:pPr>
              <w:spacing w:line="360" w:lineRule="auto"/>
              <w:jc w:val="center"/>
              <w:rPr>
                <w:color w:val="000000"/>
              </w:rPr>
            </w:pPr>
            <w:r w:rsidRPr="00C11B1D">
              <w:rPr>
                <w:color w:val="000000"/>
              </w:rPr>
              <w:t>JAM</w:t>
            </w:r>
          </w:p>
        </w:tc>
        <w:tc>
          <w:tcPr>
            <w:tcW w:w="518" w:type="pct"/>
            <w:tcBorders>
              <w:top w:val="nil"/>
              <w:left w:val="nil"/>
              <w:bottom w:val="nil"/>
              <w:right w:val="nil"/>
            </w:tcBorders>
            <w:shd w:val="clear" w:color="auto" w:fill="auto"/>
            <w:noWrap/>
            <w:hideMark/>
          </w:tcPr>
          <w:p w14:paraId="5B201F0D" w14:textId="77777777" w:rsidR="00C11B1D" w:rsidRPr="00C11B1D" w:rsidRDefault="00C11B1D" w:rsidP="00D22A16">
            <w:pPr>
              <w:tabs>
                <w:tab w:val="decimal" w:pos="304"/>
              </w:tabs>
              <w:spacing w:line="360" w:lineRule="auto"/>
              <w:rPr>
                <w:color w:val="000000"/>
              </w:rPr>
            </w:pPr>
            <w:r w:rsidRPr="00C11B1D">
              <w:rPr>
                <w:color w:val="000000"/>
              </w:rPr>
              <w:t>1.867</w:t>
            </w:r>
          </w:p>
        </w:tc>
      </w:tr>
      <w:tr w:rsidR="00C11B1D" w:rsidRPr="00C11B1D" w14:paraId="042919E9" w14:textId="77777777" w:rsidTr="00C11B1D">
        <w:trPr>
          <w:jc w:val="center"/>
        </w:trPr>
        <w:tc>
          <w:tcPr>
            <w:tcW w:w="730" w:type="pct"/>
            <w:tcBorders>
              <w:top w:val="nil"/>
              <w:left w:val="nil"/>
              <w:bottom w:val="nil"/>
              <w:right w:val="nil"/>
            </w:tcBorders>
            <w:shd w:val="clear" w:color="auto" w:fill="auto"/>
            <w:noWrap/>
            <w:hideMark/>
          </w:tcPr>
          <w:p w14:paraId="05FFC34A" w14:textId="77777777" w:rsidR="00C11B1D" w:rsidRPr="00C11B1D" w:rsidRDefault="00C11B1D" w:rsidP="00C11B1D">
            <w:pPr>
              <w:spacing w:line="360" w:lineRule="auto"/>
              <w:jc w:val="center"/>
              <w:rPr>
                <w:color w:val="000000"/>
              </w:rPr>
            </w:pPr>
            <w:r w:rsidRPr="00C11B1D">
              <w:rPr>
                <w:color w:val="000000"/>
              </w:rPr>
              <w:t>ARG</w:t>
            </w:r>
          </w:p>
        </w:tc>
        <w:tc>
          <w:tcPr>
            <w:tcW w:w="522" w:type="pct"/>
            <w:tcBorders>
              <w:top w:val="nil"/>
              <w:left w:val="nil"/>
              <w:bottom w:val="nil"/>
              <w:right w:val="single" w:sz="4" w:space="0" w:color="auto"/>
            </w:tcBorders>
            <w:shd w:val="clear" w:color="auto" w:fill="auto"/>
            <w:noWrap/>
            <w:hideMark/>
          </w:tcPr>
          <w:p w14:paraId="3FF39A2A" w14:textId="77777777" w:rsidR="00C11B1D" w:rsidRPr="00C11B1D" w:rsidRDefault="00C11B1D" w:rsidP="00D22A16">
            <w:pPr>
              <w:tabs>
                <w:tab w:val="decimal" w:pos="312"/>
              </w:tabs>
              <w:spacing w:line="360" w:lineRule="auto"/>
              <w:rPr>
                <w:color w:val="000000"/>
              </w:rPr>
            </w:pPr>
            <w:r w:rsidRPr="00C11B1D">
              <w:rPr>
                <w:color w:val="000000"/>
              </w:rPr>
              <w:t>0.509</w:t>
            </w:r>
          </w:p>
        </w:tc>
        <w:tc>
          <w:tcPr>
            <w:tcW w:w="730" w:type="pct"/>
            <w:tcBorders>
              <w:top w:val="nil"/>
              <w:left w:val="single" w:sz="4" w:space="0" w:color="auto"/>
              <w:bottom w:val="nil"/>
              <w:right w:val="nil"/>
            </w:tcBorders>
            <w:shd w:val="clear" w:color="auto" w:fill="auto"/>
            <w:noWrap/>
            <w:hideMark/>
          </w:tcPr>
          <w:p w14:paraId="3F7B749B" w14:textId="77777777" w:rsidR="00C11B1D" w:rsidRPr="00C11B1D" w:rsidRDefault="00C11B1D" w:rsidP="00C11B1D">
            <w:pPr>
              <w:spacing w:line="360" w:lineRule="auto"/>
              <w:jc w:val="center"/>
              <w:rPr>
                <w:color w:val="000000"/>
              </w:rPr>
            </w:pPr>
            <w:r w:rsidRPr="00C11B1D">
              <w:rPr>
                <w:color w:val="000000"/>
              </w:rPr>
              <w:t>PER</w:t>
            </w:r>
          </w:p>
        </w:tc>
        <w:tc>
          <w:tcPr>
            <w:tcW w:w="521" w:type="pct"/>
            <w:tcBorders>
              <w:top w:val="nil"/>
              <w:left w:val="nil"/>
              <w:bottom w:val="nil"/>
              <w:right w:val="single" w:sz="4" w:space="0" w:color="auto"/>
            </w:tcBorders>
            <w:shd w:val="clear" w:color="auto" w:fill="auto"/>
            <w:noWrap/>
            <w:hideMark/>
          </w:tcPr>
          <w:p w14:paraId="7E352F01" w14:textId="77777777" w:rsidR="00C11B1D" w:rsidRPr="00C11B1D" w:rsidRDefault="00C11B1D" w:rsidP="00D22A16">
            <w:pPr>
              <w:tabs>
                <w:tab w:val="decimal" w:pos="371"/>
              </w:tabs>
              <w:spacing w:line="360" w:lineRule="auto"/>
              <w:rPr>
                <w:color w:val="000000"/>
              </w:rPr>
            </w:pPr>
            <w:r w:rsidRPr="00C11B1D">
              <w:rPr>
                <w:color w:val="000000"/>
              </w:rPr>
              <w:t>0.747</w:t>
            </w:r>
          </w:p>
        </w:tc>
        <w:tc>
          <w:tcPr>
            <w:tcW w:w="729" w:type="pct"/>
            <w:tcBorders>
              <w:top w:val="nil"/>
              <w:left w:val="single" w:sz="4" w:space="0" w:color="auto"/>
              <w:bottom w:val="nil"/>
              <w:right w:val="nil"/>
            </w:tcBorders>
            <w:shd w:val="clear" w:color="auto" w:fill="auto"/>
            <w:noWrap/>
            <w:hideMark/>
          </w:tcPr>
          <w:p w14:paraId="4CDD3A0C" w14:textId="77777777" w:rsidR="00C11B1D" w:rsidRPr="00C11B1D" w:rsidRDefault="00C11B1D" w:rsidP="00C11B1D">
            <w:pPr>
              <w:spacing w:line="360" w:lineRule="auto"/>
              <w:jc w:val="center"/>
              <w:rPr>
                <w:color w:val="000000"/>
              </w:rPr>
            </w:pPr>
            <w:r w:rsidRPr="00C11B1D">
              <w:rPr>
                <w:color w:val="000000"/>
              </w:rPr>
              <w:t>CHN</w:t>
            </w:r>
          </w:p>
        </w:tc>
        <w:tc>
          <w:tcPr>
            <w:tcW w:w="521" w:type="pct"/>
            <w:tcBorders>
              <w:top w:val="nil"/>
              <w:left w:val="nil"/>
              <w:bottom w:val="nil"/>
              <w:right w:val="single" w:sz="4" w:space="0" w:color="auto"/>
            </w:tcBorders>
            <w:shd w:val="clear" w:color="auto" w:fill="auto"/>
            <w:noWrap/>
            <w:hideMark/>
          </w:tcPr>
          <w:p w14:paraId="5E08CB9A" w14:textId="77777777" w:rsidR="00C11B1D" w:rsidRPr="00C11B1D" w:rsidRDefault="00C11B1D" w:rsidP="00D22A16">
            <w:pPr>
              <w:tabs>
                <w:tab w:val="decimal" w:pos="300"/>
              </w:tabs>
              <w:spacing w:line="360" w:lineRule="auto"/>
              <w:rPr>
                <w:color w:val="000000"/>
              </w:rPr>
            </w:pPr>
            <w:r w:rsidRPr="00C11B1D">
              <w:rPr>
                <w:color w:val="000000"/>
              </w:rPr>
              <w:t>0.933</w:t>
            </w:r>
          </w:p>
        </w:tc>
        <w:tc>
          <w:tcPr>
            <w:tcW w:w="729" w:type="pct"/>
            <w:tcBorders>
              <w:top w:val="nil"/>
              <w:left w:val="single" w:sz="4" w:space="0" w:color="auto"/>
              <w:bottom w:val="nil"/>
              <w:right w:val="nil"/>
            </w:tcBorders>
            <w:shd w:val="clear" w:color="auto" w:fill="auto"/>
            <w:noWrap/>
            <w:hideMark/>
          </w:tcPr>
          <w:p w14:paraId="18F4F59A" w14:textId="77777777" w:rsidR="00C11B1D" w:rsidRPr="00C11B1D" w:rsidRDefault="00C11B1D" w:rsidP="00C11B1D">
            <w:pPr>
              <w:spacing w:line="360" w:lineRule="auto"/>
              <w:jc w:val="center"/>
              <w:rPr>
                <w:color w:val="000000"/>
              </w:rPr>
            </w:pPr>
            <w:r w:rsidRPr="00C11B1D">
              <w:rPr>
                <w:color w:val="000000"/>
              </w:rPr>
              <w:t>JOR</w:t>
            </w:r>
          </w:p>
        </w:tc>
        <w:tc>
          <w:tcPr>
            <w:tcW w:w="518" w:type="pct"/>
            <w:tcBorders>
              <w:top w:val="nil"/>
              <w:left w:val="nil"/>
              <w:bottom w:val="nil"/>
              <w:right w:val="nil"/>
            </w:tcBorders>
            <w:shd w:val="clear" w:color="auto" w:fill="auto"/>
            <w:noWrap/>
            <w:hideMark/>
          </w:tcPr>
          <w:p w14:paraId="087ED11E" w14:textId="77777777" w:rsidR="00C11B1D" w:rsidRPr="00C11B1D" w:rsidRDefault="00C11B1D" w:rsidP="00D22A16">
            <w:pPr>
              <w:tabs>
                <w:tab w:val="decimal" w:pos="304"/>
              </w:tabs>
              <w:spacing w:line="360" w:lineRule="auto"/>
              <w:rPr>
                <w:color w:val="000000"/>
              </w:rPr>
            </w:pPr>
            <w:r w:rsidRPr="00C11B1D">
              <w:rPr>
                <w:color w:val="000000"/>
              </w:rPr>
              <w:t>1.867</w:t>
            </w:r>
          </w:p>
        </w:tc>
      </w:tr>
      <w:tr w:rsidR="00C11B1D" w:rsidRPr="00C11B1D" w14:paraId="4F3394B6" w14:textId="77777777" w:rsidTr="00C11B1D">
        <w:trPr>
          <w:jc w:val="center"/>
        </w:trPr>
        <w:tc>
          <w:tcPr>
            <w:tcW w:w="730" w:type="pct"/>
            <w:tcBorders>
              <w:top w:val="nil"/>
              <w:left w:val="nil"/>
              <w:bottom w:val="nil"/>
              <w:right w:val="nil"/>
            </w:tcBorders>
            <w:shd w:val="clear" w:color="auto" w:fill="auto"/>
            <w:noWrap/>
            <w:hideMark/>
          </w:tcPr>
          <w:p w14:paraId="37D3A0FD" w14:textId="77777777" w:rsidR="00C11B1D" w:rsidRPr="00C11B1D" w:rsidRDefault="00C11B1D" w:rsidP="00C11B1D">
            <w:pPr>
              <w:spacing w:line="360" w:lineRule="auto"/>
              <w:jc w:val="center"/>
              <w:rPr>
                <w:color w:val="000000"/>
              </w:rPr>
            </w:pPr>
            <w:r w:rsidRPr="00C11B1D">
              <w:rPr>
                <w:color w:val="000000"/>
              </w:rPr>
              <w:t>SWE</w:t>
            </w:r>
          </w:p>
        </w:tc>
        <w:tc>
          <w:tcPr>
            <w:tcW w:w="522" w:type="pct"/>
            <w:tcBorders>
              <w:top w:val="nil"/>
              <w:left w:val="nil"/>
              <w:bottom w:val="nil"/>
              <w:right w:val="single" w:sz="4" w:space="0" w:color="auto"/>
            </w:tcBorders>
            <w:shd w:val="clear" w:color="auto" w:fill="auto"/>
            <w:noWrap/>
            <w:hideMark/>
          </w:tcPr>
          <w:p w14:paraId="4CD3DD3B" w14:textId="77777777" w:rsidR="00C11B1D" w:rsidRPr="00C11B1D" w:rsidRDefault="00C11B1D" w:rsidP="00D22A16">
            <w:pPr>
              <w:tabs>
                <w:tab w:val="decimal" w:pos="312"/>
              </w:tabs>
              <w:spacing w:line="360" w:lineRule="auto"/>
              <w:rPr>
                <w:color w:val="000000"/>
              </w:rPr>
            </w:pPr>
            <w:r w:rsidRPr="00C11B1D">
              <w:rPr>
                <w:color w:val="000000"/>
              </w:rPr>
              <w:t>0.509</w:t>
            </w:r>
          </w:p>
        </w:tc>
        <w:tc>
          <w:tcPr>
            <w:tcW w:w="730" w:type="pct"/>
            <w:tcBorders>
              <w:top w:val="nil"/>
              <w:left w:val="single" w:sz="4" w:space="0" w:color="auto"/>
              <w:bottom w:val="nil"/>
              <w:right w:val="nil"/>
            </w:tcBorders>
            <w:shd w:val="clear" w:color="auto" w:fill="auto"/>
            <w:noWrap/>
            <w:hideMark/>
          </w:tcPr>
          <w:p w14:paraId="49A92223" w14:textId="77777777" w:rsidR="00C11B1D" w:rsidRPr="00C11B1D" w:rsidRDefault="00C11B1D" w:rsidP="00C11B1D">
            <w:pPr>
              <w:spacing w:line="360" w:lineRule="auto"/>
              <w:jc w:val="center"/>
              <w:rPr>
                <w:color w:val="000000"/>
              </w:rPr>
            </w:pPr>
            <w:r w:rsidRPr="00C11B1D">
              <w:rPr>
                <w:color w:val="000000"/>
              </w:rPr>
              <w:t>ZMB</w:t>
            </w:r>
          </w:p>
        </w:tc>
        <w:tc>
          <w:tcPr>
            <w:tcW w:w="521" w:type="pct"/>
            <w:tcBorders>
              <w:top w:val="nil"/>
              <w:left w:val="nil"/>
              <w:bottom w:val="nil"/>
              <w:right w:val="single" w:sz="4" w:space="0" w:color="auto"/>
            </w:tcBorders>
            <w:shd w:val="clear" w:color="auto" w:fill="auto"/>
            <w:noWrap/>
            <w:hideMark/>
          </w:tcPr>
          <w:p w14:paraId="788F6CDB" w14:textId="77777777" w:rsidR="00C11B1D" w:rsidRPr="00C11B1D" w:rsidRDefault="00C11B1D" w:rsidP="00D22A16">
            <w:pPr>
              <w:tabs>
                <w:tab w:val="decimal" w:pos="371"/>
              </w:tabs>
              <w:spacing w:line="360" w:lineRule="auto"/>
              <w:rPr>
                <w:color w:val="000000"/>
              </w:rPr>
            </w:pPr>
            <w:r w:rsidRPr="00C11B1D">
              <w:rPr>
                <w:color w:val="000000"/>
              </w:rPr>
              <w:t>0.747</w:t>
            </w:r>
          </w:p>
        </w:tc>
        <w:tc>
          <w:tcPr>
            <w:tcW w:w="729" w:type="pct"/>
            <w:tcBorders>
              <w:top w:val="nil"/>
              <w:left w:val="single" w:sz="4" w:space="0" w:color="auto"/>
              <w:bottom w:val="nil"/>
              <w:right w:val="nil"/>
            </w:tcBorders>
            <w:shd w:val="clear" w:color="auto" w:fill="auto"/>
            <w:noWrap/>
            <w:hideMark/>
          </w:tcPr>
          <w:p w14:paraId="6712E4D3" w14:textId="77777777" w:rsidR="00C11B1D" w:rsidRPr="00C11B1D" w:rsidRDefault="00C11B1D" w:rsidP="00C11B1D">
            <w:pPr>
              <w:spacing w:line="360" w:lineRule="auto"/>
              <w:jc w:val="center"/>
              <w:rPr>
                <w:color w:val="000000"/>
              </w:rPr>
            </w:pPr>
            <w:r w:rsidRPr="00C11B1D">
              <w:rPr>
                <w:color w:val="000000"/>
              </w:rPr>
              <w:t>GMB</w:t>
            </w:r>
          </w:p>
        </w:tc>
        <w:tc>
          <w:tcPr>
            <w:tcW w:w="521" w:type="pct"/>
            <w:tcBorders>
              <w:top w:val="nil"/>
              <w:left w:val="nil"/>
              <w:bottom w:val="nil"/>
              <w:right w:val="single" w:sz="4" w:space="0" w:color="auto"/>
            </w:tcBorders>
            <w:shd w:val="clear" w:color="auto" w:fill="auto"/>
            <w:noWrap/>
            <w:hideMark/>
          </w:tcPr>
          <w:p w14:paraId="5AE158B4" w14:textId="77777777" w:rsidR="00C11B1D" w:rsidRPr="00C11B1D" w:rsidRDefault="00C11B1D" w:rsidP="00D22A16">
            <w:pPr>
              <w:tabs>
                <w:tab w:val="decimal" w:pos="300"/>
              </w:tabs>
              <w:spacing w:line="360" w:lineRule="auto"/>
              <w:rPr>
                <w:color w:val="000000"/>
              </w:rPr>
            </w:pPr>
            <w:r w:rsidRPr="00C11B1D">
              <w:rPr>
                <w:color w:val="000000"/>
              </w:rPr>
              <w:t>0.933</w:t>
            </w:r>
          </w:p>
        </w:tc>
        <w:tc>
          <w:tcPr>
            <w:tcW w:w="729" w:type="pct"/>
            <w:tcBorders>
              <w:top w:val="nil"/>
              <w:left w:val="single" w:sz="4" w:space="0" w:color="auto"/>
              <w:bottom w:val="nil"/>
              <w:right w:val="nil"/>
            </w:tcBorders>
            <w:shd w:val="clear" w:color="auto" w:fill="auto"/>
            <w:noWrap/>
            <w:hideMark/>
          </w:tcPr>
          <w:p w14:paraId="450A0DFB" w14:textId="77777777" w:rsidR="00C11B1D" w:rsidRPr="00C11B1D" w:rsidRDefault="00C11B1D" w:rsidP="00C11B1D">
            <w:pPr>
              <w:spacing w:line="360" w:lineRule="auto"/>
              <w:jc w:val="center"/>
              <w:rPr>
                <w:color w:val="000000"/>
              </w:rPr>
            </w:pPr>
            <w:r w:rsidRPr="00C11B1D">
              <w:rPr>
                <w:color w:val="000000"/>
              </w:rPr>
              <w:t>GEO</w:t>
            </w:r>
          </w:p>
        </w:tc>
        <w:tc>
          <w:tcPr>
            <w:tcW w:w="518" w:type="pct"/>
            <w:tcBorders>
              <w:top w:val="nil"/>
              <w:left w:val="nil"/>
              <w:bottom w:val="nil"/>
              <w:right w:val="nil"/>
            </w:tcBorders>
            <w:shd w:val="clear" w:color="auto" w:fill="auto"/>
            <w:noWrap/>
            <w:hideMark/>
          </w:tcPr>
          <w:p w14:paraId="2DC73B1D" w14:textId="77777777" w:rsidR="00C11B1D" w:rsidRPr="00C11B1D" w:rsidRDefault="00C11B1D" w:rsidP="00D22A16">
            <w:pPr>
              <w:tabs>
                <w:tab w:val="decimal" w:pos="304"/>
              </w:tabs>
              <w:spacing w:line="360" w:lineRule="auto"/>
              <w:rPr>
                <w:color w:val="000000"/>
              </w:rPr>
            </w:pPr>
            <w:r w:rsidRPr="00C11B1D">
              <w:rPr>
                <w:color w:val="000000"/>
              </w:rPr>
              <w:t>2.000</w:t>
            </w:r>
          </w:p>
        </w:tc>
      </w:tr>
      <w:tr w:rsidR="00C11B1D" w:rsidRPr="00C11B1D" w14:paraId="0F6B6C82" w14:textId="77777777" w:rsidTr="00C11B1D">
        <w:trPr>
          <w:jc w:val="center"/>
        </w:trPr>
        <w:tc>
          <w:tcPr>
            <w:tcW w:w="730" w:type="pct"/>
            <w:tcBorders>
              <w:top w:val="nil"/>
              <w:left w:val="nil"/>
              <w:bottom w:val="nil"/>
              <w:right w:val="nil"/>
            </w:tcBorders>
            <w:shd w:val="clear" w:color="auto" w:fill="auto"/>
            <w:noWrap/>
            <w:hideMark/>
          </w:tcPr>
          <w:p w14:paraId="08DCE768" w14:textId="77777777" w:rsidR="00C11B1D" w:rsidRPr="00C11B1D" w:rsidRDefault="00C11B1D" w:rsidP="00C11B1D">
            <w:pPr>
              <w:spacing w:line="360" w:lineRule="auto"/>
              <w:jc w:val="center"/>
              <w:rPr>
                <w:color w:val="000000"/>
              </w:rPr>
            </w:pPr>
            <w:r w:rsidRPr="00C11B1D">
              <w:rPr>
                <w:color w:val="000000"/>
              </w:rPr>
              <w:t>DEU</w:t>
            </w:r>
          </w:p>
        </w:tc>
        <w:tc>
          <w:tcPr>
            <w:tcW w:w="522" w:type="pct"/>
            <w:tcBorders>
              <w:top w:val="nil"/>
              <w:left w:val="nil"/>
              <w:bottom w:val="nil"/>
              <w:right w:val="single" w:sz="4" w:space="0" w:color="auto"/>
            </w:tcBorders>
            <w:shd w:val="clear" w:color="auto" w:fill="auto"/>
            <w:noWrap/>
            <w:hideMark/>
          </w:tcPr>
          <w:p w14:paraId="1DA639BB" w14:textId="77777777" w:rsidR="00C11B1D" w:rsidRPr="00C11B1D" w:rsidRDefault="00C11B1D" w:rsidP="00D22A16">
            <w:pPr>
              <w:tabs>
                <w:tab w:val="decimal" w:pos="312"/>
              </w:tabs>
              <w:spacing w:line="360" w:lineRule="auto"/>
              <w:rPr>
                <w:color w:val="000000"/>
              </w:rPr>
            </w:pPr>
            <w:r w:rsidRPr="00C11B1D">
              <w:rPr>
                <w:color w:val="000000"/>
              </w:rPr>
              <w:t>0.519</w:t>
            </w:r>
          </w:p>
        </w:tc>
        <w:tc>
          <w:tcPr>
            <w:tcW w:w="730" w:type="pct"/>
            <w:tcBorders>
              <w:top w:val="nil"/>
              <w:left w:val="single" w:sz="4" w:space="0" w:color="auto"/>
              <w:bottom w:val="nil"/>
              <w:right w:val="nil"/>
            </w:tcBorders>
            <w:shd w:val="clear" w:color="auto" w:fill="auto"/>
            <w:noWrap/>
            <w:hideMark/>
          </w:tcPr>
          <w:p w14:paraId="0B3A80B7" w14:textId="77777777" w:rsidR="00C11B1D" w:rsidRPr="00C11B1D" w:rsidRDefault="00C11B1D" w:rsidP="00C11B1D">
            <w:pPr>
              <w:spacing w:line="360" w:lineRule="auto"/>
              <w:jc w:val="center"/>
              <w:rPr>
                <w:color w:val="000000"/>
              </w:rPr>
            </w:pPr>
            <w:r w:rsidRPr="00C11B1D">
              <w:rPr>
                <w:color w:val="000000"/>
              </w:rPr>
              <w:t>BGR</w:t>
            </w:r>
          </w:p>
        </w:tc>
        <w:tc>
          <w:tcPr>
            <w:tcW w:w="521" w:type="pct"/>
            <w:tcBorders>
              <w:top w:val="nil"/>
              <w:left w:val="nil"/>
              <w:bottom w:val="nil"/>
              <w:right w:val="single" w:sz="4" w:space="0" w:color="auto"/>
            </w:tcBorders>
            <w:shd w:val="clear" w:color="auto" w:fill="auto"/>
            <w:noWrap/>
            <w:hideMark/>
          </w:tcPr>
          <w:p w14:paraId="5E68AFB1" w14:textId="77777777" w:rsidR="00C11B1D" w:rsidRPr="00C11B1D" w:rsidRDefault="00C11B1D" w:rsidP="00D22A16">
            <w:pPr>
              <w:tabs>
                <w:tab w:val="decimal" w:pos="371"/>
              </w:tabs>
              <w:spacing w:line="360" w:lineRule="auto"/>
              <w:rPr>
                <w:color w:val="000000"/>
              </w:rPr>
            </w:pPr>
            <w:r w:rsidRPr="00C11B1D">
              <w:rPr>
                <w:color w:val="000000"/>
              </w:rPr>
              <w:t>0.749</w:t>
            </w:r>
          </w:p>
        </w:tc>
        <w:tc>
          <w:tcPr>
            <w:tcW w:w="729" w:type="pct"/>
            <w:tcBorders>
              <w:top w:val="nil"/>
              <w:left w:val="single" w:sz="4" w:space="0" w:color="auto"/>
              <w:bottom w:val="nil"/>
              <w:right w:val="nil"/>
            </w:tcBorders>
            <w:shd w:val="clear" w:color="auto" w:fill="auto"/>
            <w:noWrap/>
            <w:hideMark/>
          </w:tcPr>
          <w:p w14:paraId="4A9FE247" w14:textId="77777777" w:rsidR="00C11B1D" w:rsidRPr="00C11B1D" w:rsidRDefault="00C11B1D" w:rsidP="00C11B1D">
            <w:pPr>
              <w:spacing w:line="360" w:lineRule="auto"/>
              <w:jc w:val="center"/>
              <w:rPr>
                <w:color w:val="000000"/>
              </w:rPr>
            </w:pPr>
            <w:r w:rsidRPr="00C11B1D">
              <w:rPr>
                <w:color w:val="000000"/>
              </w:rPr>
              <w:t>KHM</w:t>
            </w:r>
          </w:p>
        </w:tc>
        <w:tc>
          <w:tcPr>
            <w:tcW w:w="521" w:type="pct"/>
            <w:tcBorders>
              <w:top w:val="nil"/>
              <w:left w:val="nil"/>
              <w:bottom w:val="nil"/>
              <w:right w:val="single" w:sz="4" w:space="0" w:color="auto"/>
            </w:tcBorders>
            <w:shd w:val="clear" w:color="auto" w:fill="auto"/>
            <w:noWrap/>
            <w:hideMark/>
          </w:tcPr>
          <w:p w14:paraId="72B88E0A" w14:textId="77777777" w:rsidR="00C11B1D" w:rsidRPr="00C11B1D" w:rsidRDefault="00C11B1D" w:rsidP="00D22A16">
            <w:pPr>
              <w:tabs>
                <w:tab w:val="decimal" w:pos="300"/>
              </w:tabs>
              <w:spacing w:line="360" w:lineRule="auto"/>
              <w:rPr>
                <w:color w:val="000000"/>
              </w:rPr>
            </w:pPr>
            <w:r w:rsidRPr="00C11B1D">
              <w:rPr>
                <w:color w:val="000000"/>
              </w:rPr>
              <w:t>0.933</w:t>
            </w:r>
          </w:p>
        </w:tc>
        <w:tc>
          <w:tcPr>
            <w:tcW w:w="729" w:type="pct"/>
            <w:tcBorders>
              <w:top w:val="nil"/>
              <w:left w:val="single" w:sz="4" w:space="0" w:color="auto"/>
              <w:bottom w:val="nil"/>
              <w:right w:val="nil"/>
            </w:tcBorders>
            <w:shd w:val="clear" w:color="auto" w:fill="auto"/>
            <w:noWrap/>
            <w:hideMark/>
          </w:tcPr>
          <w:p w14:paraId="595F4337" w14:textId="77777777" w:rsidR="00C11B1D" w:rsidRPr="00C11B1D" w:rsidRDefault="00C11B1D" w:rsidP="00C11B1D">
            <w:pPr>
              <w:spacing w:line="360" w:lineRule="auto"/>
              <w:jc w:val="center"/>
              <w:rPr>
                <w:color w:val="000000"/>
              </w:rPr>
            </w:pPr>
            <w:r w:rsidRPr="00C11B1D">
              <w:rPr>
                <w:color w:val="000000"/>
              </w:rPr>
              <w:t>GNQ</w:t>
            </w:r>
          </w:p>
        </w:tc>
        <w:tc>
          <w:tcPr>
            <w:tcW w:w="518" w:type="pct"/>
            <w:tcBorders>
              <w:top w:val="nil"/>
              <w:left w:val="nil"/>
              <w:bottom w:val="nil"/>
              <w:right w:val="nil"/>
            </w:tcBorders>
            <w:shd w:val="clear" w:color="auto" w:fill="auto"/>
            <w:noWrap/>
            <w:hideMark/>
          </w:tcPr>
          <w:p w14:paraId="36A2678D" w14:textId="77777777" w:rsidR="00C11B1D" w:rsidRPr="00C11B1D" w:rsidRDefault="00C11B1D" w:rsidP="00D22A16">
            <w:pPr>
              <w:tabs>
                <w:tab w:val="decimal" w:pos="304"/>
              </w:tabs>
              <w:spacing w:line="360" w:lineRule="auto"/>
              <w:rPr>
                <w:color w:val="000000"/>
              </w:rPr>
            </w:pPr>
            <w:r w:rsidRPr="00C11B1D">
              <w:rPr>
                <w:color w:val="000000"/>
              </w:rPr>
              <w:t>2.000</w:t>
            </w:r>
          </w:p>
        </w:tc>
      </w:tr>
      <w:tr w:rsidR="00C11B1D" w:rsidRPr="00C11B1D" w14:paraId="6E7BFEAC" w14:textId="77777777" w:rsidTr="00C11B1D">
        <w:trPr>
          <w:jc w:val="center"/>
        </w:trPr>
        <w:tc>
          <w:tcPr>
            <w:tcW w:w="730" w:type="pct"/>
            <w:tcBorders>
              <w:top w:val="nil"/>
              <w:left w:val="nil"/>
              <w:right w:val="nil"/>
            </w:tcBorders>
            <w:shd w:val="clear" w:color="auto" w:fill="auto"/>
            <w:noWrap/>
            <w:hideMark/>
          </w:tcPr>
          <w:p w14:paraId="272E7A5D" w14:textId="77777777" w:rsidR="00C11B1D" w:rsidRPr="00C11B1D" w:rsidRDefault="00C11B1D" w:rsidP="00C11B1D">
            <w:pPr>
              <w:spacing w:line="360" w:lineRule="auto"/>
              <w:jc w:val="center"/>
              <w:rPr>
                <w:color w:val="000000"/>
              </w:rPr>
            </w:pPr>
            <w:r w:rsidRPr="00C11B1D">
              <w:rPr>
                <w:color w:val="000000"/>
              </w:rPr>
              <w:lastRenderedPageBreak/>
              <w:t>CAN</w:t>
            </w:r>
          </w:p>
        </w:tc>
        <w:tc>
          <w:tcPr>
            <w:tcW w:w="522" w:type="pct"/>
            <w:tcBorders>
              <w:top w:val="nil"/>
              <w:left w:val="nil"/>
              <w:right w:val="single" w:sz="4" w:space="0" w:color="auto"/>
            </w:tcBorders>
            <w:shd w:val="clear" w:color="auto" w:fill="auto"/>
            <w:noWrap/>
            <w:hideMark/>
          </w:tcPr>
          <w:p w14:paraId="3D191209" w14:textId="77777777" w:rsidR="00C11B1D" w:rsidRPr="00C11B1D" w:rsidRDefault="00C11B1D" w:rsidP="00D22A16">
            <w:pPr>
              <w:tabs>
                <w:tab w:val="decimal" w:pos="312"/>
              </w:tabs>
              <w:spacing w:line="360" w:lineRule="auto"/>
              <w:rPr>
                <w:color w:val="000000"/>
              </w:rPr>
            </w:pPr>
            <w:r w:rsidRPr="00C11B1D">
              <w:rPr>
                <w:color w:val="000000"/>
              </w:rPr>
              <w:t>0.519</w:t>
            </w:r>
          </w:p>
        </w:tc>
        <w:tc>
          <w:tcPr>
            <w:tcW w:w="730" w:type="pct"/>
            <w:tcBorders>
              <w:top w:val="nil"/>
              <w:left w:val="single" w:sz="4" w:space="0" w:color="auto"/>
              <w:right w:val="nil"/>
            </w:tcBorders>
            <w:shd w:val="clear" w:color="auto" w:fill="auto"/>
            <w:noWrap/>
            <w:hideMark/>
          </w:tcPr>
          <w:p w14:paraId="711B6B7E" w14:textId="77777777" w:rsidR="00C11B1D" w:rsidRPr="00C11B1D" w:rsidRDefault="00C11B1D" w:rsidP="00C11B1D">
            <w:pPr>
              <w:spacing w:line="360" w:lineRule="auto"/>
              <w:jc w:val="center"/>
              <w:rPr>
                <w:color w:val="000000"/>
              </w:rPr>
            </w:pPr>
            <w:r w:rsidRPr="00C11B1D">
              <w:rPr>
                <w:color w:val="000000"/>
              </w:rPr>
              <w:t>SEN</w:t>
            </w:r>
          </w:p>
        </w:tc>
        <w:tc>
          <w:tcPr>
            <w:tcW w:w="521" w:type="pct"/>
            <w:tcBorders>
              <w:top w:val="nil"/>
              <w:left w:val="nil"/>
              <w:right w:val="single" w:sz="4" w:space="0" w:color="auto"/>
            </w:tcBorders>
            <w:shd w:val="clear" w:color="auto" w:fill="auto"/>
            <w:noWrap/>
            <w:hideMark/>
          </w:tcPr>
          <w:p w14:paraId="43F7ABC5" w14:textId="77777777" w:rsidR="00C11B1D" w:rsidRPr="00C11B1D" w:rsidRDefault="00C11B1D" w:rsidP="00D22A16">
            <w:pPr>
              <w:tabs>
                <w:tab w:val="decimal" w:pos="371"/>
              </w:tabs>
              <w:spacing w:line="360" w:lineRule="auto"/>
              <w:rPr>
                <w:color w:val="000000"/>
              </w:rPr>
            </w:pPr>
            <w:r w:rsidRPr="00C11B1D">
              <w:rPr>
                <w:color w:val="000000"/>
              </w:rPr>
              <w:t>0.749</w:t>
            </w:r>
          </w:p>
        </w:tc>
        <w:tc>
          <w:tcPr>
            <w:tcW w:w="729" w:type="pct"/>
            <w:tcBorders>
              <w:top w:val="nil"/>
              <w:left w:val="single" w:sz="4" w:space="0" w:color="auto"/>
              <w:right w:val="nil"/>
            </w:tcBorders>
            <w:shd w:val="clear" w:color="auto" w:fill="auto"/>
            <w:noWrap/>
            <w:hideMark/>
          </w:tcPr>
          <w:p w14:paraId="1182941C" w14:textId="77777777" w:rsidR="00C11B1D" w:rsidRPr="00C11B1D" w:rsidRDefault="00C11B1D" w:rsidP="00C11B1D">
            <w:pPr>
              <w:spacing w:line="360" w:lineRule="auto"/>
              <w:jc w:val="center"/>
              <w:rPr>
                <w:color w:val="000000"/>
              </w:rPr>
            </w:pPr>
            <w:r w:rsidRPr="00C11B1D">
              <w:rPr>
                <w:color w:val="000000"/>
              </w:rPr>
              <w:t>MDA</w:t>
            </w:r>
          </w:p>
        </w:tc>
        <w:tc>
          <w:tcPr>
            <w:tcW w:w="521" w:type="pct"/>
            <w:tcBorders>
              <w:top w:val="nil"/>
              <w:left w:val="nil"/>
              <w:right w:val="single" w:sz="4" w:space="0" w:color="auto"/>
            </w:tcBorders>
            <w:shd w:val="clear" w:color="auto" w:fill="auto"/>
            <w:noWrap/>
            <w:hideMark/>
          </w:tcPr>
          <w:p w14:paraId="5978A719" w14:textId="77777777" w:rsidR="00C11B1D" w:rsidRPr="00C11B1D" w:rsidRDefault="00C11B1D" w:rsidP="00D22A16">
            <w:pPr>
              <w:tabs>
                <w:tab w:val="decimal" w:pos="300"/>
              </w:tabs>
              <w:spacing w:line="360" w:lineRule="auto"/>
              <w:rPr>
                <w:color w:val="000000"/>
              </w:rPr>
            </w:pPr>
            <w:r w:rsidRPr="00C11B1D">
              <w:rPr>
                <w:color w:val="000000"/>
              </w:rPr>
              <w:t>0.933</w:t>
            </w:r>
          </w:p>
        </w:tc>
        <w:tc>
          <w:tcPr>
            <w:tcW w:w="729" w:type="pct"/>
            <w:tcBorders>
              <w:top w:val="nil"/>
              <w:left w:val="single" w:sz="4" w:space="0" w:color="auto"/>
              <w:right w:val="nil"/>
            </w:tcBorders>
            <w:shd w:val="clear" w:color="auto" w:fill="auto"/>
            <w:noWrap/>
            <w:hideMark/>
          </w:tcPr>
          <w:p w14:paraId="56513DED" w14:textId="77777777" w:rsidR="00C11B1D" w:rsidRPr="00C11B1D" w:rsidRDefault="00C11B1D" w:rsidP="00C11B1D">
            <w:pPr>
              <w:spacing w:line="360" w:lineRule="auto"/>
              <w:jc w:val="center"/>
              <w:rPr>
                <w:color w:val="000000"/>
              </w:rPr>
            </w:pPr>
            <w:r w:rsidRPr="00C11B1D">
              <w:rPr>
                <w:color w:val="000000"/>
              </w:rPr>
              <w:t>IRQ</w:t>
            </w:r>
          </w:p>
        </w:tc>
        <w:tc>
          <w:tcPr>
            <w:tcW w:w="518" w:type="pct"/>
            <w:tcBorders>
              <w:top w:val="nil"/>
              <w:left w:val="nil"/>
              <w:right w:val="nil"/>
            </w:tcBorders>
            <w:shd w:val="clear" w:color="auto" w:fill="auto"/>
            <w:noWrap/>
            <w:hideMark/>
          </w:tcPr>
          <w:p w14:paraId="05C194F4" w14:textId="77777777" w:rsidR="00C11B1D" w:rsidRPr="00C11B1D" w:rsidRDefault="00C11B1D" w:rsidP="00D22A16">
            <w:pPr>
              <w:tabs>
                <w:tab w:val="decimal" w:pos="304"/>
              </w:tabs>
              <w:spacing w:line="360" w:lineRule="auto"/>
              <w:rPr>
                <w:color w:val="000000"/>
              </w:rPr>
            </w:pPr>
            <w:r w:rsidRPr="00C11B1D">
              <w:rPr>
                <w:color w:val="000000"/>
              </w:rPr>
              <w:t>2.333</w:t>
            </w:r>
          </w:p>
        </w:tc>
      </w:tr>
      <w:tr w:rsidR="00C11B1D" w:rsidRPr="00C11B1D" w14:paraId="1E1CC59C" w14:textId="77777777" w:rsidTr="00C11B1D">
        <w:trPr>
          <w:jc w:val="center"/>
        </w:trPr>
        <w:tc>
          <w:tcPr>
            <w:tcW w:w="730" w:type="pct"/>
            <w:tcBorders>
              <w:top w:val="nil"/>
              <w:left w:val="nil"/>
              <w:bottom w:val="single" w:sz="4" w:space="0" w:color="auto"/>
              <w:right w:val="nil"/>
            </w:tcBorders>
            <w:shd w:val="clear" w:color="auto" w:fill="auto"/>
            <w:noWrap/>
            <w:hideMark/>
          </w:tcPr>
          <w:p w14:paraId="25E608DE" w14:textId="77777777" w:rsidR="00C11B1D" w:rsidRPr="00C11B1D" w:rsidRDefault="00C11B1D" w:rsidP="00C11B1D">
            <w:pPr>
              <w:spacing w:line="360" w:lineRule="auto"/>
              <w:jc w:val="center"/>
              <w:rPr>
                <w:color w:val="000000"/>
              </w:rPr>
            </w:pPr>
          </w:p>
        </w:tc>
        <w:tc>
          <w:tcPr>
            <w:tcW w:w="522" w:type="pct"/>
            <w:tcBorders>
              <w:top w:val="nil"/>
              <w:left w:val="nil"/>
              <w:bottom w:val="single" w:sz="4" w:space="0" w:color="auto"/>
              <w:right w:val="single" w:sz="4" w:space="0" w:color="auto"/>
            </w:tcBorders>
            <w:shd w:val="clear" w:color="auto" w:fill="auto"/>
            <w:noWrap/>
            <w:hideMark/>
          </w:tcPr>
          <w:p w14:paraId="04EEF435" w14:textId="77777777" w:rsidR="00C11B1D" w:rsidRPr="00C11B1D" w:rsidRDefault="00C11B1D" w:rsidP="00C11B1D">
            <w:pPr>
              <w:spacing w:line="360" w:lineRule="auto"/>
              <w:jc w:val="center"/>
            </w:pPr>
          </w:p>
        </w:tc>
        <w:tc>
          <w:tcPr>
            <w:tcW w:w="730" w:type="pct"/>
            <w:tcBorders>
              <w:top w:val="nil"/>
              <w:left w:val="single" w:sz="4" w:space="0" w:color="auto"/>
              <w:bottom w:val="single" w:sz="4" w:space="0" w:color="auto"/>
              <w:right w:val="nil"/>
            </w:tcBorders>
            <w:shd w:val="clear" w:color="auto" w:fill="auto"/>
            <w:noWrap/>
            <w:hideMark/>
          </w:tcPr>
          <w:p w14:paraId="5A7100B2" w14:textId="77777777" w:rsidR="00C11B1D" w:rsidRPr="00C11B1D" w:rsidRDefault="00C11B1D" w:rsidP="00C11B1D">
            <w:pPr>
              <w:spacing w:line="360" w:lineRule="auto"/>
              <w:jc w:val="center"/>
            </w:pPr>
          </w:p>
        </w:tc>
        <w:tc>
          <w:tcPr>
            <w:tcW w:w="521" w:type="pct"/>
            <w:tcBorders>
              <w:top w:val="nil"/>
              <w:left w:val="nil"/>
              <w:bottom w:val="single" w:sz="4" w:space="0" w:color="auto"/>
              <w:right w:val="single" w:sz="4" w:space="0" w:color="auto"/>
            </w:tcBorders>
            <w:shd w:val="clear" w:color="auto" w:fill="auto"/>
            <w:noWrap/>
            <w:hideMark/>
          </w:tcPr>
          <w:p w14:paraId="3C349291" w14:textId="77777777" w:rsidR="00C11B1D" w:rsidRPr="00C11B1D" w:rsidRDefault="00C11B1D" w:rsidP="00D22A16">
            <w:pPr>
              <w:tabs>
                <w:tab w:val="decimal" w:pos="371"/>
              </w:tabs>
              <w:spacing w:line="360" w:lineRule="auto"/>
            </w:pPr>
          </w:p>
        </w:tc>
        <w:tc>
          <w:tcPr>
            <w:tcW w:w="729" w:type="pct"/>
            <w:tcBorders>
              <w:top w:val="nil"/>
              <w:left w:val="single" w:sz="4" w:space="0" w:color="auto"/>
              <w:bottom w:val="single" w:sz="4" w:space="0" w:color="auto"/>
              <w:right w:val="nil"/>
            </w:tcBorders>
            <w:shd w:val="clear" w:color="auto" w:fill="auto"/>
            <w:noWrap/>
            <w:hideMark/>
          </w:tcPr>
          <w:p w14:paraId="1BE6FD8F" w14:textId="77777777" w:rsidR="00C11B1D" w:rsidRPr="00C11B1D" w:rsidRDefault="00C11B1D" w:rsidP="00C11B1D">
            <w:pPr>
              <w:spacing w:line="360" w:lineRule="auto"/>
              <w:jc w:val="center"/>
            </w:pPr>
          </w:p>
        </w:tc>
        <w:tc>
          <w:tcPr>
            <w:tcW w:w="521" w:type="pct"/>
            <w:tcBorders>
              <w:top w:val="nil"/>
              <w:left w:val="nil"/>
              <w:bottom w:val="single" w:sz="4" w:space="0" w:color="auto"/>
              <w:right w:val="single" w:sz="4" w:space="0" w:color="auto"/>
            </w:tcBorders>
            <w:shd w:val="clear" w:color="auto" w:fill="auto"/>
            <w:noWrap/>
            <w:hideMark/>
          </w:tcPr>
          <w:p w14:paraId="079A14C5" w14:textId="77777777" w:rsidR="00C11B1D" w:rsidRPr="00C11B1D" w:rsidRDefault="00C11B1D" w:rsidP="00D22A16">
            <w:pPr>
              <w:tabs>
                <w:tab w:val="decimal" w:pos="300"/>
              </w:tabs>
              <w:spacing w:line="360" w:lineRule="auto"/>
            </w:pPr>
          </w:p>
        </w:tc>
        <w:tc>
          <w:tcPr>
            <w:tcW w:w="729" w:type="pct"/>
            <w:tcBorders>
              <w:top w:val="nil"/>
              <w:left w:val="single" w:sz="4" w:space="0" w:color="auto"/>
              <w:bottom w:val="single" w:sz="4" w:space="0" w:color="auto"/>
              <w:right w:val="nil"/>
            </w:tcBorders>
            <w:shd w:val="clear" w:color="auto" w:fill="auto"/>
            <w:noWrap/>
            <w:hideMark/>
          </w:tcPr>
          <w:p w14:paraId="61C14A5E" w14:textId="77777777" w:rsidR="00C11B1D" w:rsidRPr="00C11B1D" w:rsidRDefault="00C11B1D" w:rsidP="00C11B1D">
            <w:pPr>
              <w:spacing w:line="360" w:lineRule="auto"/>
              <w:jc w:val="center"/>
              <w:rPr>
                <w:color w:val="000000"/>
              </w:rPr>
            </w:pPr>
            <w:r w:rsidRPr="00C11B1D">
              <w:rPr>
                <w:color w:val="000000"/>
              </w:rPr>
              <w:t>HTI</w:t>
            </w:r>
          </w:p>
        </w:tc>
        <w:tc>
          <w:tcPr>
            <w:tcW w:w="518" w:type="pct"/>
            <w:tcBorders>
              <w:top w:val="nil"/>
              <w:left w:val="nil"/>
              <w:bottom w:val="single" w:sz="4" w:space="0" w:color="auto"/>
              <w:right w:val="nil"/>
            </w:tcBorders>
            <w:shd w:val="clear" w:color="auto" w:fill="auto"/>
            <w:noWrap/>
            <w:hideMark/>
          </w:tcPr>
          <w:p w14:paraId="4F4ED3B6" w14:textId="77777777" w:rsidR="00C11B1D" w:rsidRPr="00C11B1D" w:rsidRDefault="00C11B1D" w:rsidP="00D22A16">
            <w:pPr>
              <w:tabs>
                <w:tab w:val="decimal" w:pos="304"/>
              </w:tabs>
              <w:spacing w:line="360" w:lineRule="auto"/>
              <w:rPr>
                <w:color w:val="000000"/>
              </w:rPr>
            </w:pPr>
            <w:r w:rsidRPr="00C11B1D">
              <w:rPr>
                <w:color w:val="000000"/>
              </w:rPr>
              <w:t>2.545</w:t>
            </w:r>
          </w:p>
        </w:tc>
      </w:tr>
    </w:tbl>
    <w:p w14:paraId="480FF83B" w14:textId="77777777" w:rsidR="00C11B1D" w:rsidRDefault="00C11B1D" w:rsidP="0007082F">
      <w:pPr>
        <w:spacing w:before="120"/>
        <w:jc w:val="both"/>
        <w:rPr>
          <w:i/>
          <w:iCs/>
          <w:sz w:val="20"/>
          <w:szCs w:val="20"/>
        </w:rPr>
      </w:pPr>
    </w:p>
    <w:p w14:paraId="0A7E898D" w14:textId="6C530EF6" w:rsidR="004325ED" w:rsidRDefault="00395AB0" w:rsidP="00C11B1D">
      <w:pPr>
        <w:spacing w:line="480" w:lineRule="auto"/>
        <w:rPr>
          <w:szCs w:val="20"/>
        </w:rPr>
      </w:pPr>
      <w:r>
        <w:rPr>
          <w:iCs/>
          <w:szCs w:val="20"/>
        </w:rPr>
        <w:t xml:space="preserve">Table A3 </w:t>
      </w:r>
      <w:r w:rsidR="004325ED" w:rsidRPr="00C11B1D">
        <w:rPr>
          <w:iCs/>
          <w:szCs w:val="20"/>
        </w:rPr>
        <w:t>Notes:</w:t>
      </w:r>
      <w:r w:rsidR="004325ED" w:rsidRPr="00C11B1D">
        <w:rPr>
          <w:szCs w:val="20"/>
        </w:rPr>
        <w:t xml:space="preserve"> Data on climate laws and policies come from </w:t>
      </w:r>
      <w:r w:rsidR="004325ED" w:rsidRPr="00C11B1D">
        <w:rPr>
          <w:i/>
          <w:iCs/>
          <w:szCs w:val="20"/>
        </w:rPr>
        <w:t>Climate Change Laws of the World</w:t>
      </w:r>
      <w:r w:rsidR="004325ED" w:rsidRPr="00C11B1D">
        <w:rPr>
          <w:szCs w:val="20"/>
        </w:rPr>
        <w:t xml:space="preserve">. Data on business cycles are calculated from real GDP data from the </w:t>
      </w:r>
      <w:r w:rsidR="004325ED" w:rsidRPr="00C11B1D">
        <w:rPr>
          <w:i/>
          <w:iCs/>
          <w:szCs w:val="20"/>
        </w:rPr>
        <w:t>World Development Indicators</w:t>
      </w:r>
      <w:r w:rsidR="004325ED" w:rsidRPr="00C11B1D">
        <w:rPr>
          <w:szCs w:val="20"/>
        </w:rPr>
        <w:t xml:space="preserve"> database. All calculations are done over the period 1990-2017.</w:t>
      </w:r>
    </w:p>
    <w:p w14:paraId="4102683E" w14:textId="77777777" w:rsidR="00CA50F7" w:rsidRDefault="00CA50F7" w:rsidP="00C11B1D">
      <w:pPr>
        <w:spacing w:line="480" w:lineRule="auto"/>
        <w:rPr>
          <w:szCs w:val="20"/>
        </w:rPr>
        <w:sectPr w:rsidR="00CA50F7" w:rsidSect="00F960B8">
          <w:pgSz w:w="15840" w:h="12240" w:orient="landscape" w:code="1"/>
          <w:pgMar w:top="1440" w:right="1440" w:bottom="1440" w:left="1440" w:header="425" w:footer="709" w:gutter="0"/>
          <w:cols w:space="708"/>
          <w:docGrid w:linePitch="360"/>
        </w:sectPr>
      </w:pPr>
    </w:p>
    <w:p w14:paraId="336FA709" w14:textId="1465DBA8" w:rsidR="0007082F" w:rsidRPr="00436BB1" w:rsidRDefault="0007082F">
      <w:pPr>
        <w:spacing w:after="200" w:line="2" w:lineRule="auto"/>
        <w:rPr>
          <w:sz w:val="18"/>
          <w:szCs w:val="18"/>
        </w:rPr>
      </w:pPr>
    </w:p>
    <w:p w14:paraId="4D00E421" w14:textId="0DFD339E" w:rsidR="0007082F" w:rsidRDefault="0007082F" w:rsidP="00CA50F7">
      <w:pPr>
        <w:pStyle w:val="Heading2"/>
        <w:keepNext/>
        <w:keepLines/>
        <w:spacing w:after="0" w:line="276" w:lineRule="auto"/>
        <w:rPr>
          <w:b w:val="0"/>
        </w:rPr>
      </w:pPr>
      <w:r w:rsidRPr="00CA50F7">
        <w:rPr>
          <w:b w:val="0"/>
        </w:rPr>
        <w:t xml:space="preserve">Table A.4: Number of </w:t>
      </w:r>
      <w:r w:rsidR="00626EBB" w:rsidRPr="00CA50F7">
        <w:rPr>
          <w:b w:val="0"/>
        </w:rPr>
        <w:t xml:space="preserve">climate litigation </w:t>
      </w:r>
      <w:r w:rsidRPr="00CA50F7">
        <w:rPr>
          <w:b w:val="0"/>
        </w:rPr>
        <w:t xml:space="preserve">cases by </w:t>
      </w:r>
      <w:r w:rsidR="00D107E5" w:rsidRPr="00CA50F7">
        <w:rPr>
          <w:b w:val="0"/>
        </w:rPr>
        <w:t>jurisdiction</w:t>
      </w:r>
    </w:p>
    <w:p w14:paraId="22A87A4C" w14:textId="77777777" w:rsidR="00CA50F7" w:rsidRPr="00CA50F7" w:rsidRDefault="00CA50F7" w:rsidP="00CA50F7"/>
    <w:tbl>
      <w:tblPr>
        <w:tblW w:w="4865" w:type="pct"/>
        <w:jc w:val="center"/>
        <w:tblLayout w:type="fixed"/>
        <w:tblLook w:val="04A0" w:firstRow="1" w:lastRow="0" w:firstColumn="1" w:lastColumn="0" w:noHBand="0" w:noVBand="1"/>
      </w:tblPr>
      <w:tblGrid>
        <w:gridCol w:w="1056"/>
        <w:gridCol w:w="1147"/>
        <w:gridCol w:w="2409"/>
        <w:gridCol w:w="1165"/>
        <w:gridCol w:w="1142"/>
        <w:gridCol w:w="2398"/>
      </w:tblGrid>
      <w:tr w:rsidR="00EB6E08" w:rsidRPr="00CA50F7" w14:paraId="262407A1" w14:textId="77777777" w:rsidTr="00EB6E08">
        <w:trPr>
          <w:jc w:val="center"/>
        </w:trPr>
        <w:tc>
          <w:tcPr>
            <w:tcW w:w="566" w:type="pct"/>
            <w:tcBorders>
              <w:left w:val="nil"/>
              <w:bottom w:val="single" w:sz="4" w:space="0" w:color="auto"/>
              <w:right w:val="nil"/>
            </w:tcBorders>
            <w:shd w:val="clear" w:color="auto" w:fill="auto"/>
            <w:noWrap/>
            <w:hideMark/>
          </w:tcPr>
          <w:p w14:paraId="7D7651BA" w14:textId="77777777" w:rsidR="00CA50F7" w:rsidRPr="00CA50F7" w:rsidRDefault="00CA50F7" w:rsidP="00CA50F7">
            <w:pPr>
              <w:spacing w:line="276" w:lineRule="auto"/>
              <w:jc w:val="center"/>
              <w:rPr>
                <w:color w:val="000000"/>
                <w:lang w:eastAsia="en-US"/>
              </w:rPr>
            </w:pPr>
            <w:r w:rsidRPr="00CA50F7">
              <w:rPr>
                <w:color w:val="000000"/>
                <w:lang w:eastAsia="en-US"/>
              </w:rPr>
              <w:t>ISO Code</w:t>
            </w:r>
          </w:p>
        </w:tc>
        <w:tc>
          <w:tcPr>
            <w:tcW w:w="615" w:type="pct"/>
            <w:tcBorders>
              <w:left w:val="nil"/>
              <w:bottom w:val="single" w:sz="4" w:space="0" w:color="auto"/>
              <w:right w:val="nil"/>
            </w:tcBorders>
            <w:shd w:val="clear" w:color="auto" w:fill="auto"/>
            <w:noWrap/>
            <w:hideMark/>
          </w:tcPr>
          <w:p w14:paraId="3F2A3A6A" w14:textId="77777777" w:rsidR="00CA50F7" w:rsidRPr="00CA50F7" w:rsidRDefault="00CA50F7" w:rsidP="00CA50F7">
            <w:pPr>
              <w:spacing w:line="276" w:lineRule="auto"/>
              <w:jc w:val="center"/>
              <w:rPr>
                <w:color w:val="000000"/>
                <w:lang w:eastAsia="en-US"/>
              </w:rPr>
            </w:pPr>
            <w:r w:rsidRPr="00CA50F7">
              <w:rPr>
                <w:color w:val="000000"/>
                <w:lang w:eastAsia="en-US"/>
              </w:rPr>
              <w:t>Total Number</w:t>
            </w:r>
          </w:p>
        </w:tc>
        <w:tc>
          <w:tcPr>
            <w:tcW w:w="1293" w:type="pct"/>
            <w:tcBorders>
              <w:left w:val="nil"/>
              <w:bottom w:val="single" w:sz="4" w:space="0" w:color="auto"/>
              <w:right w:val="single" w:sz="4" w:space="0" w:color="auto"/>
            </w:tcBorders>
            <w:shd w:val="clear" w:color="auto" w:fill="auto"/>
            <w:noWrap/>
            <w:hideMark/>
          </w:tcPr>
          <w:p w14:paraId="520FD96F" w14:textId="77777777" w:rsidR="00CA50F7" w:rsidRPr="00CA50F7" w:rsidRDefault="00CA50F7" w:rsidP="00CA50F7">
            <w:pPr>
              <w:spacing w:line="276" w:lineRule="auto"/>
              <w:jc w:val="center"/>
              <w:rPr>
                <w:color w:val="000000"/>
                <w:lang w:eastAsia="en-US"/>
              </w:rPr>
            </w:pPr>
            <w:r w:rsidRPr="00CA50F7">
              <w:rPr>
                <w:color w:val="000000"/>
                <w:lang w:eastAsia="en-US"/>
              </w:rPr>
              <w:t>Cases with a pro-environment decision</w:t>
            </w:r>
          </w:p>
        </w:tc>
        <w:tc>
          <w:tcPr>
            <w:tcW w:w="625" w:type="pct"/>
            <w:tcBorders>
              <w:left w:val="single" w:sz="4" w:space="0" w:color="auto"/>
              <w:bottom w:val="single" w:sz="4" w:space="0" w:color="auto"/>
              <w:right w:val="nil"/>
            </w:tcBorders>
            <w:shd w:val="clear" w:color="auto" w:fill="auto"/>
            <w:noWrap/>
            <w:hideMark/>
          </w:tcPr>
          <w:p w14:paraId="61B17D92" w14:textId="77777777" w:rsidR="00CA50F7" w:rsidRPr="00CA50F7" w:rsidRDefault="00CA50F7" w:rsidP="00CA50F7">
            <w:pPr>
              <w:spacing w:line="276" w:lineRule="auto"/>
              <w:jc w:val="center"/>
              <w:rPr>
                <w:color w:val="000000"/>
                <w:lang w:eastAsia="en-US"/>
              </w:rPr>
            </w:pPr>
            <w:r w:rsidRPr="00CA50F7">
              <w:rPr>
                <w:color w:val="000000"/>
                <w:lang w:eastAsia="en-US"/>
              </w:rPr>
              <w:t>ISO Code</w:t>
            </w:r>
          </w:p>
        </w:tc>
        <w:tc>
          <w:tcPr>
            <w:tcW w:w="613" w:type="pct"/>
            <w:tcBorders>
              <w:left w:val="nil"/>
              <w:bottom w:val="single" w:sz="4" w:space="0" w:color="auto"/>
              <w:right w:val="nil"/>
            </w:tcBorders>
            <w:shd w:val="clear" w:color="auto" w:fill="auto"/>
            <w:noWrap/>
            <w:hideMark/>
          </w:tcPr>
          <w:p w14:paraId="712B2958" w14:textId="77777777" w:rsidR="00CA50F7" w:rsidRPr="00CA50F7" w:rsidRDefault="00CA50F7" w:rsidP="00CA50F7">
            <w:pPr>
              <w:spacing w:line="276" w:lineRule="auto"/>
              <w:jc w:val="center"/>
              <w:rPr>
                <w:color w:val="000000"/>
                <w:lang w:eastAsia="en-US"/>
              </w:rPr>
            </w:pPr>
            <w:r w:rsidRPr="00CA50F7">
              <w:rPr>
                <w:color w:val="000000"/>
                <w:lang w:eastAsia="en-US"/>
              </w:rPr>
              <w:t>Total Number</w:t>
            </w:r>
          </w:p>
        </w:tc>
        <w:tc>
          <w:tcPr>
            <w:tcW w:w="1287" w:type="pct"/>
            <w:tcBorders>
              <w:left w:val="nil"/>
              <w:bottom w:val="single" w:sz="4" w:space="0" w:color="auto"/>
              <w:right w:val="nil"/>
            </w:tcBorders>
            <w:shd w:val="clear" w:color="auto" w:fill="auto"/>
            <w:noWrap/>
            <w:hideMark/>
          </w:tcPr>
          <w:p w14:paraId="1FDE16F9" w14:textId="77777777" w:rsidR="00CA50F7" w:rsidRPr="00CA50F7" w:rsidRDefault="00CA50F7" w:rsidP="00CA50F7">
            <w:pPr>
              <w:spacing w:line="276" w:lineRule="auto"/>
              <w:jc w:val="center"/>
              <w:rPr>
                <w:color w:val="000000"/>
                <w:lang w:eastAsia="en-US"/>
              </w:rPr>
            </w:pPr>
            <w:r w:rsidRPr="00CA50F7">
              <w:rPr>
                <w:color w:val="000000"/>
                <w:lang w:eastAsia="en-US"/>
              </w:rPr>
              <w:t>Cases with a pro-environment decision</w:t>
            </w:r>
          </w:p>
        </w:tc>
      </w:tr>
      <w:tr w:rsidR="00EB6E08" w:rsidRPr="00CA50F7" w14:paraId="4CD30BAD" w14:textId="77777777" w:rsidTr="00EB6E08">
        <w:trPr>
          <w:jc w:val="center"/>
        </w:trPr>
        <w:tc>
          <w:tcPr>
            <w:tcW w:w="566" w:type="pct"/>
            <w:tcBorders>
              <w:left w:val="nil"/>
              <w:bottom w:val="nil"/>
              <w:right w:val="nil"/>
            </w:tcBorders>
            <w:shd w:val="clear" w:color="auto" w:fill="auto"/>
            <w:noWrap/>
            <w:vAlign w:val="bottom"/>
            <w:hideMark/>
          </w:tcPr>
          <w:p w14:paraId="1A3FB9E1" w14:textId="77777777" w:rsidR="00CA50F7" w:rsidRPr="00CA50F7" w:rsidRDefault="00CA50F7" w:rsidP="00CA50F7">
            <w:pPr>
              <w:spacing w:line="480" w:lineRule="auto"/>
              <w:rPr>
                <w:color w:val="000000"/>
                <w:lang w:eastAsia="en-US"/>
              </w:rPr>
            </w:pPr>
            <w:r w:rsidRPr="00CA50F7">
              <w:rPr>
                <w:color w:val="000000"/>
              </w:rPr>
              <w:t>ARG</w:t>
            </w:r>
          </w:p>
        </w:tc>
        <w:tc>
          <w:tcPr>
            <w:tcW w:w="615" w:type="pct"/>
            <w:tcBorders>
              <w:left w:val="nil"/>
              <w:bottom w:val="nil"/>
              <w:right w:val="nil"/>
            </w:tcBorders>
            <w:shd w:val="clear" w:color="auto" w:fill="auto"/>
            <w:noWrap/>
            <w:vAlign w:val="bottom"/>
            <w:hideMark/>
          </w:tcPr>
          <w:p w14:paraId="19CAA23D"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left w:val="nil"/>
              <w:bottom w:val="nil"/>
              <w:right w:val="single" w:sz="4" w:space="0" w:color="auto"/>
            </w:tcBorders>
            <w:shd w:val="clear" w:color="auto" w:fill="auto"/>
            <w:noWrap/>
            <w:vAlign w:val="bottom"/>
            <w:hideMark/>
          </w:tcPr>
          <w:p w14:paraId="0DBECC2A" w14:textId="77777777" w:rsidR="00CA50F7" w:rsidRPr="00CA50F7" w:rsidRDefault="00CA50F7" w:rsidP="00CA50F7">
            <w:pPr>
              <w:tabs>
                <w:tab w:val="decimal" w:pos="944"/>
              </w:tabs>
              <w:spacing w:line="480" w:lineRule="auto"/>
              <w:rPr>
                <w:color w:val="000000"/>
                <w:lang w:eastAsia="en-US"/>
              </w:rPr>
            </w:pPr>
            <w:r w:rsidRPr="00CA50F7">
              <w:rPr>
                <w:color w:val="000000"/>
              </w:rPr>
              <w:t>0</w:t>
            </w:r>
          </w:p>
        </w:tc>
        <w:tc>
          <w:tcPr>
            <w:tcW w:w="625" w:type="pct"/>
            <w:tcBorders>
              <w:top w:val="nil"/>
              <w:left w:val="single" w:sz="4" w:space="0" w:color="auto"/>
              <w:bottom w:val="nil"/>
              <w:right w:val="nil"/>
            </w:tcBorders>
            <w:shd w:val="clear" w:color="auto" w:fill="auto"/>
            <w:noWrap/>
            <w:vAlign w:val="bottom"/>
          </w:tcPr>
          <w:p w14:paraId="1EAECA27" w14:textId="40DDF414" w:rsidR="00CA50F7" w:rsidRPr="00CA50F7" w:rsidRDefault="00CA50F7" w:rsidP="00CA50F7">
            <w:pPr>
              <w:spacing w:line="480" w:lineRule="auto"/>
              <w:rPr>
                <w:color w:val="000000"/>
                <w:lang w:eastAsia="en-US"/>
              </w:rPr>
            </w:pPr>
            <w:r w:rsidRPr="00CA50F7">
              <w:rPr>
                <w:color w:val="000000"/>
              </w:rPr>
              <w:t>IRL</w:t>
            </w:r>
          </w:p>
        </w:tc>
        <w:tc>
          <w:tcPr>
            <w:tcW w:w="613" w:type="pct"/>
            <w:tcBorders>
              <w:top w:val="nil"/>
              <w:left w:val="nil"/>
              <w:bottom w:val="nil"/>
              <w:right w:val="nil"/>
            </w:tcBorders>
            <w:shd w:val="clear" w:color="auto" w:fill="auto"/>
            <w:noWrap/>
            <w:vAlign w:val="bottom"/>
          </w:tcPr>
          <w:p w14:paraId="328DF3A4" w14:textId="1DE9728B" w:rsidR="00CA50F7" w:rsidRPr="00CA50F7" w:rsidRDefault="00CA50F7" w:rsidP="00CA50F7">
            <w:pPr>
              <w:tabs>
                <w:tab w:val="decimal" w:pos="636"/>
              </w:tabs>
              <w:spacing w:line="480" w:lineRule="auto"/>
              <w:rPr>
                <w:color w:val="000000"/>
                <w:lang w:eastAsia="en-US"/>
              </w:rPr>
            </w:pPr>
            <w:r w:rsidRPr="00CA50F7">
              <w:rPr>
                <w:color w:val="000000"/>
              </w:rPr>
              <w:t>3</w:t>
            </w:r>
          </w:p>
        </w:tc>
        <w:tc>
          <w:tcPr>
            <w:tcW w:w="1287" w:type="pct"/>
            <w:tcBorders>
              <w:top w:val="nil"/>
              <w:left w:val="nil"/>
              <w:bottom w:val="nil"/>
              <w:right w:val="nil"/>
            </w:tcBorders>
            <w:shd w:val="clear" w:color="auto" w:fill="auto"/>
            <w:noWrap/>
            <w:vAlign w:val="bottom"/>
          </w:tcPr>
          <w:p w14:paraId="0AC89A45" w14:textId="1FDBF8B8" w:rsidR="00CA50F7" w:rsidRPr="00CA50F7" w:rsidRDefault="00CA50F7" w:rsidP="00CA50F7">
            <w:pPr>
              <w:tabs>
                <w:tab w:val="decimal" w:pos="1023"/>
              </w:tabs>
              <w:spacing w:line="480" w:lineRule="auto"/>
              <w:rPr>
                <w:color w:val="000000"/>
                <w:lang w:eastAsia="en-US"/>
              </w:rPr>
            </w:pPr>
            <w:r w:rsidRPr="00CA50F7">
              <w:rPr>
                <w:color w:val="000000"/>
              </w:rPr>
              <w:t>2</w:t>
            </w:r>
          </w:p>
        </w:tc>
      </w:tr>
      <w:tr w:rsidR="00EB6E08" w:rsidRPr="00CA50F7" w14:paraId="21BD9198" w14:textId="77777777" w:rsidTr="00EB6E08">
        <w:trPr>
          <w:jc w:val="center"/>
        </w:trPr>
        <w:tc>
          <w:tcPr>
            <w:tcW w:w="566" w:type="pct"/>
            <w:tcBorders>
              <w:top w:val="nil"/>
              <w:left w:val="nil"/>
              <w:bottom w:val="nil"/>
              <w:right w:val="nil"/>
            </w:tcBorders>
            <w:shd w:val="clear" w:color="auto" w:fill="auto"/>
            <w:noWrap/>
            <w:vAlign w:val="bottom"/>
            <w:hideMark/>
          </w:tcPr>
          <w:p w14:paraId="5773D80B" w14:textId="77777777" w:rsidR="00CA50F7" w:rsidRPr="00CA50F7" w:rsidRDefault="00CA50F7" w:rsidP="00CA50F7">
            <w:pPr>
              <w:spacing w:line="480" w:lineRule="auto"/>
              <w:rPr>
                <w:color w:val="000000"/>
                <w:lang w:eastAsia="en-US"/>
              </w:rPr>
            </w:pPr>
            <w:r w:rsidRPr="00CA50F7">
              <w:rPr>
                <w:color w:val="000000"/>
              </w:rPr>
              <w:t>AUS</w:t>
            </w:r>
          </w:p>
        </w:tc>
        <w:tc>
          <w:tcPr>
            <w:tcW w:w="615" w:type="pct"/>
            <w:tcBorders>
              <w:top w:val="nil"/>
              <w:left w:val="nil"/>
              <w:bottom w:val="nil"/>
              <w:right w:val="nil"/>
            </w:tcBorders>
            <w:shd w:val="clear" w:color="auto" w:fill="auto"/>
            <w:noWrap/>
            <w:vAlign w:val="bottom"/>
            <w:hideMark/>
          </w:tcPr>
          <w:p w14:paraId="123402ED" w14:textId="77777777" w:rsidR="00CA50F7" w:rsidRPr="00CA50F7" w:rsidRDefault="00CA50F7" w:rsidP="00CA50F7">
            <w:pPr>
              <w:tabs>
                <w:tab w:val="decimal" w:pos="482"/>
              </w:tabs>
              <w:spacing w:line="480" w:lineRule="auto"/>
              <w:rPr>
                <w:color w:val="000000"/>
                <w:lang w:eastAsia="en-US"/>
              </w:rPr>
            </w:pPr>
            <w:r w:rsidRPr="00CA50F7">
              <w:rPr>
                <w:color w:val="000000"/>
              </w:rPr>
              <w:t>96</w:t>
            </w:r>
          </w:p>
        </w:tc>
        <w:tc>
          <w:tcPr>
            <w:tcW w:w="1293" w:type="pct"/>
            <w:tcBorders>
              <w:top w:val="nil"/>
              <w:left w:val="nil"/>
              <w:bottom w:val="nil"/>
              <w:right w:val="single" w:sz="4" w:space="0" w:color="auto"/>
            </w:tcBorders>
            <w:shd w:val="clear" w:color="auto" w:fill="auto"/>
            <w:noWrap/>
            <w:vAlign w:val="bottom"/>
            <w:hideMark/>
          </w:tcPr>
          <w:p w14:paraId="70610B45" w14:textId="77777777" w:rsidR="00CA50F7" w:rsidRPr="00CA50F7" w:rsidRDefault="00CA50F7" w:rsidP="00CA50F7">
            <w:pPr>
              <w:tabs>
                <w:tab w:val="decimal" w:pos="944"/>
              </w:tabs>
              <w:spacing w:line="480" w:lineRule="auto"/>
              <w:rPr>
                <w:color w:val="000000"/>
                <w:lang w:eastAsia="en-US"/>
              </w:rPr>
            </w:pPr>
            <w:r w:rsidRPr="00CA50F7">
              <w:rPr>
                <w:color w:val="000000"/>
              </w:rPr>
              <w:t>56</w:t>
            </w:r>
          </w:p>
        </w:tc>
        <w:tc>
          <w:tcPr>
            <w:tcW w:w="625" w:type="pct"/>
            <w:tcBorders>
              <w:top w:val="nil"/>
              <w:left w:val="single" w:sz="4" w:space="0" w:color="auto"/>
              <w:bottom w:val="nil"/>
              <w:right w:val="nil"/>
            </w:tcBorders>
            <w:shd w:val="clear" w:color="auto" w:fill="auto"/>
            <w:noWrap/>
            <w:vAlign w:val="bottom"/>
            <w:hideMark/>
          </w:tcPr>
          <w:p w14:paraId="0050A0DE" w14:textId="65B29889" w:rsidR="00CA50F7" w:rsidRPr="00CA50F7" w:rsidRDefault="00CA50F7" w:rsidP="00CA50F7">
            <w:pPr>
              <w:spacing w:line="480" w:lineRule="auto"/>
              <w:rPr>
                <w:color w:val="000000"/>
                <w:lang w:eastAsia="en-US"/>
              </w:rPr>
            </w:pPr>
            <w:r w:rsidRPr="00CA50F7">
              <w:rPr>
                <w:color w:val="000000"/>
              </w:rPr>
              <w:t>JPN</w:t>
            </w:r>
          </w:p>
        </w:tc>
        <w:tc>
          <w:tcPr>
            <w:tcW w:w="613" w:type="pct"/>
            <w:tcBorders>
              <w:top w:val="nil"/>
              <w:left w:val="nil"/>
              <w:bottom w:val="nil"/>
              <w:right w:val="nil"/>
            </w:tcBorders>
            <w:shd w:val="clear" w:color="auto" w:fill="auto"/>
            <w:noWrap/>
            <w:vAlign w:val="bottom"/>
            <w:hideMark/>
          </w:tcPr>
          <w:p w14:paraId="303820E4" w14:textId="096BC132" w:rsidR="00CA50F7" w:rsidRPr="00CA50F7" w:rsidRDefault="00CA50F7" w:rsidP="00CA50F7">
            <w:pPr>
              <w:tabs>
                <w:tab w:val="decimal" w:pos="636"/>
              </w:tabs>
              <w:spacing w:line="480" w:lineRule="auto"/>
              <w:rPr>
                <w:color w:val="000000"/>
                <w:lang w:eastAsia="en-US"/>
              </w:rPr>
            </w:pPr>
            <w:r w:rsidRPr="00CA50F7">
              <w:rPr>
                <w:color w:val="000000"/>
              </w:rPr>
              <w:t>3</w:t>
            </w:r>
          </w:p>
        </w:tc>
        <w:tc>
          <w:tcPr>
            <w:tcW w:w="1287" w:type="pct"/>
            <w:tcBorders>
              <w:top w:val="nil"/>
              <w:left w:val="nil"/>
              <w:bottom w:val="nil"/>
              <w:right w:val="nil"/>
            </w:tcBorders>
            <w:shd w:val="clear" w:color="auto" w:fill="auto"/>
            <w:noWrap/>
            <w:vAlign w:val="bottom"/>
            <w:hideMark/>
          </w:tcPr>
          <w:p w14:paraId="7452A62A" w14:textId="64908776"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51F28809" w14:textId="77777777" w:rsidTr="00EB6E08">
        <w:trPr>
          <w:jc w:val="center"/>
        </w:trPr>
        <w:tc>
          <w:tcPr>
            <w:tcW w:w="566" w:type="pct"/>
            <w:tcBorders>
              <w:top w:val="nil"/>
              <w:left w:val="nil"/>
              <w:bottom w:val="nil"/>
              <w:right w:val="nil"/>
            </w:tcBorders>
            <w:shd w:val="clear" w:color="auto" w:fill="auto"/>
            <w:noWrap/>
            <w:vAlign w:val="bottom"/>
            <w:hideMark/>
          </w:tcPr>
          <w:p w14:paraId="00874346" w14:textId="77777777" w:rsidR="00CA50F7" w:rsidRPr="00CA50F7" w:rsidRDefault="00CA50F7" w:rsidP="00CA50F7">
            <w:pPr>
              <w:spacing w:line="480" w:lineRule="auto"/>
              <w:rPr>
                <w:color w:val="000000"/>
                <w:lang w:eastAsia="en-US"/>
              </w:rPr>
            </w:pPr>
            <w:r w:rsidRPr="00CA50F7">
              <w:rPr>
                <w:color w:val="000000"/>
              </w:rPr>
              <w:t>AUT</w:t>
            </w:r>
          </w:p>
        </w:tc>
        <w:tc>
          <w:tcPr>
            <w:tcW w:w="615" w:type="pct"/>
            <w:tcBorders>
              <w:top w:val="nil"/>
              <w:left w:val="nil"/>
              <w:bottom w:val="nil"/>
              <w:right w:val="nil"/>
            </w:tcBorders>
            <w:shd w:val="clear" w:color="auto" w:fill="auto"/>
            <w:noWrap/>
            <w:vAlign w:val="bottom"/>
            <w:hideMark/>
          </w:tcPr>
          <w:p w14:paraId="602C79BE"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top w:val="nil"/>
              <w:left w:val="nil"/>
              <w:bottom w:val="nil"/>
              <w:right w:val="single" w:sz="4" w:space="0" w:color="auto"/>
            </w:tcBorders>
            <w:shd w:val="clear" w:color="auto" w:fill="auto"/>
            <w:noWrap/>
            <w:vAlign w:val="bottom"/>
            <w:hideMark/>
          </w:tcPr>
          <w:p w14:paraId="25475966" w14:textId="77777777" w:rsidR="00CA50F7" w:rsidRPr="00CA50F7" w:rsidRDefault="00CA50F7" w:rsidP="00CA50F7">
            <w:pPr>
              <w:tabs>
                <w:tab w:val="decimal" w:pos="944"/>
              </w:tabs>
              <w:spacing w:line="480" w:lineRule="auto"/>
              <w:rPr>
                <w:color w:val="000000"/>
                <w:lang w:eastAsia="en-US"/>
              </w:rPr>
            </w:pPr>
            <w:r w:rsidRPr="00CA50F7">
              <w:rPr>
                <w:color w:val="000000"/>
              </w:rPr>
              <w:t>1</w:t>
            </w:r>
          </w:p>
        </w:tc>
        <w:tc>
          <w:tcPr>
            <w:tcW w:w="625" w:type="pct"/>
            <w:tcBorders>
              <w:top w:val="nil"/>
              <w:left w:val="single" w:sz="4" w:space="0" w:color="auto"/>
              <w:bottom w:val="nil"/>
              <w:right w:val="nil"/>
            </w:tcBorders>
            <w:shd w:val="clear" w:color="auto" w:fill="auto"/>
            <w:noWrap/>
            <w:vAlign w:val="bottom"/>
            <w:hideMark/>
          </w:tcPr>
          <w:p w14:paraId="77D1B905" w14:textId="62C1D3D3" w:rsidR="00CA50F7" w:rsidRPr="00CA50F7" w:rsidRDefault="00CA50F7" w:rsidP="00CA50F7">
            <w:pPr>
              <w:spacing w:line="480" w:lineRule="auto"/>
              <w:rPr>
                <w:color w:val="000000"/>
                <w:lang w:eastAsia="en-US"/>
              </w:rPr>
            </w:pPr>
            <w:r w:rsidRPr="00CA50F7">
              <w:rPr>
                <w:color w:val="000000"/>
              </w:rPr>
              <w:t>KEN</w:t>
            </w:r>
          </w:p>
        </w:tc>
        <w:tc>
          <w:tcPr>
            <w:tcW w:w="613" w:type="pct"/>
            <w:tcBorders>
              <w:top w:val="nil"/>
              <w:left w:val="nil"/>
              <w:bottom w:val="nil"/>
              <w:right w:val="nil"/>
            </w:tcBorders>
            <w:shd w:val="clear" w:color="auto" w:fill="auto"/>
            <w:noWrap/>
            <w:vAlign w:val="bottom"/>
            <w:hideMark/>
          </w:tcPr>
          <w:p w14:paraId="43B3E3A3" w14:textId="276E2F85"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6730B091" w14:textId="30E49618"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24EA4C58" w14:textId="77777777" w:rsidTr="00EB6E08">
        <w:trPr>
          <w:jc w:val="center"/>
        </w:trPr>
        <w:tc>
          <w:tcPr>
            <w:tcW w:w="566" w:type="pct"/>
            <w:tcBorders>
              <w:top w:val="nil"/>
              <w:left w:val="nil"/>
              <w:bottom w:val="nil"/>
              <w:right w:val="nil"/>
            </w:tcBorders>
            <w:shd w:val="clear" w:color="auto" w:fill="auto"/>
            <w:noWrap/>
            <w:vAlign w:val="bottom"/>
            <w:hideMark/>
          </w:tcPr>
          <w:p w14:paraId="6059A78C" w14:textId="77777777" w:rsidR="00CA50F7" w:rsidRPr="00CA50F7" w:rsidRDefault="00CA50F7" w:rsidP="00CA50F7">
            <w:pPr>
              <w:spacing w:line="480" w:lineRule="auto"/>
              <w:rPr>
                <w:color w:val="000000"/>
                <w:lang w:eastAsia="en-US"/>
              </w:rPr>
            </w:pPr>
            <w:r w:rsidRPr="00CA50F7">
              <w:rPr>
                <w:color w:val="000000"/>
              </w:rPr>
              <w:t>BEL</w:t>
            </w:r>
          </w:p>
        </w:tc>
        <w:tc>
          <w:tcPr>
            <w:tcW w:w="615" w:type="pct"/>
            <w:tcBorders>
              <w:top w:val="nil"/>
              <w:left w:val="nil"/>
              <w:bottom w:val="nil"/>
              <w:right w:val="nil"/>
            </w:tcBorders>
            <w:shd w:val="clear" w:color="auto" w:fill="auto"/>
            <w:noWrap/>
            <w:vAlign w:val="bottom"/>
            <w:hideMark/>
          </w:tcPr>
          <w:p w14:paraId="6A7D7D60"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top w:val="nil"/>
              <w:left w:val="nil"/>
              <w:bottom w:val="nil"/>
              <w:right w:val="single" w:sz="4" w:space="0" w:color="auto"/>
            </w:tcBorders>
            <w:shd w:val="clear" w:color="auto" w:fill="auto"/>
            <w:noWrap/>
            <w:vAlign w:val="bottom"/>
            <w:hideMark/>
          </w:tcPr>
          <w:p w14:paraId="6B3FABB5" w14:textId="77777777" w:rsidR="00CA50F7" w:rsidRPr="00CA50F7" w:rsidRDefault="00CA50F7" w:rsidP="00CA50F7">
            <w:pPr>
              <w:tabs>
                <w:tab w:val="decimal" w:pos="944"/>
              </w:tabs>
              <w:spacing w:line="480" w:lineRule="auto"/>
              <w:rPr>
                <w:color w:val="000000"/>
                <w:lang w:eastAsia="en-US"/>
              </w:rPr>
            </w:pPr>
            <w:r w:rsidRPr="00CA50F7">
              <w:rPr>
                <w:color w:val="000000"/>
              </w:rPr>
              <w:t>0</w:t>
            </w:r>
          </w:p>
        </w:tc>
        <w:tc>
          <w:tcPr>
            <w:tcW w:w="625" w:type="pct"/>
            <w:tcBorders>
              <w:top w:val="nil"/>
              <w:left w:val="single" w:sz="4" w:space="0" w:color="auto"/>
              <w:bottom w:val="nil"/>
              <w:right w:val="nil"/>
            </w:tcBorders>
            <w:shd w:val="clear" w:color="auto" w:fill="auto"/>
            <w:noWrap/>
            <w:vAlign w:val="bottom"/>
            <w:hideMark/>
          </w:tcPr>
          <w:p w14:paraId="34AFDBF6" w14:textId="71424F7D" w:rsidR="00CA50F7" w:rsidRPr="00CA50F7" w:rsidRDefault="00CA50F7" w:rsidP="00CA50F7">
            <w:pPr>
              <w:spacing w:line="480" w:lineRule="auto"/>
              <w:rPr>
                <w:color w:val="000000"/>
                <w:lang w:eastAsia="en-US"/>
              </w:rPr>
            </w:pPr>
            <w:r w:rsidRPr="00CA50F7">
              <w:rPr>
                <w:color w:val="000000"/>
              </w:rPr>
              <w:t>LUX</w:t>
            </w:r>
          </w:p>
        </w:tc>
        <w:tc>
          <w:tcPr>
            <w:tcW w:w="613" w:type="pct"/>
            <w:tcBorders>
              <w:top w:val="nil"/>
              <w:left w:val="nil"/>
              <w:bottom w:val="nil"/>
              <w:right w:val="nil"/>
            </w:tcBorders>
            <w:shd w:val="clear" w:color="auto" w:fill="auto"/>
            <w:noWrap/>
            <w:vAlign w:val="bottom"/>
            <w:hideMark/>
          </w:tcPr>
          <w:p w14:paraId="59964023" w14:textId="7D20F6BE"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74275B66" w14:textId="3F0EC43B"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751063A5" w14:textId="77777777" w:rsidTr="00EB6E08">
        <w:trPr>
          <w:jc w:val="center"/>
        </w:trPr>
        <w:tc>
          <w:tcPr>
            <w:tcW w:w="566" w:type="pct"/>
            <w:tcBorders>
              <w:top w:val="nil"/>
              <w:left w:val="nil"/>
              <w:bottom w:val="nil"/>
              <w:right w:val="nil"/>
            </w:tcBorders>
            <w:shd w:val="clear" w:color="auto" w:fill="auto"/>
            <w:noWrap/>
            <w:vAlign w:val="bottom"/>
            <w:hideMark/>
          </w:tcPr>
          <w:p w14:paraId="4B7FA236" w14:textId="77777777" w:rsidR="00CA50F7" w:rsidRPr="00CA50F7" w:rsidRDefault="00CA50F7" w:rsidP="00CA50F7">
            <w:pPr>
              <w:spacing w:line="480" w:lineRule="auto"/>
              <w:rPr>
                <w:color w:val="000000"/>
                <w:lang w:eastAsia="en-US"/>
              </w:rPr>
            </w:pPr>
            <w:r w:rsidRPr="00CA50F7">
              <w:rPr>
                <w:color w:val="000000"/>
              </w:rPr>
              <w:t>BRA</w:t>
            </w:r>
          </w:p>
        </w:tc>
        <w:tc>
          <w:tcPr>
            <w:tcW w:w="615" w:type="pct"/>
            <w:tcBorders>
              <w:top w:val="nil"/>
              <w:left w:val="nil"/>
              <w:bottom w:val="nil"/>
              <w:right w:val="nil"/>
            </w:tcBorders>
            <w:shd w:val="clear" w:color="auto" w:fill="auto"/>
            <w:noWrap/>
            <w:vAlign w:val="bottom"/>
            <w:hideMark/>
          </w:tcPr>
          <w:p w14:paraId="7A7ECE13" w14:textId="77777777" w:rsidR="00CA50F7" w:rsidRPr="00CA50F7" w:rsidRDefault="00CA50F7" w:rsidP="00CA50F7">
            <w:pPr>
              <w:tabs>
                <w:tab w:val="decimal" w:pos="482"/>
              </w:tabs>
              <w:spacing w:line="480" w:lineRule="auto"/>
              <w:rPr>
                <w:color w:val="000000"/>
                <w:lang w:eastAsia="en-US"/>
              </w:rPr>
            </w:pPr>
            <w:r w:rsidRPr="00CA50F7">
              <w:rPr>
                <w:color w:val="000000"/>
              </w:rPr>
              <w:t>6</w:t>
            </w:r>
          </w:p>
        </w:tc>
        <w:tc>
          <w:tcPr>
            <w:tcW w:w="1293" w:type="pct"/>
            <w:tcBorders>
              <w:top w:val="nil"/>
              <w:left w:val="nil"/>
              <w:bottom w:val="nil"/>
              <w:right w:val="single" w:sz="4" w:space="0" w:color="auto"/>
            </w:tcBorders>
            <w:shd w:val="clear" w:color="auto" w:fill="auto"/>
            <w:noWrap/>
            <w:vAlign w:val="bottom"/>
            <w:hideMark/>
          </w:tcPr>
          <w:p w14:paraId="6DB4B4A6" w14:textId="77777777" w:rsidR="00CA50F7" w:rsidRPr="00CA50F7" w:rsidRDefault="00CA50F7" w:rsidP="00CA50F7">
            <w:pPr>
              <w:tabs>
                <w:tab w:val="decimal" w:pos="944"/>
              </w:tabs>
              <w:spacing w:line="480" w:lineRule="auto"/>
              <w:rPr>
                <w:color w:val="000000"/>
                <w:lang w:eastAsia="en-US"/>
              </w:rPr>
            </w:pPr>
            <w:r w:rsidRPr="00CA50F7">
              <w:rPr>
                <w:color w:val="000000"/>
              </w:rPr>
              <w:t>4</w:t>
            </w:r>
          </w:p>
        </w:tc>
        <w:tc>
          <w:tcPr>
            <w:tcW w:w="625" w:type="pct"/>
            <w:tcBorders>
              <w:top w:val="nil"/>
              <w:left w:val="single" w:sz="4" w:space="0" w:color="auto"/>
              <w:bottom w:val="nil"/>
              <w:right w:val="nil"/>
            </w:tcBorders>
            <w:shd w:val="clear" w:color="auto" w:fill="auto"/>
            <w:noWrap/>
            <w:vAlign w:val="bottom"/>
            <w:hideMark/>
          </w:tcPr>
          <w:p w14:paraId="6A7B73ED" w14:textId="4D571973" w:rsidR="00CA50F7" w:rsidRPr="00CA50F7" w:rsidRDefault="00CA50F7" w:rsidP="00CA50F7">
            <w:pPr>
              <w:spacing w:line="480" w:lineRule="auto"/>
              <w:rPr>
                <w:color w:val="000000"/>
                <w:lang w:eastAsia="en-US"/>
              </w:rPr>
            </w:pPr>
            <w:r w:rsidRPr="00CA50F7">
              <w:rPr>
                <w:color w:val="000000"/>
              </w:rPr>
              <w:t>MEX</w:t>
            </w:r>
          </w:p>
        </w:tc>
        <w:tc>
          <w:tcPr>
            <w:tcW w:w="613" w:type="pct"/>
            <w:tcBorders>
              <w:top w:val="nil"/>
              <w:left w:val="nil"/>
              <w:bottom w:val="nil"/>
              <w:right w:val="nil"/>
            </w:tcBorders>
            <w:shd w:val="clear" w:color="auto" w:fill="auto"/>
            <w:noWrap/>
            <w:vAlign w:val="bottom"/>
            <w:hideMark/>
          </w:tcPr>
          <w:p w14:paraId="1D1B37E5" w14:textId="1A46FE3A"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383C1C24" w14:textId="2F9A6526"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4828F7FB" w14:textId="77777777" w:rsidTr="00EB6E08">
        <w:trPr>
          <w:jc w:val="center"/>
        </w:trPr>
        <w:tc>
          <w:tcPr>
            <w:tcW w:w="566" w:type="pct"/>
            <w:tcBorders>
              <w:top w:val="nil"/>
              <w:left w:val="nil"/>
              <w:bottom w:val="nil"/>
              <w:right w:val="nil"/>
            </w:tcBorders>
            <w:shd w:val="clear" w:color="auto" w:fill="auto"/>
            <w:noWrap/>
            <w:vAlign w:val="bottom"/>
            <w:hideMark/>
          </w:tcPr>
          <w:p w14:paraId="10CBB797" w14:textId="77777777" w:rsidR="00CA50F7" w:rsidRPr="00CA50F7" w:rsidRDefault="00CA50F7" w:rsidP="00CA50F7">
            <w:pPr>
              <w:spacing w:line="480" w:lineRule="auto"/>
              <w:rPr>
                <w:color w:val="000000"/>
                <w:lang w:eastAsia="en-US"/>
              </w:rPr>
            </w:pPr>
            <w:r w:rsidRPr="00CA50F7">
              <w:rPr>
                <w:color w:val="000000"/>
              </w:rPr>
              <w:t>CAN</w:t>
            </w:r>
          </w:p>
        </w:tc>
        <w:tc>
          <w:tcPr>
            <w:tcW w:w="615" w:type="pct"/>
            <w:tcBorders>
              <w:top w:val="nil"/>
              <w:left w:val="nil"/>
              <w:bottom w:val="nil"/>
              <w:right w:val="nil"/>
            </w:tcBorders>
            <w:shd w:val="clear" w:color="auto" w:fill="auto"/>
            <w:noWrap/>
            <w:vAlign w:val="bottom"/>
            <w:hideMark/>
          </w:tcPr>
          <w:p w14:paraId="724EDF10" w14:textId="77777777" w:rsidR="00CA50F7" w:rsidRPr="00CA50F7" w:rsidRDefault="00CA50F7" w:rsidP="00CA50F7">
            <w:pPr>
              <w:tabs>
                <w:tab w:val="decimal" w:pos="482"/>
              </w:tabs>
              <w:spacing w:line="480" w:lineRule="auto"/>
              <w:rPr>
                <w:color w:val="000000"/>
                <w:lang w:eastAsia="en-US"/>
              </w:rPr>
            </w:pPr>
            <w:r w:rsidRPr="00CA50F7">
              <w:rPr>
                <w:color w:val="000000"/>
              </w:rPr>
              <w:t>20</w:t>
            </w:r>
          </w:p>
        </w:tc>
        <w:tc>
          <w:tcPr>
            <w:tcW w:w="1293" w:type="pct"/>
            <w:tcBorders>
              <w:top w:val="nil"/>
              <w:left w:val="nil"/>
              <w:bottom w:val="nil"/>
              <w:right w:val="single" w:sz="4" w:space="0" w:color="auto"/>
            </w:tcBorders>
            <w:shd w:val="clear" w:color="auto" w:fill="auto"/>
            <w:noWrap/>
            <w:vAlign w:val="bottom"/>
            <w:hideMark/>
          </w:tcPr>
          <w:p w14:paraId="56D06664" w14:textId="77777777" w:rsidR="00CA50F7" w:rsidRPr="00CA50F7" w:rsidRDefault="00CA50F7" w:rsidP="00CA50F7">
            <w:pPr>
              <w:tabs>
                <w:tab w:val="decimal" w:pos="944"/>
              </w:tabs>
              <w:spacing w:line="480" w:lineRule="auto"/>
              <w:rPr>
                <w:color w:val="000000"/>
                <w:lang w:eastAsia="en-US"/>
              </w:rPr>
            </w:pPr>
            <w:r w:rsidRPr="00CA50F7">
              <w:rPr>
                <w:color w:val="000000"/>
              </w:rPr>
              <w:t>7</w:t>
            </w:r>
          </w:p>
        </w:tc>
        <w:tc>
          <w:tcPr>
            <w:tcW w:w="625" w:type="pct"/>
            <w:tcBorders>
              <w:top w:val="nil"/>
              <w:left w:val="single" w:sz="4" w:space="0" w:color="auto"/>
              <w:bottom w:val="nil"/>
              <w:right w:val="nil"/>
            </w:tcBorders>
            <w:shd w:val="clear" w:color="auto" w:fill="auto"/>
            <w:noWrap/>
            <w:vAlign w:val="bottom"/>
            <w:hideMark/>
          </w:tcPr>
          <w:p w14:paraId="375A7AD8" w14:textId="67153138" w:rsidR="00CA50F7" w:rsidRPr="00CA50F7" w:rsidRDefault="00CA50F7" w:rsidP="00CA50F7">
            <w:pPr>
              <w:spacing w:line="480" w:lineRule="auto"/>
              <w:rPr>
                <w:color w:val="000000"/>
                <w:lang w:eastAsia="en-US"/>
              </w:rPr>
            </w:pPr>
            <w:r w:rsidRPr="00CA50F7">
              <w:rPr>
                <w:color w:val="000000"/>
              </w:rPr>
              <w:t>NGA</w:t>
            </w:r>
          </w:p>
        </w:tc>
        <w:tc>
          <w:tcPr>
            <w:tcW w:w="613" w:type="pct"/>
            <w:tcBorders>
              <w:top w:val="nil"/>
              <w:left w:val="nil"/>
              <w:bottom w:val="nil"/>
              <w:right w:val="nil"/>
            </w:tcBorders>
            <w:shd w:val="clear" w:color="auto" w:fill="auto"/>
            <w:noWrap/>
            <w:vAlign w:val="bottom"/>
            <w:hideMark/>
          </w:tcPr>
          <w:p w14:paraId="25277195" w14:textId="3E4B4AAD"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753D350C" w14:textId="6D468648"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7CEAF322" w14:textId="77777777" w:rsidTr="00EB6E08">
        <w:trPr>
          <w:jc w:val="center"/>
        </w:trPr>
        <w:tc>
          <w:tcPr>
            <w:tcW w:w="566" w:type="pct"/>
            <w:tcBorders>
              <w:top w:val="nil"/>
              <w:left w:val="nil"/>
              <w:bottom w:val="nil"/>
              <w:right w:val="nil"/>
            </w:tcBorders>
            <w:shd w:val="clear" w:color="auto" w:fill="auto"/>
            <w:noWrap/>
            <w:vAlign w:val="bottom"/>
            <w:hideMark/>
          </w:tcPr>
          <w:p w14:paraId="66BE444E" w14:textId="77777777" w:rsidR="00CA50F7" w:rsidRPr="00CA50F7" w:rsidRDefault="00CA50F7" w:rsidP="00CA50F7">
            <w:pPr>
              <w:spacing w:line="480" w:lineRule="auto"/>
              <w:rPr>
                <w:color w:val="000000"/>
                <w:lang w:eastAsia="en-US"/>
              </w:rPr>
            </w:pPr>
            <w:r w:rsidRPr="00CA50F7">
              <w:rPr>
                <w:color w:val="000000"/>
              </w:rPr>
              <w:t>CHE</w:t>
            </w:r>
          </w:p>
        </w:tc>
        <w:tc>
          <w:tcPr>
            <w:tcW w:w="615" w:type="pct"/>
            <w:tcBorders>
              <w:top w:val="nil"/>
              <w:left w:val="nil"/>
              <w:bottom w:val="nil"/>
              <w:right w:val="nil"/>
            </w:tcBorders>
            <w:shd w:val="clear" w:color="auto" w:fill="auto"/>
            <w:noWrap/>
            <w:vAlign w:val="bottom"/>
            <w:hideMark/>
          </w:tcPr>
          <w:p w14:paraId="2C4F424C" w14:textId="77777777" w:rsidR="00CA50F7" w:rsidRPr="00CA50F7" w:rsidRDefault="00CA50F7" w:rsidP="00CA50F7">
            <w:pPr>
              <w:tabs>
                <w:tab w:val="decimal" w:pos="482"/>
              </w:tabs>
              <w:spacing w:line="480" w:lineRule="auto"/>
              <w:rPr>
                <w:color w:val="000000"/>
                <w:lang w:eastAsia="en-US"/>
              </w:rPr>
            </w:pPr>
            <w:r w:rsidRPr="00CA50F7">
              <w:rPr>
                <w:color w:val="000000"/>
              </w:rPr>
              <w:t>2</w:t>
            </w:r>
          </w:p>
        </w:tc>
        <w:tc>
          <w:tcPr>
            <w:tcW w:w="1293" w:type="pct"/>
            <w:tcBorders>
              <w:top w:val="nil"/>
              <w:left w:val="nil"/>
              <w:bottom w:val="nil"/>
              <w:right w:val="single" w:sz="4" w:space="0" w:color="auto"/>
            </w:tcBorders>
            <w:shd w:val="clear" w:color="auto" w:fill="auto"/>
            <w:noWrap/>
            <w:vAlign w:val="bottom"/>
            <w:hideMark/>
          </w:tcPr>
          <w:p w14:paraId="77AF2EE7" w14:textId="77777777" w:rsidR="00CA50F7" w:rsidRPr="00CA50F7" w:rsidRDefault="00CA50F7" w:rsidP="00CA50F7">
            <w:pPr>
              <w:tabs>
                <w:tab w:val="decimal" w:pos="944"/>
              </w:tabs>
              <w:spacing w:line="480" w:lineRule="auto"/>
              <w:rPr>
                <w:color w:val="000000"/>
                <w:lang w:eastAsia="en-US"/>
              </w:rPr>
            </w:pPr>
            <w:r w:rsidRPr="00CA50F7">
              <w:rPr>
                <w:color w:val="000000"/>
              </w:rPr>
              <w:t>1</w:t>
            </w:r>
          </w:p>
        </w:tc>
        <w:tc>
          <w:tcPr>
            <w:tcW w:w="625" w:type="pct"/>
            <w:tcBorders>
              <w:top w:val="nil"/>
              <w:left w:val="single" w:sz="4" w:space="0" w:color="auto"/>
              <w:bottom w:val="nil"/>
              <w:right w:val="nil"/>
            </w:tcBorders>
            <w:shd w:val="clear" w:color="auto" w:fill="auto"/>
            <w:noWrap/>
            <w:vAlign w:val="bottom"/>
            <w:hideMark/>
          </w:tcPr>
          <w:p w14:paraId="2CC8D5A2" w14:textId="4F3F533E" w:rsidR="00CA50F7" w:rsidRPr="00CA50F7" w:rsidRDefault="00CA50F7" w:rsidP="00CA50F7">
            <w:pPr>
              <w:spacing w:line="480" w:lineRule="auto"/>
              <w:rPr>
                <w:color w:val="000000"/>
                <w:lang w:eastAsia="en-US"/>
              </w:rPr>
            </w:pPr>
            <w:r w:rsidRPr="00CA50F7">
              <w:rPr>
                <w:color w:val="000000"/>
              </w:rPr>
              <w:t>NLD</w:t>
            </w:r>
          </w:p>
        </w:tc>
        <w:tc>
          <w:tcPr>
            <w:tcW w:w="613" w:type="pct"/>
            <w:tcBorders>
              <w:top w:val="nil"/>
              <w:left w:val="nil"/>
              <w:bottom w:val="nil"/>
              <w:right w:val="nil"/>
            </w:tcBorders>
            <w:shd w:val="clear" w:color="auto" w:fill="auto"/>
            <w:noWrap/>
            <w:vAlign w:val="bottom"/>
            <w:hideMark/>
          </w:tcPr>
          <w:p w14:paraId="2FB871BB" w14:textId="20662D01" w:rsidR="00CA50F7" w:rsidRPr="00CA50F7" w:rsidRDefault="00CA50F7" w:rsidP="00CA50F7">
            <w:pPr>
              <w:tabs>
                <w:tab w:val="decimal" w:pos="636"/>
              </w:tabs>
              <w:spacing w:line="480" w:lineRule="auto"/>
              <w:rPr>
                <w:color w:val="000000"/>
                <w:lang w:eastAsia="en-US"/>
              </w:rPr>
            </w:pPr>
            <w:r w:rsidRPr="00CA50F7">
              <w:rPr>
                <w:color w:val="000000"/>
              </w:rPr>
              <w:t>2</w:t>
            </w:r>
          </w:p>
        </w:tc>
        <w:tc>
          <w:tcPr>
            <w:tcW w:w="1287" w:type="pct"/>
            <w:tcBorders>
              <w:top w:val="nil"/>
              <w:left w:val="nil"/>
              <w:bottom w:val="nil"/>
              <w:right w:val="nil"/>
            </w:tcBorders>
            <w:shd w:val="clear" w:color="auto" w:fill="auto"/>
            <w:noWrap/>
            <w:vAlign w:val="bottom"/>
            <w:hideMark/>
          </w:tcPr>
          <w:p w14:paraId="51EFF085" w14:textId="4BD8F8BF"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0523BFE5" w14:textId="77777777" w:rsidTr="00EB6E08">
        <w:trPr>
          <w:jc w:val="center"/>
        </w:trPr>
        <w:tc>
          <w:tcPr>
            <w:tcW w:w="566" w:type="pct"/>
            <w:tcBorders>
              <w:top w:val="nil"/>
              <w:left w:val="nil"/>
              <w:bottom w:val="nil"/>
              <w:right w:val="nil"/>
            </w:tcBorders>
            <w:shd w:val="clear" w:color="auto" w:fill="auto"/>
            <w:noWrap/>
            <w:vAlign w:val="bottom"/>
            <w:hideMark/>
          </w:tcPr>
          <w:p w14:paraId="5C7E50DE" w14:textId="77777777" w:rsidR="00CA50F7" w:rsidRPr="00CA50F7" w:rsidRDefault="00CA50F7" w:rsidP="00CA50F7">
            <w:pPr>
              <w:spacing w:line="480" w:lineRule="auto"/>
              <w:rPr>
                <w:color w:val="000000"/>
                <w:lang w:eastAsia="en-US"/>
              </w:rPr>
            </w:pPr>
            <w:r w:rsidRPr="00CA50F7">
              <w:rPr>
                <w:color w:val="000000"/>
              </w:rPr>
              <w:t>CHL</w:t>
            </w:r>
          </w:p>
        </w:tc>
        <w:tc>
          <w:tcPr>
            <w:tcW w:w="615" w:type="pct"/>
            <w:tcBorders>
              <w:top w:val="nil"/>
              <w:left w:val="nil"/>
              <w:bottom w:val="nil"/>
              <w:right w:val="nil"/>
            </w:tcBorders>
            <w:shd w:val="clear" w:color="auto" w:fill="auto"/>
            <w:noWrap/>
            <w:vAlign w:val="bottom"/>
            <w:hideMark/>
          </w:tcPr>
          <w:p w14:paraId="74F135AD" w14:textId="77777777" w:rsidR="00CA50F7" w:rsidRPr="00CA50F7" w:rsidRDefault="00CA50F7" w:rsidP="00CA50F7">
            <w:pPr>
              <w:tabs>
                <w:tab w:val="decimal" w:pos="482"/>
              </w:tabs>
              <w:spacing w:line="480" w:lineRule="auto"/>
              <w:rPr>
                <w:color w:val="000000"/>
                <w:lang w:eastAsia="en-US"/>
              </w:rPr>
            </w:pPr>
            <w:r w:rsidRPr="00CA50F7">
              <w:rPr>
                <w:color w:val="000000"/>
              </w:rPr>
              <w:t>2</w:t>
            </w:r>
          </w:p>
        </w:tc>
        <w:tc>
          <w:tcPr>
            <w:tcW w:w="1293" w:type="pct"/>
            <w:tcBorders>
              <w:top w:val="nil"/>
              <w:left w:val="nil"/>
              <w:bottom w:val="nil"/>
              <w:right w:val="single" w:sz="4" w:space="0" w:color="auto"/>
            </w:tcBorders>
            <w:shd w:val="clear" w:color="auto" w:fill="auto"/>
            <w:noWrap/>
            <w:vAlign w:val="bottom"/>
            <w:hideMark/>
          </w:tcPr>
          <w:p w14:paraId="64A536AA" w14:textId="77777777" w:rsidR="00CA50F7" w:rsidRPr="00CA50F7" w:rsidRDefault="00CA50F7" w:rsidP="00CA50F7">
            <w:pPr>
              <w:tabs>
                <w:tab w:val="decimal" w:pos="944"/>
              </w:tabs>
              <w:spacing w:line="480" w:lineRule="auto"/>
              <w:rPr>
                <w:color w:val="000000"/>
                <w:lang w:eastAsia="en-US"/>
              </w:rPr>
            </w:pPr>
            <w:r w:rsidRPr="00CA50F7">
              <w:rPr>
                <w:color w:val="000000"/>
              </w:rPr>
              <w:t>0</w:t>
            </w:r>
          </w:p>
        </w:tc>
        <w:tc>
          <w:tcPr>
            <w:tcW w:w="625" w:type="pct"/>
            <w:tcBorders>
              <w:top w:val="nil"/>
              <w:left w:val="single" w:sz="4" w:space="0" w:color="auto"/>
              <w:bottom w:val="nil"/>
              <w:right w:val="nil"/>
            </w:tcBorders>
            <w:shd w:val="clear" w:color="auto" w:fill="auto"/>
            <w:noWrap/>
            <w:vAlign w:val="bottom"/>
            <w:hideMark/>
          </w:tcPr>
          <w:p w14:paraId="74DF9F3F" w14:textId="68A5AC2D" w:rsidR="00CA50F7" w:rsidRPr="00CA50F7" w:rsidRDefault="00CA50F7" w:rsidP="00CA50F7">
            <w:pPr>
              <w:spacing w:line="480" w:lineRule="auto"/>
              <w:rPr>
                <w:color w:val="000000"/>
                <w:lang w:eastAsia="en-US"/>
              </w:rPr>
            </w:pPr>
            <w:r w:rsidRPr="00CA50F7">
              <w:rPr>
                <w:color w:val="000000"/>
              </w:rPr>
              <w:t>NOR</w:t>
            </w:r>
          </w:p>
        </w:tc>
        <w:tc>
          <w:tcPr>
            <w:tcW w:w="613" w:type="pct"/>
            <w:tcBorders>
              <w:top w:val="nil"/>
              <w:left w:val="nil"/>
              <w:bottom w:val="nil"/>
              <w:right w:val="nil"/>
            </w:tcBorders>
            <w:shd w:val="clear" w:color="auto" w:fill="auto"/>
            <w:noWrap/>
            <w:vAlign w:val="bottom"/>
            <w:hideMark/>
          </w:tcPr>
          <w:p w14:paraId="41ED24F4" w14:textId="2A64897F"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41AF823A" w14:textId="66BDDEF8"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2364CE53" w14:textId="77777777" w:rsidTr="00EB6E08">
        <w:trPr>
          <w:jc w:val="center"/>
        </w:trPr>
        <w:tc>
          <w:tcPr>
            <w:tcW w:w="566" w:type="pct"/>
            <w:tcBorders>
              <w:top w:val="nil"/>
              <w:left w:val="nil"/>
              <w:bottom w:val="nil"/>
              <w:right w:val="nil"/>
            </w:tcBorders>
            <w:shd w:val="clear" w:color="auto" w:fill="auto"/>
            <w:noWrap/>
            <w:vAlign w:val="bottom"/>
            <w:hideMark/>
          </w:tcPr>
          <w:p w14:paraId="478558FB" w14:textId="77777777" w:rsidR="00CA50F7" w:rsidRPr="00CA50F7" w:rsidRDefault="00CA50F7" w:rsidP="00CA50F7">
            <w:pPr>
              <w:spacing w:line="480" w:lineRule="auto"/>
              <w:rPr>
                <w:color w:val="000000"/>
                <w:lang w:eastAsia="en-US"/>
              </w:rPr>
            </w:pPr>
            <w:r w:rsidRPr="00CA50F7">
              <w:rPr>
                <w:color w:val="000000"/>
              </w:rPr>
              <w:t>COL</w:t>
            </w:r>
          </w:p>
        </w:tc>
        <w:tc>
          <w:tcPr>
            <w:tcW w:w="615" w:type="pct"/>
            <w:tcBorders>
              <w:top w:val="nil"/>
              <w:left w:val="nil"/>
              <w:bottom w:val="nil"/>
              <w:right w:val="nil"/>
            </w:tcBorders>
            <w:shd w:val="clear" w:color="auto" w:fill="auto"/>
            <w:noWrap/>
            <w:vAlign w:val="bottom"/>
            <w:hideMark/>
          </w:tcPr>
          <w:p w14:paraId="61B37624" w14:textId="77777777" w:rsidR="00CA50F7" w:rsidRPr="00CA50F7" w:rsidRDefault="00CA50F7" w:rsidP="00CA50F7">
            <w:pPr>
              <w:tabs>
                <w:tab w:val="decimal" w:pos="482"/>
              </w:tabs>
              <w:spacing w:line="480" w:lineRule="auto"/>
              <w:rPr>
                <w:color w:val="000000"/>
                <w:lang w:eastAsia="en-US"/>
              </w:rPr>
            </w:pPr>
            <w:r w:rsidRPr="00CA50F7">
              <w:rPr>
                <w:color w:val="000000"/>
              </w:rPr>
              <w:t>2</w:t>
            </w:r>
          </w:p>
        </w:tc>
        <w:tc>
          <w:tcPr>
            <w:tcW w:w="1293" w:type="pct"/>
            <w:tcBorders>
              <w:top w:val="nil"/>
              <w:left w:val="nil"/>
              <w:bottom w:val="nil"/>
              <w:right w:val="single" w:sz="4" w:space="0" w:color="auto"/>
            </w:tcBorders>
            <w:shd w:val="clear" w:color="auto" w:fill="auto"/>
            <w:noWrap/>
            <w:vAlign w:val="bottom"/>
            <w:hideMark/>
          </w:tcPr>
          <w:p w14:paraId="3CC81E91" w14:textId="77777777" w:rsidR="00CA50F7" w:rsidRPr="00CA50F7" w:rsidRDefault="00CA50F7" w:rsidP="00CA50F7">
            <w:pPr>
              <w:tabs>
                <w:tab w:val="decimal" w:pos="944"/>
              </w:tabs>
              <w:spacing w:line="480" w:lineRule="auto"/>
              <w:rPr>
                <w:color w:val="000000"/>
                <w:lang w:eastAsia="en-US"/>
              </w:rPr>
            </w:pPr>
            <w:r w:rsidRPr="00CA50F7">
              <w:rPr>
                <w:color w:val="000000"/>
              </w:rPr>
              <w:t>2</w:t>
            </w:r>
          </w:p>
        </w:tc>
        <w:tc>
          <w:tcPr>
            <w:tcW w:w="625" w:type="pct"/>
            <w:tcBorders>
              <w:top w:val="nil"/>
              <w:left w:val="single" w:sz="4" w:space="0" w:color="auto"/>
              <w:bottom w:val="nil"/>
              <w:right w:val="nil"/>
            </w:tcBorders>
            <w:shd w:val="clear" w:color="auto" w:fill="auto"/>
            <w:noWrap/>
            <w:vAlign w:val="bottom"/>
            <w:hideMark/>
          </w:tcPr>
          <w:p w14:paraId="70AED9FA" w14:textId="664D9EE3" w:rsidR="00CA50F7" w:rsidRPr="00CA50F7" w:rsidRDefault="00CA50F7" w:rsidP="00CA50F7">
            <w:pPr>
              <w:spacing w:line="480" w:lineRule="auto"/>
              <w:rPr>
                <w:color w:val="000000"/>
                <w:lang w:eastAsia="en-US"/>
              </w:rPr>
            </w:pPr>
            <w:r w:rsidRPr="00CA50F7">
              <w:rPr>
                <w:color w:val="000000"/>
              </w:rPr>
              <w:t>NZL</w:t>
            </w:r>
          </w:p>
        </w:tc>
        <w:tc>
          <w:tcPr>
            <w:tcW w:w="613" w:type="pct"/>
            <w:tcBorders>
              <w:top w:val="nil"/>
              <w:left w:val="nil"/>
              <w:bottom w:val="nil"/>
              <w:right w:val="nil"/>
            </w:tcBorders>
            <w:shd w:val="clear" w:color="auto" w:fill="auto"/>
            <w:noWrap/>
            <w:vAlign w:val="bottom"/>
            <w:hideMark/>
          </w:tcPr>
          <w:p w14:paraId="7EED48A6" w14:textId="7425A4EF" w:rsidR="00CA50F7" w:rsidRPr="00CA50F7" w:rsidRDefault="00CA50F7" w:rsidP="00CA50F7">
            <w:pPr>
              <w:tabs>
                <w:tab w:val="decimal" w:pos="636"/>
              </w:tabs>
              <w:spacing w:line="480" w:lineRule="auto"/>
              <w:rPr>
                <w:color w:val="000000"/>
                <w:lang w:eastAsia="en-US"/>
              </w:rPr>
            </w:pPr>
            <w:r w:rsidRPr="00CA50F7">
              <w:rPr>
                <w:color w:val="000000"/>
              </w:rPr>
              <w:t>17</w:t>
            </w:r>
          </w:p>
        </w:tc>
        <w:tc>
          <w:tcPr>
            <w:tcW w:w="1287" w:type="pct"/>
            <w:tcBorders>
              <w:top w:val="nil"/>
              <w:left w:val="nil"/>
              <w:bottom w:val="nil"/>
              <w:right w:val="nil"/>
            </w:tcBorders>
            <w:shd w:val="clear" w:color="auto" w:fill="auto"/>
            <w:noWrap/>
            <w:vAlign w:val="bottom"/>
            <w:hideMark/>
          </w:tcPr>
          <w:p w14:paraId="7008F9D2" w14:textId="1157DBF8" w:rsidR="00CA50F7" w:rsidRPr="00CA50F7" w:rsidRDefault="00CA50F7" w:rsidP="00CA50F7">
            <w:pPr>
              <w:tabs>
                <w:tab w:val="decimal" w:pos="1023"/>
              </w:tabs>
              <w:spacing w:line="480" w:lineRule="auto"/>
              <w:rPr>
                <w:color w:val="000000"/>
                <w:lang w:eastAsia="en-US"/>
              </w:rPr>
            </w:pPr>
            <w:r w:rsidRPr="00CA50F7">
              <w:rPr>
                <w:color w:val="000000"/>
              </w:rPr>
              <w:t>6</w:t>
            </w:r>
          </w:p>
        </w:tc>
      </w:tr>
      <w:tr w:rsidR="00EB6E08" w:rsidRPr="00CA50F7" w14:paraId="709B3781" w14:textId="77777777" w:rsidTr="00EB6E08">
        <w:trPr>
          <w:jc w:val="center"/>
        </w:trPr>
        <w:tc>
          <w:tcPr>
            <w:tcW w:w="566" w:type="pct"/>
            <w:tcBorders>
              <w:top w:val="nil"/>
              <w:left w:val="nil"/>
              <w:bottom w:val="nil"/>
              <w:right w:val="nil"/>
            </w:tcBorders>
            <w:shd w:val="clear" w:color="auto" w:fill="auto"/>
            <w:noWrap/>
            <w:vAlign w:val="bottom"/>
            <w:hideMark/>
          </w:tcPr>
          <w:p w14:paraId="6D4C0251" w14:textId="77777777" w:rsidR="00CA50F7" w:rsidRPr="00CA50F7" w:rsidRDefault="00CA50F7" w:rsidP="00CA50F7">
            <w:pPr>
              <w:spacing w:line="480" w:lineRule="auto"/>
              <w:rPr>
                <w:color w:val="000000"/>
                <w:lang w:eastAsia="en-US"/>
              </w:rPr>
            </w:pPr>
            <w:r w:rsidRPr="00CA50F7">
              <w:rPr>
                <w:color w:val="000000"/>
              </w:rPr>
              <w:t>CZE</w:t>
            </w:r>
          </w:p>
        </w:tc>
        <w:tc>
          <w:tcPr>
            <w:tcW w:w="615" w:type="pct"/>
            <w:tcBorders>
              <w:top w:val="nil"/>
              <w:left w:val="nil"/>
              <w:bottom w:val="nil"/>
              <w:right w:val="nil"/>
            </w:tcBorders>
            <w:shd w:val="clear" w:color="auto" w:fill="auto"/>
            <w:noWrap/>
            <w:vAlign w:val="bottom"/>
            <w:hideMark/>
          </w:tcPr>
          <w:p w14:paraId="1801D829"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top w:val="nil"/>
              <w:left w:val="nil"/>
              <w:bottom w:val="nil"/>
              <w:right w:val="single" w:sz="4" w:space="0" w:color="auto"/>
            </w:tcBorders>
            <w:shd w:val="clear" w:color="auto" w:fill="auto"/>
            <w:noWrap/>
            <w:vAlign w:val="bottom"/>
            <w:hideMark/>
          </w:tcPr>
          <w:p w14:paraId="19CE64C1" w14:textId="77777777" w:rsidR="00CA50F7" w:rsidRPr="00CA50F7" w:rsidRDefault="00CA50F7" w:rsidP="00CA50F7">
            <w:pPr>
              <w:tabs>
                <w:tab w:val="decimal" w:pos="944"/>
              </w:tabs>
              <w:spacing w:line="480" w:lineRule="auto"/>
              <w:rPr>
                <w:color w:val="000000"/>
                <w:lang w:eastAsia="en-US"/>
              </w:rPr>
            </w:pPr>
            <w:r w:rsidRPr="00CA50F7">
              <w:rPr>
                <w:color w:val="000000"/>
              </w:rPr>
              <w:t>0</w:t>
            </w:r>
          </w:p>
        </w:tc>
        <w:tc>
          <w:tcPr>
            <w:tcW w:w="625" w:type="pct"/>
            <w:tcBorders>
              <w:top w:val="nil"/>
              <w:left w:val="single" w:sz="4" w:space="0" w:color="auto"/>
              <w:bottom w:val="nil"/>
              <w:right w:val="nil"/>
            </w:tcBorders>
            <w:shd w:val="clear" w:color="auto" w:fill="auto"/>
            <w:noWrap/>
            <w:vAlign w:val="bottom"/>
            <w:hideMark/>
          </w:tcPr>
          <w:p w14:paraId="66D94CB9" w14:textId="40FA62C2" w:rsidR="00CA50F7" w:rsidRPr="00CA50F7" w:rsidRDefault="00CA50F7" w:rsidP="00CA50F7">
            <w:pPr>
              <w:spacing w:line="480" w:lineRule="auto"/>
              <w:rPr>
                <w:color w:val="000000"/>
                <w:lang w:eastAsia="en-US"/>
              </w:rPr>
            </w:pPr>
            <w:r w:rsidRPr="00CA50F7">
              <w:rPr>
                <w:color w:val="000000"/>
              </w:rPr>
              <w:t>PAK</w:t>
            </w:r>
          </w:p>
        </w:tc>
        <w:tc>
          <w:tcPr>
            <w:tcW w:w="613" w:type="pct"/>
            <w:tcBorders>
              <w:top w:val="nil"/>
              <w:left w:val="nil"/>
              <w:bottom w:val="nil"/>
              <w:right w:val="nil"/>
            </w:tcBorders>
            <w:shd w:val="clear" w:color="auto" w:fill="auto"/>
            <w:noWrap/>
            <w:vAlign w:val="bottom"/>
            <w:hideMark/>
          </w:tcPr>
          <w:p w14:paraId="39613C9C" w14:textId="2D3BBAE5" w:rsidR="00CA50F7" w:rsidRPr="00CA50F7" w:rsidRDefault="00CA50F7" w:rsidP="00CA50F7">
            <w:pPr>
              <w:tabs>
                <w:tab w:val="decimal" w:pos="636"/>
              </w:tabs>
              <w:spacing w:line="480" w:lineRule="auto"/>
              <w:rPr>
                <w:color w:val="000000"/>
                <w:lang w:eastAsia="en-US"/>
              </w:rPr>
            </w:pPr>
            <w:r w:rsidRPr="00CA50F7">
              <w:rPr>
                <w:color w:val="000000"/>
              </w:rPr>
              <w:t>4</w:t>
            </w:r>
          </w:p>
        </w:tc>
        <w:tc>
          <w:tcPr>
            <w:tcW w:w="1287" w:type="pct"/>
            <w:tcBorders>
              <w:top w:val="nil"/>
              <w:left w:val="nil"/>
              <w:bottom w:val="nil"/>
              <w:right w:val="nil"/>
            </w:tcBorders>
            <w:shd w:val="clear" w:color="auto" w:fill="auto"/>
            <w:noWrap/>
            <w:vAlign w:val="bottom"/>
            <w:hideMark/>
          </w:tcPr>
          <w:p w14:paraId="625EF99F" w14:textId="5C5F7DDF" w:rsidR="00CA50F7" w:rsidRPr="00CA50F7" w:rsidRDefault="00CA50F7" w:rsidP="00CA50F7">
            <w:pPr>
              <w:tabs>
                <w:tab w:val="decimal" w:pos="1023"/>
              </w:tabs>
              <w:spacing w:line="480" w:lineRule="auto"/>
              <w:rPr>
                <w:color w:val="000000"/>
                <w:lang w:eastAsia="en-US"/>
              </w:rPr>
            </w:pPr>
            <w:r w:rsidRPr="00CA50F7">
              <w:rPr>
                <w:color w:val="000000"/>
              </w:rPr>
              <w:t>2</w:t>
            </w:r>
          </w:p>
        </w:tc>
      </w:tr>
      <w:tr w:rsidR="00EB6E08" w:rsidRPr="00CA50F7" w14:paraId="5AAAA906" w14:textId="77777777" w:rsidTr="00EB6E08">
        <w:trPr>
          <w:jc w:val="center"/>
        </w:trPr>
        <w:tc>
          <w:tcPr>
            <w:tcW w:w="566" w:type="pct"/>
            <w:tcBorders>
              <w:top w:val="nil"/>
              <w:left w:val="nil"/>
              <w:bottom w:val="nil"/>
              <w:right w:val="nil"/>
            </w:tcBorders>
            <w:shd w:val="clear" w:color="auto" w:fill="auto"/>
            <w:noWrap/>
            <w:vAlign w:val="bottom"/>
            <w:hideMark/>
          </w:tcPr>
          <w:p w14:paraId="0DAD3B8A" w14:textId="77777777" w:rsidR="00CA50F7" w:rsidRPr="00CA50F7" w:rsidRDefault="00CA50F7" w:rsidP="00CA50F7">
            <w:pPr>
              <w:spacing w:line="480" w:lineRule="auto"/>
              <w:rPr>
                <w:color w:val="000000"/>
                <w:lang w:eastAsia="en-US"/>
              </w:rPr>
            </w:pPr>
            <w:r w:rsidRPr="00CA50F7">
              <w:rPr>
                <w:color w:val="000000"/>
              </w:rPr>
              <w:t>DEU</w:t>
            </w:r>
          </w:p>
        </w:tc>
        <w:tc>
          <w:tcPr>
            <w:tcW w:w="615" w:type="pct"/>
            <w:tcBorders>
              <w:top w:val="nil"/>
              <w:left w:val="nil"/>
              <w:bottom w:val="nil"/>
              <w:right w:val="nil"/>
            </w:tcBorders>
            <w:shd w:val="clear" w:color="auto" w:fill="auto"/>
            <w:noWrap/>
            <w:vAlign w:val="bottom"/>
            <w:hideMark/>
          </w:tcPr>
          <w:p w14:paraId="49D1D15C" w14:textId="77777777" w:rsidR="00CA50F7" w:rsidRPr="00CA50F7" w:rsidRDefault="00CA50F7" w:rsidP="00CA50F7">
            <w:pPr>
              <w:tabs>
                <w:tab w:val="decimal" w:pos="482"/>
              </w:tabs>
              <w:spacing w:line="480" w:lineRule="auto"/>
              <w:rPr>
                <w:color w:val="000000"/>
                <w:lang w:eastAsia="en-US"/>
              </w:rPr>
            </w:pPr>
            <w:r w:rsidRPr="00CA50F7">
              <w:rPr>
                <w:color w:val="000000"/>
              </w:rPr>
              <w:t>5</w:t>
            </w:r>
          </w:p>
        </w:tc>
        <w:tc>
          <w:tcPr>
            <w:tcW w:w="1293" w:type="pct"/>
            <w:tcBorders>
              <w:top w:val="nil"/>
              <w:left w:val="nil"/>
              <w:bottom w:val="nil"/>
              <w:right w:val="single" w:sz="4" w:space="0" w:color="auto"/>
            </w:tcBorders>
            <w:shd w:val="clear" w:color="auto" w:fill="auto"/>
            <w:noWrap/>
            <w:vAlign w:val="bottom"/>
            <w:hideMark/>
          </w:tcPr>
          <w:p w14:paraId="1159810E" w14:textId="77777777" w:rsidR="00CA50F7" w:rsidRPr="00CA50F7" w:rsidRDefault="00CA50F7" w:rsidP="00CA50F7">
            <w:pPr>
              <w:tabs>
                <w:tab w:val="decimal" w:pos="944"/>
              </w:tabs>
              <w:spacing w:line="480" w:lineRule="auto"/>
              <w:rPr>
                <w:color w:val="000000"/>
                <w:lang w:eastAsia="en-US"/>
              </w:rPr>
            </w:pPr>
            <w:r w:rsidRPr="00CA50F7">
              <w:rPr>
                <w:color w:val="000000"/>
              </w:rPr>
              <w:t>2</w:t>
            </w:r>
          </w:p>
        </w:tc>
        <w:tc>
          <w:tcPr>
            <w:tcW w:w="625" w:type="pct"/>
            <w:tcBorders>
              <w:top w:val="nil"/>
              <w:left w:val="single" w:sz="4" w:space="0" w:color="auto"/>
              <w:bottom w:val="nil"/>
              <w:right w:val="nil"/>
            </w:tcBorders>
            <w:shd w:val="clear" w:color="auto" w:fill="auto"/>
            <w:noWrap/>
            <w:vAlign w:val="bottom"/>
            <w:hideMark/>
          </w:tcPr>
          <w:p w14:paraId="13CF50AD" w14:textId="2558B336" w:rsidR="00CA50F7" w:rsidRPr="00CA50F7" w:rsidRDefault="00CA50F7" w:rsidP="00CA50F7">
            <w:pPr>
              <w:spacing w:line="480" w:lineRule="auto"/>
              <w:rPr>
                <w:color w:val="000000"/>
                <w:lang w:eastAsia="en-US"/>
              </w:rPr>
            </w:pPr>
            <w:r w:rsidRPr="00CA50F7">
              <w:rPr>
                <w:color w:val="000000"/>
              </w:rPr>
              <w:t>PER</w:t>
            </w:r>
          </w:p>
        </w:tc>
        <w:tc>
          <w:tcPr>
            <w:tcW w:w="613" w:type="pct"/>
            <w:tcBorders>
              <w:top w:val="nil"/>
              <w:left w:val="nil"/>
              <w:bottom w:val="nil"/>
              <w:right w:val="nil"/>
            </w:tcBorders>
            <w:shd w:val="clear" w:color="auto" w:fill="auto"/>
            <w:noWrap/>
            <w:vAlign w:val="bottom"/>
            <w:hideMark/>
          </w:tcPr>
          <w:p w14:paraId="1356CBC0" w14:textId="64B0E733"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03D3427F" w14:textId="7EDF0ABF"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26448613" w14:textId="77777777" w:rsidTr="00EB6E08">
        <w:trPr>
          <w:jc w:val="center"/>
        </w:trPr>
        <w:tc>
          <w:tcPr>
            <w:tcW w:w="566" w:type="pct"/>
            <w:tcBorders>
              <w:top w:val="nil"/>
              <w:left w:val="nil"/>
              <w:bottom w:val="nil"/>
              <w:right w:val="nil"/>
            </w:tcBorders>
            <w:shd w:val="clear" w:color="auto" w:fill="auto"/>
            <w:noWrap/>
            <w:vAlign w:val="bottom"/>
            <w:hideMark/>
          </w:tcPr>
          <w:p w14:paraId="60232F6F" w14:textId="77777777" w:rsidR="00CA50F7" w:rsidRPr="00CA50F7" w:rsidRDefault="00CA50F7" w:rsidP="00CA50F7">
            <w:pPr>
              <w:spacing w:line="480" w:lineRule="auto"/>
              <w:rPr>
                <w:color w:val="000000"/>
                <w:lang w:eastAsia="en-US"/>
              </w:rPr>
            </w:pPr>
            <w:r w:rsidRPr="00CA50F7">
              <w:rPr>
                <w:color w:val="000000"/>
              </w:rPr>
              <w:t>ECU</w:t>
            </w:r>
          </w:p>
        </w:tc>
        <w:tc>
          <w:tcPr>
            <w:tcW w:w="615" w:type="pct"/>
            <w:tcBorders>
              <w:top w:val="nil"/>
              <w:left w:val="nil"/>
              <w:bottom w:val="nil"/>
              <w:right w:val="nil"/>
            </w:tcBorders>
            <w:shd w:val="clear" w:color="auto" w:fill="auto"/>
            <w:noWrap/>
            <w:vAlign w:val="bottom"/>
            <w:hideMark/>
          </w:tcPr>
          <w:p w14:paraId="40DF9083"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top w:val="nil"/>
              <w:left w:val="nil"/>
              <w:bottom w:val="nil"/>
              <w:right w:val="single" w:sz="4" w:space="0" w:color="auto"/>
            </w:tcBorders>
            <w:shd w:val="clear" w:color="auto" w:fill="auto"/>
            <w:noWrap/>
            <w:vAlign w:val="bottom"/>
            <w:hideMark/>
          </w:tcPr>
          <w:p w14:paraId="5BB7CD9A" w14:textId="77777777" w:rsidR="00CA50F7" w:rsidRPr="00CA50F7" w:rsidRDefault="00CA50F7" w:rsidP="00CA50F7">
            <w:pPr>
              <w:tabs>
                <w:tab w:val="decimal" w:pos="944"/>
              </w:tabs>
              <w:spacing w:line="480" w:lineRule="auto"/>
              <w:rPr>
                <w:color w:val="000000"/>
                <w:lang w:eastAsia="en-US"/>
              </w:rPr>
            </w:pPr>
            <w:r w:rsidRPr="00CA50F7">
              <w:rPr>
                <w:color w:val="000000"/>
              </w:rPr>
              <w:t>1</w:t>
            </w:r>
          </w:p>
        </w:tc>
        <w:tc>
          <w:tcPr>
            <w:tcW w:w="625" w:type="pct"/>
            <w:tcBorders>
              <w:top w:val="nil"/>
              <w:left w:val="single" w:sz="4" w:space="0" w:color="auto"/>
              <w:bottom w:val="nil"/>
              <w:right w:val="nil"/>
            </w:tcBorders>
            <w:shd w:val="clear" w:color="auto" w:fill="auto"/>
            <w:noWrap/>
            <w:vAlign w:val="bottom"/>
            <w:hideMark/>
          </w:tcPr>
          <w:p w14:paraId="755F7B11" w14:textId="65EF7D7F" w:rsidR="00CA50F7" w:rsidRPr="00CA50F7" w:rsidRDefault="00CA50F7" w:rsidP="00CA50F7">
            <w:pPr>
              <w:spacing w:line="480" w:lineRule="auto"/>
              <w:rPr>
                <w:color w:val="000000"/>
                <w:lang w:eastAsia="en-US"/>
              </w:rPr>
            </w:pPr>
            <w:r w:rsidRPr="00CA50F7">
              <w:rPr>
                <w:color w:val="000000"/>
              </w:rPr>
              <w:t>PHL</w:t>
            </w:r>
          </w:p>
        </w:tc>
        <w:tc>
          <w:tcPr>
            <w:tcW w:w="613" w:type="pct"/>
            <w:tcBorders>
              <w:top w:val="nil"/>
              <w:left w:val="nil"/>
              <w:bottom w:val="nil"/>
              <w:right w:val="nil"/>
            </w:tcBorders>
            <w:shd w:val="clear" w:color="auto" w:fill="auto"/>
            <w:noWrap/>
            <w:vAlign w:val="bottom"/>
            <w:hideMark/>
          </w:tcPr>
          <w:p w14:paraId="6B013AA0" w14:textId="4D3FC1D4" w:rsidR="00CA50F7" w:rsidRPr="00CA50F7" w:rsidRDefault="00CA50F7" w:rsidP="00CA50F7">
            <w:pPr>
              <w:tabs>
                <w:tab w:val="decimal" w:pos="636"/>
              </w:tabs>
              <w:spacing w:line="480" w:lineRule="auto"/>
              <w:rPr>
                <w:color w:val="000000"/>
                <w:lang w:eastAsia="en-US"/>
              </w:rPr>
            </w:pPr>
            <w:r w:rsidRPr="00CA50F7">
              <w:rPr>
                <w:color w:val="000000"/>
              </w:rPr>
              <w:t>2</w:t>
            </w:r>
          </w:p>
        </w:tc>
        <w:tc>
          <w:tcPr>
            <w:tcW w:w="1287" w:type="pct"/>
            <w:tcBorders>
              <w:top w:val="nil"/>
              <w:left w:val="nil"/>
              <w:bottom w:val="nil"/>
              <w:right w:val="nil"/>
            </w:tcBorders>
            <w:shd w:val="clear" w:color="auto" w:fill="auto"/>
            <w:noWrap/>
            <w:vAlign w:val="bottom"/>
            <w:hideMark/>
          </w:tcPr>
          <w:p w14:paraId="29330B48" w14:textId="502F0011"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3850F0FC" w14:textId="77777777" w:rsidTr="00EB6E08">
        <w:trPr>
          <w:jc w:val="center"/>
        </w:trPr>
        <w:tc>
          <w:tcPr>
            <w:tcW w:w="566" w:type="pct"/>
            <w:tcBorders>
              <w:top w:val="nil"/>
              <w:left w:val="nil"/>
              <w:bottom w:val="nil"/>
              <w:right w:val="nil"/>
            </w:tcBorders>
            <w:shd w:val="clear" w:color="auto" w:fill="auto"/>
            <w:noWrap/>
            <w:vAlign w:val="bottom"/>
            <w:hideMark/>
          </w:tcPr>
          <w:p w14:paraId="2DD8543B" w14:textId="77777777" w:rsidR="00CA50F7" w:rsidRPr="00CA50F7" w:rsidRDefault="00CA50F7" w:rsidP="00CA50F7">
            <w:pPr>
              <w:spacing w:line="480" w:lineRule="auto"/>
              <w:rPr>
                <w:color w:val="000000"/>
                <w:lang w:eastAsia="en-US"/>
              </w:rPr>
            </w:pPr>
            <w:r w:rsidRPr="00CA50F7">
              <w:rPr>
                <w:color w:val="000000"/>
              </w:rPr>
              <w:t>ESP</w:t>
            </w:r>
          </w:p>
        </w:tc>
        <w:tc>
          <w:tcPr>
            <w:tcW w:w="615" w:type="pct"/>
            <w:tcBorders>
              <w:top w:val="nil"/>
              <w:left w:val="nil"/>
              <w:bottom w:val="nil"/>
              <w:right w:val="nil"/>
            </w:tcBorders>
            <w:shd w:val="clear" w:color="auto" w:fill="auto"/>
            <w:noWrap/>
            <w:vAlign w:val="bottom"/>
            <w:hideMark/>
          </w:tcPr>
          <w:p w14:paraId="5F24204B" w14:textId="77777777" w:rsidR="00CA50F7" w:rsidRPr="00CA50F7" w:rsidRDefault="00CA50F7" w:rsidP="00CA50F7">
            <w:pPr>
              <w:tabs>
                <w:tab w:val="decimal" w:pos="482"/>
              </w:tabs>
              <w:spacing w:line="480" w:lineRule="auto"/>
              <w:rPr>
                <w:color w:val="000000"/>
                <w:lang w:eastAsia="en-US"/>
              </w:rPr>
            </w:pPr>
            <w:r w:rsidRPr="00CA50F7">
              <w:rPr>
                <w:color w:val="000000"/>
              </w:rPr>
              <w:t>13</w:t>
            </w:r>
          </w:p>
        </w:tc>
        <w:tc>
          <w:tcPr>
            <w:tcW w:w="1293" w:type="pct"/>
            <w:tcBorders>
              <w:top w:val="nil"/>
              <w:left w:val="nil"/>
              <w:bottom w:val="nil"/>
              <w:right w:val="single" w:sz="4" w:space="0" w:color="auto"/>
            </w:tcBorders>
            <w:shd w:val="clear" w:color="auto" w:fill="auto"/>
            <w:noWrap/>
            <w:vAlign w:val="bottom"/>
            <w:hideMark/>
          </w:tcPr>
          <w:p w14:paraId="07F7B451" w14:textId="77777777" w:rsidR="00CA50F7" w:rsidRPr="00CA50F7" w:rsidRDefault="00CA50F7" w:rsidP="00CA50F7">
            <w:pPr>
              <w:tabs>
                <w:tab w:val="decimal" w:pos="944"/>
              </w:tabs>
              <w:spacing w:line="480" w:lineRule="auto"/>
              <w:rPr>
                <w:color w:val="000000"/>
                <w:lang w:eastAsia="en-US"/>
              </w:rPr>
            </w:pPr>
            <w:r w:rsidRPr="00CA50F7">
              <w:rPr>
                <w:color w:val="000000"/>
              </w:rPr>
              <w:t>5</w:t>
            </w:r>
          </w:p>
        </w:tc>
        <w:tc>
          <w:tcPr>
            <w:tcW w:w="625" w:type="pct"/>
            <w:tcBorders>
              <w:top w:val="nil"/>
              <w:left w:val="single" w:sz="4" w:space="0" w:color="auto"/>
              <w:bottom w:val="nil"/>
              <w:right w:val="nil"/>
            </w:tcBorders>
            <w:shd w:val="clear" w:color="auto" w:fill="auto"/>
            <w:noWrap/>
            <w:vAlign w:val="bottom"/>
            <w:hideMark/>
          </w:tcPr>
          <w:p w14:paraId="10BB3D32" w14:textId="6376792E" w:rsidR="00CA50F7" w:rsidRPr="00CA50F7" w:rsidRDefault="00CA50F7" w:rsidP="00CA50F7">
            <w:pPr>
              <w:spacing w:line="480" w:lineRule="auto"/>
              <w:rPr>
                <w:color w:val="000000"/>
                <w:lang w:eastAsia="en-US"/>
              </w:rPr>
            </w:pPr>
            <w:r w:rsidRPr="00CA50F7">
              <w:rPr>
                <w:color w:val="000000"/>
              </w:rPr>
              <w:t>POL</w:t>
            </w:r>
          </w:p>
        </w:tc>
        <w:tc>
          <w:tcPr>
            <w:tcW w:w="613" w:type="pct"/>
            <w:tcBorders>
              <w:top w:val="nil"/>
              <w:left w:val="nil"/>
              <w:bottom w:val="nil"/>
              <w:right w:val="nil"/>
            </w:tcBorders>
            <w:shd w:val="clear" w:color="auto" w:fill="auto"/>
            <w:noWrap/>
            <w:vAlign w:val="bottom"/>
            <w:hideMark/>
          </w:tcPr>
          <w:p w14:paraId="7A276786" w14:textId="3879BBC3" w:rsidR="00CA50F7" w:rsidRPr="00CA50F7" w:rsidRDefault="00CA50F7" w:rsidP="00CA50F7">
            <w:pPr>
              <w:tabs>
                <w:tab w:val="decimal" w:pos="636"/>
              </w:tabs>
              <w:spacing w:line="480" w:lineRule="auto"/>
              <w:rPr>
                <w:color w:val="000000"/>
                <w:lang w:eastAsia="en-US"/>
              </w:rPr>
            </w:pPr>
            <w:r w:rsidRPr="00CA50F7">
              <w:rPr>
                <w:color w:val="000000"/>
              </w:rPr>
              <w:t>2</w:t>
            </w:r>
          </w:p>
        </w:tc>
        <w:tc>
          <w:tcPr>
            <w:tcW w:w="1287" w:type="pct"/>
            <w:tcBorders>
              <w:top w:val="nil"/>
              <w:left w:val="nil"/>
              <w:bottom w:val="nil"/>
              <w:right w:val="nil"/>
            </w:tcBorders>
            <w:shd w:val="clear" w:color="auto" w:fill="auto"/>
            <w:noWrap/>
            <w:vAlign w:val="bottom"/>
            <w:hideMark/>
          </w:tcPr>
          <w:p w14:paraId="54BB8101" w14:textId="7381E499"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666ABCC1" w14:textId="77777777" w:rsidTr="00EB6E08">
        <w:trPr>
          <w:jc w:val="center"/>
        </w:trPr>
        <w:tc>
          <w:tcPr>
            <w:tcW w:w="566" w:type="pct"/>
            <w:tcBorders>
              <w:top w:val="nil"/>
              <w:left w:val="nil"/>
              <w:bottom w:val="nil"/>
              <w:right w:val="nil"/>
            </w:tcBorders>
            <w:shd w:val="clear" w:color="auto" w:fill="auto"/>
            <w:noWrap/>
            <w:vAlign w:val="bottom"/>
            <w:hideMark/>
          </w:tcPr>
          <w:p w14:paraId="1439C36C" w14:textId="77777777" w:rsidR="00CA50F7" w:rsidRPr="00CA50F7" w:rsidRDefault="00CA50F7" w:rsidP="00CA50F7">
            <w:pPr>
              <w:spacing w:line="480" w:lineRule="auto"/>
              <w:rPr>
                <w:color w:val="000000"/>
                <w:lang w:eastAsia="en-US"/>
              </w:rPr>
            </w:pPr>
            <w:r w:rsidRPr="00CA50F7">
              <w:rPr>
                <w:color w:val="000000"/>
              </w:rPr>
              <w:t>EUU</w:t>
            </w:r>
          </w:p>
        </w:tc>
        <w:tc>
          <w:tcPr>
            <w:tcW w:w="615" w:type="pct"/>
            <w:tcBorders>
              <w:top w:val="nil"/>
              <w:left w:val="nil"/>
              <w:bottom w:val="nil"/>
              <w:right w:val="nil"/>
            </w:tcBorders>
            <w:shd w:val="clear" w:color="auto" w:fill="auto"/>
            <w:noWrap/>
            <w:vAlign w:val="bottom"/>
            <w:hideMark/>
          </w:tcPr>
          <w:p w14:paraId="070AD1D7" w14:textId="77777777" w:rsidR="00CA50F7" w:rsidRPr="00CA50F7" w:rsidRDefault="00CA50F7" w:rsidP="00CA50F7">
            <w:pPr>
              <w:tabs>
                <w:tab w:val="decimal" w:pos="482"/>
              </w:tabs>
              <w:spacing w:line="480" w:lineRule="auto"/>
              <w:rPr>
                <w:color w:val="000000"/>
                <w:lang w:eastAsia="en-US"/>
              </w:rPr>
            </w:pPr>
            <w:r w:rsidRPr="00CA50F7">
              <w:rPr>
                <w:color w:val="000000"/>
              </w:rPr>
              <w:t>57</w:t>
            </w:r>
          </w:p>
        </w:tc>
        <w:tc>
          <w:tcPr>
            <w:tcW w:w="1293" w:type="pct"/>
            <w:tcBorders>
              <w:top w:val="nil"/>
              <w:left w:val="nil"/>
              <w:bottom w:val="nil"/>
              <w:right w:val="single" w:sz="4" w:space="0" w:color="auto"/>
            </w:tcBorders>
            <w:shd w:val="clear" w:color="auto" w:fill="auto"/>
            <w:noWrap/>
            <w:vAlign w:val="bottom"/>
            <w:hideMark/>
          </w:tcPr>
          <w:p w14:paraId="4520E325" w14:textId="77777777" w:rsidR="00CA50F7" w:rsidRPr="00CA50F7" w:rsidRDefault="00CA50F7" w:rsidP="00CA50F7">
            <w:pPr>
              <w:tabs>
                <w:tab w:val="decimal" w:pos="944"/>
              </w:tabs>
              <w:spacing w:line="480" w:lineRule="auto"/>
              <w:rPr>
                <w:color w:val="000000"/>
                <w:lang w:eastAsia="en-US"/>
              </w:rPr>
            </w:pPr>
            <w:r w:rsidRPr="00CA50F7">
              <w:rPr>
                <w:color w:val="000000"/>
              </w:rPr>
              <w:t>37</w:t>
            </w:r>
          </w:p>
        </w:tc>
        <w:tc>
          <w:tcPr>
            <w:tcW w:w="625" w:type="pct"/>
            <w:tcBorders>
              <w:top w:val="nil"/>
              <w:left w:val="single" w:sz="4" w:space="0" w:color="auto"/>
              <w:bottom w:val="nil"/>
              <w:right w:val="nil"/>
            </w:tcBorders>
            <w:shd w:val="clear" w:color="auto" w:fill="auto"/>
            <w:noWrap/>
            <w:vAlign w:val="bottom"/>
            <w:hideMark/>
          </w:tcPr>
          <w:p w14:paraId="1977ED73" w14:textId="7A5D9FBD" w:rsidR="00CA50F7" w:rsidRPr="00CA50F7" w:rsidRDefault="00CA50F7" w:rsidP="00CA50F7">
            <w:pPr>
              <w:spacing w:line="480" w:lineRule="auto"/>
              <w:rPr>
                <w:color w:val="000000"/>
                <w:lang w:eastAsia="en-US"/>
              </w:rPr>
            </w:pPr>
            <w:r w:rsidRPr="00CA50F7">
              <w:rPr>
                <w:color w:val="000000"/>
              </w:rPr>
              <w:t>SWE</w:t>
            </w:r>
          </w:p>
        </w:tc>
        <w:tc>
          <w:tcPr>
            <w:tcW w:w="613" w:type="pct"/>
            <w:tcBorders>
              <w:top w:val="nil"/>
              <w:left w:val="nil"/>
              <w:bottom w:val="nil"/>
              <w:right w:val="nil"/>
            </w:tcBorders>
            <w:shd w:val="clear" w:color="auto" w:fill="auto"/>
            <w:noWrap/>
            <w:vAlign w:val="bottom"/>
            <w:hideMark/>
          </w:tcPr>
          <w:p w14:paraId="28DD0B1A" w14:textId="6BBACE34"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42FFB25F" w14:textId="36C48706"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1D5896BC" w14:textId="77777777" w:rsidTr="00EB6E08">
        <w:trPr>
          <w:jc w:val="center"/>
        </w:trPr>
        <w:tc>
          <w:tcPr>
            <w:tcW w:w="566" w:type="pct"/>
            <w:tcBorders>
              <w:top w:val="nil"/>
              <w:left w:val="nil"/>
              <w:bottom w:val="nil"/>
              <w:right w:val="nil"/>
            </w:tcBorders>
            <w:shd w:val="clear" w:color="auto" w:fill="auto"/>
            <w:noWrap/>
            <w:vAlign w:val="bottom"/>
            <w:hideMark/>
          </w:tcPr>
          <w:p w14:paraId="27D81494" w14:textId="77777777" w:rsidR="00CA50F7" w:rsidRPr="00CA50F7" w:rsidRDefault="00CA50F7" w:rsidP="00CA50F7">
            <w:pPr>
              <w:spacing w:line="480" w:lineRule="auto"/>
              <w:rPr>
                <w:color w:val="000000"/>
                <w:lang w:eastAsia="en-US"/>
              </w:rPr>
            </w:pPr>
            <w:r w:rsidRPr="00CA50F7">
              <w:rPr>
                <w:color w:val="000000"/>
              </w:rPr>
              <w:t>FRA</w:t>
            </w:r>
          </w:p>
        </w:tc>
        <w:tc>
          <w:tcPr>
            <w:tcW w:w="615" w:type="pct"/>
            <w:tcBorders>
              <w:top w:val="nil"/>
              <w:left w:val="nil"/>
              <w:bottom w:val="nil"/>
              <w:right w:val="nil"/>
            </w:tcBorders>
            <w:shd w:val="clear" w:color="auto" w:fill="auto"/>
            <w:noWrap/>
            <w:vAlign w:val="bottom"/>
            <w:hideMark/>
          </w:tcPr>
          <w:p w14:paraId="279A2ACA" w14:textId="77777777" w:rsidR="00CA50F7" w:rsidRPr="00CA50F7" w:rsidRDefault="00CA50F7" w:rsidP="00CA50F7">
            <w:pPr>
              <w:tabs>
                <w:tab w:val="decimal" w:pos="482"/>
              </w:tabs>
              <w:spacing w:line="480" w:lineRule="auto"/>
              <w:rPr>
                <w:color w:val="000000"/>
                <w:lang w:eastAsia="en-US"/>
              </w:rPr>
            </w:pPr>
            <w:r w:rsidRPr="00CA50F7">
              <w:rPr>
                <w:color w:val="000000"/>
              </w:rPr>
              <w:t>11</w:t>
            </w:r>
          </w:p>
        </w:tc>
        <w:tc>
          <w:tcPr>
            <w:tcW w:w="1293" w:type="pct"/>
            <w:tcBorders>
              <w:top w:val="nil"/>
              <w:left w:val="nil"/>
              <w:bottom w:val="nil"/>
              <w:right w:val="single" w:sz="4" w:space="0" w:color="auto"/>
            </w:tcBorders>
            <w:shd w:val="clear" w:color="auto" w:fill="auto"/>
            <w:noWrap/>
            <w:vAlign w:val="bottom"/>
            <w:hideMark/>
          </w:tcPr>
          <w:p w14:paraId="606843A0" w14:textId="77777777" w:rsidR="00CA50F7" w:rsidRPr="00CA50F7" w:rsidRDefault="00CA50F7" w:rsidP="00CA50F7">
            <w:pPr>
              <w:tabs>
                <w:tab w:val="decimal" w:pos="944"/>
              </w:tabs>
              <w:spacing w:line="480" w:lineRule="auto"/>
              <w:rPr>
                <w:color w:val="000000"/>
                <w:lang w:eastAsia="en-US"/>
              </w:rPr>
            </w:pPr>
            <w:r w:rsidRPr="00CA50F7">
              <w:rPr>
                <w:color w:val="000000"/>
              </w:rPr>
              <w:t>6</w:t>
            </w:r>
          </w:p>
        </w:tc>
        <w:tc>
          <w:tcPr>
            <w:tcW w:w="625" w:type="pct"/>
            <w:tcBorders>
              <w:top w:val="nil"/>
              <w:left w:val="single" w:sz="4" w:space="0" w:color="auto"/>
              <w:bottom w:val="nil"/>
              <w:right w:val="nil"/>
            </w:tcBorders>
            <w:shd w:val="clear" w:color="auto" w:fill="auto"/>
            <w:noWrap/>
            <w:vAlign w:val="bottom"/>
            <w:hideMark/>
          </w:tcPr>
          <w:p w14:paraId="177194D2" w14:textId="46F8F95B" w:rsidR="00CA50F7" w:rsidRPr="00CA50F7" w:rsidRDefault="00CA50F7" w:rsidP="00CA50F7">
            <w:pPr>
              <w:spacing w:line="480" w:lineRule="auto"/>
              <w:rPr>
                <w:color w:val="000000"/>
                <w:lang w:eastAsia="en-US"/>
              </w:rPr>
            </w:pPr>
            <w:r w:rsidRPr="00CA50F7">
              <w:rPr>
                <w:color w:val="000000"/>
              </w:rPr>
              <w:t>UGA</w:t>
            </w:r>
          </w:p>
        </w:tc>
        <w:tc>
          <w:tcPr>
            <w:tcW w:w="613" w:type="pct"/>
            <w:tcBorders>
              <w:top w:val="nil"/>
              <w:left w:val="nil"/>
              <w:bottom w:val="nil"/>
              <w:right w:val="nil"/>
            </w:tcBorders>
            <w:shd w:val="clear" w:color="auto" w:fill="auto"/>
            <w:noWrap/>
            <w:vAlign w:val="bottom"/>
            <w:hideMark/>
          </w:tcPr>
          <w:p w14:paraId="7B66E99E" w14:textId="32251AA0" w:rsidR="00CA50F7" w:rsidRPr="00CA50F7" w:rsidRDefault="00CA50F7" w:rsidP="00CA50F7">
            <w:pPr>
              <w:tabs>
                <w:tab w:val="decimal" w:pos="636"/>
              </w:tabs>
              <w:spacing w:line="480" w:lineRule="auto"/>
              <w:rPr>
                <w:color w:val="000000"/>
                <w:lang w:eastAsia="en-US"/>
              </w:rPr>
            </w:pPr>
            <w:r w:rsidRPr="00CA50F7">
              <w:rPr>
                <w:color w:val="000000"/>
              </w:rPr>
              <w:t>1</w:t>
            </w:r>
          </w:p>
        </w:tc>
        <w:tc>
          <w:tcPr>
            <w:tcW w:w="1287" w:type="pct"/>
            <w:tcBorders>
              <w:top w:val="nil"/>
              <w:left w:val="nil"/>
              <w:bottom w:val="nil"/>
              <w:right w:val="nil"/>
            </w:tcBorders>
            <w:shd w:val="clear" w:color="auto" w:fill="auto"/>
            <w:noWrap/>
            <w:vAlign w:val="bottom"/>
            <w:hideMark/>
          </w:tcPr>
          <w:p w14:paraId="361D4E7B" w14:textId="1626FE33" w:rsidR="00CA50F7" w:rsidRPr="00CA50F7" w:rsidRDefault="00CA50F7" w:rsidP="00CA50F7">
            <w:pPr>
              <w:tabs>
                <w:tab w:val="decimal" w:pos="1023"/>
              </w:tabs>
              <w:spacing w:line="480" w:lineRule="auto"/>
              <w:rPr>
                <w:color w:val="000000"/>
                <w:lang w:eastAsia="en-US"/>
              </w:rPr>
            </w:pPr>
            <w:r w:rsidRPr="00CA50F7">
              <w:rPr>
                <w:color w:val="000000"/>
              </w:rPr>
              <w:t>0</w:t>
            </w:r>
          </w:p>
        </w:tc>
      </w:tr>
      <w:tr w:rsidR="00EB6E08" w:rsidRPr="00CA50F7" w14:paraId="19630B99" w14:textId="77777777" w:rsidTr="00EB6E08">
        <w:trPr>
          <w:jc w:val="center"/>
        </w:trPr>
        <w:tc>
          <w:tcPr>
            <w:tcW w:w="566" w:type="pct"/>
            <w:tcBorders>
              <w:top w:val="nil"/>
              <w:left w:val="nil"/>
              <w:bottom w:val="nil"/>
              <w:right w:val="nil"/>
            </w:tcBorders>
            <w:shd w:val="clear" w:color="auto" w:fill="auto"/>
            <w:noWrap/>
            <w:vAlign w:val="bottom"/>
            <w:hideMark/>
          </w:tcPr>
          <w:p w14:paraId="6A9B59CD" w14:textId="77777777" w:rsidR="00CA50F7" w:rsidRPr="00CA50F7" w:rsidRDefault="00CA50F7" w:rsidP="00CA50F7">
            <w:pPr>
              <w:spacing w:line="480" w:lineRule="auto"/>
              <w:rPr>
                <w:color w:val="000000"/>
                <w:lang w:eastAsia="en-US"/>
              </w:rPr>
            </w:pPr>
            <w:r w:rsidRPr="00CA50F7">
              <w:rPr>
                <w:color w:val="000000"/>
              </w:rPr>
              <w:t>GBR</w:t>
            </w:r>
          </w:p>
        </w:tc>
        <w:tc>
          <w:tcPr>
            <w:tcW w:w="615" w:type="pct"/>
            <w:tcBorders>
              <w:top w:val="nil"/>
              <w:left w:val="nil"/>
              <w:bottom w:val="nil"/>
              <w:right w:val="nil"/>
            </w:tcBorders>
            <w:shd w:val="clear" w:color="auto" w:fill="auto"/>
            <w:noWrap/>
            <w:vAlign w:val="bottom"/>
            <w:hideMark/>
          </w:tcPr>
          <w:p w14:paraId="64D0ED74" w14:textId="77777777" w:rsidR="00CA50F7" w:rsidRPr="00CA50F7" w:rsidRDefault="00CA50F7" w:rsidP="00CA50F7">
            <w:pPr>
              <w:tabs>
                <w:tab w:val="decimal" w:pos="482"/>
              </w:tabs>
              <w:spacing w:line="480" w:lineRule="auto"/>
              <w:rPr>
                <w:color w:val="000000"/>
                <w:lang w:eastAsia="en-US"/>
              </w:rPr>
            </w:pPr>
            <w:r w:rsidRPr="00CA50F7">
              <w:rPr>
                <w:color w:val="000000"/>
              </w:rPr>
              <w:t>60</w:t>
            </w:r>
          </w:p>
        </w:tc>
        <w:tc>
          <w:tcPr>
            <w:tcW w:w="1293" w:type="pct"/>
            <w:tcBorders>
              <w:top w:val="nil"/>
              <w:left w:val="nil"/>
              <w:bottom w:val="nil"/>
              <w:right w:val="single" w:sz="4" w:space="0" w:color="auto"/>
            </w:tcBorders>
            <w:shd w:val="clear" w:color="auto" w:fill="auto"/>
            <w:noWrap/>
            <w:vAlign w:val="bottom"/>
            <w:hideMark/>
          </w:tcPr>
          <w:p w14:paraId="3E326F21" w14:textId="77777777" w:rsidR="00CA50F7" w:rsidRPr="00CA50F7" w:rsidRDefault="00CA50F7" w:rsidP="00CA50F7">
            <w:pPr>
              <w:tabs>
                <w:tab w:val="decimal" w:pos="944"/>
              </w:tabs>
              <w:spacing w:line="480" w:lineRule="auto"/>
              <w:rPr>
                <w:color w:val="000000"/>
                <w:lang w:eastAsia="en-US"/>
              </w:rPr>
            </w:pPr>
            <w:r w:rsidRPr="00CA50F7">
              <w:rPr>
                <w:color w:val="000000"/>
              </w:rPr>
              <w:t>28</w:t>
            </w:r>
          </w:p>
        </w:tc>
        <w:tc>
          <w:tcPr>
            <w:tcW w:w="625" w:type="pct"/>
            <w:tcBorders>
              <w:top w:val="nil"/>
              <w:left w:val="single" w:sz="4" w:space="0" w:color="auto"/>
              <w:bottom w:val="nil"/>
              <w:right w:val="nil"/>
            </w:tcBorders>
            <w:shd w:val="clear" w:color="auto" w:fill="auto"/>
            <w:noWrap/>
            <w:vAlign w:val="bottom"/>
            <w:hideMark/>
          </w:tcPr>
          <w:p w14:paraId="7859F0C9" w14:textId="2AF9EC1E" w:rsidR="00CA50F7" w:rsidRPr="00CA50F7" w:rsidRDefault="00CA50F7" w:rsidP="00CA50F7">
            <w:pPr>
              <w:spacing w:line="480" w:lineRule="auto"/>
              <w:rPr>
                <w:color w:val="000000"/>
                <w:lang w:eastAsia="en-US"/>
              </w:rPr>
            </w:pPr>
            <w:r w:rsidRPr="00CA50F7">
              <w:rPr>
                <w:color w:val="000000"/>
              </w:rPr>
              <w:t>UKR</w:t>
            </w:r>
          </w:p>
        </w:tc>
        <w:tc>
          <w:tcPr>
            <w:tcW w:w="613" w:type="pct"/>
            <w:tcBorders>
              <w:top w:val="nil"/>
              <w:left w:val="nil"/>
              <w:bottom w:val="nil"/>
              <w:right w:val="nil"/>
            </w:tcBorders>
            <w:shd w:val="clear" w:color="auto" w:fill="auto"/>
            <w:noWrap/>
            <w:vAlign w:val="bottom"/>
            <w:hideMark/>
          </w:tcPr>
          <w:p w14:paraId="2D775345" w14:textId="563F07E3" w:rsidR="00CA50F7" w:rsidRPr="00CA50F7" w:rsidRDefault="00CA50F7" w:rsidP="00CA50F7">
            <w:pPr>
              <w:tabs>
                <w:tab w:val="decimal" w:pos="636"/>
              </w:tabs>
              <w:spacing w:line="480" w:lineRule="auto"/>
              <w:rPr>
                <w:color w:val="000000"/>
                <w:lang w:eastAsia="en-US"/>
              </w:rPr>
            </w:pPr>
            <w:r w:rsidRPr="00CA50F7">
              <w:rPr>
                <w:color w:val="000000"/>
              </w:rPr>
              <w:t>2</w:t>
            </w:r>
          </w:p>
        </w:tc>
        <w:tc>
          <w:tcPr>
            <w:tcW w:w="1287" w:type="pct"/>
            <w:tcBorders>
              <w:top w:val="nil"/>
              <w:left w:val="nil"/>
              <w:bottom w:val="nil"/>
              <w:right w:val="nil"/>
            </w:tcBorders>
            <w:shd w:val="clear" w:color="auto" w:fill="auto"/>
            <w:noWrap/>
            <w:vAlign w:val="bottom"/>
            <w:hideMark/>
          </w:tcPr>
          <w:p w14:paraId="55C24878" w14:textId="69DFD9D0" w:rsidR="00CA50F7" w:rsidRPr="00CA50F7" w:rsidRDefault="00CA50F7" w:rsidP="00CA50F7">
            <w:pPr>
              <w:tabs>
                <w:tab w:val="decimal" w:pos="1023"/>
              </w:tabs>
              <w:spacing w:line="480" w:lineRule="auto"/>
              <w:rPr>
                <w:color w:val="000000"/>
                <w:lang w:eastAsia="en-US"/>
              </w:rPr>
            </w:pPr>
            <w:r w:rsidRPr="00CA50F7">
              <w:rPr>
                <w:color w:val="000000"/>
              </w:rPr>
              <w:t>1</w:t>
            </w:r>
          </w:p>
        </w:tc>
      </w:tr>
      <w:tr w:rsidR="00EB6E08" w:rsidRPr="00CA50F7" w14:paraId="745436C3" w14:textId="77777777" w:rsidTr="00EB6E08">
        <w:trPr>
          <w:jc w:val="center"/>
        </w:trPr>
        <w:tc>
          <w:tcPr>
            <w:tcW w:w="566" w:type="pct"/>
            <w:tcBorders>
              <w:top w:val="nil"/>
              <w:left w:val="nil"/>
              <w:bottom w:val="nil"/>
              <w:right w:val="nil"/>
            </w:tcBorders>
            <w:shd w:val="clear" w:color="auto" w:fill="auto"/>
            <w:noWrap/>
            <w:vAlign w:val="bottom"/>
            <w:hideMark/>
          </w:tcPr>
          <w:p w14:paraId="07C0A48F" w14:textId="77777777" w:rsidR="00CA50F7" w:rsidRPr="00CA50F7" w:rsidRDefault="00CA50F7" w:rsidP="00CA50F7">
            <w:pPr>
              <w:spacing w:line="480" w:lineRule="auto"/>
              <w:rPr>
                <w:color w:val="000000"/>
                <w:lang w:eastAsia="en-US"/>
              </w:rPr>
            </w:pPr>
            <w:r w:rsidRPr="00CA50F7">
              <w:rPr>
                <w:color w:val="000000"/>
              </w:rPr>
              <w:t>IDN</w:t>
            </w:r>
          </w:p>
        </w:tc>
        <w:tc>
          <w:tcPr>
            <w:tcW w:w="615" w:type="pct"/>
            <w:tcBorders>
              <w:top w:val="nil"/>
              <w:left w:val="nil"/>
              <w:bottom w:val="nil"/>
              <w:right w:val="nil"/>
            </w:tcBorders>
            <w:shd w:val="clear" w:color="auto" w:fill="auto"/>
            <w:noWrap/>
            <w:vAlign w:val="bottom"/>
            <w:hideMark/>
          </w:tcPr>
          <w:p w14:paraId="0475A95E" w14:textId="77777777" w:rsidR="00CA50F7" w:rsidRPr="00CA50F7" w:rsidRDefault="00CA50F7" w:rsidP="00CA50F7">
            <w:pPr>
              <w:tabs>
                <w:tab w:val="decimal" w:pos="482"/>
              </w:tabs>
              <w:spacing w:line="480" w:lineRule="auto"/>
              <w:rPr>
                <w:color w:val="000000"/>
                <w:lang w:eastAsia="en-US"/>
              </w:rPr>
            </w:pPr>
            <w:r w:rsidRPr="00CA50F7">
              <w:rPr>
                <w:color w:val="000000"/>
              </w:rPr>
              <w:t>1</w:t>
            </w:r>
          </w:p>
        </w:tc>
        <w:tc>
          <w:tcPr>
            <w:tcW w:w="1293" w:type="pct"/>
            <w:tcBorders>
              <w:top w:val="nil"/>
              <w:left w:val="nil"/>
              <w:bottom w:val="nil"/>
              <w:right w:val="single" w:sz="4" w:space="0" w:color="auto"/>
            </w:tcBorders>
            <w:shd w:val="clear" w:color="auto" w:fill="auto"/>
            <w:noWrap/>
            <w:vAlign w:val="bottom"/>
            <w:hideMark/>
          </w:tcPr>
          <w:p w14:paraId="30EF1D18" w14:textId="77777777" w:rsidR="00CA50F7" w:rsidRPr="00CA50F7" w:rsidRDefault="00CA50F7" w:rsidP="00CA50F7">
            <w:pPr>
              <w:tabs>
                <w:tab w:val="decimal" w:pos="944"/>
              </w:tabs>
              <w:spacing w:line="480" w:lineRule="auto"/>
              <w:rPr>
                <w:color w:val="000000"/>
                <w:lang w:eastAsia="en-US"/>
              </w:rPr>
            </w:pPr>
            <w:r w:rsidRPr="00CA50F7">
              <w:rPr>
                <w:color w:val="000000"/>
              </w:rPr>
              <w:t>8</w:t>
            </w:r>
          </w:p>
        </w:tc>
        <w:tc>
          <w:tcPr>
            <w:tcW w:w="625" w:type="pct"/>
            <w:tcBorders>
              <w:top w:val="nil"/>
              <w:left w:val="single" w:sz="4" w:space="0" w:color="auto"/>
              <w:right w:val="nil"/>
            </w:tcBorders>
            <w:shd w:val="clear" w:color="auto" w:fill="auto"/>
            <w:noWrap/>
            <w:hideMark/>
          </w:tcPr>
          <w:p w14:paraId="740F7E15" w14:textId="2C154174" w:rsidR="00CA50F7" w:rsidRPr="00CA50F7" w:rsidRDefault="00CA50F7" w:rsidP="00CA50F7">
            <w:pPr>
              <w:spacing w:line="480" w:lineRule="auto"/>
              <w:rPr>
                <w:color w:val="000000"/>
                <w:lang w:eastAsia="en-US"/>
              </w:rPr>
            </w:pPr>
            <w:r w:rsidRPr="00CA50F7">
              <w:rPr>
                <w:color w:val="000000"/>
                <w:lang w:eastAsia="en-US"/>
              </w:rPr>
              <w:t>USA</w:t>
            </w:r>
          </w:p>
        </w:tc>
        <w:tc>
          <w:tcPr>
            <w:tcW w:w="613" w:type="pct"/>
            <w:tcBorders>
              <w:top w:val="nil"/>
              <w:left w:val="nil"/>
              <w:right w:val="nil"/>
            </w:tcBorders>
            <w:shd w:val="clear" w:color="auto" w:fill="auto"/>
            <w:noWrap/>
            <w:hideMark/>
          </w:tcPr>
          <w:p w14:paraId="1164D548" w14:textId="467CC220" w:rsidR="00CA50F7" w:rsidRPr="00CA50F7" w:rsidRDefault="00CA50F7" w:rsidP="00CA50F7">
            <w:pPr>
              <w:tabs>
                <w:tab w:val="decimal" w:pos="636"/>
              </w:tabs>
              <w:spacing w:line="480" w:lineRule="auto"/>
              <w:rPr>
                <w:color w:val="000000"/>
                <w:lang w:eastAsia="en-US"/>
              </w:rPr>
            </w:pPr>
            <w:r w:rsidRPr="00CA50F7">
              <w:rPr>
                <w:color w:val="000000"/>
                <w:lang w:eastAsia="en-US"/>
              </w:rPr>
              <w:t>1,154</w:t>
            </w:r>
          </w:p>
        </w:tc>
        <w:tc>
          <w:tcPr>
            <w:tcW w:w="1287" w:type="pct"/>
            <w:tcBorders>
              <w:top w:val="nil"/>
              <w:left w:val="nil"/>
              <w:right w:val="nil"/>
            </w:tcBorders>
            <w:shd w:val="clear" w:color="auto" w:fill="auto"/>
            <w:noWrap/>
            <w:hideMark/>
          </w:tcPr>
          <w:p w14:paraId="6456E320" w14:textId="3B302E4D" w:rsidR="00CA50F7" w:rsidRPr="00CA50F7" w:rsidRDefault="00CA50F7" w:rsidP="00CA50F7">
            <w:pPr>
              <w:tabs>
                <w:tab w:val="decimal" w:pos="1023"/>
              </w:tabs>
              <w:spacing w:line="480" w:lineRule="auto"/>
              <w:rPr>
                <w:color w:val="000000"/>
                <w:lang w:eastAsia="en-US"/>
              </w:rPr>
            </w:pPr>
            <w:r w:rsidRPr="00CA50F7">
              <w:rPr>
                <w:color w:val="000000"/>
                <w:lang w:eastAsia="en-US"/>
              </w:rPr>
              <w:t>n/a</w:t>
            </w:r>
          </w:p>
        </w:tc>
      </w:tr>
      <w:tr w:rsidR="00EB6E08" w:rsidRPr="00CA50F7" w14:paraId="3FC7E675" w14:textId="77777777" w:rsidTr="00EB6E08">
        <w:trPr>
          <w:jc w:val="center"/>
        </w:trPr>
        <w:tc>
          <w:tcPr>
            <w:tcW w:w="566" w:type="pct"/>
            <w:tcBorders>
              <w:top w:val="nil"/>
              <w:left w:val="nil"/>
              <w:right w:val="nil"/>
            </w:tcBorders>
            <w:shd w:val="clear" w:color="auto" w:fill="auto"/>
            <w:noWrap/>
            <w:vAlign w:val="bottom"/>
          </w:tcPr>
          <w:p w14:paraId="5DC5C582" w14:textId="77777777" w:rsidR="00CA50F7" w:rsidRPr="00CA50F7" w:rsidRDefault="00CA50F7" w:rsidP="00CA50F7">
            <w:pPr>
              <w:spacing w:line="480" w:lineRule="auto"/>
              <w:rPr>
                <w:color w:val="000000"/>
                <w:lang w:eastAsia="en-US"/>
              </w:rPr>
            </w:pPr>
            <w:r w:rsidRPr="00CA50F7">
              <w:rPr>
                <w:color w:val="000000"/>
              </w:rPr>
              <w:t>IND</w:t>
            </w:r>
          </w:p>
        </w:tc>
        <w:tc>
          <w:tcPr>
            <w:tcW w:w="615" w:type="pct"/>
            <w:tcBorders>
              <w:top w:val="nil"/>
              <w:left w:val="nil"/>
              <w:right w:val="nil"/>
            </w:tcBorders>
            <w:shd w:val="clear" w:color="auto" w:fill="auto"/>
            <w:noWrap/>
            <w:vAlign w:val="bottom"/>
          </w:tcPr>
          <w:p w14:paraId="0736F102" w14:textId="77777777" w:rsidR="00CA50F7" w:rsidRPr="00CA50F7" w:rsidRDefault="00CA50F7" w:rsidP="00CA50F7">
            <w:pPr>
              <w:tabs>
                <w:tab w:val="decimal" w:pos="482"/>
              </w:tabs>
              <w:spacing w:line="480" w:lineRule="auto"/>
              <w:rPr>
                <w:color w:val="000000"/>
                <w:lang w:eastAsia="en-US"/>
              </w:rPr>
            </w:pPr>
            <w:r w:rsidRPr="00CA50F7">
              <w:rPr>
                <w:color w:val="000000"/>
              </w:rPr>
              <w:t>10</w:t>
            </w:r>
          </w:p>
        </w:tc>
        <w:tc>
          <w:tcPr>
            <w:tcW w:w="1293" w:type="pct"/>
            <w:tcBorders>
              <w:top w:val="nil"/>
              <w:left w:val="nil"/>
              <w:right w:val="single" w:sz="4" w:space="0" w:color="auto"/>
            </w:tcBorders>
            <w:shd w:val="clear" w:color="auto" w:fill="auto"/>
            <w:noWrap/>
            <w:vAlign w:val="bottom"/>
          </w:tcPr>
          <w:p w14:paraId="61C898F7" w14:textId="77777777" w:rsidR="00CA50F7" w:rsidRPr="00CA50F7" w:rsidRDefault="00CA50F7" w:rsidP="00CA50F7">
            <w:pPr>
              <w:tabs>
                <w:tab w:val="decimal" w:pos="944"/>
              </w:tabs>
              <w:spacing w:line="480" w:lineRule="auto"/>
              <w:rPr>
                <w:color w:val="000000"/>
                <w:lang w:eastAsia="en-US"/>
              </w:rPr>
            </w:pPr>
            <w:r w:rsidRPr="00CA50F7">
              <w:rPr>
                <w:color w:val="000000"/>
              </w:rPr>
              <w:t>0</w:t>
            </w:r>
          </w:p>
        </w:tc>
        <w:tc>
          <w:tcPr>
            <w:tcW w:w="625" w:type="pct"/>
            <w:tcBorders>
              <w:top w:val="nil"/>
              <w:left w:val="single" w:sz="4" w:space="0" w:color="auto"/>
              <w:right w:val="nil"/>
            </w:tcBorders>
            <w:shd w:val="clear" w:color="auto" w:fill="auto"/>
            <w:noWrap/>
            <w:vAlign w:val="bottom"/>
          </w:tcPr>
          <w:p w14:paraId="2B85BF8A" w14:textId="779B62AB" w:rsidR="00CA50F7" w:rsidRPr="00CA50F7" w:rsidRDefault="00CA50F7" w:rsidP="00CA50F7">
            <w:pPr>
              <w:spacing w:line="480" w:lineRule="auto"/>
              <w:rPr>
                <w:color w:val="000000"/>
                <w:lang w:eastAsia="en-US"/>
              </w:rPr>
            </w:pPr>
            <w:r w:rsidRPr="00CA50F7">
              <w:rPr>
                <w:color w:val="000000"/>
              </w:rPr>
              <w:t>ZAF</w:t>
            </w:r>
          </w:p>
        </w:tc>
        <w:tc>
          <w:tcPr>
            <w:tcW w:w="613" w:type="pct"/>
            <w:tcBorders>
              <w:top w:val="nil"/>
              <w:left w:val="nil"/>
              <w:right w:val="nil"/>
            </w:tcBorders>
            <w:shd w:val="clear" w:color="auto" w:fill="auto"/>
            <w:noWrap/>
            <w:vAlign w:val="bottom"/>
          </w:tcPr>
          <w:p w14:paraId="4511CD73" w14:textId="1F25409F" w:rsidR="00CA50F7" w:rsidRPr="00CA50F7" w:rsidRDefault="00CA50F7" w:rsidP="00CA50F7">
            <w:pPr>
              <w:tabs>
                <w:tab w:val="decimal" w:pos="636"/>
              </w:tabs>
              <w:spacing w:line="480" w:lineRule="auto"/>
              <w:rPr>
                <w:color w:val="000000"/>
                <w:lang w:eastAsia="en-US"/>
              </w:rPr>
            </w:pPr>
            <w:r w:rsidRPr="00CA50F7">
              <w:rPr>
                <w:color w:val="000000"/>
              </w:rPr>
              <w:t>4</w:t>
            </w:r>
          </w:p>
        </w:tc>
        <w:tc>
          <w:tcPr>
            <w:tcW w:w="1287" w:type="pct"/>
            <w:tcBorders>
              <w:top w:val="nil"/>
              <w:left w:val="nil"/>
              <w:right w:val="nil"/>
            </w:tcBorders>
            <w:shd w:val="clear" w:color="auto" w:fill="auto"/>
            <w:noWrap/>
            <w:vAlign w:val="bottom"/>
          </w:tcPr>
          <w:p w14:paraId="57039715" w14:textId="732CC908" w:rsidR="00CA50F7" w:rsidRPr="00CA50F7" w:rsidRDefault="00CA50F7" w:rsidP="00CA50F7">
            <w:pPr>
              <w:tabs>
                <w:tab w:val="decimal" w:pos="1023"/>
              </w:tabs>
              <w:spacing w:line="480" w:lineRule="auto"/>
              <w:rPr>
                <w:color w:val="000000"/>
                <w:lang w:eastAsia="en-US"/>
              </w:rPr>
            </w:pPr>
            <w:r w:rsidRPr="00CA50F7">
              <w:rPr>
                <w:color w:val="000000"/>
              </w:rPr>
              <w:t>2</w:t>
            </w:r>
          </w:p>
        </w:tc>
      </w:tr>
      <w:tr w:rsidR="00EB6E08" w:rsidRPr="00CA50F7" w14:paraId="3DEAA98B" w14:textId="77777777" w:rsidTr="00EB6E08">
        <w:trPr>
          <w:jc w:val="center"/>
        </w:trPr>
        <w:tc>
          <w:tcPr>
            <w:tcW w:w="566" w:type="pct"/>
            <w:tcBorders>
              <w:top w:val="nil"/>
              <w:left w:val="nil"/>
              <w:right w:val="nil"/>
            </w:tcBorders>
            <w:shd w:val="clear" w:color="auto" w:fill="auto"/>
            <w:noWrap/>
            <w:vAlign w:val="bottom"/>
          </w:tcPr>
          <w:p w14:paraId="405C19ED" w14:textId="74359C42" w:rsidR="00CA50F7" w:rsidRPr="00CA50F7" w:rsidRDefault="00CA50F7" w:rsidP="00CA50F7">
            <w:pPr>
              <w:spacing w:line="480" w:lineRule="auto"/>
              <w:rPr>
                <w:color w:val="000000"/>
              </w:rPr>
            </w:pPr>
            <w:r w:rsidRPr="00CA50F7">
              <w:rPr>
                <w:color w:val="000000"/>
              </w:rPr>
              <w:t>INT</w:t>
            </w:r>
          </w:p>
        </w:tc>
        <w:tc>
          <w:tcPr>
            <w:tcW w:w="615" w:type="pct"/>
            <w:tcBorders>
              <w:top w:val="nil"/>
              <w:left w:val="nil"/>
              <w:right w:val="nil"/>
            </w:tcBorders>
            <w:shd w:val="clear" w:color="auto" w:fill="auto"/>
            <w:noWrap/>
            <w:vAlign w:val="bottom"/>
          </w:tcPr>
          <w:p w14:paraId="285B7CAE" w14:textId="47B88D1B" w:rsidR="00CA50F7" w:rsidRPr="00CA50F7" w:rsidRDefault="00CA50F7" w:rsidP="00CA50F7">
            <w:pPr>
              <w:tabs>
                <w:tab w:val="decimal" w:pos="482"/>
              </w:tabs>
              <w:spacing w:line="480" w:lineRule="auto"/>
              <w:rPr>
                <w:color w:val="000000"/>
              </w:rPr>
            </w:pPr>
            <w:r w:rsidRPr="00CA50F7">
              <w:rPr>
                <w:color w:val="000000"/>
              </w:rPr>
              <w:t>18</w:t>
            </w:r>
          </w:p>
        </w:tc>
        <w:tc>
          <w:tcPr>
            <w:tcW w:w="1293" w:type="pct"/>
            <w:tcBorders>
              <w:top w:val="nil"/>
              <w:left w:val="nil"/>
              <w:right w:val="single" w:sz="4" w:space="0" w:color="auto"/>
            </w:tcBorders>
            <w:shd w:val="clear" w:color="auto" w:fill="auto"/>
            <w:noWrap/>
            <w:vAlign w:val="bottom"/>
          </w:tcPr>
          <w:p w14:paraId="58CAE20C" w14:textId="0E0A2BD7" w:rsidR="00CA50F7" w:rsidRPr="00CA50F7" w:rsidRDefault="00CA50F7" w:rsidP="00CA50F7">
            <w:pPr>
              <w:tabs>
                <w:tab w:val="decimal" w:pos="944"/>
              </w:tabs>
              <w:spacing w:line="480" w:lineRule="auto"/>
              <w:rPr>
                <w:color w:val="000000"/>
              </w:rPr>
            </w:pPr>
            <w:r w:rsidRPr="00CA50F7">
              <w:rPr>
                <w:color w:val="000000"/>
              </w:rPr>
              <w:t>11</w:t>
            </w:r>
          </w:p>
        </w:tc>
        <w:tc>
          <w:tcPr>
            <w:tcW w:w="625" w:type="pct"/>
            <w:tcBorders>
              <w:left w:val="single" w:sz="4" w:space="0" w:color="auto"/>
              <w:right w:val="nil"/>
            </w:tcBorders>
            <w:shd w:val="clear" w:color="auto" w:fill="auto"/>
            <w:noWrap/>
          </w:tcPr>
          <w:p w14:paraId="3A52B4A6" w14:textId="18293DBB" w:rsidR="00CA50F7" w:rsidRPr="00CA50F7" w:rsidRDefault="00CA50F7" w:rsidP="00CA50F7">
            <w:pPr>
              <w:spacing w:line="480" w:lineRule="auto"/>
              <w:rPr>
                <w:color w:val="000000"/>
              </w:rPr>
            </w:pPr>
          </w:p>
        </w:tc>
        <w:tc>
          <w:tcPr>
            <w:tcW w:w="613" w:type="pct"/>
            <w:tcBorders>
              <w:left w:val="nil"/>
              <w:right w:val="nil"/>
            </w:tcBorders>
            <w:shd w:val="clear" w:color="auto" w:fill="auto"/>
            <w:noWrap/>
          </w:tcPr>
          <w:p w14:paraId="11E912C2" w14:textId="0131F24C" w:rsidR="00CA50F7" w:rsidRPr="00CA50F7" w:rsidRDefault="00CA50F7" w:rsidP="00CA50F7">
            <w:pPr>
              <w:tabs>
                <w:tab w:val="decimal" w:pos="636"/>
              </w:tabs>
              <w:spacing w:line="480" w:lineRule="auto"/>
              <w:rPr>
                <w:color w:val="000000"/>
              </w:rPr>
            </w:pPr>
          </w:p>
        </w:tc>
        <w:tc>
          <w:tcPr>
            <w:tcW w:w="1287" w:type="pct"/>
            <w:tcBorders>
              <w:left w:val="nil"/>
              <w:right w:val="nil"/>
            </w:tcBorders>
            <w:shd w:val="clear" w:color="auto" w:fill="auto"/>
            <w:noWrap/>
          </w:tcPr>
          <w:p w14:paraId="358156C6" w14:textId="74290C65" w:rsidR="00CA50F7" w:rsidRPr="00CA50F7" w:rsidRDefault="00CA50F7" w:rsidP="00CA50F7">
            <w:pPr>
              <w:tabs>
                <w:tab w:val="decimal" w:pos="1023"/>
              </w:tabs>
              <w:spacing w:line="480" w:lineRule="auto"/>
              <w:rPr>
                <w:color w:val="000000"/>
              </w:rPr>
            </w:pPr>
          </w:p>
        </w:tc>
      </w:tr>
    </w:tbl>
    <w:p w14:paraId="34688D47" w14:textId="77777777" w:rsidR="00CA50F7" w:rsidRDefault="00CA50F7" w:rsidP="00CA50F7">
      <w:pPr>
        <w:rPr>
          <w:i/>
          <w:iCs/>
          <w:sz w:val="20"/>
          <w:szCs w:val="20"/>
        </w:rPr>
      </w:pPr>
    </w:p>
    <w:p w14:paraId="2A00A434" w14:textId="77777777" w:rsidR="00CA50F7" w:rsidRDefault="00CA50F7" w:rsidP="00CA50F7">
      <w:pPr>
        <w:rPr>
          <w:i/>
          <w:iCs/>
          <w:sz w:val="20"/>
          <w:szCs w:val="20"/>
        </w:rPr>
      </w:pPr>
    </w:p>
    <w:p w14:paraId="2934988E" w14:textId="248CD7B4" w:rsidR="00E522BB" w:rsidRPr="00CA50F7" w:rsidRDefault="002A5C24" w:rsidP="00CA50F7">
      <w:pPr>
        <w:rPr>
          <w:szCs w:val="20"/>
        </w:rPr>
      </w:pPr>
      <w:r w:rsidRPr="00CA50F7">
        <w:rPr>
          <w:iCs/>
          <w:szCs w:val="20"/>
        </w:rPr>
        <w:t>Notes:</w:t>
      </w:r>
      <w:r w:rsidRPr="00CA50F7">
        <w:rPr>
          <w:szCs w:val="20"/>
        </w:rPr>
        <w:t xml:space="preserve"> This list includes the European Union (EUU) and International (INT) cases. </w:t>
      </w:r>
    </w:p>
    <w:p w14:paraId="618B95D0" w14:textId="386C5600" w:rsidR="00D94FD1" w:rsidRDefault="00D94FD1">
      <w:pPr>
        <w:spacing w:after="200" w:line="2" w:lineRule="auto"/>
        <w:rPr>
          <w:szCs w:val="20"/>
        </w:rPr>
      </w:pPr>
      <w:r>
        <w:rPr>
          <w:szCs w:val="20"/>
        </w:rPr>
        <w:br w:type="page"/>
      </w:r>
    </w:p>
    <w:p w14:paraId="3AACE229" w14:textId="77777777" w:rsidR="00D94FD1" w:rsidRDefault="00D94FD1" w:rsidP="00D94FD1">
      <w:pPr>
        <w:spacing w:line="480" w:lineRule="auto"/>
        <w:ind w:left="-142"/>
      </w:pPr>
      <w:r>
        <w:lastRenderedPageBreak/>
        <w:t>Chapter 2: Shaik Eskander et al.</w:t>
      </w:r>
    </w:p>
    <w:p w14:paraId="156D05EE" w14:textId="77777777" w:rsidR="00D94FD1" w:rsidRDefault="00D94FD1" w:rsidP="00D94FD1">
      <w:pPr>
        <w:spacing w:line="480" w:lineRule="auto"/>
        <w:ind w:left="-142"/>
      </w:pPr>
    </w:p>
    <w:p w14:paraId="1289366F" w14:textId="77777777" w:rsidR="00D94FD1" w:rsidRDefault="00D94FD1" w:rsidP="00D94FD1">
      <w:pPr>
        <w:spacing w:line="480" w:lineRule="auto"/>
        <w:ind w:left="-142"/>
      </w:pPr>
      <w:r w:rsidRPr="00654329">
        <w:t>Figure 1: Climate change legislation over time</w:t>
      </w:r>
    </w:p>
    <w:p w14:paraId="34F9F1EE" w14:textId="77777777" w:rsidR="00D94FD1" w:rsidRDefault="00D94FD1" w:rsidP="00D94FD1">
      <w:pPr>
        <w:spacing w:line="480" w:lineRule="auto"/>
        <w:ind w:left="-142"/>
        <w:rPr>
          <w:bCs/>
          <w:iCs/>
        </w:rPr>
      </w:pPr>
      <w:r w:rsidRPr="00654329">
        <w:t xml:space="preserve">Source: </w:t>
      </w:r>
      <w:r w:rsidRPr="00654329">
        <w:rPr>
          <w:bCs/>
        </w:rPr>
        <w:t xml:space="preserve">Authors based on </w:t>
      </w:r>
      <w:r w:rsidRPr="00654329">
        <w:rPr>
          <w:bCs/>
          <w:iCs/>
        </w:rPr>
        <w:t>Climate Change Laws of the World.</w:t>
      </w:r>
    </w:p>
    <w:p w14:paraId="73C2F460" w14:textId="77777777" w:rsidR="00D94FD1" w:rsidRDefault="00D94FD1" w:rsidP="00D94FD1">
      <w:pPr>
        <w:spacing w:line="480" w:lineRule="auto"/>
        <w:ind w:left="-142"/>
      </w:pPr>
    </w:p>
    <w:p w14:paraId="1925FA91" w14:textId="77777777" w:rsidR="00D94FD1" w:rsidRDefault="00D94FD1" w:rsidP="00D94FD1">
      <w:pPr>
        <w:spacing w:line="480" w:lineRule="auto"/>
        <w:ind w:left="-142"/>
      </w:pPr>
      <w:r w:rsidRPr="00654329">
        <w:t>Figure 2: Climate change litigation over time</w:t>
      </w:r>
    </w:p>
    <w:p w14:paraId="610A5188" w14:textId="77777777" w:rsidR="00D94FD1" w:rsidRDefault="00D94FD1" w:rsidP="00D94FD1">
      <w:pPr>
        <w:spacing w:line="480" w:lineRule="auto"/>
        <w:ind w:left="-142"/>
        <w:rPr>
          <w:bCs/>
        </w:rPr>
      </w:pPr>
      <w:r w:rsidRPr="00654329">
        <w:t xml:space="preserve">Source: </w:t>
      </w:r>
      <w:r w:rsidRPr="00654329">
        <w:rPr>
          <w:bCs/>
        </w:rPr>
        <w:t xml:space="preserve">Authors based on </w:t>
      </w:r>
      <w:r w:rsidRPr="00654329">
        <w:rPr>
          <w:bCs/>
          <w:iCs/>
        </w:rPr>
        <w:t xml:space="preserve">Climate Change Laws of the World </w:t>
      </w:r>
      <w:r w:rsidRPr="00654329">
        <w:rPr>
          <w:bCs/>
        </w:rPr>
        <w:t>and Sabin Center data.</w:t>
      </w:r>
    </w:p>
    <w:p w14:paraId="63E6CBD6" w14:textId="77777777" w:rsidR="00D94FD1" w:rsidRDefault="00D94FD1" w:rsidP="00D94FD1">
      <w:pPr>
        <w:spacing w:line="480" w:lineRule="auto"/>
        <w:ind w:left="-142"/>
        <w:rPr>
          <w:bCs/>
        </w:rPr>
      </w:pPr>
    </w:p>
    <w:p w14:paraId="2826AD21" w14:textId="77777777" w:rsidR="00D94FD1" w:rsidRDefault="00D94FD1" w:rsidP="00D94FD1">
      <w:pPr>
        <w:spacing w:line="480" w:lineRule="auto"/>
        <w:ind w:left="-142"/>
      </w:pPr>
      <w:r w:rsidRPr="00654329">
        <w:t xml:space="preserve">Figure 3: Climate legislation and litigation by country </w:t>
      </w:r>
    </w:p>
    <w:p w14:paraId="6ECCA367" w14:textId="77777777" w:rsidR="00D94FD1" w:rsidRDefault="00D94FD1" w:rsidP="00D94FD1">
      <w:pPr>
        <w:spacing w:line="480" w:lineRule="auto"/>
        <w:ind w:left="-142"/>
      </w:pPr>
      <w:r w:rsidRPr="00654329">
        <w:rPr>
          <w:bCs/>
          <w:iCs/>
        </w:rPr>
        <w:t xml:space="preserve">Source: </w:t>
      </w:r>
      <w:r w:rsidRPr="00654329">
        <w:rPr>
          <w:bCs/>
        </w:rPr>
        <w:t xml:space="preserve">Authors based on </w:t>
      </w:r>
      <w:r w:rsidRPr="00654329">
        <w:rPr>
          <w:bCs/>
          <w:iCs/>
        </w:rPr>
        <w:t>Climate Change Laws of the World</w:t>
      </w:r>
      <w:r w:rsidRPr="00654329">
        <w:t>.</w:t>
      </w:r>
    </w:p>
    <w:p w14:paraId="3BA58D25" w14:textId="77777777" w:rsidR="00D94FD1" w:rsidRDefault="00D94FD1" w:rsidP="00D94FD1">
      <w:pPr>
        <w:spacing w:line="480" w:lineRule="auto"/>
        <w:ind w:left="-142"/>
      </w:pPr>
    </w:p>
    <w:p w14:paraId="59249F7A" w14:textId="77777777" w:rsidR="00D94FD1" w:rsidRDefault="00D94FD1" w:rsidP="00D94FD1">
      <w:pPr>
        <w:spacing w:line="480" w:lineRule="auto"/>
        <w:ind w:left="-142"/>
      </w:pPr>
      <w:r w:rsidRPr="00654329">
        <w:t>Figure 4: Climate laws and political orientation</w:t>
      </w:r>
    </w:p>
    <w:p w14:paraId="6D06FFC2" w14:textId="77777777" w:rsidR="00D94FD1" w:rsidRDefault="00D94FD1" w:rsidP="00D94FD1">
      <w:pPr>
        <w:spacing w:line="480" w:lineRule="auto"/>
        <w:ind w:left="-142"/>
      </w:pPr>
      <w:r w:rsidRPr="00654329">
        <w:rPr>
          <w:bCs/>
          <w:iCs/>
        </w:rPr>
        <w:t>Notes</w:t>
      </w:r>
      <w:r>
        <w:rPr>
          <w:bCs/>
          <w:iCs/>
        </w:rPr>
        <w:t>:</w:t>
      </w:r>
      <w:r w:rsidRPr="00654329">
        <w:rPr>
          <w:bCs/>
        </w:rPr>
        <w:t xml:space="preserve"> Countries with a democracy score of 6 or more in the Polity IV dataset only. Data on political orientation is taken from the World Bank dataset of political institutions (DPI). Orientation scores greater than one suggest political parties of that orientation are disproportionately inclined to pass climate laws, relative to their time in power. </w:t>
      </w:r>
      <w:r w:rsidRPr="00654329">
        <w:t xml:space="preserve">Median (Mean) right-wing scores for all, OECD-EU and other countries are 0.961 (0.891), 1.111 (0.923) and 0.8 (0.813); whereas the respective left-wing scores are 1.0 (1.141), 0.909 (1.118) and 1.012 (1.160), and center-government scores are 1.0 (1.234), 1.0 (0.961) and 1.0 (1.431). </w:t>
      </w:r>
    </w:p>
    <w:p w14:paraId="408E99A8" w14:textId="77777777" w:rsidR="00D94FD1" w:rsidRDefault="00D94FD1" w:rsidP="00D94FD1">
      <w:pPr>
        <w:spacing w:line="480" w:lineRule="auto"/>
        <w:ind w:left="-142"/>
      </w:pPr>
    </w:p>
    <w:p w14:paraId="39A99654" w14:textId="77777777" w:rsidR="00D94FD1" w:rsidRDefault="00D94FD1" w:rsidP="00D94FD1">
      <w:pPr>
        <w:spacing w:line="480" w:lineRule="auto"/>
      </w:pPr>
      <w:r>
        <w:br w:type="page"/>
      </w:r>
    </w:p>
    <w:p w14:paraId="39F8D541" w14:textId="77777777" w:rsidR="00D94FD1" w:rsidRDefault="00D94FD1" w:rsidP="00D94FD1">
      <w:pPr>
        <w:spacing w:line="480" w:lineRule="auto"/>
        <w:ind w:left="-142"/>
      </w:pPr>
      <w:r w:rsidRPr="00654329">
        <w:lastRenderedPageBreak/>
        <w:t>Figure 5: Climate laws and economic crises</w:t>
      </w:r>
    </w:p>
    <w:p w14:paraId="1A19F60F" w14:textId="77777777" w:rsidR="00D94FD1" w:rsidRPr="00654329" w:rsidRDefault="00D94FD1" w:rsidP="00D94FD1">
      <w:pPr>
        <w:spacing w:line="480" w:lineRule="auto"/>
        <w:ind w:left="-142"/>
        <w:rPr>
          <w:bCs/>
        </w:rPr>
      </w:pPr>
      <w:r w:rsidRPr="00654329">
        <w:rPr>
          <w:bCs/>
          <w:iCs/>
        </w:rPr>
        <w:t>Source:</w:t>
      </w:r>
      <w:r w:rsidRPr="00654329">
        <w:rPr>
          <w:bCs/>
        </w:rPr>
        <w:t xml:space="preserve"> Author’s own calculations, using World Bank GDP data and Hodrick-Prescott decomposition. Countries with scores less than one are less inclined to pass climate laws in difficult economic times.</w:t>
      </w:r>
    </w:p>
    <w:p w14:paraId="71014FF3" w14:textId="77777777" w:rsidR="00D94FD1" w:rsidRPr="00654329" w:rsidRDefault="00D94FD1" w:rsidP="00D94FD1">
      <w:pPr>
        <w:pStyle w:val="ListParagraph"/>
        <w:spacing w:line="480" w:lineRule="auto"/>
        <w:ind w:left="0"/>
        <w:rPr>
          <w:bCs/>
        </w:rPr>
      </w:pPr>
    </w:p>
    <w:p w14:paraId="5A650773" w14:textId="77777777" w:rsidR="00D94FD1" w:rsidRPr="00654329" w:rsidRDefault="00D94FD1" w:rsidP="00D94FD1">
      <w:pPr>
        <w:spacing w:line="480" w:lineRule="auto"/>
      </w:pPr>
    </w:p>
    <w:p w14:paraId="2F2C0123" w14:textId="77777777" w:rsidR="00F36E32" w:rsidRPr="00CA50F7" w:rsidRDefault="00F36E32" w:rsidP="00CA50F7">
      <w:pPr>
        <w:spacing w:line="360" w:lineRule="auto"/>
        <w:jc w:val="both"/>
        <w:rPr>
          <w:szCs w:val="20"/>
        </w:rPr>
      </w:pPr>
    </w:p>
    <w:sectPr w:rsidR="00F36E32" w:rsidRPr="00CA50F7" w:rsidSect="00CA50F7">
      <w:pgSz w:w="12240" w:h="15840" w:code="1"/>
      <w:pgMar w:top="1440" w:right="1440" w:bottom="1440" w:left="1440" w:header="432"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FC15" w16cex:dateUtc="2020-05-21T12:09: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9A939" w14:textId="77777777" w:rsidR="005A2B65" w:rsidRDefault="005A2B65" w:rsidP="00430244">
      <w:r>
        <w:separator/>
      </w:r>
    </w:p>
  </w:endnote>
  <w:endnote w:type="continuationSeparator" w:id="0">
    <w:p w14:paraId="5744CA3B" w14:textId="77777777" w:rsidR="005A2B65" w:rsidRDefault="005A2B65" w:rsidP="00430244">
      <w:r>
        <w:continuationSeparator/>
      </w:r>
    </w:p>
  </w:endnote>
  <w:endnote w:type="continuationNotice" w:id="1">
    <w:p w14:paraId="314BB49B" w14:textId="77777777" w:rsidR="005A2B65" w:rsidRDefault="005A2B65"/>
  </w:endnote>
  <w:endnote w:id="2">
    <w:p w14:paraId="19C0DF31" w14:textId="679F6851"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w:t>
      </w:r>
      <w:r w:rsidRPr="001E0933">
        <w:rPr>
          <w:i/>
          <w:iCs/>
          <w:sz w:val="24"/>
          <w:szCs w:val="24"/>
        </w:rPr>
        <w:t>Climate Change Laws of the World</w:t>
      </w:r>
      <w:r w:rsidRPr="001E0933">
        <w:rPr>
          <w:sz w:val="24"/>
          <w:szCs w:val="24"/>
        </w:rPr>
        <w:t xml:space="preserve"> can be accessed at https://climate-laws.org. </w:t>
      </w:r>
    </w:p>
  </w:endnote>
  <w:endnote w:id="3">
    <w:p w14:paraId="1632CF99" w14:textId="61C92A04"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There are other databases, which focus on particular policy processes, sectors or subsets of countries. The Climate Policy database project (http://climatepolicydatabase.org) gathers information on which countries are implementing good-practice policies or policies to reduce carbon emissions. The International Energy Agency (IEA) Policies and Measures Database (https://www.iea.org/policies) provides access to information on past, existing or planned government policies and measures to reduce GHG emissions, improve energy efficiency and support the development and deployment of renewables and other clean energy technologies. ClimateWatch (https://www.climatewatchdata.org) tracks progress with Nationally Determined Contributions (NDCs) to the Paris Agreement.</w:t>
      </w:r>
    </w:p>
  </w:endnote>
  <w:endnote w:id="4">
    <w:p w14:paraId="50AA8925" w14:textId="10B2DC65"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Information on climate change litigation in the United States is contained in a separate database maintained by the Sabin Centre. The data can be accessed at  http://climatecasechart.com/us-climate-change-litigation/. The database is maintained in collaboration with the law firm Arnold &amp; Porter, to which the Sabin Center has close links. </w:t>
      </w:r>
    </w:p>
  </w:endnote>
  <w:endnote w:id="5">
    <w:p w14:paraId="69E9FB2C" w14:textId="617B8C8D"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Full text and summary available at: https://climate-laws.org/cclow/geographies/united-kingdom/laws/climate-change-act-34405aa9-396e-4a78-a662-20cad9696365.</w:t>
      </w:r>
    </w:p>
  </w:endnote>
  <w:endnote w:id="6">
    <w:p w14:paraId="1FB0468C" w14:textId="39D7A684"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Full text and summary available at: https://climate-laws.org/cclow/geographies/mexico/laws/general-law-on-climate-change.  For challenges in implementing the law, see Averchencova and Guzman Luna (2018).</w:t>
      </w:r>
    </w:p>
  </w:endnote>
  <w:endnote w:id="7">
    <w:p w14:paraId="77ABD77F" w14:textId="288A3F77"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Full text and summary available at: https://climate-laws.org/cclow/geographies/new-zealand/laws/climate-change-response-act-2002-as-amended-by-the-climate-change-response-zero-carbon-amendment-act.</w:t>
      </w:r>
    </w:p>
  </w:endnote>
  <w:endnote w:id="8">
    <w:p w14:paraId="42B1F8DA" w14:textId="44B773DA" w:rsidR="005A2B65" w:rsidRPr="001E0933" w:rsidRDefault="005A2B65" w:rsidP="001E0933">
      <w:pPr>
        <w:spacing w:line="480" w:lineRule="auto"/>
      </w:pPr>
      <w:r w:rsidRPr="001E0933">
        <w:rPr>
          <w:rStyle w:val="EndnoteReference"/>
        </w:rPr>
        <w:endnoteRef/>
      </w:r>
      <w:r w:rsidRPr="001E0933">
        <w:t xml:space="preserve"> Full text and summary available at: https://climate-laws.org/cclow/geographies/south-</w:t>
      </w:r>
      <w:r w:rsidRPr="001E0933">
        <w:rPr>
          <w:color w:val="000000" w:themeColor="text1"/>
        </w:rPr>
        <w:t>korea/laws/framework-act-on-low-carbon-green-growth-regulated-by-enforcement-decree-of-</w:t>
      </w:r>
      <w:r w:rsidRPr="001E0933">
        <w:t>the-framework-act-on-low-carbon-green-growth.</w:t>
      </w:r>
    </w:p>
  </w:endnote>
  <w:endnote w:id="9">
    <w:p w14:paraId="3C1358C2" w14:textId="0D2DCBC8"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The Worldwide Governance Indicators are collected by the World Bank and available on </w:t>
      </w:r>
      <w:r w:rsidRPr="005611D8">
        <w:rPr>
          <w:sz w:val="24"/>
          <w:szCs w:val="24"/>
        </w:rPr>
        <w:t>https://info.worldbank.org/ governance/wgi/</w:t>
      </w:r>
      <w:r w:rsidRPr="001E0933">
        <w:rPr>
          <w:sz w:val="24"/>
          <w:szCs w:val="24"/>
        </w:rPr>
        <w:t>.  The indicators reflect the views of a large number of enterprises, citizens</w:t>
      </w:r>
      <w:r>
        <w:rPr>
          <w:sz w:val="24"/>
          <w:szCs w:val="24"/>
        </w:rPr>
        <w:t>,</w:t>
      </w:r>
      <w:r w:rsidRPr="001E0933">
        <w:rPr>
          <w:sz w:val="24"/>
          <w:szCs w:val="24"/>
        </w:rPr>
        <w:t xml:space="preserve"> and experts on different aspects of governance, including </w:t>
      </w:r>
      <w:r w:rsidRPr="001E0933">
        <w:rPr>
          <w:i/>
          <w:iCs/>
          <w:sz w:val="24"/>
          <w:szCs w:val="24"/>
        </w:rPr>
        <w:t>inter alia</w:t>
      </w:r>
      <w:r w:rsidRPr="001E0933">
        <w:rPr>
          <w:sz w:val="24"/>
          <w:szCs w:val="24"/>
        </w:rPr>
        <w:t xml:space="preserve"> the rule of law. The original scale was converted into a [0,1] range as follows: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i</m:t>
                </m:r>
              </m:sub>
              <m:sup>
                <m:r>
                  <w:rPr>
                    <w:rFonts w:ascii="Cambria Math" w:hAnsi="Cambria Math"/>
                    <w:sz w:val="24"/>
                    <w:szCs w:val="24"/>
                  </w:rPr>
                  <m:t>orig</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min</m:t>
                </m:r>
              </m:sup>
            </m:sSup>
          </m:num>
          <m:den>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max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min</m:t>
                </m:r>
              </m:sup>
            </m:sSup>
          </m:den>
        </m:f>
        <m:r>
          <w:rPr>
            <w:rFonts w:ascii="Cambria Math" w:hAnsi="Cambria Math"/>
            <w:sz w:val="24"/>
            <w:szCs w:val="24"/>
          </w:rPr>
          <m:t xml:space="preserve"> </m:t>
        </m:r>
      </m:oMath>
      <w:r w:rsidRPr="001E0933">
        <w:rPr>
          <w:sz w:val="24"/>
          <w:szCs w:val="24"/>
        </w:rPr>
        <w:t>.</w:t>
      </w:r>
    </w:p>
  </w:endnote>
  <w:endnote w:id="10">
    <w:p w14:paraId="0914C454" w14:textId="6D7BEFE7"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Polity IV is an annual, cross-national time-series which assesses democratic and autocratic patterns of authority and regime changes in all independent countries. The data are available on </w:t>
      </w:r>
      <w:r w:rsidRPr="005611D8">
        <w:rPr>
          <w:sz w:val="24"/>
          <w:szCs w:val="24"/>
        </w:rPr>
        <w:t>https://www.systemicpeace.org/inscrdata.html</w:t>
      </w:r>
    </w:p>
  </w:endnote>
  <w:endnote w:id="11">
    <w:p w14:paraId="0D324512" w14:textId="3039D305" w:rsidR="005A2B65" w:rsidRPr="001E0933" w:rsidRDefault="005A2B65" w:rsidP="001E0933">
      <w:pPr>
        <w:pStyle w:val="EndnoteText"/>
        <w:spacing w:line="480" w:lineRule="auto"/>
        <w:rPr>
          <w:sz w:val="24"/>
          <w:szCs w:val="24"/>
        </w:rPr>
      </w:pPr>
      <w:r w:rsidRPr="001E0933">
        <w:rPr>
          <w:rStyle w:val="EndnoteReference"/>
          <w:sz w:val="24"/>
          <w:szCs w:val="24"/>
        </w:rPr>
        <w:endnoteRef/>
      </w:r>
      <w:r w:rsidRPr="001E0933">
        <w:rPr>
          <w:sz w:val="24"/>
          <w:szCs w:val="24"/>
        </w:rPr>
        <w:t xml:space="preserve"> DPI contains data on institutional and electoral factors, such as checks and balances, tenure and stability of the government, party affiliations and ideology, among others.  The data are available on </w:t>
      </w:r>
      <w:r w:rsidRPr="005611D8">
        <w:rPr>
          <w:sz w:val="24"/>
          <w:szCs w:val="24"/>
        </w:rPr>
        <w:t>https://datacatalog.worldbank.org/ dataset/wps2283-database-political-institutions</w:t>
      </w:r>
      <w:r w:rsidRPr="001E0933">
        <w:rPr>
          <w:sz w:val="24"/>
          <w:szCs w:val="24"/>
        </w:rPr>
        <w:t>.</w:t>
      </w:r>
    </w:p>
  </w:endnote>
  <w:endnote w:id="12">
    <w:p w14:paraId="267CB716" w14:textId="557644C1" w:rsidR="005A2B65" w:rsidRPr="00FB21A7" w:rsidRDefault="005A2B65" w:rsidP="001E0933">
      <w:pPr>
        <w:pStyle w:val="EndnoteText"/>
        <w:spacing w:line="480" w:lineRule="auto"/>
      </w:pPr>
      <w:r w:rsidRPr="001E0933">
        <w:rPr>
          <w:rStyle w:val="EndnoteReference"/>
          <w:sz w:val="24"/>
          <w:szCs w:val="24"/>
        </w:rPr>
        <w:endnoteRef/>
      </w:r>
      <w:r w:rsidRPr="001E0933">
        <w:rPr>
          <w:sz w:val="24"/>
          <w:szCs w:val="24"/>
        </w:rPr>
        <w:t xml:space="preserve"> </w:t>
      </w:r>
      <w:r w:rsidRPr="001E0933">
        <w:rPr>
          <w:bCs/>
          <w:sz w:val="24"/>
          <w:szCs w:val="24"/>
        </w:rPr>
        <w:t>The Hodrick-Prescott filter (after Hodrick and Prescott 1997) is a common decomposition method used in macroeconomics. It is calculated in statistical packages like STATA (using the command “tsfilter hp”).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14A5" w14:textId="1E656CAA" w:rsidR="005A2B65" w:rsidRDefault="005A2B65" w:rsidP="005005FF">
    <w:pPr>
      <w:pStyle w:val="Footer"/>
      <w:tabs>
        <w:tab w:val="right" w:pos="0"/>
        <w:tab w:val="right" w:pos="2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77DE0" w14:textId="77777777" w:rsidR="005A2B65" w:rsidRPr="004336F8" w:rsidRDefault="005A2B65" w:rsidP="00430244">
      <w:pPr>
        <w:rPr>
          <w:rFonts w:asciiTheme="minorHAnsi" w:hAnsiTheme="minorHAnsi" w:cstheme="minorHAnsi"/>
          <w:sz w:val="16"/>
          <w:szCs w:val="16"/>
        </w:rPr>
      </w:pPr>
    </w:p>
    <w:p w14:paraId="6464EF30" w14:textId="77777777" w:rsidR="005A2B65" w:rsidRPr="004336F8" w:rsidRDefault="005A2B65" w:rsidP="00430244">
      <w:pPr>
        <w:rPr>
          <w:rFonts w:asciiTheme="minorHAnsi" w:hAnsiTheme="minorHAnsi" w:cstheme="minorHAnsi"/>
          <w:sz w:val="16"/>
          <w:szCs w:val="16"/>
        </w:rPr>
      </w:pPr>
      <w:r w:rsidRPr="004336F8">
        <w:rPr>
          <w:rFonts w:asciiTheme="minorHAnsi" w:hAnsiTheme="minorHAnsi" w:cstheme="minorHAnsi"/>
          <w:sz w:val="16"/>
          <w:szCs w:val="16"/>
        </w:rPr>
        <w:separator/>
      </w:r>
    </w:p>
  </w:footnote>
  <w:footnote w:type="continuationSeparator" w:id="0">
    <w:p w14:paraId="14B9AFB3" w14:textId="77777777" w:rsidR="005A2B65" w:rsidRDefault="005A2B65" w:rsidP="00430244">
      <w:r>
        <w:continuationSeparator/>
      </w:r>
    </w:p>
  </w:footnote>
  <w:footnote w:type="continuationNotice" w:id="1">
    <w:p w14:paraId="44968D70" w14:textId="77777777" w:rsidR="005A2B65" w:rsidRDefault="005A2B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noProof w:val="0"/>
        <w:sz w:val="24"/>
      </w:rPr>
      <w:id w:val="848136647"/>
      <w:docPartObj>
        <w:docPartGallery w:val="Page Numbers (Top of Page)"/>
        <w:docPartUnique/>
      </w:docPartObj>
    </w:sdtPr>
    <w:sdtEndPr>
      <w:rPr>
        <w:noProof/>
      </w:rPr>
    </w:sdtEndPr>
    <w:sdtContent>
      <w:p w14:paraId="51540CE2" w14:textId="1249BB0F" w:rsidR="005A2B65" w:rsidRPr="00267B4E" w:rsidRDefault="005A2B65" w:rsidP="00267B4E">
        <w:pPr>
          <w:pStyle w:val="Header"/>
          <w:pBdr>
            <w:bottom w:val="none" w:sz="0" w:space="0" w:color="auto"/>
          </w:pBdr>
          <w:spacing w:line="240" w:lineRule="auto"/>
          <w:jc w:val="center"/>
          <w:rPr>
            <w:rFonts w:ascii="Times New Roman" w:hAnsi="Times New Roman" w:cs="Times New Roman"/>
            <w:sz w:val="24"/>
          </w:rPr>
        </w:pPr>
        <w:r w:rsidRPr="00267B4E">
          <w:rPr>
            <w:rFonts w:ascii="Times New Roman" w:hAnsi="Times New Roman" w:cs="Times New Roman"/>
            <w:noProof w:val="0"/>
            <w:sz w:val="24"/>
          </w:rPr>
          <w:t>EEPE</w:t>
        </w:r>
        <w:r>
          <w:rPr>
            <w:rFonts w:ascii="Times New Roman" w:hAnsi="Times New Roman" w:cs="Times New Roman"/>
            <w:noProof w:val="0"/>
            <w:sz w:val="24"/>
          </w:rPr>
          <w:t>2</w:t>
        </w:r>
        <w:r w:rsidRPr="00267B4E">
          <w:rPr>
            <w:rFonts w:ascii="Times New Roman" w:hAnsi="Times New Roman" w:cs="Times New Roman"/>
            <w:noProof w:val="0"/>
            <w:sz w:val="24"/>
          </w:rPr>
          <w:t xml:space="preserve"> chapter </w:t>
        </w:r>
        <w:r w:rsidR="00F905CB">
          <w:rPr>
            <w:rFonts w:ascii="Times New Roman" w:hAnsi="Times New Roman" w:cs="Times New Roman"/>
            <w:noProof w:val="0"/>
            <w:sz w:val="24"/>
          </w:rPr>
          <w:t>2</w:t>
        </w:r>
        <w:r w:rsidRPr="00267B4E">
          <w:rPr>
            <w:rFonts w:ascii="Times New Roman" w:hAnsi="Times New Roman" w:cs="Times New Roman"/>
            <w:noProof w:val="0"/>
            <w:sz w:val="24"/>
          </w:rPr>
          <w:t xml:space="preserve">, p </w:t>
        </w:r>
        <w:r w:rsidRPr="00267B4E">
          <w:rPr>
            <w:rFonts w:ascii="Times New Roman" w:hAnsi="Times New Roman" w:cs="Times New Roman"/>
            <w:noProof w:val="0"/>
            <w:sz w:val="24"/>
          </w:rPr>
          <w:fldChar w:fldCharType="begin"/>
        </w:r>
        <w:r w:rsidRPr="00267B4E">
          <w:rPr>
            <w:rFonts w:ascii="Times New Roman" w:hAnsi="Times New Roman" w:cs="Times New Roman"/>
            <w:sz w:val="24"/>
          </w:rPr>
          <w:instrText xml:space="preserve"> PAGE   \* MERGEFORMAT </w:instrText>
        </w:r>
        <w:r w:rsidRPr="00267B4E">
          <w:rPr>
            <w:rFonts w:ascii="Times New Roman" w:hAnsi="Times New Roman" w:cs="Times New Roman"/>
            <w:noProof w:val="0"/>
            <w:sz w:val="24"/>
          </w:rPr>
          <w:fldChar w:fldCharType="separate"/>
        </w:r>
        <w:r w:rsidR="00EB156A">
          <w:rPr>
            <w:rFonts w:ascii="Times New Roman" w:hAnsi="Times New Roman" w:cs="Times New Roman"/>
            <w:sz w:val="24"/>
          </w:rPr>
          <w:t>32</w:t>
        </w:r>
        <w:r w:rsidRPr="00267B4E">
          <w:rPr>
            <w:rFonts w:ascii="Times New Roman" w:hAnsi="Times New Roman" w:cs="Times New Roman"/>
            <w:sz w:val="24"/>
          </w:rPr>
          <w:fldChar w:fldCharType="end"/>
        </w:r>
      </w:p>
    </w:sdtContent>
  </w:sdt>
  <w:p w14:paraId="12105791" w14:textId="77777777" w:rsidR="005A2B65" w:rsidRDefault="005A2B65" w:rsidP="003D09A3">
    <w:pPr>
      <w:pStyle w:val="Header"/>
      <w:pBdr>
        <w:bottom w:val="none" w:sz="0" w:space="0"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4CD9B" w14:textId="340678AB" w:rsidR="005A2B65" w:rsidRPr="00F770C1" w:rsidRDefault="005A2B65" w:rsidP="00F770C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F8E0EF8"/>
    <w:lvl w:ilvl="0">
      <w:start w:val="1"/>
      <w:numFmt w:val="bullet"/>
      <w:pStyle w:val="ListBullet"/>
      <w:lvlText w:val=""/>
      <w:lvlJc w:val="left"/>
      <w:pPr>
        <w:tabs>
          <w:tab w:val="num" w:pos="7372"/>
        </w:tabs>
        <w:ind w:left="7372" w:hanging="360"/>
      </w:pPr>
      <w:rPr>
        <w:rFonts w:ascii="Symbol" w:hAnsi="Symbol" w:hint="default"/>
      </w:rPr>
    </w:lvl>
  </w:abstractNum>
  <w:abstractNum w:abstractNumId="1">
    <w:nsid w:val="06F506DB"/>
    <w:multiLevelType w:val="hybridMultilevel"/>
    <w:tmpl w:val="BB1A51E4"/>
    <w:lvl w:ilvl="0" w:tplc="952E9A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DB3503"/>
    <w:multiLevelType w:val="hybridMultilevel"/>
    <w:tmpl w:val="8B90760A"/>
    <w:lvl w:ilvl="0" w:tplc="23B8B01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0B5391"/>
    <w:multiLevelType w:val="multilevel"/>
    <w:tmpl w:val="4FFE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B8114F2"/>
    <w:multiLevelType w:val="hybridMultilevel"/>
    <w:tmpl w:val="5BE0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FC5555"/>
    <w:multiLevelType w:val="hybridMultilevel"/>
    <w:tmpl w:val="97422D5E"/>
    <w:lvl w:ilvl="0" w:tplc="97FE80EE">
      <w:start w:val="23"/>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51099"/>
    <w:multiLevelType w:val="hybridMultilevel"/>
    <w:tmpl w:val="F1889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3112F5"/>
    <w:multiLevelType w:val="hybridMultilevel"/>
    <w:tmpl w:val="A4DADF5C"/>
    <w:lvl w:ilvl="0" w:tplc="F406394C">
      <w:start w:val="1"/>
      <w:numFmt w:val="decimal"/>
      <w:pStyle w:val="Charttitle"/>
      <w:lvlText w:val="Figure %1."/>
      <w:lvlJc w:val="left"/>
      <w:pPr>
        <w:ind w:left="992" w:hanging="992"/>
      </w:pPr>
      <w:rPr>
        <w:rFonts w:ascii="Times New Roman" w:hAnsi="Times New Roman" w:hint="default"/>
        <w:b w:val="0"/>
        <w:i/>
        <w:caps w:val="0"/>
        <w:strike w:val="0"/>
        <w:dstrike w:val="0"/>
        <w:vanish w:val="0"/>
        <w:color w:val="000000" w:themeColor="text1"/>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F352C4"/>
    <w:multiLevelType w:val="hybridMultilevel"/>
    <w:tmpl w:val="D63AF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341E5"/>
    <w:multiLevelType w:val="hybridMultilevel"/>
    <w:tmpl w:val="6FB86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E54A5F"/>
    <w:multiLevelType w:val="hybridMultilevel"/>
    <w:tmpl w:val="F86AC3D0"/>
    <w:lvl w:ilvl="0" w:tplc="8C261CA4">
      <w:start w:val="1"/>
      <w:numFmt w:val="decimal"/>
      <w:pStyle w:val="Boxtitle"/>
      <w:lvlText w:val="Box %1."/>
      <w:lvlJc w:val="left"/>
      <w:pPr>
        <w:ind w:left="720" w:hanging="360"/>
      </w:pPr>
      <w:rPr>
        <w:rFonts w:ascii="Times New Roman" w:hAnsi="Times New Roman" w:hint="default"/>
        <w:b/>
        <w:i w:val="0"/>
        <w:caps w:val="0"/>
        <w:strike w:val="0"/>
        <w:dstrike w:val="0"/>
        <w:vanish w:val="0"/>
        <w:color w:val="000000" w:themeColor="text1"/>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281027"/>
    <w:multiLevelType w:val="hybridMultilevel"/>
    <w:tmpl w:val="99EA4B40"/>
    <w:lvl w:ilvl="0" w:tplc="4FE0C414">
      <w:start w:val="1"/>
      <w:numFmt w:val="lowerLetter"/>
      <w:lvlText w:val="(%1)"/>
      <w:lvlJc w:val="left"/>
      <w:pPr>
        <w:ind w:left="720" w:hanging="360"/>
      </w:pPr>
      <w:rPr>
        <w:rFonts w:hint="default"/>
        <w:b w:val="0"/>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5D7C68"/>
    <w:multiLevelType w:val="hybridMultilevel"/>
    <w:tmpl w:val="3286C416"/>
    <w:lvl w:ilvl="0" w:tplc="1416D09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BA62C9"/>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C45E07"/>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74E0D17"/>
    <w:multiLevelType w:val="hybridMultilevel"/>
    <w:tmpl w:val="785CF81E"/>
    <w:lvl w:ilvl="0" w:tplc="5A90B3D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DC1D81"/>
    <w:multiLevelType w:val="hybridMultilevel"/>
    <w:tmpl w:val="99EA4B40"/>
    <w:lvl w:ilvl="0" w:tplc="4FE0C414">
      <w:start w:val="1"/>
      <w:numFmt w:val="lowerLetter"/>
      <w:lvlText w:val="(%1)"/>
      <w:lvlJc w:val="left"/>
      <w:pPr>
        <w:ind w:left="720" w:hanging="360"/>
      </w:pPr>
      <w:rPr>
        <w:rFonts w:hint="default"/>
        <w:b w:val="0"/>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C196649"/>
    <w:multiLevelType w:val="hybridMultilevel"/>
    <w:tmpl w:val="08CE192E"/>
    <w:lvl w:ilvl="0" w:tplc="46F6C1B6">
      <w:start w:val="15"/>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71610C"/>
    <w:multiLevelType w:val="hybridMultilevel"/>
    <w:tmpl w:val="FFD09760"/>
    <w:lvl w:ilvl="0" w:tplc="C778BC64">
      <w:start w:val="1"/>
      <w:numFmt w:val="lowerLetter"/>
      <w:lvlText w:val="(%1)"/>
      <w:lvlJc w:val="left"/>
      <w:pPr>
        <w:ind w:left="-190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468" w:hanging="180"/>
      </w:pPr>
    </w:lvl>
    <w:lvl w:ilvl="3" w:tplc="0809000F" w:tentative="1">
      <w:start w:val="1"/>
      <w:numFmt w:val="decimal"/>
      <w:lvlText w:val="%4."/>
      <w:lvlJc w:val="left"/>
      <w:pPr>
        <w:ind w:left="252" w:hanging="360"/>
      </w:pPr>
    </w:lvl>
    <w:lvl w:ilvl="4" w:tplc="08090019" w:tentative="1">
      <w:start w:val="1"/>
      <w:numFmt w:val="lowerLetter"/>
      <w:lvlText w:val="%5."/>
      <w:lvlJc w:val="left"/>
      <w:pPr>
        <w:ind w:left="972" w:hanging="360"/>
      </w:pPr>
    </w:lvl>
    <w:lvl w:ilvl="5" w:tplc="0809001B" w:tentative="1">
      <w:start w:val="1"/>
      <w:numFmt w:val="lowerRoman"/>
      <w:lvlText w:val="%6."/>
      <w:lvlJc w:val="right"/>
      <w:pPr>
        <w:ind w:left="1692" w:hanging="180"/>
      </w:pPr>
    </w:lvl>
    <w:lvl w:ilvl="6" w:tplc="0809000F" w:tentative="1">
      <w:start w:val="1"/>
      <w:numFmt w:val="decimal"/>
      <w:lvlText w:val="%7."/>
      <w:lvlJc w:val="left"/>
      <w:pPr>
        <w:ind w:left="2412" w:hanging="360"/>
      </w:pPr>
    </w:lvl>
    <w:lvl w:ilvl="7" w:tplc="08090019" w:tentative="1">
      <w:start w:val="1"/>
      <w:numFmt w:val="lowerLetter"/>
      <w:lvlText w:val="%8."/>
      <w:lvlJc w:val="left"/>
      <w:pPr>
        <w:ind w:left="3132" w:hanging="360"/>
      </w:pPr>
    </w:lvl>
    <w:lvl w:ilvl="8" w:tplc="0809001B" w:tentative="1">
      <w:start w:val="1"/>
      <w:numFmt w:val="lowerRoman"/>
      <w:lvlText w:val="%9."/>
      <w:lvlJc w:val="right"/>
      <w:pPr>
        <w:ind w:left="3852" w:hanging="180"/>
      </w:pPr>
    </w:lvl>
  </w:abstractNum>
  <w:abstractNum w:abstractNumId="19">
    <w:nsid w:val="3974564F"/>
    <w:multiLevelType w:val="hybridMultilevel"/>
    <w:tmpl w:val="8A0C7BB8"/>
    <w:lvl w:ilvl="0" w:tplc="A328C93C">
      <w:start w:val="2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9CE52E2"/>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B1450B"/>
    <w:multiLevelType w:val="hybridMultilevel"/>
    <w:tmpl w:val="7EF4B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9C575B"/>
    <w:multiLevelType w:val="hybridMultilevel"/>
    <w:tmpl w:val="6E868D4E"/>
    <w:lvl w:ilvl="0" w:tplc="E33ADC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DBA394A"/>
    <w:multiLevelType w:val="hybridMultilevel"/>
    <w:tmpl w:val="DE1EE6D2"/>
    <w:lvl w:ilvl="0" w:tplc="F99208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D73F69"/>
    <w:multiLevelType w:val="hybridMultilevel"/>
    <w:tmpl w:val="724A1E02"/>
    <w:lvl w:ilvl="0" w:tplc="E9CCE248">
      <w:start w:val="1"/>
      <w:numFmt w:val="lowerLetter"/>
      <w:lvlText w:val="(%1)"/>
      <w:lvlJc w:val="left"/>
      <w:pPr>
        <w:ind w:left="-190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468" w:hanging="180"/>
      </w:pPr>
    </w:lvl>
    <w:lvl w:ilvl="3" w:tplc="0809000F" w:tentative="1">
      <w:start w:val="1"/>
      <w:numFmt w:val="decimal"/>
      <w:lvlText w:val="%4."/>
      <w:lvlJc w:val="left"/>
      <w:pPr>
        <w:ind w:left="252" w:hanging="360"/>
      </w:pPr>
    </w:lvl>
    <w:lvl w:ilvl="4" w:tplc="08090019" w:tentative="1">
      <w:start w:val="1"/>
      <w:numFmt w:val="lowerLetter"/>
      <w:lvlText w:val="%5."/>
      <w:lvlJc w:val="left"/>
      <w:pPr>
        <w:ind w:left="972" w:hanging="360"/>
      </w:pPr>
    </w:lvl>
    <w:lvl w:ilvl="5" w:tplc="0809001B" w:tentative="1">
      <w:start w:val="1"/>
      <w:numFmt w:val="lowerRoman"/>
      <w:lvlText w:val="%6."/>
      <w:lvlJc w:val="right"/>
      <w:pPr>
        <w:ind w:left="1692" w:hanging="180"/>
      </w:pPr>
    </w:lvl>
    <w:lvl w:ilvl="6" w:tplc="0809000F" w:tentative="1">
      <w:start w:val="1"/>
      <w:numFmt w:val="decimal"/>
      <w:lvlText w:val="%7."/>
      <w:lvlJc w:val="left"/>
      <w:pPr>
        <w:ind w:left="2412" w:hanging="360"/>
      </w:pPr>
    </w:lvl>
    <w:lvl w:ilvl="7" w:tplc="08090019" w:tentative="1">
      <w:start w:val="1"/>
      <w:numFmt w:val="lowerLetter"/>
      <w:lvlText w:val="%8."/>
      <w:lvlJc w:val="left"/>
      <w:pPr>
        <w:ind w:left="3132" w:hanging="360"/>
      </w:pPr>
    </w:lvl>
    <w:lvl w:ilvl="8" w:tplc="0809001B" w:tentative="1">
      <w:start w:val="1"/>
      <w:numFmt w:val="lowerRoman"/>
      <w:lvlText w:val="%9."/>
      <w:lvlJc w:val="right"/>
      <w:pPr>
        <w:ind w:left="3852" w:hanging="180"/>
      </w:pPr>
    </w:lvl>
  </w:abstractNum>
  <w:abstractNum w:abstractNumId="25">
    <w:nsid w:val="47764AB6"/>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6F0B25"/>
    <w:multiLevelType w:val="hybridMultilevel"/>
    <w:tmpl w:val="50321D8A"/>
    <w:lvl w:ilvl="0" w:tplc="AA1217A2">
      <w:numFmt w:val="bullet"/>
      <w:pStyle w:val="Dashedbullets"/>
      <w:lvlText w:val="–"/>
      <w:lvlJc w:val="left"/>
      <w:pPr>
        <w:ind w:left="3338" w:hanging="360"/>
      </w:pPr>
      <w:rPr>
        <w:rFonts w:ascii="Arial" w:eastAsiaTheme="minorHAnsi" w:hAnsi="Arial" w:hint="default"/>
      </w:rPr>
    </w:lvl>
    <w:lvl w:ilvl="1" w:tplc="08090003">
      <w:start w:val="1"/>
      <w:numFmt w:val="bullet"/>
      <w:lvlText w:val="o"/>
      <w:lvlJc w:val="left"/>
      <w:pPr>
        <w:ind w:left="2312" w:hanging="360"/>
      </w:pPr>
      <w:rPr>
        <w:rFonts w:ascii="Courier New" w:hAnsi="Courier New" w:cs="Courier New" w:hint="default"/>
      </w:rPr>
    </w:lvl>
    <w:lvl w:ilvl="2" w:tplc="08090005">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27">
    <w:nsid w:val="5B2F53ED"/>
    <w:multiLevelType w:val="hybridMultilevel"/>
    <w:tmpl w:val="D1B0E4E6"/>
    <w:lvl w:ilvl="0" w:tplc="B82CF716">
      <w:start w:val="1"/>
      <w:numFmt w:val="low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BBA2B25"/>
    <w:multiLevelType w:val="hybridMultilevel"/>
    <w:tmpl w:val="B0ECE1D6"/>
    <w:lvl w:ilvl="0" w:tplc="48BCA9D8">
      <w:start w:val="1"/>
      <w:numFmt w:val="decimal"/>
      <w:pStyle w:val="Tabletitle"/>
      <w:lvlText w:val="Table %1."/>
      <w:lvlJc w:val="left"/>
      <w:pPr>
        <w:ind w:left="992" w:hanging="992"/>
      </w:pPr>
      <w:rPr>
        <w:rFonts w:ascii="Times New Roman" w:hAnsi="Times New Roman" w:hint="default"/>
        <w:b w:val="0"/>
        <w:bCs w:val="0"/>
        <w:i/>
        <w:iCs w:val="0"/>
        <w:caps w:val="0"/>
        <w:smallCaps w:val="0"/>
        <w:strike w:val="0"/>
        <w:dstrike w:val="0"/>
        <w:vanish w:val="0"/>
        <w:color w:val="000000"/>
        <w:spacing w:val="0"/>
        <w:kern w:val="0"/>
        <w:position w:val="0"/>
        <w:sz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8F10F6"/>
    <w:multiLevelType w:val="multilevel"/>
    <w:tmpl w:val="A478FF14"/>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pStyle w:val="Heading3"/>
      <w:lvlText w:val="%1.%2.%3"/>
      <w:lvlJc w:val="left"/>
      <w:pPr>
        <w:ind w:left="35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D7C3A2E"/>
    <w:multiLevelType w:val="hybridMultilevel"/>
    <w:tmpl w:val="37AAFB12"/>
    <w:lvl w:ilvl="0" w:tplc="039E372E">
      <w:start w:val="2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5E2741A9"/>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DE1661"/>
    <w:multiLevelType w:val="hybridMultilevel"/>
    <w:tmpl w:val="7EF4B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E47E22"/>
    <w:multiLevelType w:val="hybridMultilevel"/>
    <w:tmpl w:val="99EA4B40"/>
    <w:lvl w:ilvl="0" w:tplc="4FE0C414">
      <w:start w:val="1"/>
      <w:numFmt w:val="lowerLetter"/>
      <w:lvlText w:val="(%1)"/>
      <w:lvlJc w:val="left"/>
      <w:pPr>
        <w:ind w:left="720" w:hanging="360"/>
      </w:pPr>
      <w:rPr>
        <w:rFonts w:hint="default"/>
        <w:b w:val="0"/>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16A5841"/>
    <w:multiLevelType w:val="hybridMultilevel"/>
    <w:tmpl w:val="99EA4B40"/>
    <w:lvl w:ilvl="0" w:tplc="4FE0C414">
      <w:start w:val="1"/>
      <w:numFmt w:val="lowerLetter"/>
      <w:lvlText w:val="(%1)"/>
      <w:lvlJc w:val="left"/>
      <w:pPr>
        <w:ind w:left="720" w:hanging="360"/>
      </w:pPr>
      <w:rPr>
        <w:rFonts w:hint="default"/>
        <w:b w:val="0"/>
        <w:bCs/>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2E119E7"/>
    <w:multiLevelType w:val="hybridMultilevel"/>
    <w:tmpl w:val="F5741210"/>
    <w:lvl w:ilvl="0" w:tplc="8BE08C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1C791E"/>
    <w:multiLevelType w:val="hybridMultilevel"/>
    <w:tmpl w:val="FC2CE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22A077A"/>
    <w:multiLevelType w:val="hybridMultilevel"/>
    <w:tmpl w:val="62920662"/>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2BF50EC"/>
    <w:multiLevelType w:val="hybridMultilevel"/>
    <w:tmpl w:val="7EF4B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32E0D27"/>
    <w:multiLevelType w:val="hybridMultilevel"/>
    <w:tmpl w:val="2FBA431A"/>
    <w:lvl w:ilvl="0" w:tplc="D31EDF54">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4A24EA6"/>
    <w:multiLevelType w:val="hybridMultilevel"/>
    <w:tmpl w:val="FBD81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5297434"/>
    <w:multiLevelType w:val="hybridMultilevel"/>
    <w:tmpl w:val="6F06D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8663FD"/>
    <w:multiLevelType w:val="hybridMultilevel"/>
    <w:tmpl w:val="A90CC090"/>
    <w:lvl w:ilvl="0" w:tplc="8ED615FC">
      <w:start w:val="14"/>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EDC205F"/>
    <w:multiLevelType w:val="hybridMultilevel"/>
    <w:tmpl w:val="6FB86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6"/>
  </w:num>
  <w:num w:numId="3">
    <w:abstractNumId w:val="10"/>
  </w:num>
  <w:num w:numId="4">
    <w:abstractNumId w:val="28"/>
  </w:num>
  <w:num w:numId="5">
    <w:abstractNumId w:val="29"/>
  </w:num>
  <w:num w:numId="6">
    <w:abstractNumId w:val="25"/>
  </w:num>
  <w:num w:numId="7">
    <w:abstractNumId w:val="6"/>
  </w:num>
  <w:num w:numId="8">
    <w:abstractNumId w:val="41"/>
  </w:num>
  <w:num w:numId="9">
    <w:abstractNumId w:val="0"/>
  </w:num>
  <w:num w:numId="10">
    <w:abstractNumId w:val="36"/>
  </w:num>
  <w:num w:numId="11">
    <w:abstractNumId w:val="20"/>
  </w:num>
  <w:num w:numId="12">
    <w:abstractNumId w:val="14"/>
  </w:num>
  <w:num w:numId="13">
    <w:abstractNumId w:val="31"/>
  </w:num>
  <w:num w:numId="14">
    <w:abstractNumId w:val="37"/>
  </w:num>
  <w:num w:numId="15">
    <w:abstractNumId w:val="13"/>
  </w:num>
  <w:num w:numId="16">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9"/>
  </w:num>
  <w:num w:numId="19">
    <w:abstractNumId w:val="40"/>
  </w:num>
  <w:num w:numId="20">
    <w:abstractNumId w:val="42"/>
  </w:num>
  <w:num w:numId="21">
    <w:abstractNumId w:val="32"/>
  </w:num>
  <w:num w:numId="22">
    <w:abstractNumId w:val="38"/>
  </w:num>
  <w:num w:numId="23">
    <w:abstractNumId w:val="21"/>
  </w:num>
  <w:num w:numId="24">
    <w:abstractNumId w:val="2"/>
  </w:num>
  <w:num w:numId="25">
    <w:abstractNumId w:val="17"/>
  </w:num>
  <w:num w:numId="26">
    <w:abstractNumId w:val="5"/>
  </w:num>
  <w:num w:numId="27">
    <w:abstractNumId w:val="19"/>
  </w:num>
  <w:num w:numId="28">
    <w:abstractNumId w:val="30"/>
  </w:num>
  <w:num w:numId="29">
    <w:abstractNumId w:val="12"/>
  </w:num>
  <w:num w:numId="30">
    <w:abstractNumId w:val="24"/>
  </w:num>
  <w:num w:numId="31">
    <w:abstractNumId w:val="43"/>
  </w:num>
  <w:num w:numId="32">
    <w:abstractNumId w:val="9"/>
  </w:num>
  <w:num w:numId="33">
    <w:abstractNumId w:val="18"/>
  </w:num>
  <w:num w:numId="34">
    <w:abstractNumId w:val="35"/>
  </w:num>
  <w:num w:numId="35">
    <w:abstractNumId w:val="23"/>
  </w:num>
  <w:num w:numId="36">
    <w:abstractNumId w:val="8"/>
  </w:num>
  <w:num w:numId="37">
    <w:abstractNumId w:val="15"/>
  </w:num>
  <w:num w:numId="38">
    <w:abstractNumId w:val="29"/>
  </w:num>
  <w:num w:numId="39">
    <w:abstractNumId w:val="29"/>
  </w:num>
  <w:num w:numId="40">
    <w:abstractNumId w:val="29"/>
  </w:num>
  <w:num w:numId="41">
    <w:abstractNumId w:val="29"/>
  </w:num>
  <w:num w:numId="42">
    <w:abstractNumId w:val="29"/>
  </w:num>
  <w:num w:numId="43">
    <w:abstractNumId w:val="29"/>
  </w:num>
  <w:num w:numId="44">
    <w:abstractNumId w:val="1"/>
  </w:num>
  <w:num w:numId="45">
    <w:abstractNumId w:val="22"/>
  </w:num>
  <w:num w:numId="46">
    <w:abstractNumId w:val="34"/>
  </w:num>
  <w:num w:numId="47">
    <w:abstractNumId w:val="16"/>
  </w:num>
  <w:num w:numId="48">
    <w:abstractNumId w:val="11"/>
  </w:num>
  <w:num w:numId="49">
    <w:abstractNumId w:val="27"/>
  </w:num>
  <w:num w:numId="50">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C3"/>
    <w:rsid w:val="0000030E"/>
    <w:rsid w:val="00000844"/>
    <w:rsid w:val="00000E26"/>
    <w:rsid w:val="00000FF8"/>
    <w:rsid w:val="000012BC"/>
    <w:rsid w:val="000012E5"/>
    <w:rsid w:val="000014A1"/>
    <w:rsid w:val="0000177F"/>
    <w:rsid w:val="0000185C"/>
    <w:rsid w:val="000025F8"/>
    <w:rsid w:val="0000293C"/>
    <w:rsid w:val="000029A5"/>
    <w:rsid w:val="00002CE3"/>
    <w:rsid w:val="00003107"/>
    <w:rsid w:val="0000324B"/>
    <w:rsid w:val="000032BD"/>
    <w:rsid w:val="00003A3D"/>
    <w:rsid w:val="00004115"/>
    <w:rsid w:val="000041D4"/>
    <w:rsid w:val="000044B3"/>
    <w:rsid w:val="0000498C"/>
    <w:rsid w:val="000049DB"/>
    <w:rsid w:val="00004B94"/>
    <w:rsid w:val="00004C17"/>
    <w:rsid w:val="00004DAD"/>
    <w:rsid w:val="00004DC6"/>
    <w:rsid w:val="00004F73"/>
    <w:rsid w:val="00004FF5"/>
    <w:rsid w:val="00005A5C"/>
    <w:rsid w:val="00005FC6"/>
    <w:rsid w:val="00006114"/>
    <w:rsid w:val="000065F8"/>
    <w:rsid w:val="000069FA"/>
    <w:rsid w:val="00006D4A"/>
    <w:rsid w:val="00006FAA"/>
    <w:rsid w:val="000073C2"/>
    <w:rsid w:val="0001079D"/>
    <w:rsid w:val="0001122F"/>
    <w:rsid w:val="000113EA"/>
    <w:rsid w:val="00011AE7"/>
    <w:rsid w:val="0001202C"/>
    <w:rsid w:val="00012200"/>
    <w:rsid w:val="0001222A"/>
    <w:rsid w:val="000128E2"/>
    <w:rsid w:val="00012A42"/>
    <w:rsid w:val="00013766"/>
    <w:rsid w:val="00013837"/>
    <w:rsid w:val="00013CC7"/>
    <w:rsid w:val="00014219"/>
    <w:rsid w:val="00014EE9"/>
    <w:rsid w:val="00015096"/>
    <w:rsid w:val="000152E1"/>
    <w:rsid w:val="0001584C"/>
    <w:rsid w:val="00015D74"/>
    <w:rsid w:val="000164DF"/>
    <w:rsid w:val="00016715"/>
    <w:rsid w:val="00016DA1"/>
    <w:rsid w:val="00017549"/>
    <w:rsid w:val="00020548"/>
    <w:rsid w:val="00020591"/>
    <w:rsid w:val="000208B2"/>
    <w:rsid w:val="00021565"/>
    <w:rsid w:val="0002198A"/>
    <w:rsid w:val="00021C7C"/>
    <w:rsid w:val="000225EF"/>
    <w:rsid w:val="00022CC6"/>
    <w:rsid w:val="00022D42"/>
    <w:rsid w:val="00022D9A"/>
    <w:rsid w:val="00023089"/>
    <w:rsid w:val="00023188"/>
    <w:rsid w:val="00023DB8"/>
    <w:rsid w:val="00024E03"/>
    <w:rsid w:val="0002517B"/>
    <w:rsid w:val="00025986"/>
    <w:rsid w:val="00025EE7"/>
    <w:rsid w:val="0002604B"/>
    <w:rsid w:val="000267CC"/>
    <w:rsid w:val="00026F28"/>
    <w:rsid w:val="00027577"/>
    <w:rsid w:val="00027848"/>
    <w:rsid w:val="00027DD4"/>
    <w:rsid w:val="000300A4"/>
    <w:rsid w:val="0003071D"/>
    <w:rsid w:val="00030764"/>
    <w:rsid w:val="00031044"/>
    <w:rsid w:val="000313AE"/>
    <w:rsid w:val="000313D0"/>
    <w:rsid w:val="000327D5"/>
    <w:rsid w:val="00032DB5"/>
    <w:rsid w:val="000330EE"/>
    <w:rsid w:val="000340BB"/>
    <w:rsid w:val="000347DA"/>
    <w:rsid w:val="00035193"/>
    <w:rsid w:val="000351CF"/>
    <w:rsid w:val="000358C3"/>
    <w:rsid w:val="00035D4E"/>
    <w:rsid w:val="00036287"/>
    <w:rsid w:val="00036C4D"/>
    <w:rsid w:val="00037050"/>
    <w:rsid w:val="00037276"/>
    <w:rsid w:val="00037561"/>
    <w:rsid w:val="00037798"/>
    <w:rsid w:val="00037892"/>
    <w:rsid w:val="000378C5"/>
    <w:rsid w:val="000406C5"/>
    <w:rsid w:val="00040CD9"/>
    <w:rsid w:val="00040D91"/>
    <w:rsid w:val="000412A8"/>
    <w:rsid w:val="00041481"/>
    <w:rsid w:val="00041692"/>
    <w:rsid w:val="00041BA8"/>
    <w:rsid w:val="00041C52"/>
    <w:rsid w:val="00041E03"/>
    <w:rsid w:val="00041E69"/>
    <w:rsid w:val="00041F2F"/>
    <w:rsid w:val="000422E7"/>
    <w:rsid w:val="00043175"/>
    <w:rsid w:val="00043521"/>
    <w:rsid w:val="00043A58"/>
    <w:rsid w:val="00043D4E"/>
    <w:rsid w:val="00043D8D"/>
    <w:rsid w:val="00044325"/>
    <w:rsid w:val="00045878"/>
    <w:rsid w:val="00045FEE"/>
    <w:rsid w:val="00046735"/>
    <w:rsid w:val="00046817"/>
    <w:rsid w:val="0004690D"/>
    <w:rsid w:val="00046DCC"/>
    <w:rsid w:val="00046E50"/>
    <w:rsid w:val="00047212"/>
    <w:rsid w:val="000478F6"/>
    <w:rsid w:val="00047A66"/>
    <w:rsid w:val="00047D5A"/>
    <w:rsid w:val="0005037B"/>
    <w:rsid w:val="00050ADE"/>
    <w:rsid w:val="00050E76"/>
    <w:rsid w:val="0005100D"/>
    <w:rsid w:val="000510E0"/>
    <w:rsid w:val="0005113B"/>
    <w:rsid w:val="00051939"/>
    <w:rsid w:val="00051EE6"/>
    <w:rsid w:val="00052900"/>
    <w:rsid w:val="00052D73"/>
    <w:rsid w:val="000530CF"/>
    <w:rsid w:val="0005403F"/>
    <w:rsid w:val="00054056"/>
    <w:rsid w:val="00054399"/>
    <w:rsid w:val="0005498F"/>
    <w:rsid w:val="00054D99"/>
    <w:rsid w:val="00055763"/>
    <w:rsid w:val="0005579F"/>
    <w:rsid w:val="0005656B"/>
    <w:rsid w:val="000569AA"/>
    <w:rsid w:val="0006010D"/>
    <w:rsid w:val="00061790"/>
    <w:rsid w:val="0006272C"/>
    <w:rsid w:val="00062BBA"/>
    <w:rsid w:val="00062F4B"/>
    <w:rsid w:val="00063021"/>
    <w:rsid w:val="00063305"/>
    <w:rsid w:val="00063C64"/>
    <w:rsid w:val="00063D73"/>
    <w:rsid w:val="0006492B"/>
    <w:rsid w:val="00066394"/>
    <w:rsid w:val="00066BED"/>
    <w:rsid w:val="000674E7"/>
    <w:rsid w:val="00067C1B"/>
    <w:rsid w:val="00067CEF"/>
    <w:rsid w:val="0007082F"/>
    <w:rsid w:val="00070AF1"/>
    <w:rsid w:val="00070E7C"/>
    <w:rsid w:val="00070FD5"/>
    <w:rsid w:val="00071209"/>
    <w:rsid w:val="0007162D"/>
    <w:rsid w:val="00071842"/>
    <w:rsid w:val="00071B31"/>
    <w:rsid w:val="00071DD8"/>
    <w:rsid w:val="00072638"/>
    <w:rsid w:val="00072728"/>
    <w:rsid w:val="00073D2C"/>
    <w:rsid w:val="00074F8E"/>
    <w:rsid w:val="00074FFC"/>
    <w:rsid w:val="0007553D"/>
    <w:rsid w:val="000755FE"/>
    <w:rsid w:val="000765BB"/>
    <w:rsid w:val="0007670B"/>
    <w:rsid w:val="00077A34"/>
    <w:rsid w:val="00077AD7"/>
    <w:rsid w:val="00077F60"/>
    <w:rsid w:val="00077FE9"/>
    <w:rsid w:val="00080397"/>
    <w:rsid w:val="000805FD"/>
    <w:rsid w:val="00080B7E"/>
    <w:rsid w:val="0008124F"/>
    <w:rsid w:val="000814D0"/>
    <w:rsid w:val="000816E4"/>
    <w:rsid w:val="0008189B"/>
    <w:rsid w:val="00082187"/>
    <w:rsid w:val="00082896"/>
    <w:rsid w:val="000830FE"/>
    <w:rsid w:val="00083151"/>
    <w:rsid w:val="000838CA"/>
    <w:rsid w:val="000838E1"/>
    <w:rsid w:val="00084312"/>
    <w:rsid w:val="000848A9"/>
    <w:rsid w:val="00084F8D"/>
    <w:rsid w:val="000851D4"/>
    <w:rsid w:val="000852A8"/>
    <w:rsid w:val="000854BA"/>
    <w:rsid w:val="00085877"/>
    <w:rsid w:val="00085D8B"/>
    <w:rsid w:val="00085F89"/>
    <w:rsid w:val="00086513"/>
    <w:rsid w:val="00086A69"/>
    <w:rsid w:val="00086B07"/>
    <w:rsid w:val="000873F5"/>
    <w:rsid w:val="00087A7F"/>
    <w:rsid w:val="000906D3"/>
    <w:rsid w:val="00090DEC"/>
    <w:rsid w:val="0009174B"/>
    <w:rsid w:val="0009189C"/>
    <w:rsid w:val="000920ED"/>
    <w:rsid w:val="00092CF4"/>
    <w:rsid w:val="00092D0A"/>
    <w:rsid w:val="000936FE"/>
    <w:rsid w:val="00093757"/>
    <w:rsid w:val="00093C35"/>
    <w:rsid w:val="000945F4"/>
    <w:rsid w:val="00094C65"/>
    <w:rsid w:val="00094E09"/>
    <w:rsid w:val="00095751"/>
    <w:rsid w:val="00096E67"/>
    <w:rsid w:val="0009703F"/>
    <w:rsid w:val="0009795C"/>
    <w:rsid w:val="00097A6A"/>
    <w:rsid w:val="00097B94"/>
    <w:rsid w:val="00097E0B"/>
    <w:rsid w:val="000A070F"/>
    <w:rsid w:val="000A0734"/>
    <w:rsid w:val="000A094F"/>
    <w:rsid w:val="000A098A"/>
    <w:rsid w:val="000A0A17"/>
    <w:rsid w:val="000A1364"/>
    <w:rsid w:val="000A1558"/>
    <w:rsid w:val="000A1CCF"/>
    <w:rsid w:val="000A22AD"/>
    <w:rsid w:val="000A2452"/>
    <w:rsid w:val="000A2E57"/>
    <w:rsid w:val="000A3884"/>
    <w:rsid w:val="000A3912"/>
    <w:rsid w:val="000A39DD"/>
    <w:rsid w:val="000A3A93"/>
    <w:rsid w:val="000A3CA6"/>
    <w:rsid w:val="000A3CBD"/>
    <w:rsid w:val="000A3D10"/>
    <w:rsid w:val="000A4BE6"/>
    <w:rsid w:val="000A4E86"/>
    <w:rsid w:val="000A503F"/>
    <w:rsid w:val="000A5372"/>
    <w:rsid w:val="000A53B3"/>
    <w:rsid w:val="000A5AF4"/>
    <w:rsid w:val="000A63EF"/>
    <w:rsid w:val="000A6759"/>
    <w:rsid w:val="000A6884"/>
    <w:rsid w:val="000A6F10"/>
    <w:rsid w:val="000A6FD5"/>
    <w:rsid w:val="000A73DB"/>
    <w:rsid w:val="000A773A"/>
    <w:rsid w:val="000A7B73"/>
    <w:rsid w:val="000A7D1C"/>
    <w:rsid w:val="000B01C7"/>
    <w:rsid w:val="000B05FA"/>
    <w:rsid w:val="000B0D33"/>
    <w:rsid w:val="000B1122"/>
    <w:rsid w:val="000B1301"/>
    <w:rsid w:val="000B16C0"/>
    <w:rsid w:val="000B17E1"/>
    <w:rsid w:val="000B1997"/>
    <w:rsid w:val="000B23BD"/>
    <w:rsid w:val="000B28D2"/>
    <w:rsid w:val="000B2DC6"/>
    <w:rsid w:val="000B3611"/>
    <w:rsid w:val="000B3B1A"/>
    <w:rsid w:val="000B3E35"/>
    <w:rsid w:val="000B48F1"/>
    <w:rsid w:val="000B4C90"/>
    <w:rsid w:val="000B4CB9"/>
    <w:rsid w:val="000B4CF1"/>
    <w:rsid w:val="000B619E"/>
    <w:rsid w:val="000B7436"/>
    <w:rsid w:val="000B74DA"/>
    <w:rsid w:val="000B76B4"/>
    <w:rsid w:val="000B79D1"/>
    <w:rsid w:val="000C0238"/>
    <w:rsid w:val="000C072A"/>
    <w:rsid w:val="000C0C2D"/>
    <w:rsid w:val="000C0F79"/>
    <w:rsid w:val="000C1051"/>
    <w:rsid w:val="000C1C51"/>
    <w:rsid w:val="000C20A9"/>
    <w:rsid w:val="000C21E4"/>
    <w:rsid w:val="000C2DF1"/>
    <w:rsid w:val="000C303B"/>
    <w:rsid w:val="000C387C"/>
    <w:rsid w:val="000C39DF"/>
    <w:rsid w:val="000C3A1C"/>
    <w:rsid w:val="000C40D4"/>
    <w:rsid w:val="000C42CF"/>
    <w:rsid w:val="000C43B2"/>
    <w:rsid w:val="000C4924"/>
    <w:rsid w:val="000C4AB8"/>
    <w:rsid w:val="000C50EB"/>
    <w:rsid w:val="000C5493"/>
    <w:rsid w:val="000C554F"/>
    <w:rsid w:val="000C590C"/>
    <w:rsid w:val="000C598D"/>
    <w:rsid w:val="000C5D30"/>
    <w:rsid w:val="000C61CD"/>
    <w:rsid w:val="000C627D"/>
    <w:rsid w:val="000C6658"/>
    <w:rsid w:val="000C6CFD"/>
    <w:rsid w:val="000C77B6"/>
    <w:rsid w:val="000D0C55"/>
    <w:rsid w:val="000D0FA0"/>
    <w:rsid w:val="000D1001"/>
    <w:rsid w:val="000D1276"/>
    <w:rsid w:val="000D14BC"/>
    <w:rsid w:val="000D1F9E"/>
    <w:rsid w:val="000D2098"/>
    <w:rsid w:val="000D25D9"/>
    <w:rsid w:val="000D291B"/>
    <w:rsid w:val="000D2B51"/>
    <w:rsid w:val="000D2CFA"/>
    <w:rsid w:val="000D328F"/>
    <w:rsid w:val="000D3DBD"/>
    <w:rsid w:val="000D4477"/>
    <w:rsid w:val="000D4800"/>
    <w:rsid w:val="000D4921"/>
    <w:rsid w:val="000D5CB5"/>
    <w:rsid w:val="000D7C81"/>
    <w:rsid w:val="000D7EA3"/>
    <w:rsid w:val="000D7EB5"/>
    <w:rsid w:val="000E05C9"/>
    <w:rsid w:val="000E0F11"/>
    <w:rsid w:val="000E116F"/>
    <w:rsid w:val="000E12CE"/>
    <w:rsid w:val="000E19CD"/>
    <w:rsid w:val="000E1ADB"/>
    <w:rsid w:val="000E2427"/>
    <w:rsid w:val="000E29C1"/>
    <w:rsid w:val="000E3997"/>
    <w:rsid w:val="000E3D3B"/>
    <w:rsid w:val="000E3DAB"/>
    <w:rsid w:val="000E3E72"/>
    <w:rsid w:val="000E4B6A"/>
    <w:rsid w:val="000E4F00"/>
    <w:rsid w:val="000E5033"/>
    <w:rsid w:val="000E5697"/>
    <w:rsid w:val="000E6345"/>
    <w:rsid w:val="000E7265"/>
    <w:rsid w:val="000E7A3A"/>
    <w:rsid w:val="000E7F2B"/>
    <w:rsid w:val="000E7FB3"/>
    <w:rsid w:val="000F101A"/>
    <w:rsid w:val="000F110E"/>
    <w:rsid w:val="000F194C"/>
    <w:rsid w:val="000F1F64"/>
    <w:rsid w:val="000F2007"/>
    <w:rsid w:val="000F28CE"/>
    <w:rsid w:val="000F3114"/>
    <w:rsid w:val="000F38C2"/>
    <w:rsid w:val="000F3AF9"/>
    <w:rsid w:val="000F4000"/>
    <w:rsid w:val="000F45EB"/>
    <w:rsid w:val="000F4BA9"/>
    <w:rsid w:val="000F4D12"/>
    <w:rsid w:val="000F4F0A"/>
    <w:rsid w:val="000F548D"/>
    <w:rsid w:val="000F5B3F"/>
    <w:rsid w:val="000F61B4"/>
    <w:rsid w:val="000F66B6"/>
    <w:rsid w:val="000F6782"/>
    <w:rsid w:val="000F6EE2"/>
    <w:rsid w:val="000F7428"/>
    <w:rsid w:val="000F7666"/>
    <w:rsid w:val="000F7B45"/>
    <w:rsid w:val="000F7EF6"/>
    <w:rsid w:val="00100137"/>
    <w:rsid w:val="0010016D"/>
    <w:rsid w:val="00100395"/>
    <w:rsid w:val="00100465"/>
    <w:rsid w:val="001011CC"/>
    <w:rsid w:val="0010125E"/>
    <w:rsid w:val="001013F5"/>
    <w:rsid w:val="0010263B"/>
    <w:rsid w:val="0010267B"/>
    <w:rsid w:val="00103146"/>
    <w:rsid w:val="001036B5"/>
    <w:rsid w:val="0010374C"/>
    <w:rsid w:val="001042A1"/>
    <w:rsid w:val="001043D0"/>
    <w:rsid w:val="001043EE"/>
    <w:rsid w:val="00104724"/>
    <w:rsid w:val="001049DB"/>
    <w:rsid w:val="00104C2F"/>
    <w:rsid w:val="00104E63"/>
    <w:rsid w:val="0010528E"/>
    <w:rsid w:val="001053B4"/>
    <w:rsid w:val="00105BB4"/>
    <w:rsid w:val="001063AA"/>
    <w:rsid w:val="00106405"/>
    <w:rsid w:val="00106550"/>
    <w:rsid w:val="001069AF"/>
    <w:rsid w:val="00106B5B"/>
    <w:rsid w:val="00107A4F"/>
    <w:rsid w:val="00107ED9"/>
    <w:rsid w:val="0011007B"/>
    <w:rsid w:val="001103D3"/>
    <w:rsid w:val="0011056B"/>
    <w:rsid w:val="0011065C"/>
    <w:rsid w:val="001114BB"/>
    <w:rsid w:val="00111620"/>
    <w:rsid w:val="00112C1A"/>
    <w:rsid w:val="00112CBD"/>
    <w:rsid w:val="00112E44"/>
    <w:rsid w:val="001130BA"/>
    <w:rsid w:val="0011337F"/>
    <w:rsid w:val="00113717"/>
    <w:rsid w:val="00113A0D"/>
    <w:rsid w:val="001144A6"/>
    <w:rsid w:val="00115409"/>
    <w:rsid w:val="0011582D"/>
    <w:rsid w:val="00115C78"/>
    <w:rsid w:val="00116227"/>
    <w:rsid w:val="001166EE"/>
    <w:rsid w:val="00116B6E"/>
    <w:rsid w:val="00116F25"/>
    <w:rsid w:val="00120543"/>
    <w:rsid w:val="00120657"/>
    <w:rsid w:val="00120A46"/>
    <w:rsid w:val="00120C4B"/>
    <w:rsid w:val="00121412"/>
    <w:rsid w:val="00121474"/>
    <w:rsid w:val="0012160A"/>
    <w:rsid w:val="0012224E"/>
    <w:rsid w:val="00122FD6"/>
    <w:rsid w:val="0012315F"/>
    <w:rsid w:val="001237B3"/>
    <w:rsid w:val="0012398E"/>
    <w:rsid w:val="00124691"/>
    <w:rsid w:val="001250F0"/>
    <w:rsid w:val="0012512A"/>
    <w:rsid w:val="001251D0"/>
    <w:rsid w:val="001259E6"/>
    <w:rsid w:val="00125A2B"/>
    <w:rsid w:val="00126914"/>
    <w:rsid w:val="00127E44"/>
    <w:rsid w:val="00127F9C"/>
    <w:rsid w:val="00127FD3"/>
    <w:rsid w:val="00130828"/>
    <w:rsid w:val="00130C34"/>
    <w:rsid w:val="00130DA8"/>
    <w:rsid w:val="00130F05"/>
    <w:rsid w:val="001312A7"/>
    <w:rsid w:val="00131D2C"/>
    <w:rsid w:val="00131DD7"/>
    <w:rsid w:val="00131F80"/>
    <w:rsid w:val="00132306"/>
    <w:rsid w:val="00132512"/>
    <w:rsid w:val="00132C21"/>
    <w:rsid w:val="00132D52"/>
    <w:rsid w:val="00132ECA"/>
    <w:rsid w:val="001335F3"/>
    <w:rsid w:val="00133AB8"/>
    <w:rsid w:val="00133BF9"/>
    <w:rsid w:val="00133C8A"/>
    <w:rsid w:val="00134266"/>
    <w:rsid w:val="00134439"/>
    <w:rsid w:val="001347C5"/>
    <w:rsid w:val="00134956"/>
    <w:rsid w:val="00134FD2"/>
    <w:rsid w:val="001354BC"/>
    <w:rsid w:val="001355CC"/>
    <w:rsid w:val="001356C5"/>
    <w:rsid w:val="001357D8"/>
    <w:rsid w:val="00135DA0"/>
    <w:rsid w:val="00136CF0"/>
    <w:rsid w:val="00136E17"/>
    <w:rsid w:val="00136EDB"/>
    <w:rsid w:val="001375F3"/>
    <w:rsid w:val="001376C4"/>
    <w:rsid w:val="00137806"/>
    <w:rsid w:val="00137A90"/>
    <w:rsid w:val="00137DCB"/>
    <w:rsid w:val="001400C2"/>
    <w:rsid w:val="0014050C"/>
    <w:rsid w:val="00140C45"/>
    <w:rsid w:val="00140E3E"/>
    <w:rsid w:val="00141858"/>
    <w:rsid w:val="001418B5"/>
    <w:rsid w:val="00142763"/>
    <w:rsid w:val="00143F3F"/>
    <w:rsid w:val="00144803"/>
    <w:rsid w:val="00144BC7"/>
    <w:rsid w:val="00144E11"/>
    <w:rsid w:val="00145B5A"/>
    <w:rsid w:val="00146149"/>
    <w:rsid w:val="001461AC"/>
    <w:rsid w:val="001464A0"/>
    <w:rsid w:val="00146829"/>
    <w:rsid w:val="0014684B"/>
    <w:rsid w:val="00146AA8"/>
    <w:rsid w:val="00147287"/>
    <w:rsid w:val="0014743A"/>
    <w:rsid w:val="0014745D"/>
    <w:rsid w:val="00147725"/>
    <w:rsid w:val="0015020F"/>
    <w:rsid w:val="00150D09"/>
    <w:rsid w:val="001510AE"/>
    <w:rsid w:val="00151CC2"/>
    <w:rsid w:val="00151FDB"/>
    <w:rsid w:val="0015222B"/>
    <w:rsid w:val="001530D7"/>
    <w:rsid w:val="00153290"/>
    <w:rsid w:val="00153A45"/>
    <w:rsid w:val="00154630"/>
    <w:rsid w:val="00154848"/>
    <w:rsid w:val="00154E8E"/>
    <w:rsid w:val="00154EE4"/>
    <w:rsid w:val="00155A61"/>
    <w:rsid w:val="001567E3"/>
    <w:rsid w:val="00156868"/>
    <w:rsid w:val="001569AD"/>
    <w:rsid w:val="001571AC"/>
    <w:rsid w:val="00157508"/>
    <w:rsid w:val="00157BA7"/>
    <w:rsid w:val="00160033"/>
    <w:rsid w:val="00160EDC"/>
    <w:rsid w:val="00160EE4"/>
    <w:rsid w:val="00161BE9"/>
    <w:rsid w:val="0016200D"/>
    <w:rsid w:val="00162D54"/>
    <w:rsid w:val="00163102"/>
    <w:rsid w:val="0016324E"/>
    <w:rsid w:val="00163482"/>
    <w:rsid w:val="00163A0C"/>
    <w:rsid w:val="00163B46"/>
    <w:rsid w:val="00163E89"/>
    <w:rsid w:val="00164546"/>
    <w:rsid w:val="00165479"/>
    <w:rsid w:val="0016595B"/>
    <w:rsid w:val="00165B64"/>
    <w:rsid w:val="00166117"/>
    <w:rsid w:val="00166196"/>
    <w:rsid w:val="001663FC"/>
    <w:rsid w:val="00166CCC"/>
    <w:rsid w:val="00166DE7"/>
    <w:rsid w:val="00167791"/>
    <w:rsid w:val="00167E56"/>
    <w:rsid w:val="0017003A"/>
    <w:rsid w:val="00170188"/>
    <w:rsid w:val="00170A61"/>
    <w:rsid w:val="0017183B"/>
    <w:rsid w:val="00172BA7"/>
    <w:rsid w:val="0017349A"/>
    <w:rsid w:val="00173988"/>
    <w:rsid w:val="001739DB"/>
    <w:rsid w:val="00173F55"/>
    <w:rsid w:val="00174085"/>
    <w:rsid w:val="00174ACE"/>
    <w:rsid w:val="00174DBA"/>
    <w:rsid w:val="001756E1"/>
    <w:rsid w:val="00175D26"/>
    <w:rsid w:val="0017632A"/>
    <w:rsid w:val="00176775"/>
    <w:rsid w:val="001774D1"/>
    <w:rsid w:val="00177541"/>
    <w:rsid w:val="00177A8B"/>
    <w:rsid w:val="00177DC1"/>
    <w:rsid w:val="00180D2E"/>
    <w:rsid w:val="00180DA9"/>
    <w:rsid w:val="0018137D"/>
    <w:rsid w:val="001815D3"/>
    <w:rsid w:val="00181616"/>
    <w:rsid w:val="00181C94"/>
    <w:rsid w:val="0018205A"/>
    <w:rsid w:val="001820B2"/>
    <w:rsid w:val="00182144"/>
    <w:rsid w:val="0018333F"/>
    <w:rsid w:val="001834E5"/>
    <w:rsid w:val="001837AA"/>
    <w:rsid w:val="00184005"/>
    <w:rsid w:val="0018461A"/>
    <w:rsid w:val="001848D4"/>
    <w:rsid w:val="00184AA4"/>
    <w:rsid w:val="00184EAE"/>
    <w:rsid w:val="00184F03"/>
    <w:rsid w:val="00185365"/>
    <w:rsid w:val="0018572A"/>
    <w:rsid w:val="00185E0F"/>
    <w:rsid w:val="001862E3"/>
    <w:rsid w:val="001866C6"/>
    <w:rsid w:val="00186F71"/>
    <w:rsid w:val="00187820"/>
    <w:rsid w:val="00187E4D"/>
    <w:rsid w:val="00187F61"/>
    <w:rsid w:val="001903D3"/>
    <w:rsid w:val="00190AAD"/>
    <w:rsid w:val="00191820"/>
    <w:rsid w:val="00191D13"/>
    <w:rsid w:val="00193158"/>
    <w:rsid w:val="00193C67"/>
    <w:rsid w:val="00193C85"/>
    <w:rsid w:val="001945C9"/>
    <w:rsid w:val="00194B59"/>
    <w:rsid w:val="00194D2C"/>
    <w:rsid w:val="00194F59"/>
    <w:rsid w:val="00195B44"/>
    <w:rsid w:val="001962EC"/>
    <w:rsid w:val="0019642B"/>
    <w:rsid w:val="00196B39"/>
    <w:rsid w:val="00196F49"/>
    <w:rsid w:val="0019715A"/>
    <w:rsid w:val="001975C5"/>
    <w:rsid w:val="00197896"/>
    <w:rsid w:val="00197C83"/>
    <w:rsid w:val="001A02F7"/>
    <w:rsid w:val="001A0305"/>
    <w:rsid w:val="001A0515"/>
    <w:rsid w:val="001A100B"/>
    <w:rsid w:val="001A13BF"/>
    <w:rsid w:val="001A17F3"/>
    <w:rsid w:val="001A185B"/>
    <w:rsid w:val="001A24CD"/>
    <w:rsid w:val="001A3485"/>
    <w:rsid w:val="001A3554"/>
    <w:rsid w:val="001A36C7"/>
    <w:rsid w:val="001A3D70"/>
    <w:rsid w:val="001A42CD"/>
    <w:rsid w:val="001A46BD"/>
    <w:rsid w:val="001A4B43"/>
    <w:rsid w:val="001A4D57"/>
    <w:rsid w:val="001A528F"/>
    <w:rsid w:val="001A5A73"/>
    <w:rsid w:val="001A6289"/>
    <w:rsid w:val="001A6867"/>
    <w:rsid w:val="001A6966"/>
    <w:rsid w:val="001A6E2E"/>
    <w:rsid w:val="001A7048"/>
    <w:rsid w:val="001A73A2"/>
    <w:rsid w:val="001A74C0"/>
    <w:rsid w:val="001A7F3F"/>
    <w:rsid w:val="001B0008"/>
    <w:rsid w:val="001B072A"/>
    <w:rsid w:val="001B0753"/>
    <w:rsid w:val="001B1022"/>
    <w:rsid w:val="001B171E"/>
    <w:rsid w:val="001B1CA6"/>
    <w:rsid w:val="001B2655"/>
    <w:rsid w:val="001B2BCF"/>
    <w:rsid w:val="001B2C3F"/>
    <w:rsid w:val="001B2E42"/>
    <w:rsid w:val="001B3474"/>
    <w:rsid w:val="001B4560"/>
    <w:rsid w:val="001B4828"/>
    <w:rsid w:val="001B516B"/>
    <w:rsid w:val="001B53AF"/>
    <w:rsid w:val="001B54BF"/>
    <w:rsid w:val="001B5B95"/>
    <w:rsid w:val="001B6298"/>
    <w:rsid w:val="001B65AE"/>
    <w:rsid w:val="001B69FB"/>
    <w:rsid w:val="001B6C09"/>
    <w:rsid w:val="001B6F4C"/>
    <w:rsid w:val="001B753C"/>
    <w:rsid w:val="001B75A7"/>
    <w:rsid w:val="001B7E8B"/>
    <w:rsid w:val="001C0501"/>
    <w:rsid w:val="001C0831"/>
    <w:rsid w:val="001C0C14"/>
    <w:rsid w:val="001C0DA5"/>
    <w:rsid w:val="001C1721"/>
    <w:rsid w:val="001C1727"/>
    <w:rsid w:val="001C1D56"/>
    <w:rsid w:val="001C249F"/>
    <w:rsid w:val="001C2800"/>
    <w:rsid w:val="001C2A1C"/>
    <w:rsid w:val="001C2AB2"/>
    <w:rsid w:val="001C33CE"/>
    <w:rsid w:val="001C362C"/>
    <w:rsid w:val="001C3747"/>
    <w:rsid w:val="001C37FE"/>
    <w:rsid w:val="001C3A24"/>
    <w:rsid w:val="001C3BCB"/>
    <w:rsid w:val="001C4644"/>
    <w:rsid w:val="001C464C"/>
    <w:rsid w:val="001C4786"/>
    <w:rsid w:val="001C4858"/>
    <w:rsid w:val="001C4C3D"/>
    <w:rsid w:val="001C4CC6"/>
    <w:rsid w:val="001C5834"/>
    <w:rsid w:val="001C6B7F"/>
    <w:rsid w:val="001C6E96"/>
    <w:rsid w:val="001C6F94"/>
    <w:rsid w:val="001C7004"/>
    <w:rsid w:val="001C75E9"/>
    <w:rsid w:val="001C769F"/>
    <w:rsid w:val="001C7B2F"/>
    <w:rsid w:val="001D00CB"/>
    <w:rsid w:val="001D0BDE"/>
    <w:rsid w:val="001D1A99"/>
    <w:rsid w:val="001D1CC1"/>
    <w:rsid w:val="001D29D3"/>
    <w:rsid w:val="001D307C"/>
    <w:rsid w:val="001D3222"/>
    <w:rsid w:val="001D3811"/>
    <w:rsid w:val="001D40AB"/>
    <w:rsid w:val="001D44D6"/>
    <w:rsid w:val="001D492F"/>
    <w:rsid w:val="001D5A7B"/>
    <w:rsid w:val="001D5B92"/>
    <w:rsid w:val="001D6556"/>
    <w:rsid w:val="001D7982"/>
    <w:rsid w:val="001D799F"/>
    <w:rsid w:val="001D7F9E"/>
    <w:rsid w:val="001E0102"/>
    <w:rsid w:val="001E01FE"/>
    <w:rsid w:val="001E08F5"/>
    <w:rsid w:val="001E0933"/>
    <w:rsid w:val="001E0ABF"/>
    <w:rsid w:val="001E0D7C"/>
    <w:rsid w:val="001E140C"/>
    <w:rsid w:val="001E1939"/>
    <w:rsid w:val="001E1A5C"/>
    <w:rsid w:val="001E1FA7"/>
    <w:rsid w:val="001E38A5"/>
    <w:rsid w:val="001E38AF"/>
    <w:rsid w:val="001E3C5B"/>
    <w:rsid w:val="001E436D"/>
    <w:rsid w:val="001E5076"/>
    <w:rsid w:val="001E50D3"/>
    <w:rsid w:val="001E5546"/>
    <w:rsid w:val="001E5B28"/>
    <w:rsid w:val="001E5E4E"/>
    <w:rsid w:val="001E618C"/>
    <w:rsid w:val="001E6210"/>
    <w:rsid w:val="001E6519"/>
    <w:rsid w:val="001E66FE"/>
    <w:rsid w:val="001E7C21"/>
    <w:rsid w:val="001E7CB1"/>
    <w:rsid w:val="001E7D3F"/>
    <w:rsid w:val="001E7E13"/>
    <w:rsid w:val="001E7F05"/>
    <w:rsid w:val="001F0143"/>
    <w:rsid w:val="001F0280"/>
    <w:rsid w:val="001F02ED"/>
    <w:rsid w:val="001F04CA"/>
    <w:rsid w:val="001F0561"/>
    <w:rsid w:val="001F0940"/>
    <w:rsid w:val="001F096F"/>
    <w:rsid w:val="001F0A00"/>
    <w:rsid w:val="001F1963"/>
    <w:rsid w:val="001F2147"/>
    <w:rsid w:val="001F23DC"/>
    <w:rsid w:val="001F31A1"/>
    <w:rsid w:val="001F3436"/>
    <w:rsid w:val="001F3FC2"/>
    <w:rsid w:val="001F4274"/>
    <w:rsid w:val="001F4A64"/>
    <w:rsid w:val="001F4F13"/>
    <w:rsid w:val="001F5E44"/>
    <w:rsid w:val="001F5ED5"/>
    <w:rsid w:val="001F6B2C"/>
    <w:rsid w:val="001F755E"/>
    <w:rsid w:val="002003C8"/>
    <w:rsid w:val="002005BC"/>
    <w:rsid w:val="00201502"/>
    <w:rsid w:val="0020157B"/>
    <w:rsid w:val="00203421"/>
    <w:rsid w:val="00203BDA"/>
    <w:rsid w:val="002040DD"/>
    <w:rsid w:val="0020484A"/>
    <w:rsid w:val="00204ECE"/>
    <w:rsid w:val="002053DC"/>
    <w:rsid w:val="002055B0"/>
    <w:rsid w:val="002056A9"/>
    <w:rsid w:val="002058B3"/>
    <w:rsid w:val="00205965"/>
    <w:rsid w:val="00205A99"/>
    <w:rsid w:val="00205C94"/>
    <w:rsid w:val="00206AFF"/>
    <w:rsid w:val="00206DCD"/>
    <w:rsid w:val="002070C6"/>
    <w:rsid w:val="00207732"/>
    <w:rsid w:val="00207B0E"/>
    <w:rsid w:val="00211210"/>
    <w:rsid w:val="002114B1"/>
    <w:rsid w:val="00211608"/>
    <w:rsid w:val="00211728"/>
    <w:rsid w:val="0021195A"/>
    <w:rsid w:val="00211A2E"/>
    <w:rsid w:val="00211DA9"/>
    <w:rsid w:val="00211DDC"/>
    <w:rsid w:val="00211E1C"/>
    <w:rsid w:val="002122C6"/>
    <w:rsid w:val="00212A51"/>
    <w:rsid w:val="002130ED"/>
    <w:rsid w:val="00213DEB"/>
    <w:rsid w:val="00214B16"/>
    <w:rsid w:val="0021558C"/>
    <w:rsid w:val="00215A0F"/>
    <w:rsid w:val="0021620F"/>
    <w:rsid w:val="00216834"/>
    <w:rsid w:val="00216978"/>
    <w:rsid w:val="002172FD"/>
    <w:rsid w:val="002174E5"/>
    <w:rsid w:val="002179C5"/>
    <w:rsid w:val="002206D8"/>
    <w:rsid w:val="00220E86"/>
    <w:rsid w:val="0022136E"/>
    <w:rsid w:val="0022178C"/>
    <w:rsid w:val="002217AA"/>
    <w:rsid w:val="00221890"/>
    <w:rsid w:val="0022250C"/>
    <w:rsid w:val="0022251E"/>
    <w:rsid w:val="00222950"/>
    <w:rsid w:val="00222A21"/>
    <w:rsid w:val="00222A2A"/>
    <w:rsid w:val="00222F2D"/>
    <w:rsid w:val="002231A6"/>
    <w:rsid w:val="002234A2"/>
    <w:rsid w:val="00223EE2"/>
    <w:rsid w:val="002248F1"/>
    <w:rsid w:val="00224D88"/>
    <w:rsid w:val="002257FE"/>
    <w:rsid w:val="00225F5A"/>
    <w:rsid w:val="0022690D"/>
    <w:rsid w:val="00226B7D"/>
    <w:rsid w:val="0022758D"/>
    <w:rsid w:val="00227B0B"/>
    <w:rsid w:val="00227B2C"/>
    <w:rsid w:val="00231813"/>
    <w:rsid w:val="00231989"/>
    <w:rsid w:val="00231DD9"/>
    <w:rsid w:val="0023212F"/>
    <w:rsid w:val="00232290"/>
    <w:rsid w:val="0023368F"/>
    <w:rsid w:val="00233D85"/>
    <w:rsid w:val="00233E6F"/>
    <w:rsid w:val="002357FD"/>
    <w:rsid w:val="00235971"/>
    <w:rsid w:val="00235DEB"/>
    <w:rsid w:val="00235E9B"/>
    <w:rsid w:val="00236219"/>
    <w:rsid w:val="002363CB"/>
    <w:rsid w:val="0023652B"/>
    <w:rsid w:val="00237AB5"/>
    <w:rsid w:val="00237E1E"/>
    <w:rsid w:val="00237E4C"/>
    <w:rsid w:val="00237F27"/>
    <w:rsid w:val="00240257"/>
    <w:rsid w:val="002403B5"/>
    <w:rsid w:val="002405A9"/>
    <w:rsid w:val="00240A5A"/>
    <w:rsid w:val="00241009"/>
    <w:rsid w:val="002410EF"/>
    <w:rsid w:val="0024112D"/>
    <w:rsid w:val="00241569"/>
    <w:rsid w:val="00242032"/>
    <w:rsid w:val="0024239D"/>
    <w:rsid w:val="002424A0"/>
    <w:rsid w:val="00242704"/>
    <w:rsid w:val="00243203"/>
    <w:rsid w:val="00243343"/>
    <w:rsid w:val="00243F32"/>
    <w:rsid w:val="002448B4"/>
    <w:rsid w:val="00244F07"/>
    <w:rsid w:val="002455DF"/>
    <w:rsid w:val="00245737"/>
    <w:rsid w:val="002462C5"/>
    <w:rsid w:val="00246A01"/>
    <w:rsid w:val="002470E9"/>
    <w:rsid w:val="0024718B"/>
    <w:rsid w:val="002475A2"/>
    <w:rsid w:val="00247738"/>
    <w:rsid w:val="0024784A"/>
    <w:rsid w:val="00247B0F"/>
    <w:rsid w:val="00247BED"/>
    <w:rsid w:val="00250AC8"/>
    <w:rsid w:val="00250BDB"/>
    <w:rsid w:val="00250C42"/>
    <w:rsid w:val="0025109F"/>
    <w:rsid w:val="00251274"/>
    <w:rsid w:val="002519B0"/>
    <w:rsid w:val="0025261A"/>
    <w:rsid w:val="00252AE2"/>
    <w:rsid w:val="00253409"/>
    <w:rsid w:val="00253601"/>
    <w:rsid w:val="00253611"/>
    <w:rsid w:val="00253B3B"/>
    <w:rsid w:val="00254103"/>
    <w:rsid w:val="002543EB"/>
    <w:rsid w:val="00254601"/>
    <w:rsid w:val="0025493F"/>
    <w:rsid w:val="0025568F"/>
    <w:rsid w:val="002557BC"/>
    <w:rsid w:val="00255A7E"/>
    <w:rsid w:val="00255D63"/>
    <w:rsid w:val="0025633E"/>
    <w:rsid w:val="002563FD"/>
    <w:rsid w:val="00256D50"/>
    <w:rsid w:val="00257045"/>
    <w:rsid w:val="00257A0E"/>
    <w:rsid w:val="00260259"/>
    <w:rsid w:val="00260C66"/>
    <w:rsid w:val="00261432"/>
    <w:rsid w:val="002617E9"/>
    <w:rsid w:val="00261977"/>
    <w:rsid w:val="002629F6"/>
    <w:rsid w:val="00262CDC"/>
    <w:rsid w:val="00262D26"/>
    <w:rsid w:val="00262F9F"/>
    <w:rsid w:val="00264002"/>
    <w:rsid w:val="00264956"/>
    <w:rsid w:val="00264B7C"/>
    <w:rsid w:val="00265369"/>
    <w:rsid w:val="00265EB0"/>
    <w:rsid w:val="00265EE8"/>
    <w:rsid w:val="002663CB"/>
    <w:rsid w:val="002663DD"/>
    <w:rsid w:val="002668F8"/>
    <w:rsid w:val="002677C6"/>
    <w:rsid w:val="002679ED"/>
    <w:rsid w:val="00267B4E"/>
    <w:rsid w:val="00267DB6"/>
    <w:rsid w:val="00270251"/>
    <w:rsid w:val="00270306"/>
    <w:rsid w:val="0027069C"/>
    <w:rsid w:val="00270858"/>
    <w:rsid w:val="00271113"/>
    <w:rsid w:val="00271338"/>
    <w:rsid w:val="002719E5"/>
    <w:rsid w:val="00271DCD"/>
    <w:rsid w:val="0027204D"/>
    <w:rsid w:val="00272241"/>
    <w:rsid w:val="00272658"/>
    <w:rsid w:val="0027284B"/>
    <w:rsid w:val="002729E2"/>
    <w:rsid w:val="00272AA8"/>
    <w:rsid w:val="00272D1C"/>
    <w:rsid w:val="002730BB"/>
    <w:rsid w:val="002733F5"/>
    <w:rsid w:val="00273566"/>
    <w:rsid w:val="00273782"/>
    <w:rsid w:val="00273E00"/>
    <w:rsid w:val="002740CC"/>
    <w:rsid w:val="00274F33"/>
    <w:rsid w:val="0027564C"/>
    <w:rsid w:val="002759AD"/>
    <w:rsid w:val="002769A3"/>
    <w:rsid w:val="0027760C"/>
    <w:rsid w:val="00277FA8"/>
    <w:rsid w:val="002804A1"/>
    <w:rsid w:val="00280B5C"/>
    <w:rsid w:val="002815CF"/>
    <w:rsid w:val="00281866"/>
    <w:rsid w:val="00281CE1"/>
    <w:rsid w:val="00282275"/>
    <w:rsid w:val="00282420"/>
    <w:rsid w:val="002825CE"/>
    <w:rsid w:val="002834B0"/>
    <w:rsid w:val="002836E2"/>
    <w:rsid w:val="002837D7"/>
    <w:rsid w:val="00283886"/>
    <w:rsid w:val="00284A1E"/>
    <w:rsid w:val="00284B09"/>
    <w:rsid w:val="00284C37"/>
    <w:rsid w:val="002852FF"/>
    <w:rsid w:val="002854D9"/>
    <w:rsid w:val="00286228"/>
    <w:rsid w:val="0028679C"/>
    <w:rsid w:val="00286D64"/>
    <w:rsid w:val="00287065"/>
    <w:rsid w:val="00287168"/>
    <w:rsid w:val="002871D0"/>
    <w:rsid w:val="002873BE"/>
    <w:rsid w:val="00287834"/>
    <w:rsid w:val="002902A7"/>
    <w:rsid w:val="00290AF4"/>
    <w:rsid w:val="00291017"/>
    <w:rsid w:val="0029109D"/>
    <w:rsid w:val="002911DD"/>
    <w:rsid w:val="0029151D"/>
    <w:rsid w:val="002916FF"/>
    <w:rsid w:val="00291946"/>
    <w:rsid w:val="0029257C"/>
    <w:rsid w:val="00292608"/>
    <w:rsid w:val="00292634"/>
    <w:rsid w:val="00293052"/>
    <w:rsid w:val="002930BC"/>
    <w:rsid w:val="0029342C"/>
    <w:rsid w:val="00293659"/>
    <w:rsid w:val="0029368A"/>
    <w:rsid w:val="0029381D"/>
    <w:rsid w:val="00294484"/>
    <w:rsid w:val="002949EA"/>
    <w:rsid w:val="00294B4C"/>
    <w:rsid w:val="00294F3E"/>
    <w:rsid w:val="002958D5"/>
    <w:rsid w:val="00295B6C"/>
    <w:rsid w:val="00296192"/>
    <w:rsid w:val="002962A5"/>
    <w:rsid w:val="0029653D"/>
    <w:rsid w:val="002966EA"/>
    <w:rsid w:val="00296972"/>
    <w:rsid w:val="00297233"/>
    <w:rsid w:val="00297749"/>
    <w:rsid w:val="002A0B57"/>
    <w:rsid w:val="002A0F2A"/>
    <w:rsid w:val="002A140D"/>
    <w:rsid w:val="002A15E5"/>
    <w:rsid w:val="002A180D"/>
    <w:rsid w:val="002A2AFA"/>
    <w:rsid w:val="002A2EFD"/>
    <w:rsid w:val="002A3120"/>
    <w:rsid w:val="002A31C3"/>
    <w:rsid w:val="002A3D30"/>
    <w:rsid w:val="002A3FE3"/>
    <w:rsid w:val="002A41C4"/>
    <w:rsid w:val="002A47E8"/>
    <w:rsid w:val="002A51E0"/>
    <w:rsid w:val="002A55AC"/>
    <w:rsid w:val="002A5802"/>
    <w:rsid w:val="002A5C24"/>
    <w:rsid w:val="002A7036"/>
    <w:rsid w:val="002A7750"/>
    <w:rsid w:val="002A791E"/>
    <w:rsid w:val="002A7C2F"/>
    <w:rsid w:val="002B1144"/>
    <w:rsid w:val="002B149E"/>
    <w:rsid w:val="002B2873"/>
    <w:rsid w:val="002B2BAB"/>
    <w:rsid w:val="002B2E00"/>
    <w:rsid w:val="002B2F30"/>
    <w:rsid w:val="002B3475"/>
    <w:rsid w:val="002B3601"/>
    <w:rsid w:val="002B382B"/>
    <w:rsid w:val="002B3E45"/>
    <w:rsid w:val="002B3E4C"/>
    <w:rsid w:val="002B3E4E"/>
    <w:rsid w:val="002B3E98"/>
    <w:rsid w:val="002B45CC"/>
    <w:rsid w:val="002B464C"/>
    <w:rsid w:val="002B57F1"/>
    <w:rsid w:val="002B5B65"/>
    <w:rsid w:val="002B5BDD"/>
    <w:rsid w:val="002B5CF2"/>
    <w:rsid w:val="002B60EE"/>
    <w:rsid w:val="002B6CFD"/>
    <w:rsid w:val="002B7D5D"/>
    <w:rsid w:val="002C0164"/>
    <w:rsid w:val="002C10A2"/>
    <w:rsid w:val="002C2824"/>
    <w:rsid w:val="002C34D7"/>
    <w:rsid w:val="002C3C8E"/>
    <w:rsid w:val="002C3F44"/>
    <w:rsid w:val="002C4474"/>
    <w:rsid w:val="002C5820"/>
    <w:rsid w:val="002C5DE4"/>
    <w:rsid w:val="002C5ECF"/>
    <w:rsid w:val="002C5EDD"/>
    <w:rsid w:val="002C5F4A"/>
    <w:rsid w:val="002C689A"/>
    <w:rsid w:val="002C7715"/>
    <w:rsid w:val="002C77E6"/>
    <w:rsid w:val="002C79BF"/>
    <w:rsid w:val="002C7BD3"/>
    <w:rsid w:val="002C7CB8"/>
    <w:rsid w:val="002D01C6"/>
    <w:rsid w:val="002D02FB"/>
    <w:rsid w:val="002D0A4A"/>
    <w:rsid w:val="002D0B5C"/>
    <w:rsid w:val="002D0C28"/>
    <w:rsid w:val="002D0E48"/>
    <w:rsid w:val="002D0EAF"/>
    <w:rsid w:val="002D1287"/>
    <w:rsid w:val="002D1C86"/>
    <w:rsid w:val="002D227E"/>
    <w:rsid w:val="002D2A7A"/>
    <w:rsid w:val="002D2AC3"/>
    <w:rsid w:val="002D2F84"/>
    <w:rsid w:val="002D318F"/>
    <w:rsid w:val="002D34CB"/>
    <w:rsid w:val="002D374E"/>
    <w:rsid w:val="002D393F"/>
    <w:rsid w:val="002D3CCF"/>
    <w:rsid w:val="002D3DA8"/>
    <w:rsid w:val="002D435C"/>
    <w:rsid w:val="002D4A9F"/>
    <w:rsid w:val="002D4C50"/>
    <w:rsid w:val="002D5D63"/>
    <w:rsid w:val="002D68DE"/>
    <w:rsid w:val="002D6B97"/>
    <w:rsid w:val="002D7947"/>
    <w:rsid w:val="002D7C2D"/>
    <w:rsid w:val="002D7D3A"/>
    <w:rsid w:val="002E04C6"/>
    <w:rsid w:val="002E1CFF"/>
    <w:rsid w:val="002E283E"/>
    <w:rsid w:val="002E2C94"/>
    <w:rsid w:val="002E2FF0"/>
    <w:rsid w:val="002E37EE"/>
    <w:rsid w:val="002E3A1F"/>
    <w:rsid w:val="002E4420"/>
    <w:rsid w:val="002E44F9"/>
    <w:rsid w:val="002E46A3"/>
    <w:rsid w:val="002E4720"/>
    <w:rsid w:val="002E749A"/>
    <w:rsid w:val="002E79A3"/>
    <w:rsid w:val="002E7F8B"/>
    <w:rsid w:val="002F0058"/>
    <w:rsid w:val="002F02F7"/>
    <w:rsid w:val="002F04C9"/>
    <w:rsid w:val="002F09DE"/>
    <w:rsid w:val="002F0F26"/>
    <w:rsid w:val="002F10F3"/>
    <w:rsid w:val="002F10FB"/>
    <w:rsid w:val="002F1316"/>
    <w:rsid w:val="002F158C"/>
    <w:rsid w:val="002F1B3E"/>
    <w:rsid w:val="002F2067"/>
    <w:rsid w:val="002F20EE"/>
    <w:rsid w:val="002F216D"/>
    <w:rsid w:val="002F23DC"/>
    <w:rsid w:val="002F278C"/>
    <w:rsid w:val="002F2CD3"/>
    <w:rsid w:val="002F32C4"/>
    <w:rsid w:val="002F338E"/>
    <w:rsid w:val="002F375E"/>
    <w:rsid w:val="002F3D1E"/>
    <w:rsid w:val="002F47D5"/>
    <w:rsid w:val="002F4BD6"/>
    <w:rsid w:val="002F58A1"/>
    <w:rsid w:val="002F59E8"/>
    <w:rsid w:val="002F5ED3"/>
    <w:rsid w:val="002F674D"/>
    <w:rsid w:val="002F6819"/>
    <w:rsid w:val="002F7E40"/>
    <w:rsid w:val="00300485"/>
    <w:rsid w:val="0030157A"/>
    <w:rsid w:val="00301992"/>
    <w:rsid w:val="00301D1F"/>
    <w:rsid w:val="003020C6"/>
    <w:rsid w:val="003023C0"/>
    <w:rsid w:val="00302ADA"/>
    <w:rsid w:val="00302ADC"/>
    <w:rsid w:val="00302DD3"/>
    <w:rsid w:val="00302F67"/>
    <w:rsid w:val="00302FC1"/>
    <w:rsid w:val="0030346C"/>
    <w:rsid w:val="0030379D"/>
    <w:rsid w:val="003040B7"/>
    <w:rsid w:val="0030485E"/>
    <w:rsid w:val="00304CDB"/>
    <w:rsid w:val="00305084"/>
    <w:rsid w:val="003058B6"/>
    <w:rsid w:val="00305D67"/>
    <w:rsid w:val="00305D96"/>
    <w:rsid w:val="00306DAB"/>
    <w:rsid w:val="00306F07"/>
    <w:rsid w:val="00306F25"/>
    <w:rsid w:val="003071A9"/>
    <w:rsid w:val="00307E31"/>
    <w:rsid w:val="00310313"/>
    <w:rsid w:val="0031066E"/>
    <w:rsid w:val="00310780"/>
    <w:rsid w:val="003107E2"/>
    <w:rsid w:val="0031094A"/>
    <w:rsid w:val="0031153C"/>
    <w:rsid w:val="0031182D"/>
    <w:rsid w:val="00311C4F"/>
    <w:rsid w:val="003120D0"/>
    <w:rsid w:val="0031253F"/>
    <w:rsid w:val="0031328B"/>
    <w:rsid w:val="003135E4"/>
    <w:rsid w:val="00313699"/>
    <w:rsid w:val="00313951"/>
    <w:rsid w:val="0031420E"/>
    <w:rsid w:val="003147C8"/>
    <w:rsid w:val="003148C9"/>
    <w:rsid w:val="00314BB4"/>
    <w:rsid w:val="00314E2E"/>
    <w:rsid w:val="00315227"/>
    <w:rsid w:val="00315E14"/>
    <w:rsid w:val="00315F73"/>
    <w:rsid w:val="003166E4"/>
    <w:rsid w:val="00316745"/>
    <w:rsid w:val="00317C36"/>
    <w:rsid w:val="003203D1"/>
    <w:rsid w:val="00320823"/>
    <w:rsid w:val="00320C89"/>
    <w:rsid w:val="003215D9"/>
    <w:rsid w:val="00321966"/>
    <w:rsid w:val="003223D5"/>
    <w:rsid w:val="00322ABF"/>
    <w:rsid w:val="00322DEE"/>
    <w:rsid w:val="00322E83"/>
    <w:rsid w:val="00322F86"/>
    <w:rsid w:val="00323102"/>
    <w:rsid w:val="00324379"/>
    <w:rsid w:val="00324714"/>
    <w:rsid w:val="00324869"/>
    <w:rsid w:val="00325155"/>
    <w:rsid w:val="0032569B"/>
    <w:rsid w:val="003256AD"/>
    <w:rsid w:val="003258E1"/>
    <w:rsid w:val="003259D2"/>
    <w:rsid w:val="0032607A"/>
    <w:rsid w:val="0032620E"/>
    <w:rsid w:val="0032622A"/>
    <w:rsid w:val="0032669D"/>
    <w:rsid w:val="00327301"/>
    <w:rsid w:val="00327392"/>
    <w:rsid w:val="00327630"/>
    <w:rsid w:val="0032785E"/>
    <w:rsid w:val="00327A8C"/>
    <w:rsid w:val="0033019C"/>
    <w:rsid w:val="003304D1"/>
    <w:rsid w:val="003305CD"/>
    <w:rsid w:val="00330F76"/>
    <w:rsid w:val="0033172A"/>
    <w:rsid w:val="0033181F"/>
    <w:rsid w:val="003318CB"/>
    <w:rsid w:val="00331986"/>
    <w:rsid w:val="003319B9"/>
    <w:rsid w:val="00331FD3"/>
    <w:rsid w:val="0033204A"/>
    <w:rsid w:val="00332190"/>
    <w:rsid w:val="00332564"/>
    <w:rsid w:val="00332C23"/>
    <w:rsid w:val="00332CD0"/>
    <w:rsid w:val="003334DC"/>
    <w:rsid w:val="003335FD"/>
    <w:rsid w:val="00333EA2"/>
    <w:rsid w:val="00333F3D"/>
    <w:rsid w:val="003340CF"/>
    <w:rsid w:val="00334220"/>
    <w:rsid w:val="00334333"/>
    <w:rsid w:val="0033447B"/>
    <w:rsid w:val="003348E9"/>
    <w:rsid w:val="00334E4A"/>
    <w:rsid w:val="003359B7"/>
    <w:rsid w:val="00335DB7"/>
    <w:rsid w:val="00335F1A"/>
    <w:rsid w:val="003361AB"/>
    <w:rsid w:val="00336581"/>
    <w:rsid w:val="003368D4"/>
    <w:rsid w:val="003369A3"/>
    <w:rsid w:val="00336D49"/>
    <w:rsid w:val="00337443"/>
    <w:rsid w:val="003375C4"/>
    <w:rsid w:val="003377EB"/>
    <w:rsid w:val="00337B0A"/>
    <w:rsid w:val="00337ED8"/>
    <w:rsid w:val="003400CC"/>
    <w:rsid w:val="0034099E"/>
    <w:rsid w:val="00340AB3"/>
    <w:rsid w:val="00340B49"/>
    <w:rsid w:val="00340FEC"/>
    <w:rsid w:val="003410ED"/>
    <w:rsid w:val="00341116"/>
    <w:rsid w:val="003411DF"/>
    <w:rsid w:val="00341490"/>
    <w:rsid w:val="003414B0"/>
    <w:rsid w:val="00341C08"/>
    <w:rsid w:val="0034216F"/>
    <w:rsid w:val="003423C5"/>
    <w:rsid w:val="0034337E"/>
    <w:rsid w:val="00344220"/>
    <w:rsid w:val="00344E5C"/>
    <w:rsid w:val="003450BF"/>
    <w:rsid w:val="00346043"/>
    <w:rsid w:val="003460EB"/>
    <w:rsid w:val="003478FA"/>
    <w:rsid w:val="00347935"/>
    <w:rsid w:val="00347E76"/>
    <w:rsid w:val="00350233"/>
    <w:rsid w:val="0035083C"/>
    <w:rsid w:val="00350D56"/>
    <w:rsid w:val="00351086"/>
    <w:rsid w:val="0035176A"/>
    <w:rsid w:val="003518B8"/>
    <w:rsid w:val="00352725"/>
    <w:rsid w:val="00352CB4"/>
    <w:rsid w:val="00352FC3"/>
    <w:rsid w:val="00353124"/>
    <w:rsid w:val="003535AA"/>
    <w:rsid w:val="00355273"/>
    <w:rsid w:val="00355543"/>
    <w:rsid w:val="0035584D"/>
    <w:rsid w:val="003558F4"/>
    <w:rsid w:val="00356013"/>
    <w:rsid w:val="00356657"/>
    <w:rsid w:val="0035690A"/>
    <w:rsid w:val="00356BD5"/>
    <w:rsid w:val="00357455"/>
    <w:rsid w:val="00357553"/>
    <w:rsid w:val="00357AC9"/>
    <w:rsid w:val="00357E0E"/>
    <w:rsid w:val="00357FD7"/>
    <w:rsid w:val="003603F0"/>
    <w:rsid w:val="003603F1"/>
    <w:rsid w:val="003612E1"/>
    <w:rsid w:val="00361774"/>
    <w:rsid w:val="00361E92"/>
    <w:rsid w:val="0036212A"/>
    <w:rsid w:val="003621C2"/>
    <w:rsid w:val="00362747"/>
    <w:rsid w:val="0036448E"/>
    <w:rsid w:val="003647F9"/>
    <w:rsid w:val="00364BC6"/>
    <w:rsid w:val="003667D4"/>
    <w:rsid w:val="00366885"/>
    <w:rsid w:val="003671D7"/>
    <w:rsid w:val="003675F8"/>
    <w:rsid w:val="00367A55"/>
    <w:rsid w:val="00367C7D"/>
    <w:rsid w:val="00367DDE"/>
    <w:rsid w:val="00370708"/>
    <w:rsid w:val="003709F9"/>
    <w:rsid w:val="003713A7"/>
    <w:rsid w:val="0037154B"/>
    <w:rsid w:val="003720B9"/>
    <w:rsid w:val="00372358"/>
    <w:rsid w:val="0037253D"/>
    <w:rsid w:val="00372E94"/>
    <w:rsid w:val="003730BE"/>
    <w:rsid w:val="003731A1"/>
    <w:rsid w:val="00374369"/>
    <w:rsid w:val="00374723"/>
    <w:rsid w:val="003754E2"/>
    <w:rsid w:val="003755CC"/>
    <w:rsid w:val="00375F44"/>
    <w:rsid w:val="00376959"/>
    <w:rsid w:val="00377453"/>
    <w:rsid w:val="003776FA"/>
    <w:rsid w:val="003778A2"/>
    <w:rsid w:val="003778BB"/>
    <w:rsid w:val="00377977"/>
    <w:rsid w:val="00377B19"/>
    <w:rsid w:val="00377CBB"/>
    <w:rsid w:val="0038025B"/>
    <w:rsid w:val="003809D8"/>
    <w:rsid w:val="00380D61"/>
    <w:rsid w:val="00381445"/>
    <w:rsid w:val="00381736"/>
    <w:rsid w:val="00381B1A"/>
    <w:rsid w:val="00381BA4"/>
    <w:rsid w:val="00381C03"/>
    <w:rsid w:val="00381E37"/>
    <w:rsid w:val="00382326"/>
    <w:rsid w:val="003825E6"/>
    <w:rsid w:val="0038293F"/>
    <w:rsid w:val="00382B0E"/>
    <w:rsid w:val="00382B7C"/>
    <w:rsid w:val="00382CE2"/>
    <w:rsid w:val="00382D94"/>
    <w:rsid w:val="003830B0"/>
    <w:rsid w:val="003835FE"/>
    <w:rsid w:val="00383D3F"/>
    <w:rsid w:val="00383EE5"/>
    <w:rsid w:val="00384659"/>
    <w:rsid w:val="00384F2C"/>
    <w:rsid w:val="003850C7"/>
    <w:rsid w:val="0038535E"/>
    <w:rsid w:val="0038547F"/>
    <w:rsid w:val="0038567C"/>
    <w:rsid w:val="00385947"/>
    <w:rsid w:val="00385FC9"/>
    <w:rsid w:val="0038611F"/>
    <w:rsid w:val="0038695D"/>
    <w:rsid w:val="00386E13"/>
    <w:rsid w:val="00387070"/>
    <w:rsid w:val="00387A3C"/>
    <w:rsid w:val="00387DE3"/>
    <w:rsid w:val="003900B7"/>
    <w:rsid w:val="00390A89"/>
    <w:rsid w:val="00390C0E"/>
    <w:rsid w:val="003911F6"/>
    <w:rsid w:val="003919A5"/>
    <w:rsid w:val="00391EBA"/>
    <w:rsid w:val="00392081"/>
    <w:rsid w:val="003920C0"/>
    <w:rsid w:val="003929EE"/>
    <w:rsid w:val="00392C1C"/>
    <w:rsid w:val="00392FBD"/>
    <w:rsid w:val="003935E4"/>
    <w:rsid w:val="003936F2"/>
    <w:rsid w:val="0039391A"/>
    <w:rsid w:val="00393D07"/>
    <w:rsid w:val="00393FB8"/>
    <w:rsid w:val="00394555"/>
    <w:rsid w:val="0039493D"/>
    <w:rsid w:val="00394D83"/>
    <w:rsid w:val="0039517B"/>
    <w:rsid w:val="00395AB0"/>
    <w:rsid w:val="00395AC9"/>
    <w:rsid w:val="00395B06"/>
    <w:rsid w:val="00395EDA"/>
    <w:rsid w:val="003968FD"/>
    <w:rsid w:val="00396980"/>
    <w:rsid w:val="00396C0A"/>
    <w:rsid w:val="00397137"/>
    <w:rsid w:val="003A037E"/>
    <w:rsid w:val="003A0462"/>
    <w:rsid w:val="003A2053"/>
    <w:rsid w:val="003A2214"/>
    <w:rsid w:val="003A2345"/>
    <w:rsid w:val="003A2434"/>
    <w:rsid w:val="003A2743"/>
    <w:rsid w:val="003A27B3"/>
    <w:rsid w:val="003A2957"/>
    <w:rsid w:val="003A3074"/>
    <w:rsid w:val="003A4608"/>
    <w:rsid w:val="003A564E"/>
    <w:rsid w:val="003A5C61"/>
    <w:rsid w:val="003A60F0"/>
    <w:rsid w:val="003A6692"/>
    <w:rsid w:val="003A734D"/>
    <w:rsid w:val="003A7410"/>
    <w:rsid w:val="003A793D"/>
    <w:rsid w:val="003A7A00"/>
    <w:rsid w:val="003A7CAF"/>
    <w:rsid w:val="003B14EB"/>
    <w:rsid w:val="003B1887"/>
    <w:rsid w:val="003B21CF"/>
    <w:rsid w:val="003B2261"/>
    <w:rsid w:val="003B2900"/>
    <w:rsid w:val="003B3663"/>
    <w:rsid w:val="003B3FCB"/>
    <w:rsid w:val="003B4215"/>
    <w:rsid w:val="003B4611"/>
    <w:rsid w:val="003B46DC"/>
    <w:rsid w:val="003B4AF2"/>
    <w:rsid w:val="003B54AE"/>
    <w:rsid w:val="003B598D"/>
    <w:rsid w:val="003B5E63"/>
    <w:rsid w:val="003B61A4"/>
    <w:rsid w:val="003B6440"/>
    <w:rsid w:val="003B664A"/>
    <w:rsid w:val="003B66E7"/>
    <w:rsid w:val="003B67E5"/>
    <w:rsid w:val="003B67F3"/>
    <w:rsid w:val="003B6A2D"/>
    <w:rsid w:val="003B70DE"/>
    <w:rsid w:val="003B73B4"/>
    <w:rsid w:val="003B7694"/>
    <w:rsid w:val="003B78E5"/>
    <w:rsid w:val="003B78E6"/>
    <w:rsid w:val="003B7E7B"/>
    <w:rsid w:val="003C0132"/>
    <w:rsid w:val="003C0F89"/>
    <w:rsid w:val="003C0FC1"/>
    <w:rsid w:val="003C1323"/>
    <w:rsid w:val="003C24EC"/>
    <w:rsid w:val="003C2B4C"/>
    <w:rsid w:val="003C31AC"/>
    <w:rsid w:val="003C370A"/>
    <w:rsid w:val="003C3992"/>
    <w:rsid w:val="003C3A12"/>
    <w:rsid w:val="003C3A96"/>
    <w:rsid w:val="003C3B82"/>
    <w:rsid w:val="003C3F9E"/>
    <w:rsid w:val="003C3FD8"/>
    <w:rsid w:val="003C402C"/>
    <w:rsid w:val="003C464E"/>
    <w:rsid w:val="003C4D3E"/>
    <w:rsid w:val="003C50C0"/>
    <w:rsid w:val="003C577C"/>
    <w:rsid w:val="003C5D23"/>
    <w:rsid w:val="003C5F99"/>
    <w:rsid w:val="003C6171"/>
    <w:rsid w:val="003C66B9"/>
    <w:rsid w:val="003C6A79"/>
    <w:rsid w:val="003C6C4D"/>
    <w:rsid w:val="003C6CC8"/>
    <w:rsid w:val="003C719F"/>
    <w:rsid w:val="003C72FB"/>
    <w:rsid w:val="003C7410"/>
    <w:rsid w:val="003C789F"/>
    <w:rsid w:val="003D09A3"/>
    <w:rsid w:val="003D0C67"/>
    <w:rsid w:val="003D1A94"/>
    <w:rsid w:val="003D1BB8"/>
    <w:rsid w:val="003D1EFA"/>
    <w:rsid w:val="003D250A"/>
    <w:rsid w:val="003D2598"/>
    <w:rsid w:val="003D2D88"/>
    <w:rsid w:val="003D2E87"/>
    <w:rsid w:val="003D2EBB"/>
    <w:rsid w:val="003D39E4"/>
    <w:rsid w:val="003D42C3"/>
    <w:rsid w:val="003D4ABA"/>
    <w:rsid w:val="003D4B8D"/>
    <w:rsid w:val="003D5085"/>
    <w:rsid w:val="003D530D"/>
    <w:rsid w:val="003D5C8B"/>
    <w:rsid w:val="003D631E"/>
    <w:rsid w:val="003D6696"/>
    <w:rsid w:val="003D690F"/>
    <w:rsid w:val="003D6F0B"/>
    <w:rsid w:val="003D7333"/>
    <w:rsid w:val="003D796F"/>
    <w:rsid w:val="003D7E73"/>
    <w:rsid w:val="003E037B"/>
    <w:rsid w:val="003E03DB"/>
    <w:rsid w:val="003E0A2A"/>
    <w:rsid w:val="003E0B6A"/>
    <w:rsid w:val="003E12A7"/>
    <w:rsid w:val="003E1AA2"/>
    <w:rsid w:val="003E1F02"/>
    <w:rsid w:val="003E2270"/>
    <w:rsid w:val="003E22E6"/>
    <w:rsid w:val="003E2B68"/>
    <w:rsid w:val="003E310E"/>
    <w:rsid w:val="003E321E"/>
    <w:rsid w:val="003E33A2"/>
    <w:rsid w:val="003E3828"/>
    <w:rsid w:val="003E3C72"/>
    <w:rsid w:val="003E3D5C"/>
    <w:rsid w:val="003E3E22"/>
    <w:rsid w:val="003E3F1A"/>
    <w:rsid w:val="003E3FA1"/>
    <w:rsid w:val="003E3FA8"/>
    <w:rsid w:val="003E4F64"/>
    <w:rsid w:val="003E54B7"/>
    <w:rsid w:val="003E557B"/>
    <w:rsid w:val="003E5D04"/>
    <w:rsid w:val="003E6BD0"/>
    <w:rsid w:val="003E6FD1"/>
    <w:rsid w:val="003E7BDC"/>
    <w:rsid w:val="003F0673"/>
    <w:rsid w:val="003F08D6"/>
    <w:rsid w:val="003F115C"/>
    <w:rsid w:val="003F16DA"/>
    <w:rsid w:val="003F1AC6"/>
    <w:rsid w:val="003F1E9A"/>
    <w:rsid w:val="003F28BC"/>
    <w:rsid w:val="003F2BC4"/>
    <w:rsid w:val="003F2C82"/>
    <w:rsid w:val="003F3B59"/>
    <w:rsid w:val="003F3E8E"/>
    <w:rsid w:val="003F4088"/>
    <w:rsid w:val="003F4DCF"/>
    <w:rsid w:val="003F5AF1"/>
    <w:rsid w:val="003F660B"/>
    <w:rsid w:val="003F6D63"/>
    <w:rsid w:val="003F765B"/>
    <w:rsid w:val="003F778D"/>
    <w:rsid w:val="003F7F5F"/>
    <w:rsid w:val="003F7FED"/>
    <w:rsid w:val="00400097"/>
    <w:rsid w:val="00400590"/>
    <w:rsid w:val="004005C1"/>
    <w:rsid w:val="0040071C"/>
    <w:rsid w:val="004009E8"/>
    <w:rsid w:val="00400D2D"/>
    <w:rsid w:val="0040123C"/>
    <w:rsid w:val="00401A22"/>
    <w:rsid w:val="00401B52"/>
    <w:rsid w:val="00401EB0"/>
    <w:rsid w:val="004023D9"/>
    <w:rsid w:val="0040292A"/>
    <w:rsid w:val="00402ECB"/>
    <w:rsid w:val="004037B1"/>
    <w:rsid w:val="00403D32"/>
    <w:rsid w:val="004049E4"/>
    <w:rsid w:val="004052E1"/>
    <w:rsid w:val="00405578"/>
    <w:rsid w:val="0040568A"/>
    <w:rsid w:val="004057C7"/>
    <w:rsid w:val="00405A63"/>
    <w:rsid w:val="00405A76"/>
    <w:rsid w:val="00405ABF"/>
    <w:rsid w:val="00405C60"/>
    <w:rsid w:val="004061E4"/>
    <w:rsid w:val="004063A5"/>
    <w:rsid w:val="004063B2"/>
    <w:rsid w:val="004065BD"/>
    <w:rsid w:val="004067BB"/>
    <w:rsid w:val="00406BA6"/>
    <w:rsid w:val="00406EC6"/>
    <w:rsid w:val="00406EF7"/>
    <w:rsid w:val="00407ED5"/>
    <w:rsid w:val="00410650"/>
    <w:rsid w:val="0041080A"/>
    <w:rsid w:val="00410C12"/>
    <w:rsid w:val="00410C4B"/>
    <w:rsid w:val="00410D89"/>
    <w:rsid w:val="00410FE5"/>
    <w:rsid w:val="00411675"/>
    <w:rsid w:val="00411B09"/>
    <w:rsid w:val="00411DCF"/>
    <w:rsid w:val="00412038"/>
    <w:rsid w:val="0041249D"/>
    <w:rsid w:val="0041261E"/>
    <w:rsid w:val="0041316F"/>
    <w:rsid w:val="0041373E"/>
    <w:rsid w:val="00413B04"/>
    <w:rsid w:val="00413EDA"/>
    <w:rsid w:val="00414FEE"/>
    <w:rsid w:val="00415485"/>
    <w:rsid w:val="0041593C"/>
    <w:rsid w:val="00415A74"/>
    <w:rsid w:val="0041610C"/>
    <w:rsid w:val="00417337"/>
    <w:rsid w:val="00417CDF"/>
    <w:rsid w:val="0042049E"/>
    <w:rsid w:val="00420C6C"/>
    <w:rsid w:val="00420EA7"/>
    <w:rsid w:val="004210C8"/>
    <w:rsid w:val="00421487"/>
    <w:rsid w:val="0042165A"/>
    <w:rsid w:val="00421BDA"/>
    <w:rsid w:val="00422925"/>
    <w:rsid w:val="00422A7B"/>
    <w:rsid w:val="00423933"/>
    <w:rsid w:val="004239A2"/>
    <w:rsid w:val="00423D19"/>
    <w:rsid w:val="00424001"/>
    <w:rsid w:val="004240A9"/>
    <w:rsid w:val="004244A7"/>
    <w:rsid w:val="00424D53"/>
    <w:rsid w:val="0042514E"/>
    <w:rsid w:val="00425D96"/>
    <w:rsid w:val="00425D9E"/>
    <w:rsid w:val="0042677C"/>
    <w:rsid w:val="00426CFF"/>
    <w:rsid w:val="00426FE6"/>
    <w:rsid w:val="00427126"/>
    <w:rsid w:val="0042724D"/>
    <w:rsid w:val="004276ED"/>
    <w:rsid w:val="004279DC"/>
    <w:rsid w:val="004300BE"/>
    <w:rsid w:val="00430244"/>
    <w:rsid w:val="004305A0"/>
    <w:rsid w:val="004306CD"/>
    <w:rsid w:val="004308F6"/>
    <w:rsid w:val="00430DC7"/>
    <w:rsid w:val="004311E4"/>
    <w:rsid w:val="00431F85"/>
    <w:rsid w:val="004325ED"/>
    <w:rsid w:val="00432767"/>
    <w:rsid w:val="004329EF"/>
    <w:rsid w:val="0043317B"/>
    <w:rsid w:val="00433216"/>
    <w:rsid w:val="004336F8"/>
    <w:rsid w:val="00433D85"/>
    <w:rsid w:val="00433F96"/>
    <w:rsid w:val="00434409"/>
    <w:rsid w:val="00434495"/>
    <w:rsid w:val="004349E6"/>
    <w:rsid w:val="004353FC"/>
    <w:rsid w:val="00435C04"/>
    <w:rsid w:val="00435E4D"/>
    <w:rsid w:val="0043649C"/>
    <w:rsid w:val="004365B6"/>
    <w:rsid w:val="00436ABC"/>
    <w:rsid w:val="00436BB1"/>
    <w:rsid w:val="00436EB1"/>
    <w:rsid w:val="00437251"/>
    <w:rsid w:val="00440260"/>
    <w:rsid w:val="00440956"/>
    <w:rsid w:val="004420CA"/>
    <w:rsid w:val="004423D4"/>
    <w:rsid w:val="004423D7"/>
    <w:rsid w:val="004423F8"/>
    <w:rsid w:val="00442E06"/>
    <w:rsid w:val="00442E29"/>
    <w:rsid w:val="00442ED7"/>
    <w:rsid w:val="00442F4A"/>
    <w:rsid w:val="0044357B"/>
    <w:rsid w:val="00443ACA"/>
    <w:rsid w:val="00443C93"/>
    <w:rsid w:val="00444493"/>
    <w:rsid w:val="0044595F"/>
    <w:rsid w:val="004461FB"/>
    <w:rsid w:val="004464A4"/>
    <w:rsid w:val="004469A0"/>
    <w:rsid w:val="00446D77"/>
    <w:rsid w:val="004471F0"/>
    <w:rsid w:val="00450082"/>
    <w:rsid w:val="004502FB"/>
    <w:rsid w:val="004504E2"/>
    <w:rsid w:val="00451034"/>
    <w:rsid w:val="0045122D"/>
    <w:rsid w:val="00451DBB"/>
    <w:rsid w:val="00451E23"/>
    <w:rsid w:val="0045208D"/>
    <w:rsid w:val="004529CC"/>
    <w:rsid w:val="00452B1E"/>
    <w:rsid w:val="00452DB5"/>
    <w:rsid w:val="0045300C"/>
    <w:rsid w:val="00453491"/>
    <w:rsid w:val="00453CDE"/>
    <w:rsid w:val="00453F08"/>
    <w:rsid w:val="00454085"/>
    <w:rsid w:val="0045465A"/>
    <w:rsid w:val="00455FEB"/>
    <w:rsid w:val="004561E2"/>
    <w:rsid w:val="00456620"/>
    <w:rsid w:val="00456A6B"/>
    <w:rsid w:val="00456DF7"/>
    <w:rsid w:val="0045738E"/>
    <w:rsid w:val="004602EB"/>
    <w:rsid w:val="00460F42"/>
    <w:rsid w:val="00461210"/>
    <w:rsid w:val="00461A0E"/>
    <w:rsid w:val="00461CE6"/>
    <w:rsid w:val="004621F6"/>
    <w:rsid w:val="00462BEC"/>
    <w:rsid w:val="00462DD8"/>
    <w:rsid w:val="004631CB"/>
    <w:rsid w:val="00464651"/>
    <w:rsid w:val="00464675"/>
    <w:rsid w:val="0046497D"/>
    <w:rsid w:val="00464EBB"/>
    <w:rsid w:val="0046505F"/>
    <w:rsid w:val="004651CB"/>
    <w:rsid w:val="00465422"/>
    <w:rsid w:val="00465868"/>
    <w:rsid w:val="00465BC4"/>
    <w:rsid w:val="004662BA"/>
    <w:rsid w:val="00466A31"/>
    <w:rsid w:val="004672AF"/>
    <w:rsid w:val="004672C4"/>
    <w:rsid w:val="00467EE7"/>
    <w:rsid w:val="00467FF9"/>
    <w:rsid w:val="00470253"/>
    <w:rsid w:val="004702C3"/>
    <w:rsid w:val="004702D4"/>
    <w:rsid w:val="004710E6"/>
    <w:rsid w:val="0047117A"/>
    <w:rsid w:val="004717AE"/>
    <w:rsid w:val="004717DD"/>
    <w:rsid w:val="004718C3"/>
    <w:rsid w:val="004718D5"/>
    <w:rsid w:val="0047209C"/>
    <w:rsid w:val="00473585"/>
    <w:rsid w:val="004737BF"/>
    <w:rsid w:val="00473EB2"/>
    <w:rsid w:val="00473F9C"/>
    <w:rsid w:val="0047486C"/>
    <w:rsid w:val="00474C27"/>
    <w:rsid w:val="004755DF"/>
    <w:rsid w:val="004756CC"/>
    <w:rsid w:val="00475B88"/>
    <w:rsid w:val="00476397"/>
    <w:rsid w:val="00476B5C"/>
    <w:rsid w:val="0047703F"/>
    <w:rsid w:val="004777B1"/>
    <w:rsid w:val="00477A78"/>
    <w:rsid w:val="00480B6D"/>
    <w:rsid w:val="00481040"/>
    <w:rsid w:val="004819E8"/>
    <w:rsid w:val="004822FA"/>
    <w:rsid w:val="004826D3"/>
    <w:rsid w:val="00482847"/>
    <w:rsid w:val="00482971"/>
    <w:rsid w:val="00482C62"/>
    <w:rsid w:val="00483517"/>
    <w:rsid w:val="004842F4"/>
    <w:rsid w:val="00484958"/>
    <w:rsid w:val="00484FC9"/>
    <w:rsid w:val="004855FE"/>
    <w:rsid w:val="0048570E"/>
    <w:rsid w:val="004858EE"/>
    <w:rsid w:val="00485961"/>
    <w:rsid w:val="00485BA0"/>
    <w:rsid w:val="004865C0"/>
    <w:rsid w:val="004875E7"/>
    <w:rsid w:val="00487A95"/>
    <w:rsid w:val="00487EA4"/>
    <w:rsid w:val="004904AE"/>
    <w:rsid w:val="00490A59"/>
    <w:rsid w:val="00490EBA"/>
    <w:rsid w:val="00491092"/>
    <w:rsid w:val="004911AA"/>
    <w:rsid w:val="004913B0"/>
    <w:rsid w:val="004919B2"/>
    <w:rsid w:val="00491B25"/>
    <w:rsid w:val="004922F0"/>
    <w:rsid w:val="00492822"/>
    <w:rsid w:val="00492BAB"/>
    <w:rsid w:val="00493019"/>
    <w:rsid w:val="00493137"/>
    <w:rsid w:val="00494601"/>
    <w:rsid w:val="00494A41"/>
    <w:rsid w:val="00495BA6"/>
    <w:rsid w:val="00495D9F"/>
    <w:rsid w:val="00496580"/>
    <w:rsid w:val="004A0989"/>
    <w:rsid w:val="004A0990"/>
    <w:rsid w:val="004A0A7C"/>
    <w:rsid w:val="004A0CB7"/>
    <w:rsid w:val="004A1132"/>
    <w:rsid w:val="004A1A7B"/>
    <w:rsid w:val="004A1AD2"/>
    <w:rsid w:val="004A200F"/>
    <w:rsid w:val="004A20FF"/>
    <w:rsid w:val="004A214E"/>
    <w:rsid w:val="004A2314"/>
    <w:rsid w:val="004A256C"/>
    <w:rsid w:val="004A2B8B"/>
    <w:rsid w:val="004A338E"/>
    <w:rsid w:val="004A3432"/>
    <w:rsid w:val="004A3482"/>
    <w:rsid w:val="004A4B2C"/>
    <w:rsid w:val="004A6329"/>
    <w:rsid w:val="004A6564"/>
    <w:rsid w:val="004A75EB"/>
    <w:rsid w:val="004B0027"/>
    <w:rsid w:val="004B0B0A"/>
    <w:rsid w:val="004B10B4"/>
    <w:rsid w:val="004B2206"/>
    <w:rsid w:val="004B24A5"/>
    <w:rsid w:val="004B251C"/>
    <w:rsid w:val="004B261E"/>
    <w:rsid w:val="004B2645"/>
    <w:rsid w:val="004B3067"/>
    <w:rsid w:val="004B315B"/>
    <w:rsid w:val="004B355E"/>
    <w:rsid w:val="004B35CA"/>
    <w:rsid w:val="004B3B70"/>
    <w:rsid w:val="004B3BC1"/>
    <w:rsid w:val="004B3F5B"/>
    <w:rsid w:val="004B4783"/>
    <w:rsid w:val="004B4ABB"/>
    <w:rsid w:val="004B4ED7"/>
    <w:rsid w:val="004B5393"/>
    <w:rsid w:val="004B6026"/>
    <w:rsid w:val="004B6333"/>
    <w:rsid w:val="004B649D"/>
    <w:rsid w:val="004B7574"/>
    <w:rsid w:val="004B75A3"/>
    <w:rsid w:val="004B7B30"/>
    <w:rsid w:val="004B7BC2"/>
    <w:rsid w:val="004C02B5"/>
    <w:rsid w:val="004C0788"/>
    <w:rsid w:val="004C0A9F"/>
    <w:rsid w:val="004C0B8C"/>
    <w:rsid w:val="004C11F0"/>
    <w:rsid w:val="004C1343"/>
    <w:rsid w:val="004C1503"/>
    <w:rsid w:val="004C213A"/>
    <w:rsid w:val="004C238A"/>
    <w:rsid w:val="004C29AE"/>
    <w:rsid w:val="004C3473"/>
    <w:rsid w:val="004C53F3"/>
    <w:rsid w:val="004C54A4"/>
    <w:rsid w:val="004C55F8"/>
    <w:rsid w:val="004C5674"/>
    <w:rsid w:val="004C5E17"/>
    <w:rsid w:val="004C5F74"/>
    <w:rsid w:val="004C60EE"/>
    <w:rsid w:val="004C61EA"/>
    <w:rsid w:val="004C69A6"/>
    <w:rsid w:val="004C6A7E"/>
    <w:rsid w:val="004C6AAA"/>
    <w:rsid w:val="004C6E61"/>
    <w:rsid w:val="004C72D0"/>
    <w:rsid w:val="004C7AB7"/>
    <w:rsid w:val="004C7C1D"/>
    <w:rsid w:val="004D0739"/>
    <w:rsid w:val="004D0A66"/>
    <w:rsid w:val="004D0B26"/>
    <w:rsid w:val="004D0E98"/>
    <w:rsid w:val="004D1107"/>
    <w:rsid w:val="004D123F"/>
    <w:rsid w:val="004D1A98"/>
    <w:rsid w:val="004D1D1A"/>
    <w:rsid w:val="004D2171"/>
    <w:rsid w:val="004D23EB"/>
    <w:rsid w:val="004D2427"/>
    <w:rsid w:val="004D2595"/>
    <w:rsid w:val="004D2A7C"/>
    <w:rsid w:val="004D2C61"/>
    <w:rsid w:val="004D3639"/>
    <w:rsid w:val="004D3682"/>
    <w:rsid w:val="004D37AC"/>
    <w:rsid w:val="004D40DC"/>
    <w:rsid w:val="004D44C7"/>
    <w:rsid w:val="004D47E6"/>
    <w:rsid w:val="004D4C66"/>
    <w:rsid w:val="004D506E"/>
    <w:rsid w:val="004D52A9"/>
    <w:rsid w:val="004D5315"/>
    <w:rsid w:val="004D54D3"/>
    <w:rsid w:val="004D55BA"/>
    <w:rsid w:val="004D5D64"/>
    <w:rsid w:val="004D5F00"/>
    <w:rsid w:val="004D6A2C"/>
    <w:rsid w:val="004D6EEE"/>
    <w:rsid w:val="004D6EF7"/>
    <w:rsid w:val="004D7884"/>
    <w:rsid w:val="004E0CFC"/>
    <w:rsid w:val="004E0F7F"/>
    <w:rsid w:val="004E1711"/>
    <w:rsid w:val="004E24FC"/>
    <w:rsid w:val="004E2A14"/>
    <w:rsid w:val="004E2EE2"/>
    <w:rsid w:val="004E30E8"/>
    <w:rsid w:val="004E359B"/>
    <w:rsid w:val="004E4740"/>
    <w:rsid w:val="004E489A"/>
    <w:rsid w:val="004E525E"/>
    <w:rsid w:val="004E5296"/>
    <w:rsid w:val="004E59EA"/>
    <w:rsid w:val="004E5C84"/>
    <w:rsid w:val="004E5EF6"/>
    <w:rsid w:val="004E5F74"/>
    <w:rsid w:val="004E6464"/>
    <w:rsid w:val="004E658D"/>
    <w:rsid w:val="004E694E"/>
    <w:rsid w:val="004E6CA7"/>
    <w:rsid w:val="004E6F32"/>
    <w:rsid w:val="004E701F"/>
    <w:rsid w:val="004E71F2"/>
    <w:rsid w:val="004E75AB"/>
    <w:rsid w:val="004E7651"/>
    <w:rsid w:val="004E77F2"/>
    <w:rsid w:val="004E781C"/>
    <w:rsid w:val="004E7F11"/>
    <w:rsid w:val="004F0186"/>
    <w:rsid w:val="004F04BD"/>
    <w:rsid w:val="004F06E8"/>
    <w:rsid w:val="004F0B49"/>
    <w:rsid w:val="004F1203"/>
    <w:rsid w:val="004F1483"/>
    <w:rsid w:val="004F16FE"/>
    <w:rsid w:val="004F1C81"/>
    <w:rsid w:val="004F1DC3"/>
    <w:rsid w:val="004F2067"/>
    <w:rsid w:val="004F2548"/>
    <w:rsid w:val="004F2563"/>
    <w:rsid w:val="004F259C"/>
    <w:rsid w:val="004F2C55"/>
    <w:rsid w:val="004F2D1E"/>
    <w:rsid w:val="004F2D52"/>
    <w:rsid w:val="004F3AC0"/>
    <w:rsid w:val="004F3C87"/>
    <w:rsid w:val="004F45BD"/>
    <w:rsid w:val="004F49A0"/>
    <w:rsid w:val="004F4A8B"/>
    <w:rsid w:val="004F6557"/>
    <w:rsid w:val="004F660D"/>
    <w:rsid w:val="004F69F8"/>
    <w:rsid w:val="004F6F09"/>
    <w:rsid w:val="004F70DA"/>
    <w:rsid w:val="004F77A8"/>
    <w:rsid w:val="004F7BAF"/>
    <w:rsid w:val="004F7BD5"/>
    <w:rsid w:val="004F7E8E"/>
    <w:rsid w:val="004F7E93"/>
    <w:rsid w:val="005005FF"/>
    <w:rsid w:val="005008E6"/>
    <w:rsid w:val="00500EEA"/>
    <w:rsid w:val="00500F0C"/>
    <w:rsid w:val="00501CAF"/>
    <w:rsid w:val="00502F21"/>
    <w:rsid w:val="00503490"/>
    <w:rsid w:val="00503513"/>
    <w:rsid w:val="00503703"/>
    <w:rsid w:val="00503956"/>
    <w:rsid w:val="00503F70"/>
    <w:rsid w:val="00504D54"/>
    <w:rsid w:val="00504FDE"/>
    <w:rsid w:val="00505000"/>
    <w:rsid w:val="0050516F"/>
    <w:rsid w:val="00505B19"/>
    <w:rsid w:val="00505F27"/>
    <w:rsid w:val="00506442"/>
    <w:rsid w:val="00506714"/>
    <w:rsid w:val="00507411"/>
    <w:rsid w:val="00507638"/>
    <w:rsid w:val="00507E85"/>
    <w:rsid w:val="00507FA3"/>
    <w:rsid w:val="0051001C"/>
    <w:rsid w:val="00510046"/>
    <w:rsid w:val="005106B9"/>
    <w:rsid w:val="00510A89"/>
    <w:rsid w:val="0051119B"/>
    <w:rsid w:val="005113FF"/>
    <w:rsid w:val="00511AE6"/>
    <w:rsid w:val="00511AFE"/>
    <w:rsid w:val="00512418"/>
    <w:rsid w:val="00512900"/>
    <w:rsid w:val="005130B6"/>
    <w:rsid w:val="0051320D"/>
    <w:rsid w:val="0051472D"/>
    <w:rsid w:val="005148C9"/>
    <w:rsid w:val="00515694"/>
    <w:rsid w:val="00515700"/>
    <w:rsid w:val="005157E2"/>
    <w:rsid w:val="0051623A"/>
    <w:rsid w:val="0051626C"/>
    <w:rsid w:val="00516279"/>
    <w:rsid w:val="00516592"/>
    <w:rsid w:val="005170BC"/>
    <w:rsid w:val="00517A56"/>
    <w:rsid w:val="00517AEB"/>
    <w:rsid w:val="00520FD1"/>
    <w:rsid w:val="00521038"/>
    <w:rsid w:val="00521365"/>
    <w:rsid w:val="00521FF5"/>
    <w:rsid w:val="005225D9"/>
    <w:rsid w:val="0052262B"/>
    <w:rsid w:val="0052272A"/>
    <w:rsid w:val="005227FA"/>
    <w:rsid w:val="00522825"/>
    <w:rsid w:val="00522C94"/>
    <w:rsid w:val="00522F5F"/>
    <w:rsid w:val="005240FC"/>
    <w:rsid w:val="0052415F"/>
    <w:rsid w:val="00524841"/>
    <w:rsid w:val="005251F8"/>
    <w:rsid w:val="00525369"/>
    <w:rsid w:val="00525B9C"/>
    <w:rsid w:val="00526662"/>
    <w:rsid w:val="00526CE2"/>
    <w:rsid w:val="00526DC8"/>
    <w:rsid w:val="005301F2"/>
    <w:rsid w:val="005303C7"/>
    <w:rsid w:val="00532DD1"/>
    <w:rsid w:val="00532F7A"/>
    <w:rsid w:val="00533490"/>
    <w:rsid w:val="005339BB"/>
    <w:rsid w:val="00533FC4"/>
    <w:rsid w:val="005344A3"/>
    <w:rsid w:val="00534694"/>
    <w:rsid w:val="005347B1"/>
    <w:rsid w:val="005349BF"/>
    <w:rsid w:val="00534F24"/>
    <w:rsid w:val="00535ACE"/>
    <w:rsid w:val="00535B4E"/>
    <w:rsid w:val="00535DA3"/>
    <w:rsid w:val="005362AD"/>
    <w:rsid w:val="005365CB"/>
    <w:rsid w:val="005367BC"/>
    <w:rsid w:val="005367D3"/>
    <w:rsid w:val="0053717A"/>
    <w:rsid w:val="00540424"/>
    <w:rsid w:val="005405FC"/>
    <w:rsid w:val="005407B9"/>
    <w:rsid w:val="0054126D"/>
    <w:rsid w:val="00541352"/>
    <w:rsid w:val="00541826"/>
    <w:rsid w:val="00541B81"/>
    <w:rsid w:val="005424B4"/>
    <w:rsid w:val="00542B8C"/>
    <w:rsid w:val="00542DC6"/>
    <w:rsid w:val="005430AE"/>
    <w:rsid w:val="00543B27"/>
    <w:rsid w:val="00543F49"/>
    <w:rsid w:val="005445C3"/>
    <w:rsid w:val="00544793"/>
    <w:rsid w:val="00544BD5"/>
    <w:rsid w:val="0054511F"/>
    <w:rsid w:val="00545403"/>
    <w:rsid w:val="00546005"/>
    <w:rsid w:val="0054680D"/>
    <w:rsid w:val="00546A0A"/>
    <w:rsid w:val="005472F4"/>
    <w:rsid w:val="005477AA"/>
    <w:rsid w:val="0055069B"/>
    <w:rsid w:val="00550C79"/>
    <w:rsid w:val="005511FA"/>
    <w:rsid w:val="00551425"/>
    <w:rsid w:val="005525B4"/>
    <w:rsid w:val="005525FF"/>
    <w:rsid w:val="00552927"/>
    <w:rsid w:val="00552D97"/>
    <w:rsid w:val="0055361C"/>
    <w:rsid w:val="00553BF2"/>
    <w:rsid w:val="00554885"/>
    <w:rsid w:val="00554F20"/>
    <w:rsid w:val="00554FF6"/>
    <w:rsid w:val="00555376"/>
    <w:rsid w:val="0055575C"/>
    <w:rsid w:val="005557BA"/>
    <w:rsid w:val="00556023"/>
    <w:rsid w:val="0055681F"/>
    <w:rsid w:val="0055684B"/>
    <w:rsid w:val="0055740B"/>
    <w:rsid w:val="00557894"/>
    <w:rsid w:val="005608FE"/>
    <w:rsid w:val="005611D8"/>
    <w:rsid w:val="00562338"/>
    <w:rsid w:val="005623A7"/>
    <w:rsid w:val="00562A34"/>
    <w:rsid w:val="00562D6A"/>
    <w:rsid w:val="00562DC9"/>
    <w:rsid w:val="00563008"/>
    <w:rsid w:val="00563338"/>
    <w:rsid w:val="00565D64"/>
    <w:rsid w:val="0056619D"/>
    <w:rsid w:val="00570EF2"/>
    <w:rsid w:val="005712BB"/>
    <w:rsid w:val="00571698"/>
    <w:rsid w:val="005718A9"/>
    <w:rsid w:val="00571A7F"/>
    <w:rsid w:val="00571B9A"/>
    <w:rsid w:val="00572DC3"/>
    <w:rsid w:val="0057332D"/>
    <w:rsid w:val="00573396"/>
    <w:rsid w:val="00573444"/>
    <w:rsid w:val="00573B82"/>
    <w:rsid w:val="005743A8"/>
    <w:rsid w:val="005743FC"/>
    <w:rsid w:val="00574474"/>
    <w:rsid w:val="005745EF"/>
    <w:rsid w:val="0057463F"/>
    <w:rsid w:val="005747EE"/>
    <w:rsid w:val="005748B6"/>
    <w:rsid w:val="00574D8E"/>
    <w:rsid w:val="00574E4E"/>
    <w:rsid w:val="005750D3"/>
    <w:rsid w:val="00575133"/>
    <w:rsid w:val="00575238"/>
    <w:rsid w:val="00575FD5"/>
    <w:rsid w:val="0057688F"/>
    <w:rsid w:val="00576DE8"/>
    <w:rsid w:val="005770DB"/>
    <w:rsid w:val="00577E7A"/>
    <w:rsid w:val="00577FBF"/>
    <w:rsid w:val="005805E1"/>
    <w:rsid w:val="00580A54"/>
    <w:rsid w:val="00580BEA"/>
    <w:rsid w:val="00580E6F"/>
    <w:rsid w:val="00581579"/>
    <w:rsid w:val="0058232F"/>
    <w:rsid w:val="00582416"/>
    <w:rsid w:val="00582B04"/>
    <w:rsid w:val="0058434A"/>
    <w:rsid w:val="00584434"/>
    <w:rsid w:val="00584505"/>
    <w:rsid w:val="005846FC"/>
    <w:rsid w:val="0058484A"/>
    <w:rsid w:val="00584DAA"/>
    <w:rsid w:val="00584FDD"/>
    <w:rsid w:val="00585057"/>
    <w:rsid w:val="005856B0"/>
    <w:rsid w:val="005861A9"/>
    <w:rsid w:val="00586222"/>
    <w:rsid w:val="00586283"/>
    <w:rsid w:val="00586340"/>
    <w:rsid w:val="0058644C"/>
    <w:rsid w:val="00586544"/>
    <w:rsid w:val="0058659D"/>
    <w:rsid w:val="00586690"/>
    <w:rsid w:val="00587004"/>
    <w:rsid w:val="00587316"/>
    <w:rsid w:val="00587548"/>
    <w:rsid w:val="005902B5"/>
    <w:rsid w:val="005906CB"/>
    <w:rsid w:val="00590827"/>
    <w:rsid w:val="00590973"/>
    <w:rsid w:val="00590E20"/>
    <w:rsid w:val="00590E38"/>
    <w:rsid w:val="00590EE9"/>
    <w:rsid w:val="00590FF3"/>
    <w:rsid w:val="005913FA"/>
    <w:rsid w:val="0059179F"/>
    <w:rsid w:val="00591C42"/>
    <w:rsid w:val="00592635"/>
    <w:rsid w:val="00592AE0"/>
    <w:rsid w:val="00592D4C"/>
    <w:rsid w:val="00592F1F"/>
    <w:rsid w:val="00593451"/>
    <w:rsid w:val="005941DC"/>
    <w:rsid w:val="005946C5"/>
    <w:rsid w:val="005949E8"/>
    <w:rsid w:val="00594CA9"/>
    <w:rsid w:val="00595191"/>
    <w:rsid w:val="005955B5"/>
    <w:rsid w:val="0059568F"/>
    <w:rsid w:val="00595AE5"/>
    <w:rsid w:val="00595B72"/>
    <w:rsid w:val="00595F85"/>
    <w:rsid w:val="00596037"/>
    <w:rsid w:val="005961E6"/>
    <w:rsid w:val="005962D7"/>
    <w:rsid w:val="00596684"/>
    <w:rsid w:val="005969BA"/>
    <w:rsid w:val="00596D96"/>
    <w:rsid w:val="00596ED4"/>
    <w:rsid w:val="00597747"/>
    <w:rsid w:val="00597ABC"/>
    <w:rsid w:val="005A0029"/>
    <w:rsid w:val="005A0058"/>
    <w:rsid w:val="005A0F3C"/>
    <w:rsid w:val="005A14EB"/>
    <w:rsid w:val="005A157D"/>
    <w:rsid w:val="005A2040"/>
    <w:rsid w:val="005A209A"/>
    <w:rsid w:val="005A2737"/>
    <w:rsid w:val="005A295B"/>
    <w:rsid w:val="005A2A56"/>
    <w:rsid w:val="005A2B65"/>
    <w:rsid w:val="005A2D4D"/>
    <w:rsid w:val="005A3558"/>
    <w:rsid w:val="005A39F8"/>
    <w:rsid w:val="005A3E03"/>
    <w:rsid w:val="005A4239"/>
    <w:rsid w:val="005A46E6"/>
    <w:rsid w:val="005A4EF7"/>
    <w:rsid w:val="005A5238"/>
    <w:rsid w:val="005A5831"/>
    <w:rsid w:val="005A5B25"/>
    <w:rsid w:val="005A5BAC"/>
    <w:rsid w:val="005A5E23"/>
    <w:rsid w:val="005A60A1"/>
    <w:rsid w:val="005A691F"/>
    <w:rsid w:val="005A6BA6"/>
    <w:rsid w:val="005A75BC"/>
    <w:rsid w:val="005A7643"/>
    <w:rsid w:val="005A7DEB"/>
    <w:rsid w:val="005B0590"/>
    <w:rsid w:val="005B07F7"/>
    <w:rsid w:val="005B11C0"/>
    <w:rsid w:val="005B19CB"/>
    <w:rsid w:val="005B20E5"/>
    <w:rsid w:val="005B2622"/>
    <w:rsid w:val="005B2B33"/>
    <w:rsid w:val="005B2D8D"/>
    <w:rsid w:val="005B35E5"/>
    <w:rsid w:val="005B36CA"/>
    <w:rsid w:val="005B37E9"/>
    <w:rsid w:val="005B3B8B"/>
    <w:rsid w:val="005B3D8C"/>
    <w:rsid w:val="005B3F28"/>
    <w:rsid w:val="005B434B"/>
    <w:rsid w:val="005B4770"/>
    <w:rsid w:val="005B4CF7"/>
    <w:rsid w:val="005B543B"/>
    <w:rsid w:val="005B6913"/>
    <w:rsid w:val="005B6A85"/>
    <w:rsid w:val="005B711D"/>
    <w:rsid w:val="005B7237"/>
    <w:rsid w:val="005B7492"/>
    <w:rsid w:val="005B7534"/>
    <w:rsid w:val="005B79F3"/>
    <w:rsid w:val="005C123C"/>
    <w:rsid w:val="005C124C"/>
    <w:rsid w:val="005C154A"/>
    <w:rsid w:val="005C1C8B"/>
    <w:rsid w:val="005C1CA2"/>
    <w:rsid w:val="005C1DC1"/>
    <w:rsid w:val="005C1FF6"/>
    <w:rsid w:val="005C216D"/>
    <w:rsid w:val="005C2636"/>
    <w:rsid w:val="005C285B"/>
    <w:rsid w:val="005C2A2B"/>
    <w:rsid w:val="005C2BFB"/>
    <w:rsid w:val="005C31D4"/>
    <w:rsid w:val="005C3BF3"/>
    <w:rsid w:val="005C45CF"/>
    <w:rsid w:val="005C4C15"/>
    <w:rsid w:val="005C522D"/>
    <w:rsid w:val="005C5C2F"/>
    <w:rsid w:val="005C62AA"/>
    <w:rsid w:val="005C6BD0"/>
    <w:rsid w:val="005C77B0"/>
    <w:rsid w:val="005C787E"/>
    <w:rsid w:val="005C7B2C"/>
    <w:rsid w:val="005D069E"/>
    <w:rsid w:val="005D06D9"/>
    <w:rsid w:val="005D0B8A"/>
    <w:rsid w:val="005D1017"/>
    <w:rsid w:val="005D15BF"/>
    <w:rsid w:val="005D1897"/>
    <w:rsid w:val="005D1DAD"/>
    <w:rsid w:val="005D3BA3"/>
    <w:rsid w:val="005D42E1"/>
    <w:rsid w:val="005D4509"/>
    <w:rsid w:val="005D45F9"/>
    <w:rsid w:val="005D4670"/>
    <w:rsid w:val="005D5DF1"/>
    <w:rsid w:val="005D60CF"/>
    <w:rsid w:val="005D6142"/>
    <w:rsid w:val="005D7254"/>
    <w:rsid w:val="005D7302"/>
    <w:rsid w:val="005D7312"/>
    <w:rsid w:val="005D76D0"/>
    <w:rsid w:val="005E029B"/>
    <w:rsid w:val="005E0481"/>
    <w:rsid w:val="005E08B6"/>
    <w:rsid w:val="005E0E7E"/>
    <w:rsid w:val="005E150C"/>
    <w:rsid w:val="005E1551"/>
    <w:rsid w:val="005E25C4"/>
    <w:rsid w:val="005E2EDC"/>
    <w:rsid w:val="005E36BD"/>
    <w:rsid w:val="005E3D3A"/>
    <w:rsid w:val="005E3FFE"/>
    <w:rsid w:val="005E416E"/>
    <w:rsid w:val="005E4544"/>
    <w:rsid w:val="005E4B5C"/>
    <w:rsid w:val="005E4D2F"/>
    <w:rsid w:val="005E5330"/>
    <w:rsid w:val="005E57FA"/>
    <w:rsid w:val="005E5A0B"/>
    <w:rsid w:val="005E5E54"/>
    <w:rsid w:val="005E6201"/>
    <w:rsid w:val="005E636F"/>
    <w:rsid w:val="005E68E1"/>
    <w:rsid w:val="005E698C"/>
    <w:rsid w:val="005E6D50"/>
    <w:rsid w:val="005E770D"/>
    <w:rsid w:val="005E784C"/>
    <w:rsid w:val="005E7AA7"/>
    <w:rsid w:val="005E7EF2"/>
    <w:rsid w:val="005F0238"/>
    <w:rsid w:val="005F036D"/>
    <w:rsid w:val="005F052C"/>
    <w:rsid w:val="005F0979"/>
    <w:rsid w:val="005F0C81"/>
    <w:rsid w:val="005F0EE0"/>
    <w:rsid w:val="005F1067"/>
    <w:rsid w:val="005F1491"/>
    <w:rsid w:val="005F2A1E"/>
    <w:rsid w:val="005F2A3A"/>
    <w:rsid w:val="005F2A96"/>
    <w:rsid w:val="005F3A7F"/>
    <w:rsid w:val="005F4400"/>
    <w:rsid w:val="005F463D"/>
    <w:rsid w:val="005F5302"/>
    <w:rsid w:val="005F5847"/>
    <w:rsid w:val="005F6173"/>
    <w:rsid w:val="005F624B"/>
    <w:rsid w:val="005F6448"/>
    <w:rsid w:val="005F6C2E"/>
    <w:rsid w:val="005F733C"/>
    <w:rsid w:val="005F754C"/>
    <w:rsid w:val="0060058E"/>
    <w:rsid w:val="00600618"/>
    <w:rsid w:val="0060075E"/>
    <w:rsid w:val="006008C4"/>
    <w:rsid w:val="006008FA"/>
    <w:rsid w:val="00600C74"/>
    <w:rsid w:val="00601086"/>
    <w:rsid w:val="00601433"/>
    <w:rsid w:val="006016D8"/>
    <w:rsid w:val="006020C0"/>
    <w:rsid w:val="00602125"/>
    <w:rsid w:val="006029C3"/>
    <w:rsid w:val="006030A4"/>
    <w:rsid w:val="00603132"/>
    <w:rsid w:val="006032FF"/>
    <w:rsid w:val="0060394A"/>
    <w:rsid w:val="00603D91"/>
    <w:rsid w:val="00603E61"/>
    <w:rsid w:val="006040BC"/>
    <w:rsid w:val="00604E49"/>
    <w:rsid w:val="00605342"/>
    <w:rsid w:val="00605352"/>
    <w:rsid w:val="0060584C"/>
    <w:rsid w:val="00605D1B"/>
    <w:rsid w:val="00606152"/>
    <w:rsid w:val="00606288"/>
    <w:rsid w:val="00606B7D"/>
    <w:rsid w:val="006075C1"/>
    <w:rsid w:val="006078F5"/>
    <w:rsid w:val="00607A14"/>
    <w:rsid w:val="00610136"/>
    <w:rsid w:val="00610A6F"/>
    <w:rsid w:val="006116F0"/>
    <w:rsid w:val="00611CB0"/>
    <w:rsid w:val="006122AA"/>
    <w:rsid w:val="00612EBE"/>
    <w:rsid w:val="006138F5"/>
    <w:rsid w:val="006139A9"/>
    <w:rsid w:val="00613A4D"/>
    <w:rsid w:val="00613CC9"/>
    <w:rsid w:val="0061448D"/>
    <w:rsid w:val="00614B10"/>
    <w:rsid w:val="00614B37"/>
    <w:rsid w:val="00614CB4"/>
    <w:rsid w:val="00615615"/>
    <w:rsid w:val="0061583C"/>
    <w:rsid w:val="00615F78"/>
    <w:rsid w:val="006165FB"/>
    <w:rsid w:val="00616F61"/>
    <w:rsid w:val="00616F95"/>
    <w:rsid w:val="006170BD"/>
    <w:rsid w:val="006170DB"/>
    <w:rsid w:val="00617423"/>
    <w:rsid w:val="00620EAA"/>
    <w:rsid w:val="006214C4"/>
    <w:rsid w:val="00621795"/>
    <w:rsid w:val="0062189B"/>
    <w:rsid w:val="006218FD"/>
    <w:rsid w:val="00621A42"/>
    <w:rsid w:val="00621AFD"/>
    <w:rsid w:val="006220F7"/>
    <w:rsid w:val="0062234A"/>
    <w:rsid w:val="00622621"/>
    <w:rsid w:val="00622C5E"/>
    <w:rsid w:val="00622D4D"/>
    <w:rsid w:val="006230B3"/>
    <w:rsid w:val="0062410C"/>
    <w:rsid w:val="00624D4E"/>
    <w:rsid w:val="00624F5C"/>
    <w:rsid w:val="00625CAD"/>
    <w:rsid w:val="0062601D"/>
    <w:rsid w:val="0062603D"/>
    <w:rsid w:val="0062675F"/>
    <w:rsid w:val="00626D67"/>
    <w:rsid w:val="00626D87"/>
    <w:rsid w:val="00626EBB"/>
    <w:rsid w:val="00626EE8"/>
    <w:rsid w:val="006273E4"/>
    <w:rsid w:val="00627E24"/>
    <w:rsid w:val="006303DC"/>
    <w:rsid w:val="0063064B"/>
    <w:rsid w:val="0063079C"/>
    <w:rsid w:val="00630868"/>
    <w:rsid w:val="00631107"/>
    <w:rsid w:val="006311DA"/>
    <w:rsid w:val="00631240"/>
    <w:rsid w:val="00631371"/>
    <w:rsid w:val="0063155E"/>
    <w:rsid w:val="00631F40"/>
    <w:rsid w:val="006323D1"/>
    <w:rsid w:val="00632F8C"/>
    <w:rsid w:val="00632F98"/>
    <w:rsid w:val="00635282"/>
    <w:rsid w:val="006353C5"/>
    <w:rsid w:val="006357ED"/>
    <w:rsid w:val="00635DAA"/>
    <w:rsid w:val="0063634C"/>
    <w:rsid w:val="00636516"/>
    <w:rsid w:val="00637386"/>
    <w:rsid w:val="00637774"/>
    <w:rsid w:val="00640045"/>
    <w:rsid w:val="00640681"/>
    <w:rsid w:val="00640E5F"/>
    <w:rsid w:val="00641161"/>
    <w:rsid w:val="00641466"/>
    <w:rsid w:val="00641685"/>
    <w:rsid w:val="0064187C"/>
    <w:rsid w:val="00641A01"/>
    <w:rsid w:val="00641D37"/>
    <w:rsid w:val="0064220A"/>
    <w:rsid w:val="00642806"/>
    <w:rsid w:val="006431E3"/>
    <w:rsid w:val="006436DF"/>
    <w:rsid w:val="00643DD5"/>
    <w:rsid w:val="006445A6"/>
    <w:rsid w:val="00645188"/>
    <w:rsid w:val="006451A0"/>
    <w:rsid w:val="006454CC"/>
    <w:rsid w:val="00645A60"/>
    <w:rsid w:val="006464F0"/>
    <w:rsid w:val="0064773E"/>
    <w:rsid w:val="00647ADF"/>
    <w:rsid w:val="00647E33"/>
    <w:rsid w:val="0065092D"/>
    <w:rsid w:val="00651087"/>
    <w:rsid w:val="00651EE3"/>
    <w:rsid w:val="00651F56"/>
    <w:rsid w:val="00651FB9"/>
    <w:rsid w:val="006521AB"/>
    <w:rsid w:val="00652D94"/>
    <w:rsid w:val="00653AA4"/>
    <w:rsid w:val="00653B09"/>
    <w:rsid w:val="0065460C"/>
    <w:rsid w:val="00655231"/>
    <w:rsid w:val="006554D4"/>
    <w:rsid w:val="00655BCE"/>
    <w:rsid w:val="00655CD7"/>
    <w:rsid w:val="00655EA7"/>
    <w:rsid w:val="0065635A"/>
    <w:rsid w:val="0065653F"/>
    <w:rsid w:val="006565FA"/>
    <w:rsid w:val="00656D11"/>
    <w:rsid w:val="0065719C"/>
    <w:rsid w:val="0065770A"/>
    <w:rsid w:val="0065790D"/>
    <w:rsid w:val="00660145"/>
    <w:rsid w:val="00660279"/>
    <w:rsid w:val="00660436"/>
    <w:rsid w:val="00661537"/>
    <w:rsid w:val="006621D8"/>
    <w:rsid w:val="006628E1"/>
    <w:rsid w:val="00662AA4"/>
    <w:rsid w:val="00662B6F"/>
    <w:rsid w:val="00662F55"/>
    <w:rsid w:val="00663C9B"/>
    <w:rsid w:val="0066440B"/>
    <w:rsid w:val="00664716"/>
    <w:rsid w:val="00664AF1"/>
    <w:rsid w:val="00664E67"/>
    <w:rsid w:val="00665382"/>
    <w:rsid w:val="006658AA"/>
    <w:rsid w:val="006658BE"/>
    <w:rsid w:val="0066598C"/>
    <w:rsid w:val="00665A4B"/>
    <w:rsid w:val="00665CB8"/>
    <w:rsid w:val="00665E66"/>
    <w:rsid w:val="0066604E"/>
    <w:rsid w:val="006668F5"/>
    <w:rsid w:val="00666AB3"/>
    <w:rsid w:val="00666BA1"/>
    <w:rsid w:val="006670F0"/>
    <w:rsid w:val="0066718A"/>
    <w:rsid w:val="00667233"/>
    <w:rsid w:val="006672E7"/>
    <w:rsid w:val="00667855"/>
    <w:rsid w:val="0067008B"/>
    <w:rsid w:val="006700D2"/>
    <w:rsid w:val="0067041C"/>
    <w:rsid w:val="00670947"/>
    <w:rsid w:val="00670EA8"/>
    <w:rsid w:val="00670FE7"/>
    <w:rsid w:val="006715CD"/>
    <w:rsid w:val="0067181C"/>
    <w:rsid w:val="00671A26"/>
    <w:rsid w:val="00671DD2"/>
    <w:rsid w:val="00672104"/>
    <w:rsid w:val="00672677"/>
    <w:rsid w:val="00672C58"/>
    <w:rsid w:val="00672DB5"/>
    <w:rsid w:val="00672DE1"/>
    <w:rsid w:val="006733BC"/>
    <w:rsid w:val="00673B7D"/>
    <w:rsid w:val="00674380"/>
    <w:rsid w:val="00674C50"/>
    <w:rsid w:val="00674D6E"/>
    <w:rsid w:val="00674F8A"/>
    <w:rsid w:val="006752DE"/>
    <w:rsid w:val="0067558F"/>
    <w:rsid w:val="00675A13"/>
    <w:rsid w:val="00676412"/>
    <w:rsid w:val="006764EA"/>
    <w:rsid w:val="006764ED"/>
    <w:rsid w:val="0067680E"/>
    <w:rsid w:val="006769C6"/>
    <w:rsid w:val="00676EEA"/>
    <w:rsid w:val="00677672"/>
    <w:rsid w:val="00677827"/>
    <w:rsid w:val="00677902"/>
    <w:rsid w:val="0068036B"/>
    <w:rsid w:val="00680E49"/>
    <w:rsid w:val="00680E94"/>
    <w:rsid w:val="00680F3E"/>
    <w:rsid w:val="00681049"/>
    <w:rsid w:val="006816B9"/>
    <w:rsid w:val="0068232A"/>
    <w:rsid w:val="00683D0B"/>
    <w:rsid w:val="00683E74"/>
    <w:rsid w:val="006841F5"/>
    <w:rsid w:val="0068446C"/>
    <w:rsid w:val="0068453F"/>
    <w:rsid w:val="006853EC"/>
    <w:rsid w:val="00685840"/>
    <w:rsid w:val="00685CDB"/>
    <w:rsid w:val="0068697D"/>
    <w:rsid w:val="00686A0B"/>
    <w:rsid w:val="00686F6C"/>
    <w:rsid w:val="006870A4"/>
    <w:rsid w:val="00687410"/>
    <w:rsid w:val="00687ADF"/>
    <w:rsid w:val="00687BA4"/>
    <w:rsid w:val="0069027C"/>
    <w:rsid w:val="006903A2"/>
    <w:rsid w:val="006909DD"/>
    <w:rsid w:val="00691292"/>
    <w:rsid w:val="00691B8E"/>
    <w:rsid w:val="006922D7"/>
    <w:rsid w:val="00692878"/>
    <w:rsid w:val="00692C3D"/>
    <w:rsid w:val="00693D44"/>
    <w:rsid w:val="0069498F"/>
    <w:rsid w:val="00694D2B"/>
    <w:rsid w:val="006959CE"/>
    <w:rsid w:val="00695DF4"/>
    <w:rsid w:val="0069611C"/>
    <w:rsid w:val="006961C0"/>
    <w:rsid w:val="0069665F"/>
    <w:rsid w:val="00696766"/>
    <w:rsid w:val="006968FF"/>
    <w:rsid w:val="00697C68"/>
    <w:rsid w:val="00697DE3"/>
    <w:rsid w:val="00697F21"/>
    <w:rsid w:val="006A03DB"/>
    <w:rsid w:val="006A0A26"/>
    <w:rsid w:val="006A1219"/>
    <w:rsid w:val="006A16FB"/>
    <w:rsid w:val="006A1B62"/>
    <w:rsid w:val="006A1E4A"/>
    <w:rsid w:val="006A2320"/>
    <w:rsid w:val="006A2467"/>
    <w:rsid w:val="006A2648"/>
    <w:rsid w:val="006A2D81"/>
    <w:rsid w:val="006A30EE"/>
    <w:rsid w:val="006A3AFE"/>
    <w:rsid w:val="006A3CE1"/>
    <w:rsid w:val="006A4148"/>
    <w:rsid w:val="006A452B"/>
    <w:rsid w:val="006A47B4"/>
    <w:rsid w:val="006A4877"/>
    <w:rsid w:val="006A4917"/>
    <w:rsid w:val="006A4BC6"/>
    <w:rsid w:val="006A72F2"/>
    <w:rsid w:val="006A75AA"/>
    <w:rsid w:val="006A7B5A"/>
    <w:rsid w:val="006B08E6"/>
    <w:rsid w:val="006B0930"/>
    <w:rsid w:val="006B099E"/>
    <w:rsid w:val="006B09A3"/>
    <w:rsid w:val="006B1706"/>
    <w:rsid w:val="006B192D"/>
    <w:rsid w:val="006B21A1"/>
    <w:rsid w:val="006B248B"/>
    <w:rsid w:val="006B2949"/>
    <w:rsid w:val="006B2BB5"/>
    <w:rsid w:val="006B2E83"/>
    <w:rsid w:val="006B3419"/>
    <w:rsid w:val="006B3E88"/>
    <w:rsid w:val="006B4032"/>
    <w:rsid w:val="006B4B9D"/>
    <w:rsid w:val="006B4C8B"/>
    <w:rsid w:val="006B4E5F"/>
    <w:rsid w:val="006B5226"/>
    <w:rsid w:val="006B5243"/>
    <w:rsid w:val="006B56D8"/>
    <w:rsid w:val="006B5B95"/>
    <w:rsid w:val="006B6C00"/>
    <w:rsid w:val="006B6CED"/>
    <w:rsid w:val="006B740E"/>
    <w:rsid w:val="006B7695"/>
    <w:rsid w:val="006B7809"/>
    <w:rsid w:val="006B7880"/>
    <w:rsid w:val="006B7A10"/>
    <w:rsid w:val="006B7AB8"/>
    <w:rsid w:val="006B7FAB"/>
    <w:rsid w:val="006C0028"/>
    <w:rsid w:val="006C0208"/>
    <w:rsid w:val="006C08C2"/>
    <w:rsid w:val="006C0F40"/>
    <w:rsid w:val="006C10B7"/>
    <w:rsid w:val="006C157E"/>
    <w:rsid w:val="006C1919"/>
    <w:rsid w:val="006C2A95"/>
    <w:rsid w:val="006C2C97"/>
    <w:rsid w:val="006C2F58"/>
    <w:rsid w:val="006C2F6E"/>
    <w:rsid w:val="006C30D0"/>
    <w:rsid w:val="006C313D"/>
    <w:rsid w:val="006C3CCC"/>
    <w:rsid w:val="006C4A1F"/>
    <w:rsid w:val="006C4BC1"/>
    <w:rsid w:val="006C4F93"/>
    <w:rsid w:val="006C65F7"/>
    <w:rsid w:val="006C6794"/>
    <w:rsid w:val="006C7298"/>
    <w:rsid w:val="006C7460"/>
    <w:rsid w:val="006C7799"/>
    <w:rsid w:val="006C77A9"/>
    <w:rsid w:val="006D05EA"/>
    <w:rsid w:val="006D08DF"/>
    <w:rsid w:val="006D0CAF"/>
    <w:rsid w:val="006D0F33"/>
    <w:rsid w:val="006D0FFC"/>
    <w:rsid w:val="006D1612"/>
    <w:rsid w:val="006D1747"/>
    <w:rsid w:val="006D1959"/>
    <w:rsid w:val="006D356E"/>
    <w:rsid w:val="006D3B05"/>
    <w:rsid w:val="006D3B70"/>
    <w:rsid w:val="006D3CF5"/>
    <w:rsid w:val="006D4112"/>
    <w:rsid w:val="006D42CF"/>
    <w:rsid w:val="006D471B"/>
    <w:rsid w:val="006D4CC9"/>
    <w:rsid w:val="006D5106"/>
    <w:rsid w:val="006D52B7"/>
    <w:rsid w:val="006D5E44"/>
    <w:rsid w:val="006D63F7"/>
    <w:rsid w:val="006D64A5"/>
    <w:rsid w:val="006D6C3C"/>
    <w:rsid w:val="006D6E91"/>
    <w:rsid w:val="006D6F8C"/>
    <w:rsid w:val="006D755F"/>
    <w:rsid w:val="006D7A27"/>
    <w:rsid w:val="006E0B25"/>
    <w:rsid w:val="006E0DF6"/>
    <w:rsid w:val="006E1049"/>
    <w:rsid w:val="006E1962"/>
    <w:rsid w:val="006E1B11"/>
    <w:rsid w:val="006E28B2"/>
    <w:rsid w:val="006E2A70"/>
    <w:rsid w:val="006E363B"/>
    <w:rsid w:val="006E366A"/>
    <w:rsid w:val="006E375A"/>
    <w:rsid w:val="006E3C00"/>
    <w:rsid w:val="006E3C42"/>
    <w:rsid w:val="006E3E06"/>
    <w:rsid w:val="006E3E33"/>
    <w:rsid w:val="006E3E4B"/>
    <w:rsid w:val="006E3F0F"/>
    <w:rsid w:val="006E4116"/>
    <w:rsid w:val="006E458A"/>
    <w:rsid w:val="006E489F"/>
    <w:rsid w:val="006E4D8D"/>
    <w:rsid w:val="006E4E84"/>
    <w:rsid w:val="006E4FC4"/>
    <w:rsid w:val="006E578F"/>
    <w:rsid w:val="006E5FE4"/>
    <w:rsid w:val="006E60E6"/>
    <w:rsid w:val="006E6299"/>
    <w:rsid w:val="006E6858"/>
    <w:rsid w:val="006E6BD5"/>
    <w:rsid w:val="006E76D7"/>
    <w:rsid w:val="006E7864"/>
    <w:rsid w:val="006E7F4A"/>
    <w:rsid w:val="006F0F56"/>
    <w:rsid w:val="006F148B"/>
    <w:rsid w:val="006F1E6F"/>
    <w:rsid w:val="006F1ED6"/>
    <w:rsid w:val="006F2825"/>
    <w:rsid w:val="006F3809"/>
    <w:rsid w:val="006F4E38"/>
    <w:rsid w:val="006F529C"/>
    <w:rsid w:val="006F5675"/>
    <w:rsid w:val="006F56E3"/>
    <w:rsid w:val="006F7388"/>
    <w:rsid w:val="007000B3"/>
    <w:rsid w:val="007007EA"/>
    <w:rsid w:val="00700A37"/>
    <w:rsid w:val="00700EDD"/>
    <w:rsid w:val="007018DF"/>
    <w:rsid w:val="007019A9"/>
    <w:rsid w:val="00701C65"/>
    <w:rsid w:val="00702126"/>
    <w:rsid w:val="0070239F"/>
    <w:rsid w:val="007024A2"/>
    <w:rsid w:val="00702B15"/>
    <w:rsid w:val="00703240"/>
    <w:rsid w:val="00703444"/>
    <w:rsid w:val="0070347A"/>
    <w:rsid w:val="00703854"/>
    <w:rsid w:val="0070410E"/>
    <w:rsid w:val="007041DB"/>
    <w:rsid w:val="00704E67"/>
    <w:rsid w:val="00704E84"/>
    <w:rsid w:val="0070520D"/>
    <w:rsid w:val="00705A9C"/>
    <w:rsid w:val="0070602F"/>
    <w:rsid w:val="00706310"/>
    <w:rsid w:val="0070635F"/>
    <w:rsid w:val="00706492"/>
    <w:rsid w:val="00707A09"/>
    <w:rsid w:val="007100B3"/>
    <w:rsid w:val="007101FC"/>
    <w:rsid w:val="0071064D"/>
    <w:rsid w:val="00711387"/>
    <w:rsid w:val="0071147A"/>
    <w:rsid w:val="00711A26"/>
    <w:rsid w:val="0071204B"/>
    <w:rsid w:val="007120BB"/>
    <w:rsid w:val="007127A9"/>
    <w:rsid w:val="007129BC"/>
    <w:rsid w:val="00712D89"/>
    <w:rsid w:val="00712DA1"/>
    <w:rsid w:val="00713927"/>
    <w:rsid w:val="00713B0B"/>
    <w:rsid w:val="007144B1"/>
    <w:rsid w:val="007147B7"/>
    <w:rsid w:val="00714CCD"/>
    <w:rsid w:val="00714CF7"/>
    <w:rsid w:val="00715E81"/>
    <w:rsid w:val="00716BED"/>
    <w:rsid w:val="007170AF"/>
    <w:rsid w:val="00717A80"/>
    <w:rsid w:val="00717D20"/>
    <w:rsid w:val="00720290"/>
    <w:rsid w:val="007202CF"/>
    <w:rsid w:val="007206C3"/>
    <w:rsid w:val="007209D0"/>
    <w:rsid w:val="00720DFB"/>
    <w:rsid w:val="00720EA9"/>
    <w:rsid w:val="00721898"/>
    <w:rsid w:val="00721A18"/>
    <w:rsid w:val="00721F04"/>
    <w:rsid w:val="00722494"/>
    <w:rsid w:val="00722D13"/>
    <w:rsid w:val="00722D5F"/>
    <w:rsid w:val="00723730"/>
    <w:rsid w:val="00723C2C"/>
    <w:rsid w:val="00724681"/>
    <w:rsid w:val="007246A2"/>
    <w:rsid w:val="0072494D"/>
    <w:rsid w:val="00725023"/>
    <w:rsid w:val="00725078"/>
    <w:rsid w:val="0072547C"/>
    <w:rsid w:val="007255F5"/>
    <w:rsid w:val="00725616"/>
    <w:rsid w:val="007259B4"/>
    <w:rsid w:val="00725C59"/>
    <w:rsid w:val="00725CD3"/>
    <w:rsid w:val="00725E0C"/>
    <w:rsid w:val="00725EAC"/>
    <w:rsid w:val="00725F97"/>
    <w:rsid w:val="007261A6"/>
    <w:rsid w:val="007261CA"/>
    <w:rsid w:val="0072733D"/>
    <w:rsid w:val="00727733"/>
    <w:rsid w:val="00727D54"/>
    <w:rsid w:val="00727ED7"/>
    <w:rsid w:val="007304C2"/>
    <w:rsid w:val="007304C7"/>
    <w:rsid w:val="007305EC"/>
    <w:rsid w:val="00730722"/>
    <w:rsid w:val="00730F12"/>
    <w:rsid w:val="00730F65"/>
    <w:rsid w:val="007321B6"/>
    <w:rsid w:val="00732267"/>
    <w:rsid w:val="007322C4"/>
    <w:rsid w:val="007329C2"/>
    <w:rsid w:val="00732AC1"/>
    <w:rsid w:val="00732B12"/>
    <w:rsid w:val="00732F28"/>
    <w:rsid w:val="007332C7"/>
    <w:rsid w:val="00733887"/>
    <w:rsid w:val="0073393C"/>
    <w:rsid w:val="00734597"/>
    <w:rsid w:val="007348F7"/>
    <w:rsid w:val="00734DBF"/>
    <w:rsid w:val="0073508F"/>
    <w:rsid w:val="0073529E"/>
    <w:rsid w:val="007354CB"/>
    <w:rsid w:val="00735DF3"/>
    <w:rsid w:val="00735E17"/>
    <w:rsid w:val="007360B2"/>
    <w:rsid w:val="00736420"/>
    <w:rsid w:val="00736481"/>
    <w:rsid w:val="00737181"/>
    <w:rsid w:val="00737707"/>
    <w:rsid w:val="00737EF1"/>
    <w:rsid w:val="0074026F"/>
    <w:rsid w:val="007407AB"/>
    <w:rsid w:val="00740A18"/>
    <w:rsid w:val="007419A8"/>
    <w:rsid w:val="00741A8F"/>
    <w:rsid w:val="00741B53"/>
    <w:rsid w:val="00741CA4"/>
    <w:rsid w:val="00742232"/>
    <w:rsid w:val="00742BD6"/>
    <w:rsid w:val="00742C17"/>
    <w:rsid w:val="007434CA"/>
    <w:rsid w:val="00743511"/>
    <w:rsid w:val="00743AE9"/>
    <w:rsid w:val="00743C72"/>
    <w:rsid w:val="00744279"/>
    <w:rsid w:val="00744991"/>
    <w:rsid w:val="00744BB3"/>
    <w:rsid w:val="00744C4B"/>
    <w:rsid w:val="00745C53"/>
    <w:rsid w:val="00745FD0"/>
    <w:rsid w:val="007461C5"/>
    <w:rsid w:val="00746622"/>
    <w:rsid w:val="007466FF"/>
    <w:rsid w:val="00746B29"/>
    <w:rsid w:val="00746C6D"/>
    <w:rsid w:val="00746ECC"/>
    <w:rsid w:val="00746F50"/>
    <w:rsid w:val="00746F7F"/>
    <w:rsid w:val="00746FE1"/>
    <w:rsid w:val="0074740E"/>
    <w:rsid w:val="0075036A"/>
    <w:rsid w:val="0075069D"/>
    <w:rsid w:val="00751B0F"/>
    <w:rsid w:val="00752D05"/>
    <w:rsid w:val="00752D53"/>
    <w:rsid w:val="00752E58"/>
    <w:rsid w:val="00752FBB"/>
    <w:rsid w:val="00753003"/>
    <w:rsid w:val="00753672"/>
    <w:rsid w:val="00753C9B"/>
    <w:rsid w:val="00753F3A"/>
    <w:rsid w:val="00754AA4"/>
    <w:rsid w:val="0075523E"/>
    <w:rsid w:val="00755E24"/>
    <w:rsid w:val="007566BF"/>
    <w:rsid w:val="00757AC6"/>
    <w:rsid w:val="00757F5B"/>
    <w:rsid w:val="007601F0"/>
    <w:rsid w:val="00760A08"/>
    <w:rsid w:val="00760D36"/>
    <w:rsid w:val="00760E77"/>
    <w:rsid w:val="007612BE"/>
    <w:rsid w:val="0076173E"/>
    <w:rsid w:val="007617DA"/>
    <w:rsid w:val="007626BF"/>
    <w:rsid w:val="00762C51"/>
    <w:rsid w:val="007635E1"/>
    <w:rsid w:val="00763707"/>
    <w:rsid w:val="00763CF8"/>
    <w:rsid w:val="00764100"/>
    <w:rsid w:val="00764587"/>
    <w:rsid w:val="007649EA"/>
    <w:rsid w:val="00764B53"/>
    <w:rsid w:val="00764D85"/>
    <w:rsid w:val="00765477"/>
    <w:rsid w:val="007659BE"/>
    <w:rsid w:val="00765C50"/>
    <w:rsid w:val="00766AF6"/>
    <w:rsid w:val="00767305"/>
    <w:rsid w:val="00767C4B"/>
    <w:rsid w:val="0077002D"/>
    <w:rsid w:val="00770B81"/>
    <w:rsid w:val="00771250"/>
    <w:rsid w:val="007719B7"/>
    <w:rsid w:val="0077223F"/>
    <w:rsid w:val="00772496"/>
    <w:rsid w:val="007733EC"/>
    <w:rsid w:val="00773558"/>
    <w:rsid w:val="0077373A"/>
    <w:rsid w:val="00773DC2"/>
    <w:rsid w:val="00773FA2"/>
    <w:rsid w:val="007745C3"/>
    <w:rsid w:val="00774C3F"/>
    <w:rsid w:val="00774E35"/>
    <w:rsid w:val="00774FAB"/>
    <w:rsid w:val="00775355"/>
    <w:rsid w:val="00776632"/>
    <w:rsid w:val="00776884"/>
    <w:rsid w:val="00776B30"/>
    <w:rsid w:val="00776B61"/>
    <w:rsid w:val="00776BAC"/>
    <w:rsid w:val="00777AEF"/>
    <w:rsid w:val="0078089B"/>
    <w:rsid w:val="007811E3"/>
    <w:rsid w:val="00781C84"/>
    <w:rsid w:val="00781E70"/>
    <w:rsid w:val="0078256A"/>
    <w:rsid w:val="007825F5"/>
    <w:rsid w:val="00782F2A"/>
    <w:rsid w:val="00783373"/>
    <w:rsid w:val="00783974"/>
    <w:rsid w:val="00783AC6"/>
    <w:rsid w:val="00783BA1"/>
    <w:rsid w:val="00783CA1"/>
    <w:rsid w:val="00783D4D"/>
    <w:rsid w:val="00783F53"/>
    <w:rsid w:val="00784075"/>
    <w:rsid w:val="007845EF"/>
    <w:rsid w:val="0078495F"/>
    <w:rsid w:val="00784B97"/>
    <w:rsid w:val="00784F05"/>
    <w:rsid w:val="00785A6F"/>
    <w:rsid w:val="00786120"/>
    <w:rsid w:val="00786153"/>
    <w:rsid w:val="007863F3"/>
    <w:rsid w:val="007865DC"/>
    <w:rsid w:val="00786E68"/>
    <w:rsid w:val="00787358"/>
    <w:rsid w:val="00787499"/>
    <w:rsid w:val="007876DA"/>
    <w:rsid w:val="0078774E"/>
    <w:rsid w:val="007879C9"/>
    <w:rsid w:val="00787A57"/>
    <w:rsid w:val="00790326"/>
    <w:rsid w:val="0079065A"/>
    <w:rsid w:val="00790770"/>
    <w:rsid w:val="00790EE8"/>
    <w:rsid w:val="00792301"/>
    <w:rsid w:val="007928CC"/>
    <w:rsid w:val="007934B6"/>
    <w:rsid w:val="007939BB"/>
    <w:rsid w:val="007943EC"/>
    <w:rsid w:val="00794604"/>
    <w:rsid w:val="0079491A"/>
    <w:rsid w:val="0079497B"/>
    <w:rsid w:val="00794CB7"/>
    <w:rsid w:val="00795588"/>
    <w:rsid w:val="0079590B"/>
    <w:rsid w:val="00795B2B"/>
    <w:rsid w:val="00796A26"/>
    <w:rsid w:val="00797861"/>
    <w:rsid w:val="007978B1"/>
    <w:rsid w:val="007A0580"/>
    <w:rsid w:val="007A0D4C"/>
    <w:rsid w:val="007A0F67"/>
    <w:rsid w:val="007A117D"/>
    <w:rsid w:val="007A13DC"/>
    <w:rsid w:val="007A1B5A"/>
    <w:rsid w:val="007A2144"/>
    <w:rsid w:val="007A2BEE"/>
    <w:rsid w:val="007A30D8"/>
    <w:rsid w:val="007A3344"/>
    <w:rsid w:val="007A3824"/>
    <w:rsid w:val="007A3A6D"/>
    <w:rsid w:val="007A43B7"/>
    <w:rsid w:val="007A4D51"/>
    <w:rsid w:val="007A512E"/>
    <w:rsid w:val="007A52A2"/>
    <w:rsid w:val="007A6172"/>
    <w:rsid w:val="007A6C28"/>
    <w:rsid w:val="007A6CC9"/>
    <w:rsid w:val="007A6DB7"/>
    <w:rsid w:val="007A714C"/>
    <w:rsid w:val="007A73CD"/>
    <w:rsid w:val="007A76C6"/>
    <w:rsid w:val="007B0090"/>
    <w:rsid w:val="007B04FF"/>
    <w:rsid w:val="007B103E"/>
    <w:rsid w:val="007B14BC"/>
    <w:rsid w:val="007B18BB"/>
    <w:rsid w:val="007B23FB"/>
    <w:rsid w:val="007B296C"/>
    <w:rsid w:val="007B2CCB"/>
    <w:rsid w:val="007B2E08"/>
    <w:rsid w:val="007B2EB4"/>
    <w:rsid w:val="007B3588"/>
    <w:rsid w:val="007B3616"/>
    <w:rsid w:val="007B39DD"/>
    <w:rsid w:val="007B41F5"/>
    <w:rsid w:val="007B4D26"/>
    <w:rsid w:val="007B50BC"/>
    <w:rsid w:val="007B5353"/>
    <w:rsid w:val="007B5F28"/>
    <w:rsid w:val="007B62FF"/>
    <w:rsid w:val="007B6792"/>
    <w:rsid w:val="007B6DFD"/>
    <w:rsid w:val="007B75DF"/>
    <w:rsid w:val="007B7714"/>
    <w:rsid w:val="007B79EB"/>
    <w:rsid w:val="007B7C96"/>
    <w:rsid w:val="007C0AEF"/>
    <w:rsid w:val="007C0B16"/>
    <w:rsid w:val="007C12D8"/>
    <w:rsid w:val="007C13D3"/>
    <w:rsid w:val="007C1680"/>
    <w:rsid w:val="007C1A8B"/>
    <w:rsid w:val="007C1EAA"/>
    <w:rsid w:val="007C1FD1"/>
    <w:rsid w:val="007C21E0"/>
    <w:rsid w:val="007C267D"/>
    <w:rsid w:val="007C2ACD"/>
    <w:rsid w:val="007C34C7"/>
    <w:rsid w:val="007C3545"/>
    <w:rsid w:val="007C365D"/>
    <w:rsid w:val="007C391F"/>
    <w:rsid w:val="007C41E3"/>
    <w:rsid w:val="007C4DDA"/>
    <w:rsid w:val="007C4EC1"/>
    <w:rsid w:val="007C5C3F"/>
    <w:rsid w:val="007C5DB0"/>
    <w:rsid w:val="007C5DBC"/>
    <w:rsid w:val="007C5FAB"/>
    <w:rsid w:val="007C61C2"/>
    <w:rsid w:val="007C64E7"/>
    <w:rsid w:val="007C731C"/>
    <w:rsid w:val="007C734E"/>
    <w:rsid w:val="007C75CA"/>
    <w:rsid w:val="007C75D2"/>
    <w:rsid w:val="007C7C4A"/>
    <w:rsid w:val="007D0589"/>
    <w:rsid w:val="007D0B0D"/>
    <w:rsid w:val="007D0CCA"/>
    <w:rsid w:val="007D1197"/>
    <w:rsid w:val="007D1573"/>
    <w:rsid w:val="007D18F5"/>
    <w:rsid w:val="007D197A"/>
    <w:rsid w:val="007D1C8F"/>
    <w:rsid w:val="007D1CD4"/>
    <w:rsid w:val="007D20AA"/>
    <w:rsid w:val="007D2758"/>
    <w:rsid w:val="007D2872"/>
    <w:rsid w:val="007D2AD8"/>
    <w:rsid w:val="007D3455"/>
    <w:rsid w:val="007D376D"/>
    <w:rsid w:val="007D3B08"/>
    <w:rsid w:val="007D46E1"/>
    <w:rsid w:val="007D4832"/>
    <w:rsid w:val="007D4859"/>
    <w:rsid w:val="007D494C"/>
    <w:rsid w:val="007D4CB1"/>
    <w:rsid w:val="007D50BA"/>
    <w:rsid w:val="007D5686"/>
    <w:rsid w:val="007D597C"/>
    <w:rsid w:val="007D5E03"/>
    <w:rsid w:val="007D5E74"/>
    <w:rsid w:val="007D6555"/>
    <w:rsid w:val="007D666C"/>
    <w:rsid w:val="007D7520"/>
    <w:rsid w:val="007D7B55"/>
    <w:rsid w:val="007E0AEF"/>
    <w:rsid w:val="007E0DA8"/>
    <w:rsid w:val="007E10D3"/>
    <w:rsid w:val="007E10D4"/>
    <w:rsid w:val="007E15E2"/>
    <w:rsid w:val="007E17A3"/>
    <w:rsid w:val="007E1AB2"/>
    <w:rsid w:val="007E1B5F"/>
    <w:rsid w:val="007E1E2E"/>
    <w:rsid w:val="007E2568"/>
    <w:rsid w:val="007E26AB"/>
    <w:rsid w:val="007E2795"/>
    <w:rsid w:val="007E3045"/>
    <w:rsid w:val="007E31FE"/>
    <w:rsid w:val="007E3A6E"/>
    <w:rsid w:val="007E3DED"/>
    <w:rsid w:val="007E44F0"/>
    <w:rsid w:val="007E4C56"/>
    <w:rsid w:val="007E4DF3"/>
    <w:rsid w:val="007E507F"/>
    <w:rsid w:val="007E51F6"/>
    <w:rsid w:val="007E5563"/>
    <w:rsid w:val="007E6270"/>
    <w:rsid w:val="007E665A"/>
    <w:rsid w:val="007E7770"/>
    <w:rsid w:val="007F046F"/>
    <w:rsid w:val="007F0570"/>
    <w:rsid w:val="007F0623"/>
    <w:rsid w:val="007F062B"/>
    <w:rsid w:val="007F06B3"/>
    <w:rsid w:val="007F0725"/>
    <w:rsid w:val="007F0B9D"/>
    <w:rsid w:val="007F0BD0"/>
    <w:rsid w:val="007F1822"/>
    <w:rsid w:val="007F1B5A"/>
    <w:rsid w:val="007F1BA4"/>
    <w:rsid w:val="007F22C4"/>
    <w:rsid w:val="007F237B"/>
    <w:rsid w:val="007F2C70"/>
    <w:rsid w:val="007F2CDF"/>
    <w:rsid w:val="007F367D"/>
    <w:rsid w:val="007F3EB0"/>
    <w:rsid w:val="007F4862"/>
    <w:rsid w:val="007F717A"/>
    <w:rsid w:val="007F7644"/>
    <w:rsid w:val="007F78FF"/>
    <w:rsid w:val="007F7982"/>
    <w:rsid w:val="007F7E8D"/>
    <w:rsid w:val="0080016D"/>
    <w:rsid w:val="00800561"/>
    <w:rsid w:val="008006D6"/>
    <w:rsid w:val="00800D72"/>
    <w:rsid w:val="0080142E"/>
    <w:rsid w:val="008014A5"/>
    <w:rsid w:val="00801A99"/>
    <w:rsid w:val="00801AB7"/>
    <w:rsid w:val="008021EF"/>
    <w:rsid w:val="0080246C"/>
    <w:rsid w:val="00802868"/>
    <w:rsid w:val="00802887"/>
    <w:rsid w:val="00802DBF"/>
    <w:rsid w:val="0080303D"/>
    <w:rsid w:val="00803087"/>
    <w:rsid w:val="008033C5"/>
    <w:rsid w:val="008034C3"/>
    <w:rsid w:val="00803872"/>
    <w:rsid w:val="0080389B"/>
    <w:rsid w:val="00803910"/>
    <w:rsid w:val="00804060"/>
    <w:rsid w:val="00804124"/>
    <w:rsid w:val="00804441"/>
    <w:rsid w:val="00804EE6"/>
    <w:rsid w:val="00805082"/>
    <w:rsid w:val="0080561B"/>
    <w:rsid w:val="00805CA6"/>
    <w:rsid w:val="00805F90"/>
    <w:rsid w:val="0080607E"/>
    <w:rsid w:val="008060CB"/>
    <w:rsid w:val="00806708"/>
    <w:rsid w:val="00806806"/>
    <w:rsid w:val="0080692F"/>
    <w:rsid w:val="00806A93"/>
    <w:rsid w:val="00806D87"/>
    <w:rsid w:val="00807121"/>
    <w:rsid w:val="008073C3"/>
    <w:rsid w:val="00807B38"/>
    <w:rsid w:val="008103D1"/>
    <w:rsid w:val="0081062A"/>
    <w:rsid w:val="008106D1"/>
    <w:rsid w:val="0081075B"/>
    <w:rsid w:val="00810938"/>
    <w:rsid w:val="008111A5"/>
    <w:rsid w:val="008112A0"/>
    <w:rsid w:val="00811433"/>
    <w:rsid w:val="00811710"/>
    <w:rsid w:val="008118EA"/>
    <w:rsid w:val="00811F29"/>
    <w:rsid w:val="00812A54"/>
    <w:rsid w:val="00812A71"/>
    <w:rsid w:val="00812B3B"/>
    <w:rsid w:val="00812C50"/>
    <w:rsid w:val="008130B8"/>
    <w:rsid w:val="0081353B"/>
    <w:rsid w:val="0081388E"/>
    <w:rsid w:val="008140FB"/>
    <w:rsid w:val="00815466"/>
    <w:rsid w:val="00815B91"/>
    <w:rsid w:val="00815BE3"/>
    <w:rsid w:val="00815C50"/>
    <w:rsid w:val="00816488"/>
    <w:rsid w:val="00816666"/>
    <w:rsid w:val="00816E40"/>
    <w:rsid w:val="008174D6"/>
    <w:rsid w:val="00817AF6"/>
    <w:rsid w:val="008202BC"/>
    <w:rsid w:val="00820300"/>
    <w:rsid w:val="00820479"/>
    <w:rsid w:val="00820746"/>
    <w:rsid w:val="008208A2"/>
    <w:rsid w:val="008213BF"/>
    <w:rsid w:val="008217CE"/>
    <w:rsid w:val="00821FA9"/>
    <w:rsid w:val="0082265B"/>
    <w:rsid w:val="00822AC1"/>
    <w:rsid w:val="00823A91"/>
    <w:rsid w:val="00823DB6"/>
    <w:rsid w:val="00824326"/>
    <w:rsid w:val="00824625"/>
    <w:rsid w:val="00824975"/>
    <w:rsid w:val="008254BE"/>
    <w:rsid w:val="008255DF"/>
    <w:rsid w:val="00825BBE"/>
    <w:rsid w:val="00825C19"/>
    <w:rsid w:val="008260D9"/>
    <w:rsid w:val="00826A7B"/>
    <w:rsid w:val="00826B45"/>
    <w:rsid w:val="00826BA3"/>
    <w:rsid w:val="00826D44"/>
    <w:rsid w:val="00826D73"/>
    <w:rsid w:val="00826E69"/>
    <w:rsid w:val="00826F82"/>
    <w:rsid w:val="00827439"/>
    <w:rsid w:val="008277FD"/>
    <w:rsid w:val="00827AF8"/>
    <w:rsid w:val="00827CC7"/>
    <w:rsid w:val="008306E5"/>
    <w:rsid w:val="0083082C"/>
    <w:rsid w:val="00830963"/>
    <w:rsid w:val="008309CE"/>
    <w:rsid w:val="00831040"/>
    <w:rsid w:val="0083150A"/>
    <w:rsid w:val="00831544"/>
    <w:rsid w:val="00831C5F"/>
    <w:rsid w:val="008320DE"/>
    <w:rsid w:val="00832E2E"/>
    <w:rsid w:val="00833A4C"/>
    <w:rsid w:val="00833C30"/>
    <w:rsid w:val="00833CCF"/>
    <w:rsid w:val="00833D6C"/>
    <w:rsid w:val="00833E22"/>
    <w:rsid w:val="00834669"/>
    <w:rsid w:val="00835265"/>
    <w:rsid w:val="00835BB1"/>
    <w:rsid w:val="00835DFF"/>
    <w:rsid w:val="008360B2"/>
    <w:rsid w:val="00836D34"/>
    <w:rsid w:val="0083780C"/>
    <w:rsid w:val="00837819"/>
    <w:rsid w:val="00837F7F"/>
    <w:rsid w:val="008402F4"/>
    <w:rsid w:val="008406C4"/>
    <w:rsid w:val="00841598"/>
    <w:rsid w:val="00841802"/>
    <w:rsid w:val="0084186A"/>
    <w:rsid w:val="00841D37"/>
    <w:rsid w:val="00841E20"/>
    <w:rsid w:val="00842902"/>
    <w:rsid w:val="0084379B"/>
    <w:rsid w:val="00843837"/>
    <w:rsid w:val="008438D3"/>
    <w:rsid w:val="008440A1"/>
    <w:rsid w:val="008442E2"/>
    <w:rsid w:val="00844C20"/>
    <w:rsid w:val="00844CE2"/>
    <w:rsid w:val="00844E67"/>
    <w:rsid w:val="00844ED0"/>
    <w:rsid w:val="008456CA"/>
    <w:rsid w:val="008458C5"/>
    <w:rsid w:val="00845B70"/>
    <w:rsid w:val="00845BB2"/>
    <w:rsid w:val="00846007"/>
    <w:rsid w:val="00846BF8"/>
    <w:rsid w:val="008473AD"/>
    <w:rsid w:val="00847CFE"/>
    <w:rsid w:val="00850149"/>
    <w:rsid w:val="0085079D"/>
    <w:rsid w:val="008507AC"/>
    <w:rsid w:val="00850AAB"/>
    <w:rsid w:val="00850BAC"/>
    <w:rsid w:val="008511AE"/>
    <w:rsid w:val="0085158C"/>
    <w:rsid w:val="00851D18"/>
    <w:rsid w:val="00851F41"/>
    <w:rsid w:val="008525A2"/>
    <w:rsid w:val="008533BE"/>
    <w:rsid w:val="00853774"/>
    <w:rsid w:val="0085392F"/>
    <w:rsid w:val="00853933"/>
    <w:rsid w:val="00853ED7"/>
    <w:rsid w:val="00855339"/>
    <w:rsid w:val="008553A4"/>
    <w:rsid w:val="00855B32"/>
    <w:rsid w:val="008560E4"/>
    <w:rsid w:val="008560F8"/>
    <w:rsid w:val="00856D86"/>
    <w:rsid w:val="00857435"/>
    <w:rsid w:val="00857BC7"/>
    <w:rsid w:val="00857D9F"/>
    <w:rsid w:val="00857EF1"/>
    <w:rsid w:val="008606D4"/>
    <w:rsid w:val="008609B0"/>
    <w:rsid w:val="00860B82"/>
    <w:rsid w:val="00860DC0"/>
    <w:rsid w:val="00861040"/>
    <w:rsid w:val="00861677"/>
    <w:rsid w:val="00861774"/>
    <w:rsid w:val="00861943"/>
    <w:rsid w:val="0086204C"/>
    <w:rsid w:val="0086289E"/>
    <w:rsid w:val="00862FB7"/>
    <w:rsid w:val="0086328E"/>
    <w:rsid w:val="0086433F"/>
    <w:rsid w:val="0086467C"/>
    <w:rsid w:val="00864BDE"/>
    <w:rsid w:val="008656A9"/>
    <w:rsid w:val="00865C90"/>
    <w:rsid w:val="0086604D"/>
    <w:rsid w:val="008662CA"/>
    <w:rsid w:val="00866551"/>
    <w:rsid w:val="00866D18"/>
    <w:rsid w:val="00866D3A"/>
    <w:rsid w:val="00867B2A"/>
    <w:rsid w:val="00867FC4"/>
    <w:rsid w:val="008700C5"/>
    <w:rsid w:val="0087073F"/>
    <w:rsid w:val="00870B87"/>
    <w:rsid w:val="00870FB0"/>
    <w:rsid w:val="00870FBF"/>
    <w:rsid w:val="0087121E"/>
    <w:rsid w:val="008718E1"/>
    <w:rsid w:val="0087225A"/>
    <w:rsid w:val="0087235A"/>
    <w:rsid w:val="00872913"/>
    <w:rsid w:val="008733D7"/>
    <w:rsid w:val="008739C3"/>
    <w:rsid w:val="008743C4"/>
    <w:rsid w:val="008745E1"/>
    <w:rsid w:val="008746C5"/>
    <w:rsid w:val="00874742"/>
    <w:rsid w:val="00874832"/>
    <w:rsid w:val="008748BC"/>
    <w:rsid w:val="00875AF9"/>
    <w:rsid w:val="00875EDB"/>
    <w:rsid w:val="0087683A"/>
    <w:rsid w:val="00876EDC"/>
    <w:rsid w:val="00877123"/>
    <w:rsid w:val="00880002"/>
    <w:rsid w:val="00880575"/>
    <w:rsid w:val="008805F9"/>
    <w:rsid w:val="00881918"/>
    <w:rsid w:val="008821F2"/>
    <w:rsid w:val="00882545"/>
    <w:rsid w:val="008830B8"/>
    <w:rsid w:val="00883321"/>
    <w:rsid w:val="0088380C"/>
    <w:rsid w:val="00883F54"/>
    <w:rsid w:val="00883F62"/>
    <w:rsid w:val="008840DF"/>
    <w:rsid w:val="008842A7"/>
    <w:rsid w:val="00884F50"/>
    <w:rsid w:val="008851DB"/>
    <w:rsid w:val="0088544F"/>
    <w:rsid w:val="00885BF9"/>
    <w:rsid w:val="00886121"/>
    <w:rsid w:val="008862C8"/>
    <w:rsid w:val="00886E2C"/>
    <w:rsid w:val="00887AB9"/>
    <w:rsid w:val="00890559"/>
    <w:rsid w:val="0089088F"/>
    <w:rsid w:val="00890BD1"/>
    <w:rsid w:val="00890D3D"/>
    <w:rsid w:val="00890FD5"/>
    <w:rsid w:val="008910E3"/>
    <w:rsid w:val="008910E7"/>
    <w:rsid w:val="00891165"/>
    <w:rsid w:val="008926D9"/>
    <w:rsid w:val="008936A3"/>
    <w:rsid w:val="00894BE5"/>
    <w:rsid w:val="00894CEA"/>
    <w:rsid w:val="00895639"/>
    <w:rsid w:val="008956BA"/>
    <w:rsid w:val="00895FD3"/>
    <w:rsid w:val="00896127"/>
    <w:rsid w:val="008963BD"/>
    <w:rsid w:val="00896727"/>
    <w:rsid w:val="00896BF6"/>
    <w:rsid w:val="00897DF7"/>
    <w:rsid w:val="008A056F"/>
    <w:rsid w:val="008A08DE"/>
    <w:rsid w:val="008A0A20"/>
    <w:rsid w:val="008A0E6C"/>
    <w:rsid w:val="008A0FEE"/>
    <w:rsid w:val="008A1796"/>
    <w:rsid w:val="008A202C"/>
    <w:rsid w:val="008A2D14"/>
    <w:rsid w:val="008A2F83"/>
    <w:rsid w:val="008A31C6"/>
    <w:rsid w:val="008A3564"/>
    <w:rsid w:val="008A3CED"/>
    <w:rsid w:val="008A4260"/>
    <w:rsid w:val="008A4987"/>
    <w:rsid w:val="008A60E8"/>
    <w:rsid w:val="008A61FB"/>
    <w:rsid w:val="008A664E"/>
    <w:rsid w:val="008A6655"/>
    <w:rsid w:val="008A67F0"/>
    <w:rsid w:val="008A78C5"/>
    <w:rsid w:val="008B0015"/>
    <w:rsid w:val="008B0467"/>
    <w:rsid w:val="008B072E"/>
    <w:rsid w:val="008B093F"/>
    <w:rsid w:val="008B0C5D"/>
    <w:rsid w:val="008B0DA2"/>
    <w:rsid w:val="008B2447"/>
    <w:rsid w:val="008B247C"/>
    <w:rsid w:val="008B24E9"/>
    <w:rsid w:val="008B2635"/>
    <w:rsid w:val="008B283C"/>
    <w:rsid w:val="008B2AA9"/>
    <w:rsid w:val="008B33F7"/>
    <w:rsid w:val="008B55FF"/>
    <w:rsid w:val="008B5733"/>
    <w:rsid w:val="008B598C"/>
    <w:rsid w:val="008B59B0"/>
    <w:rsid w:val="008B5B4D"/>
    <w:rsid w:val="008B5D03"/>
    <w:rsid w:val="008B62F7"/>
    <w:rsid w:val="008B654F"/>
    <w:rsid w:val="008B67B3"/>
    <w:rsid w:val="008B684A"/>
    <w:rsid w:val="008B6B2A"/>
    <w:rsid w:val="008B6BD9"/>
    <w:rsid w:val="008B6BF5"/>
    <w:rsid w:val="008B7577"/>
    <w:rsid w:val="008B7699"/>
    <w:rsid w:val="008B7881"/>
    <w:rsid w:val="008B7B2A"/>
    <w:rsid w:val="008B7E04"/>
    <w:rsid w:val="008C037F"/>
    <w:rsid w:val="008C03D1"/>
    <w:rsid w:val="008C05CF"/>
    <w:rsid w:val="008C0688"/>
    <w:rsid w:val="008C092E"/>
    <w:rsid w:val="008C0FFC"/>
    <w:rsid w:val="008C154E"/>
    <w:rsid w:val="008C16DE"/>
    <w:rsid w:val="008C1C58"/>
    <w:rsid w:val="008C1CDC"/>
    <w:rsid w:val="008C27BD"/>
    <w:rsid w:val="008C303B"/>
    <w:rsid w:val="008C3BCF"/>
    <w:rsid w:val="008C3D7A"/>
    <w:rsid w:val="008C4097"/>
    <w:rsid w:val="008C43D6"/>
    <w:rsid w:val="008C482C"/>
    <w:rsid w:val="008C4968"/>
    <w:rsid w:val="008C60CC"/>
    <w:rsid w:val="008C60EF"/>
    <w:rsid w:val="008C6D64"/>
    <w:rsid w:val="008C7506"/>
    <w:rsid w:val="008C78F1"/>
    <w:rsid w:val="008C7928"/>
    <w:rsid w:val="008D0472"/>
    <w:rsid w:val="008D09FD"/>
    <w:rsid w:val="008D0D0D"/>
    <w:rsid w:val="008D1053"/>
    <w:rsid w:val="008D106B"/>
    <w:rsid w:val="008D17CC"/>
    <w:rsid w:val="008D202D"/>
    <w:rsid w:val="008D2A05"/>
    <w:rsid w:val="008D37AC"/>
    <w:rsid w:val="008D37FD"/>
    <w:rsid w:val="008D3D99"/>
    <w:rsid w:val="008D46F6"/>
    <w:rsid w:val="008D4BD9"/>
    <w:rsid w:val="008D4C59"/>
    <w:rsid w:val="008D55BA"/>
    <w:rsid w:val="008D58C1"/>
    <w:rsid w:val="008D64E4"/>
    <w:rsid w:val="008D6594"/>
    <w:rsid w:val="008D6ACD"/>
    <w:rsid w:val="008D6F35"/>
    <w:rsid w:val="008D70F3"/>
    <w:rsid w:val="008D723F"/>
    <w:rsid w:val="008D745C"/>
    <w:rsid w:val="008D7CFB"/>
    <w:rsid w:val="008D7DFD"/>
    <w:rsid w:val="008E002F"/>
    <w:rsid w:val="008E00DE"/>
    <w:rsid w:val="008E06FB"/>
    <w:rsid w:val="008E1456"/>
    <w:rsid w:val="008E147F"/>
    <w:rsid w:val="008E16CB"/>
    <w:rsid w:val="008E16DF"/>
    <w:rsid w:val="008E21B0"/>
    <w:rsid w:val="008E2EBF"/>
    <w:rsid w:val="008E2FD1"/>
    <w:rsid w:val="008E334D"/>
    <w:rsid w:val="008E4096"/>
    <w:rsid w:val="008E42EE"/>
    <w:rsid w:val="008E4912"/>
    <w:rsid w:val="008E540A"/>
    <w:rsid w:val="008E550D"/>
    <w:rsid w:val="008E58AA"/>
    <w:rsid w:val="008E5A6E"/>
    <w:rsid w:val="008E5BF2"/>
    <w:rsid w:val="008E5C4D"/>
    <w:rsid w:val="008E669A"/>
    <w:rsid w:val="008E6D03"/>
    <w:rsid w:val="008E7FA2"/>
    <w:rsid w:val="008F0289"/>
    <w:rsid w:val="008F04AA"/>
    <w:rsid w:val="008F04BF"/>
    <w:rsid w:val="008F061C"/>
    <w:rsid w:val="008F08A6"/>
    <w:rsid w:val="008F09E6"/>
    <w:rsid w:val="008F0D40"/>
    <w:rsid w:val="008F0D75"/>
    <w:rsid w:val="008F1068"/>
    <w:rsid w:val="008F13AF"/>
    <w:rsid w:val="008F17D9"/>
    <w:rsid w:val="008F1B6F"/>
    <w:rsid w:val="008F1BF9"/>
    <w:rsid w:val="008F33F5"/>
    <w:rsid w:val="008F38C5"/>
    <w:rsid w:val="008F39FF"/>
    <w:rsid w:val="008F43BA"/>
    <w:rsid w:val="008F45B4"/>
    <w:rsid w:val="008F478C"/>
    <w:rsid w:val="008F492C"/>
    <w:rsid w:val="008F4CBA"/>
    <w:rsid w:val="008F5036"/>
    <w:rsid w:val="008F51BE"/>
    <w:rsid w:val="008F51C7"/>
    <w:rsid w:val="008F5D74"/>
    <w:rsid w:val="008F61B0"/>
    <w:rsid w:val="008F6404"/>
    <w:rsid w:val="008F64C1"/>
    <w:rsid w:val="008F6840"/>
    <w:rsid w:val="008F7B27"/>
    <w:rsid w:val="008F7ECB"/>
    <w:rsid w:val="0090050B"/>
    <w:rsid w:val="00900AF1"/>
    <w:rsid w:val="00900DF4"/>
    <w:rsid w:val="0090118D"/>
    <w:rsid w:val="0090134C"/>
    <w:rsid w:val="00901562"/>
    <w:rsid w:val="0090194C"/>
    <w:rsid w:val="009020B3"/>
    <w:rsid w:val="00902282"/>
    <w:rsid w:val="009023E3"/>
    <w:rsid w:val="00902939"/>
    <w:rsid w:val="009032EA"/>
    <w:rsid w:val="00903AC8"/>
    <w:rsid w:val="00903B2C"/>
    <w:rsid w:val="00903E49"/>
    <w:rsid w:val="009043FD"/>
    <w:rsid w:val="00904500"/>
    <w:rsid w:val="00904588"/>
    <w:rsid w:val="009052A0"/>
    <w:rsid w:val="00905597"/>
    <w:rsid w:val="00905D6B"/>
    <w:rsid w:val="00906939"/>
    <w:rsid w:val="00906FA8"/>
    <w:rsid w:val="00907299"/>
    <w:rsid w:val="00907748"/>
    <w:rsid w:val="00907AE7"/>
    <w:rsid w:val="00907AE8"/>
    <w:rsid w:val="00907C98"/>
    <w:rsid w:val="00910E5E"/>
    <w:rsid w:val="00910ED0"/>
    <w:rsid w:val="0091105A"/>
    <w:rsid w:val="009114DB"/>
    <w:rsid w:val="0091293D"/>
    <w:rsid w:val="00912A54"/>
    <w:rsid w:val="00912FFC"/>
    <w:rsid w:val="0091419B"/>
    <w:rsid w:val="00914315"/>
    <w:rsid w:val="00914565"/>
    <w:rsid w:val="00915175"/>
    <w:rsid w:val="00915333"/>
    <w:rsid w:val="009153AF"/>
    <w:rsid w:val="0091545B"/>
    <w:rsid w:val="009154A7"/>
    <w:rsid w:val="009168AC"/>
    <w:rsid w:val="009169E2"/>
    <w:rsid w:val="00916C04"/>
    <w:rsid w:val="009171F9"/>
    <w:rsid w:val="009174CC"/>
    <w:rsid w:val="00917F58"/>
    <w:rsid w:val="009203E8"/>
    <w:rsid w:val="00920515"/>
    <w:rsid w:val="009205D6"/>
    <w:rsid w:val="009206CC"/>
    <w:rsid w:val="00920EAB"/>
    <w:rsid w:val="0092208D"/>
    <w:rsid w:val="00922251"/>
    <w:rsid w:val="00923478"/>
    <w:rsid w:val="009239B9"/>
    <w:rsid w:val="00923B9D"/>
    <w:rsid w:val="009247B2"/>
    <w:rsid w:val="00924C05"/>
    <w:rsid w:val="00924C7F"/>
    <w:rsid w:val="0092504C"/>
    <w:rsid w:val="00925C8A"/>
    <w:rsid w:val="00926933"/>
    <w:rsid w:val="00926C04"/>
    <w:rsid w:val="00926D8D"/>
    <w:rsid w:val="009273AD"/>
    <w:rsid w:val="0093011A"/>
    <w:rsid w:val="00930A58"/>
    <w:rsid w:val="00930DE2"/>
    <w:rsid w:val="0093110C"/>
    <w:rsid w:val="00931F42"/>
    <w:rsid w:val="009320BB"/>
    <w:rsid w:val="00932466"/>
    <w:rsid w:val="00932599"/>
    <w:rsid w:val="00932CF1"/>
    <w:rsid w:val="0093314D"/>
    <w:rsid w:val="00933C2E"/>
    <w:rsid w:val="009345A6"/>
    <w:rsid w:val="0093476D"/>
    <w:rsid w:val="00934C93"/>
    <w:rsid w:val="009350DF"/>
    <w:rsid w:val="0093570F"/>
    <w:rsid w:val="0093596C"/>
    <w:rsid w:val="00935B4E"/>
    <w:rsid w:val="00935D8B"/>
    <w:rsid w:val="0093602E"/>
    <w:rsid w:val="0093624B"/>
    <w:rsid w:val="009369A1"/>
    <w:rsid w:val="00936C47"/>
    <w:rsid w:val="00936CFA"/>
    <w:rsid w:val="0093720C"/>
    <w:rsid w:val="00940967"/>
    <w:rsid w:val="00940A03"/>
    <w:rsid w:val="00940A0C"/>
    <w:rsid w:val="00940EC9"/>
    <w:rsid w:val="009411DD"/>
    <w:rsid w:val="00941846"/>
    <w:rsid w:val="00941A50"/>
    <w:rsid w:val="0094225E"/>
    <w:rsid w:val="0094290B"/>
    <w:rsid w:val="00942D9E"/>
    <w:rsid w:val="0094365F"/>
    <w:rsid w:val="00944452"/>
    <w:rsid w:val="00944470"/>
    <w:rsid w:val="00944DE6"/>
    <w:rsid w:val="00944F79"/>
    <w:rsid w:val="00945693"/>
    <w:rsid w:val="00945A8A"/>
    <w:rsid w:val="00946491"/>
    <w:rsid w:val="009467AE"/>
    <w:rsid w:val="00946AE7"/>
    <w:rsid w:val="00946DBD"/>
    <w:rsid w:val="0095017D"/>
    <w:rsid w:val="00950628"/>
    <w:rsid w:val="00951EF3"/>
    <w:rsid w:val="00951F8F"/>
    <w:rsid w:val="00952674"/>
    <w:rsid w:val="0095377B"/>
    <w:rsid w:val="00953D23"/>
    <w:rsid w:val="00953E6B"/>
    <w:rsid w:val="0095451D"/>
    <w:rsid w:val="00954735"/>
    <w:rsid w:val="009549CA"/>
    <w:rsid w:val="00955D92"/>
    <w:rsid w:val="00956237"/>
    <w:rsid w:val="00956DC0"/>
    <w:rsid w:val="00956EC4"/>
    <w:rsid w:val="00956ED2"/>
    <w:rsid w:val="009571AE"/>
    <w:rsid w:val="00957FED"/>
    <w:rsid w:val="009602DA"/>
    <w:rsid w:val="00960DDB"/>
    <w:rsid w:val="009611DC"/>
    <w:rsid w:val="0096129B"/>
    <w:rsid w:val="00961343"/>
    <w:rsid w:val="009614CD"/>
    <w:rsid w:val="009618CF"/>
    <w:rsid w:val="00962348"/>
    <w:rsid w:val="00962691"/>
    <w:rsid w:val="009629D2"/>
    <w:rsid w:val="00962CC5"/>
    <w:rsid w:val="00963154"/>
    <w:rsid w:val="00963991"/>
    <w:rsid w:val="00963C5E"/>
    <w:rsid w:val="009641A2"/>
    <w:rsid w:val="009649A9"/>
    <w:rsid w:val="00964FEF"/>
    <w:rsid w:val="00965726"/>
    <w:rsid w:val="00965CF0"/>
    <w:rsid w:val="00965F61"/>
    <w:rsid w:val="0096609A"/>
    <w:rsid w:val="00966727"/>
    <w:rsid w:val="00966B3C"/>
    <w:rsid w:val="0096716A"/>
    <w:rsid w:val="00967AFC"/>
    <w:rsid w:val="00967C1A"/>
    <w:rsid w:val="00970491"/>
    <w:rsid w:val="00970A58"/>
    <w:rsid w:val="00970B89"/>
    <w:rsid w:val="00970E42"/>
    <w:rsid w:val="00970FDF"/>
    <w:rsid w:val="0097143F"/>
    <w:rsid w:val="00971B41"/>
    <w:rsid w:val="00971CFF"/>
    <w:rsid w:val="00971DCC"/>
    <w:rsid w:val="00972225"/>
    <w:rsid w:val="00972980"/>
    <w:rsid w:val="00972F20"/>
    <w:rsid w:val="00974D08"/>
    <w:rsid w:val="00974F06"/>
    <w:rsid w:val="00975255"/>
    <w:rsid w:val="00975558"/>
    <w:rsid w:val="00975C46"/>
    <w:rsid w:val="00976407"/>
    <w:rsid w:val="009764DB"/>
    <w:rsid w:val="009767D9"/>
    <w:rsid w:val="00976BE3"/>
    <w:rsid w:val="00976D59"/>
    <w:rsid w:val="0097733B"/>
    <w:rsid w:val="00977946"/>
    <w:rsid w:val="00977A89"/>
    <w:rsid w:val="00980BA0"/>
    <w:rsid w:val="00980CF7"/>
    <w:rsid w:val="0098113C"/>
    <w:rsid w:val="009815B3"/>
    <w:rsid w:val="00981F6E"/>
    <w:rsid w:val="00982019"/>
    <w:rsid w:val="00982E91"/>
    <w:rsid w:val="009834B5"/>
    <w:rsid w:val="00983AC2"/>
    <w:rsid w:val="00983FF8"/>
    <w:rsid w:val="00984208"/>
    <w:rsid w:val="00984BAB"/>
    <w:rsid w:val="00985343"/>
    <w:rsid w:val="0098583D"/>
    <w:rsid w:val="0098589D"/>
    <w:rsid w:val="009861B1"/>
    <w:rsid w:val="00986944"/>
    <w:rsid w:val="00986CCB"/>
    <w:rsid w:val="00987504"/>
    <w:rsid w:val="00987871"/>
    <w:rsid w:val="0099042F"/>
    <w:rsid w:val="009908A6"/>
    <w:rsid w:val="00990AE7"/>
    <w:rsid w:val="009911AA"/>
    <w:rsid w:val="009912DC"/>
    <w:rsid w:val="00991DE6"/>
    <w:rsid w:val="00991FC2"/>
    <w:rsid w:val="00992053"/>
    <w:rsid w:val="00992459"/>
    <w:rsid w:val="0099298B"/>
    <w:rsid w:val="00992A4E"/>
    <w:rsid w:val="0099321F"/>
    <w:rsid w:val="0099338E"/>
    <w:rsid w:val="00993390"/>
    <w:rsid w:val="00993974"/>
    <w:rsid w:val="00993A4C"/>
    <w:rsid w:val="00993D77"/>
    <w:rsid w:val="00993F46"/>
    <w:rsid w:val="00994AD5"/>
    <w:rsid w:val="00994CA2"/>
    <w:rsid w:val="009958F8"/>
    <w:rsid w:val="00995CC3"/>
    <w:rsid w:val="00996238"/>
    <w:rsid w:val="009970D4"/>
    <w:rsid w:val="009971DB"/>
    <w:rsid w:val="009972B3"/>
    <w:rsid w:val="009A05B8"/>
    <w:rsid w:val="009A0EE0"/>
    <w:rsid w:val="009A116E"/>
    <w:rsid w:val="009A151F"/>
    <w:rsid w:val="009A1AE7"/>
    <w:rsid w:val="009A1B82"/>
    <w:rsid w:val="009A1C1E"/>
    <w:rsid w:val="009A1D94"/>
    <w:rsid w:val="009A25E9"/>
    <w:rsid w:val="009A26DD"/>
    <w:rsid w:val="009A2B53"/>
    <w:rsid w:val="009A2B91"/>
    <w:rsid w:val="009A2D66"/>
    <w:rsid w:val="009A350D"/>
    <w:rsid w:val="009A352B"/>
    <w:rsid w:val="009A3947"/>
    <w:rsid w:val="009A39A8"/>
    <w:rsid w:val="009A3EA3"/>
    <w:rsid w:val="009A3FC0"/>
    <w:rsid w:val="009A4153"/>
    <w:rsid w:val="009A4733"/>
    <w:rsid w:val="009A497D"/>
    <w:rsid w:val="009A51FF"/>
    <w:rsid w:val="009A5679"/>
    <w:rsid w:val="009A69F4"/>
    <w:rsid w:val="009A6F18"/>
    <w:rsid w:val="009A78EF"/>
    <w:rsid w:val="009A7A0D"/>
    <w:rsid w:val="009A7BCD"/>
    <w:rsid w:val="009A7BE6"/>
    <w:rsid w:val="009B063A"/>
    <w:rsid w:val="009B07B3"/>
    <w:rsid w:val="009B0F45"/>
    <w:rsid w:val="009B15B4"/>
    <w:rsid w:val="009B1B59"/>
    <w:rsid w:val="009B2237"/>
    <w:rsid w:val="009B2572"/>
    <w:rsid w:val="009B2946"/>
    <w:rsid w:val="009B2FC9"/>
    <w:rsid w:val="009B354A"/>
    <w:rsid w:val="009B3668"/>
    <w:rsid w:val="009B3B44"/>
    <w:rsid w:val="009B4240"/>
    <w:rsid w:val="009B425E"/>
    <w:rsid w:val="009B4FB7"/>
    <w:rsid w:val="009B5951"/>
    <w:rsid w:val="009B5D6A"/>
    <w:rsid w:val="009B6032"/>
    <w:rsid w:val="009B6A7B"/>
    <w:rsid w:val="009B6EE1"/>
    <w:rsid w:val="009B7105"/>
    <w:rsid w:val="009B7735"/>
    <w:rsid w:val="009B7946"/>
    <w:rsid w:val="009C07D4"/>
    <w:rsid w:val="009C0D29"/>
    <w:rsid w:val="009C0FAD"/>
    <w:rsid w:val="009C170F"/>
    <w:rsid w:val="009C183E"/>
    <w:rsid w:val="009C1FB6"/>
    <w:rsid w:val="009C28B7"/>
    <w:rsid w:val="009C2926"/>
    <w:rsid w:val="009C2C60"/>
    <w:rsid w:val="009C2CBB"/>
    <w:rsid w:val="009C2FCB"/>
    <w:rsid w:val="009C324B"/>
    <w:rsid w:val="009C3296"/>
    <w:rsid w:val="009C3DE6"/>
    <w:rsid w:val="009C3DE8"/>
    <w:rsid w:val="009C45FB"/>
    <w:rsid w:val="009C48BE"/>
    <w:rsid w:val="009C49EE"/>
    <w:rsid w:val="009C4B7E"/>
    <w:rsid w:val="009C4BE6"/>
    <w:rsid w:val="009C4C28"/>
    <w:rsid w:val="009C4F2E"/>
    <w:rsid w:val="009C4FEB"/>
    <w:rsid w:val="009C5A38"/>
    <w:rsid w:val="009C5BFB"/>
    <w:rsid w:val="009C6CEF"/>
    <w:rsid w:val="009C704B"/>
    <w:rsid w:val="009C79B1"/>
    <w:rsid w:val="009C7C3A"/>
    <w:rsid w:val="009C7C81"/>
    <w:rsid w:val="009D0315"/>
    <w:rsid w:val="009D05B2"/>
    <w:rsid w:val="009D07F7"/>
    <w:rsid w:val="009D082E"/>
    <w:rsid w:val="009D10E2"/>
    <w:rsid w:val="009D148E"/>
    <w:rsid w:val="009D14B7"/>
    <w:rsid w:val="009D1713"/>
    <w:rsid w:val="009D199D"/>
    <w:rsid w:val="009D21B1"/>
    <w:rsid w:val="009D2324"/>
    <w:rsid w:val="009D23AB"/>
    <w:rsid w:val="009D244D"/>
    <w:rsid w:val="009D245E"/>
    <w:rsid w:val="009D24EC"/>
    <w:rsid w:val="009D2767"/>
    <w:rsid w:val="009D2E3C"/>
    <w:rsid w:val="009D2F0D"/>
    <w:rsid w:val="009D3437"/>
    <w:rsid w:val="009D3667"/>
    <w:rsid w:val="009D42BA"/>
    <w:rsid w:val="009D4679"/>
    <w:rsid w:val="009D5678"/>
    <w:rsid w:val="009D5A2E"/>
    <w:rsid w:val="009D6008"/>
    <w:rsid w:val="009D62C6"/>
    <w:rsid w:val="009D648A"/>
    <w:rsid w:val="009D6900"/>
    <w:rsid w:val="009D6D6E"/>
    <w:rsid w:val="009D6EDC"/>
    <w:rsid w:val="009D7400"/>
    <w:rsid w:val="009D7B3C"/>
    <w:rsid w:val="009D7EBE"/>
    <w:rsid w:val="009E082F"/>
    <w:rsid w:val="009E1925"/>
    <w:rsid w:val="009E1BB5"/>
    <w:rsid w:val="009E2340"/>
    <w:rsid w:val="009E2CCC"/>
    <w:rsid w:val="009E3A4A"/>
    <w:rsid w:val="009E4366"/>
    <w:rsid w:val="009E4398"/>
    <w:rsid w:val="009E47F1"/>
    <w:rsid w:val="009E48EB"/>
    <w:rsid w:val="009E548A"/>
    <w:rsid w:val="009E551A"/>
    <w:rsid w:val="009E597A"/>
    <w:rsid w:val="009E60C5"/>
    <w:rsid w:val="009E6110"/>
    <w:rsid w:val="009E6CB1"/>
    <w:rsid w:val="009E702A"/>
    <w:rsid w:val="009E78D3"/>
    <w:rsid w:val="009E7A6F"/>
    <w:rsid w:val="009F1293"/>
    <w:rsid w:val="009F1B50"/>
    <w:rsid w:val="009F260B"/>
    <w:rsid w:val="009F2855"/>
    <w:rsid w:val="009F2A8E"/>
    <w:rsid w:val="009F379C"/>
    <w:rsid w:val="009F3947"/>
    <w:rsid w:val="009F3D21"/>
    <w:rsid w:val="009F4D10"/>
    <w:rsid w:val="009F4D44"/>
    <w:rsid w:val="009F4FE8"/>
    <w:rsid w:val="009F503D"/>
    <w:rsid w:val="009F50F9"/>
    <w:rsid w:val="009F5874"/>
    <w:rsid w:val="009F5D9C"/>
    <w:rsid w:val="009F6174"/>
    <w:rsid w:val="009F62D7"/>
    <w:rsid w:val="009F6452"/>
    <w:rsid w:val="009F7B99"/>
    <w:rsid w:val="009F7DAA"/>
    <w:rsid w:val="00A0010C"/>
    <w:rsid w:val="00A006F3"/>
    <w:rsid w:val="00A007E2"/>
    <w:rsid w:val="00A00CAD"/>
    <w:rsid w:val="00A00DBC"/>
    <w:rsid w:val="00A00E94"/>
    <w:rsid w:val="00A0143A"/>
    <w:rsid w:val="00A014E5"/>
    <w:rsid w:val="00A01642"/>
    <w:rsid w:val="00A016A7"/>
    <w:rsid w:val="00A01822"/>
    <w:rsid w:val="00A01A03"/>
    <w:rsid w:val="00A0247D"/>
    <w:rsid w:val="00A02976"/>
    <w:rsid w:val="00A04771"/>
    <w:rsid w:val="00A04829"/>
    <w:rsid w:val="00A0486B"/>
    <w:rsid w:val="00A04A86"/>
    <w:rsid w:val="00A05374"/>
    <w:rsid w:val="00A05492"/>
    <w:rsid w:val="00A05DCF"/>
    <w:rsid w:val="00A05FC9"/>
    <w:rsid w:val="00A064B9"/>
    <w:rsid w:val="00A069C5"/>
    <w:rsid w:val="00A07019"/>
    <w:rsid w:val="00A078A0"/>
    <w:rsid w:val="00A07CDB"/>
    <w:rsid w:val="00A101F0"/>
    <w:rsid w:val="00A103F1"/>
    <w:rsid w:val="00A1049D"/>
    <w:rsid w:val="00A10955"/>
    <w:rsid w:val="00A10C4E"/>
    <w:rsid w:val="00A10ECE"/>
    <w:rsid w:val="00A11174"/>
    <w:rsid w:val="00A1167F"/>
    <w:rsid w:val="00A118FC"/>
    <w:rsid w:val="00A11E71"/>
    <w:rsid w:val="00A11F34"/>
    <w:rsid w:val="00A124B9"/>
    <w:rsid w:val="00A124D3"/>
    <w:rsid w:val="00A12854"/>
    <w:rsid w:val="00A12C0A"/>
    <w:rsid w:val="00A13758"/>
    <w:rsid w:val="00A139A1"/>
    <w:rsid w:val="00A14381"/>
    <w:rsid w:val="00A143CB"/>
    <w:rsid w:val="00A14A3D"/>
    <w:rsid w:val="00A14A9D"/>
    <w:rsid w:val="00A14C15"/>
    <w:rsid w:val="00A14DF9"/>
    <w:rsid w:val="00A1563F"/>
    <w:rsid w:val="00A16225"/>
    <w:rsid w:val="00A16760"/>
    <w:rsid w:val="00A1697C"/>
    <w:rsid w:val="00A16BED"/>
    <w:rsid w:val="00A17089"/>
    <w:rsid w:val="00A172A9"/>
    <w:rsid w:val="00A1738A"/>
    <w:rsid w:val="00A174A3"/>
    <w:rsid w:val="00A17616"/>
    <w:rsid w:val="00A178EB"/>
    <w:rsid w:val="00A17E7C"/>
    <w:rsid w:val="00A200A7"/>
    <w:rsid w:val="00A22028"/>
    <w:rsid w:val="00A22CB0"/>
    <w:rsid w:val="00A23455"/>
    <w:rsid w:val="00A234BB"/>
    <w:rsid w:val="00A23CC4"/>
    <w:rsid w:val="00A2427A"/>
    <w:rsid w:val="00A242D9"/>
    <w:rsid w:val="00A245CF"/>
    <w:rsid w:val="00A24A92"/>
    <w:rsid w:val="00A24B0B"/>
    <w:rsid w:val="00A24EE0"/>
    <w:rsid w:val="00A25E08"/>
    <w:rsid w:val="00A26277"/>
    <w:rsid w:val="00A26408"/>
    <w:rsid w:val="00A267FB"/>
    <w:rsid w:val="00A26852"/>
    <w:rsid w:val="00A26BC3"/>
    <w:rsid w:val="00A2709F"/>
    <w:rsid w:val="00A27E37"/>
    <w:rsid w:val="00A303C7"/>
    <w:rsid w:val="00A3057E"/>
    <w:rsid w:val="00A316C2"/>
    <w:rsid w:val="00A31F5A"/>
    <w:rsid w:val="00A32044"/>
    <w:rsid w:val="00A32755"/>
    <w:rsid w:val="00A32803"/>
    <w:rsid w:val="00A3285E"/>
    <w:rsid w:val="00A32B94"/>
    <w:rsid w:val="00A330C2"/>
    <w:rsid w:val="00A33C8B"/>
    <w:rsid w:val="00A33D5E"/>
    <w:rsid w:val="00A33DAD"/>
    <w:rsid w:val="00A345FF"/>
    <w:rsid w:val="00A34BEA"/>
    <w:rsid w:val="00A350C7"/>
    <w:rsid w:val="00A355B0"/>
    <w:rsid w:val="00A3573B"/>
    <w:rsid w:val="00A35888"/>
    <w:rsid w:val="00A3613C"/>
    <w:rsid w:val="00A36400"/>
    <w:rsid w:val="00A36A35"/>
    <w:rsid w:val="00A370DF"/>
    <w:rsid w:val="00A371F2"/>
    <w:rsid w:val="00A37B7C"/>
    <w:rsid w:val="00A40070"/>
    <w:rsid w:val="00A4019D"/>
    <w:rsid w:val="00A40650"/>
    <w:rsid w:val="00A409EC"/>
    <w:rsid w:val="00A40B4C"/>
    <w:rsid w:val="00A40ED9"/>
    <w:rsid w:val="00A41CD2"/>
    <w:rsid w:val="00A42472"/>
    <w:rsid w:val="00A427A8"/>
    <w:rsid w:val="00A43BE3"/>
    <w:rsid w:val="00A43E58"/>
    <w:rsid w:val="00A442D5"/>
    <w:rsid w:val="00A45148"/>
    <w:rsid w:val="00A457A2"/>
    <w:rsid w:val="00A457C6"/>
    <w:rsid w:val="00A46603"/>
    <w:rsid w:val="00A46BDC"/>
    <w:rsid w:val="00A47681"/>
    <w:rsid w:val="00A47BD4"/>
    <w:rsid w:val="00A47C25"/>
    <w:rsid w:val="00A503A6"/>
    <w:rsid w:val="00A50BA0"/>
    <w:rsid w:val="00A50DAF"/>
    <w:rsid w:val="00A51068"/>
    <w:rsid w:val="00A512D0"/>
    <w:rsid w:val="00A514D9"/>
    <w:rsid w:val="00A52A0B"/>
    <w:rsid w:val="00A52A79"/>
    <w:rsid w:val="00A52E76"/>
    <w:rsid w:val="00A52ECF"/>
    <w:rsid w:val="00A52F73"/>
    <w:rsid w:val="00A5355F"/>
    <w:rsid w:val="00A536A5"/>
    <w:rsid w:val="00A53892"/>
    <w:rsid w:val="00A54EA8"/>
    <w:rsid w:val="00A552A7"/>
    <w:rsid w:val="00A5545E"/>
    <w:rsid w:val="00A557AC"/>
    <w:rsid w:val="00A56330"/>
    <w:rsid w:val="00A56606"/>
    <w:rsid w:val="00A56ABD"/>
    <w:rsid w:val="00A56CD2"/>
    <w:rsid w:val="00A57482"/>
    <w:rsid w:val="00A57773"/>
    <w:rsid w:val="00A57D95"/>
    <w:rsid w:val="00A601D5"/>
    <w:rsid w:val="00A601DB"/>
    <w:rsid w:val="00A601E5"/>
    <w:rsid w:val="00A6063D"/>
    <w:rsid w:val="00A60E14"/>
    <w:rsid w:val="00A61146"/>
    <w:rsid w:val="00A61AC4"/>
    <w:rsid w:val="00A61E77"/>
    <w:rsid w:val="00A61EE8"/>
    <w:rsid w:val="00A61F8C"/>
    <w:rsid w:val="00A627C2"/>
    <w:rsid w:val="00A62900"/>
    <w:rsid w:val="00A629DB"/>
    <w:rsid w:val="00A62C42"/>
    <w:rsid w:val="00A630C5"/>
    <w:rsid w:val="00A6339C"/>
    <w:rsid w:val="00A637D6"/>
    <w:rsid w:val="00A64A19"/>
    <w:rsid w:val="00A650D1"/>
    <w:rsid w:val="00A65160"/>
    <w:rsid w:val="00A655C7"/>
    <w:rsid w:val="00A65F20"/>
    <w:rsid w:val="00A66080"/>
    <w:rsid w:val="00A66194"/>
    <w:rsid w:val="00A66E6B"/>
    <w:rsid w:val="00A679A8"/>
    <w:rsid w:val="00A67C51"/>
    <w:rsid w:val="00A70376"/>
    <w:rsid w:val="00A70B0C"/>
    <w:rsid w:val="00A70BCB"/>
    <w:rsid w:val="00A71958"/>
    <w:rsid w:val="00A728F9"/>
    <w:rsid w:val="00A731D1"/>
    <w:rsid w:val="00A7437A"/>
    <w:rsid w:val="00A743F1"/>
    <w:rsid w:val="00A74E38"/>
    <w:rsid w:val="00A752AE"/>
    <w:rsid w:val="00A75396"/>
    <w:rsid w:val="00A753A6"/>
    <w:rsid w:val="00A75675"/>
    <w:rsid w:val="00A75F80"/>
    <w:rsid w:val="00A7619A"/>
    <w:rsid w:val="00A76285"/>
    <w:rsid w:val="00A76AB7"/>
    <w:rsid w:val="00A76B7C"/>
    <w:rsid w:val="00A76BB5"/>
    <w:rsid w:val="00A76E6E"/>
    <w:rsid w:val="00A77312"/>
    <w:rsid w:val="00A7750D"/>
    <w:rsid w:val="00A775DF"/>
    <w:rsid w:val="00A77661"/>
    <w:rsid w:val="00A800BF"/>
    <w:rsid w:val="00A800FB"/>
    <w:rsid w:val="00A80120"/>
    <w:rsid w:val="00A801C7"/>
    <w:rsid w:val="00A8063F"/>
    <w:rsid w:val="00A807CC"/>
    <w:rsid w:val="00A810F4"/>
    <w:rsid w:val="00A812DE"/>
    <w:rsid w:val="00A8142B"/>
    <w:rsid w:val="00A8172E"/>
    <w:rsid w:val="00A81F8B"/>
    <w:rsid w:val="00A82101"/>
    <w:rsid w:val="00A822AF"/>
    <w:rsid w:val="00A82560"/>
    <w:rsid w:val="00A829EB"/>
    <w:rsid w:val="00A836D3"/>
    <w:rsid w:val="00A837EB"/>
    <w:rsid w:val="00A84277"/>
    <w:rsid w:val="00A84792"/>
    <w:rsid w:val="00A84D6C"/>
    <w:rsid w:val="00A850EC"/>
    <w:rsid w:val="00A85349"/>
    <w:rsid w:val="00A85CFE"/>
    <w:rsid w:val="00A8635D"/>
    <w:rsid w:val="00A8794E"/>
    <w:rsid w:val="00A87BA3"/>
    <w:rsid w:val="00A904AC"/>
    <w:rsid w:val="00A90785"/>
    <w:rsid w:val="00A908B6"/>
    <w:rsid w:val="00A90CEC"/>
    <w:rsid w:val="00A9108B"/>
    <w:rsid w:val="00A91157"/>
    <w:rsid w:val="00A91CD4"/>
    <w:rsid w:val="00A9218E"/>
    <w:rsid w:val="00A923A4"/>
    <w:rsid w:val="00A92445"/>
    <w:rsid w:val="00A926D8"/>
    <w:rsid w:val="00A92E21"/>
    <w:rsid w:val="00A934EB"/>
    <w:rsid w:val="00A93B89"/>
    <w:rsid w:val="00A94102"/>
    <w:rsid w:val="00A948CB"/>
    <w:rsid w:val="00A94E93"/>
    <w:rsid w:val="00A94F08"/>
    <w:rsid w:val="00A94FBC"/>
    <w:rsid w:val="00A95289"/>
    <w:rsid w:val="00A95508"/>
    <w:rsid w:val="00A95614"/>
    <w:rsid w:val="00A9582F"/>
    <w:rsid w:val="00A95A98"/>
    <w:rsid w:val="00A96127"/>
    <w:rsid w:val="00A96464"/>
    <w:rsid w:val="00A966C5"/>
    <w:rsid w:val="00A96CDD"/>
    <w:rsid w:val="00A96D71"/>
    <w:rsid w:val="00A971EA"/>
    <w:rsid w:val="00A97395"/>
    <w:rsid w:val="00A9742A"/>
    <w:rsid w:val="00A976B6"/>
    <w:rsid w:val="00AA0AF8"/>
    <w:rsid w:val="00AA0E57"/>
    <w:rsid w:val="00AA18AF"/>
    <w:rsid w:val="00AA1901"/>
    <w:rsid w:val="00AA1B88"/>
    <w:rsid w:val="00AA206B"/>
    <w:rsid w:val="00AA2810"/>
    <w:rsid w:val="00AA2E71"/>
    <w:rsid w:val="00AA309C"/>
    <w:rsid w:val="00AA330D"/>
    <w:rsid w:val="00AA39EF"/>
    <w:rsid w:val="00AA3C47"/>
    <w:rsid w:val="00AA4034"/>
    <w:rsid w:val="00AA425A"/>
    <w:rsid w:val="00AA4F79"/>
    <w:rsid w:val="00AA609A"/>
    <w:rsid w:val="00AA6A87"/>
    <w:rsid w:val="00AA6FC5"/>
    <w:rsid w:val="00AA75A5"/>
    <w:rsid w:val="00AA75F2"/>
    <w:rsid w:val="00AA772E"/>
    <w:rsid w:val="00AA787A"/>
    <w:rsid w:val="00AA7DAE"/>
    <w:rsid w:val="00AB0B30"/>
    <w:rsid w:val="00AB177F"/>
    <w:rsid w:val="00AB1955"/>
    <w:rsid w:val="00AB1A25"/>
    <w:rsid w:val="00AB1CBE"/>
    <w:rsid w:val="00AB248B"/>
    <w:rsid w:val="00AB254B"/>
    <w:rsid w:val="00AB2CDD"/>
    <w:rsid w:val="00AB2DB7"/>
    <w:rsid w:val="00AB30D8"/>
    <w:rsid w:val="00AB33FF"/>
    <w:rsid w:val="00AB38AC"/>
    <w:rsid w:val="00AB3A3B"/>
    <w:rsid w:val="00AB3C0C"/>
    <w:rsid w:val="00AB3F72"/>
    <w:rsid w:val="00AB4039"/>
    <w:rsid w:val="00AB46EE"/>
    <w:rsid w:val="00AB4FB3"/>
    <w:rsid w:val="00AB51BE"/>
    <w:rsid w:val="00AB5501"/>
    <w:rsid w:val="00AB5EDF"/>
    <w:rsid w:val="00AB62D6"/>
    <w:rsid w:val="00AB6684"/>
    <w:rsid w:val="00AB6C32"/>
    <w:rsid w:val="00AB6CB4"/>
    <w:rsid w:val="00AB6FDA"/>
    <w:rsid w:val="00AB77D8"/>
    <w:rsid w:val="00AB7B19"/>
    <w:rsid w:val="00AC0199"/>
    <w:rsid w:val="00AC07F2"/>
    <w:rsid w:val="00AC085D"/>
    <w:rsid w:val="00AC0C74"/>
    <w:rsid w:val="00AC1077"/>
    <w:rsid w:val="00AC114A"/>
    <w:rsid w:val="00AC15AD"/>
    <w:rsid w:val="00AC1887"/>
    <w:rsid w:val="00AC2074"/>
    <w:rsid w:val="00AC2144"/>
    <w:rsid w:val="00AC251E"/>
    <w:rsid w:val="00AC2D30"/>
    <w:rsid w:val="00AC307B"/>
    <w:rsid w:val="00AC3375"/>
    <w:rsid w:val="00AC341A"/>
    <w:rsid w:val="00AC37B3"/>
    <w:rsid w:val="00AC3A7B"/>
    <w:rsid w:val="00AC3C7A"/>
    <w:rsid w:val="00AC3D46"/>
    <w:rsid w:val="00AC5934"/>
    <w:rsid w:val="00AC5C59"/>
    <w:rsid w:val="00AC5F8F"/>
    <w:rsid w:val="00AC651C"/>
    <w:rsid w:val="00AC6990"/>
    <w:rsid w:val="00AC6F13"/>
    <w:rsid w:val="00AC71C2"/>
    <w:rsid w:val="00AC7BCF"/>
    <w:rsid w:val="00AD033A"/>
    <w:rsid w:val="00AD07DF"/>
    <w:rsid w:val="00AD0AF8"/>
    <w:rsid w:val="00AD0E5F"/>
    <w:rsid w:val="00AD1118"/>
    <w:rsid w:val="00AD16E0"/>
    <w:rsid w:val="00AD1916"/>
    <w:rsid w:val="00AD1995"/>
    <w:rsid w:val="00AD1A8A"/>
    <w:rsid w:val="00AD1C7F"/>
    <w:rsid w:val="00AD26A5"/>
    <w:rsid w:val="00AD27C4"/>
    <w:rsid w:val="00AD2997"/>
    <w:rsid w:val="00AD29CD"/>
    <w:rsid w:val="00AD2A43"/>
    <w:rsid w:val="00AD2AE5"/>
    <w:rsid w:val="00AD2DE0"/>
    <w:rsid w:val="00AD31A0"/>
    <w:rsid w:val="00AD32E3"/>
    <w:rsid w:val="00AD3DD7"/>
    <w:rsid w:val="00AD3E90"/>
    <w:rsid w:val="00AD414A"/>
    <w:rsid w:val="00AD4157"/>
    <w:rsid w:val="00AD436F"/>
    <w:rsid w:val="00AD4441"/>
    <w:rsid w:val="00AD4EF4"/>
    <w:rsid w:val="00AD575B"/>
    <w:rsid w:val="00AD5A14"/>
    <w:rsid w:val="00AD5C20"/>
    <w:rsid w:val="00AD5E1F"/>
    <w:rsid w:val="00AD5F45"/>
    <w:rsid w:val="00AD64CF"/>
    <w:rsid w:val="00AD6901"/>
    <w:rsid w:val="00AD6968"/>
    <w:rsid w:val="00AD6A78"/>
    <w:rsid w:val="00AD6CEC"/>
    <w:rsid w:val="00AD6E41"/>
    <w:rsid w:val="00AD6F5F"/>
    <w:rsid w:val="00AD7606"/>
    <w:rsid w:val="00AD777A"/>
    <w:rsid w:val="00AD7B15"/>
    <w:rsid w:val="00AE060E"/>
    <w:rsid w:val="00AE0620"/>
    <w:rsid w:val="00AE15DB"/>
    <w:rsid w:val="00AE16FD"/>
    <w:rsid w:val="00AE2174"/>
    <w:rsid w:val="00AE283D"/>
    <w:rsid w:val="00AE29A4"/>
    <w:rsid w:val="00AE2A43"/>
    <w:rsid w:val="00AE2E65"/>
    <w:rsid w:val="00AE306B"/>
    <w:rsid w:val="00AE3515"/>
    <w:rsid w:val="00AE3F63"/>
    <w:rsid w:val="00AE43C2"/>
    <w:rsid w:val="00AE46D4"/>
    <w:rsid w:val="00AE4809"/>
    <w:rsid w:val="00AE4DDC"/>
    <w:rsid w:val="00AE503D"/>
    <w:rsid w:val="00AE5404"/>
    <w:rsid w:val="00AE61A9"/>
    <w:rsid w:val="00AE6567"/>
    <w:rsid w:val="00AE7308"/>
    <w:rsid w:val="00AE74DE"/>
    <w:rsid w:val="00AE762B"/>
    <w:rsid w:val="00AE785C"/>
    <w:rsid w:val="00AF0363"/>
    <w:rsid w:val="00AF0399"/>
    <w:rsid w:val="00AF09DC"/>
    <w:rsid w:val="00AF0CDF"/>
    <w:rsid w:val="00AF0E7C"/>
    <w:rsid w:val="00AF108A"/>
    <w:rsid w:val="00AF1995"/>
    <w:rsid w:val="00AF19E8"/>
    <w:rsid w:val="00AF213B"/>
    <w:rsid w:val="00AF2519"/>
    <w:rsid w:val="00AF28E3"/>
    <w:rsid w:val="00AF29BB"/>
    <w:rsid w:val="00AF2B07"/>
    <w:rsid w:val="00AF2D6F"/>
    <w:rsid w:val="00AF43AD"/>
    <w:rsid w:val="00AF43D2"/>
    <w:rsid w:val="00AF449A"/>
    <w:rsid w:val="00AF498D"/>
    <w:rsid w:val="00AF49CE"/>
    <w:rsid w:val="00AF52E2"/>
    <w:rsid w:val="00AF5D96"/>
    <w:rsid w:val="00AF65E1"/>
    <w:rsid w:val="00AF6884"/>
    <w:rsid w:val="00AF69CA"/>
    <w:rsid w:val="00AF6A54"/>
    <w:rsid w:val="00AF6A7C"/>
    <w:rsid w:val="00AF6E50"/>
    <w:rsid w:val="00AF7156"/>
    <w:rsid w:val="00AF716C"/>
    <w:rsid w:val="00AF77E7"/>
    <w:rsid w:val="00AF7D03"/>
    <w:rsid w:val="00B00503"/>
    <w:rsid w:val="00B0074A"/>
    <w:rsid w:val="00B009E6"/>
    <w:rsid w:val="00B00DCA"/>
    <w:rsid w:val="00B014B4"/>
    <w:rsid w:val="00B01646"/>
    <w:rsid w:val="00B01996"/>
    <w:rsid w:val="00B01C0D"/>
    <w:rsid w:val="00B01C94"/>
    <w:rsid w:val="00B01EA2"/>
    <w:rsid w:val="00B02123"/>
    <w:rsid w:val="00B0215C"/>
    <w:rsid w:val="00B02254"/>
    <w:rsid w:val="00B02C3A"/>
    <w:rsid w:val="00B02EFF"/>
    <w:rsid w:val="00B031AF"/>
    <w:rsid w:val="00B0339F"/>
    <w:rsid w:val="00B03A87"/>
    <w:rsid w:val="00B03B05"/>
    <w:rsid w:val="00B04988"/>
    <w:rsid w:val="00B04ACF"/>
    <w:rsid w:val="00B04FAB"/>
    <w:rsid w:val="00B0569C"/>
    <w:rsid w:val="00B05C3C"/>
    <w:rsid w:val="00B0606E"/>
    <w:rsid w:val="00B0668C"/>
    <w:rsid w:val="00B06E3B"/>
    <w:rsid w:val="00B07085"/>
    <w:rsid w:val="00B073E4"/>
    <w:rsid w:val="00B074C2"/>
    <w:rsid w:val="00B07F8F"/>
    <w:rsid w:val="00B102D5"/>
    <w:rsid w:val="00B1076E"/>
    <w:rsid w:val="00B10794"/>
    <w:rsid w:val="00B11384"/>
    <w:rsid w:val="00B1144C"/>
    <w:rsid w:val="00B11457"/>
    <w:rsid w:val="00B11E61"/>
    <w:rsid w:val="00B122CB"/>
    <w:rsid w:val="00B13EBD"/>
    <w:rsid w:val="00B14854"/>
    <w:rsid w:val="00B15A19"/>
    <w:rsid w:val="00B15BE9"/>
    <w:rsid w:val="00B15F6D"/>
    <w:rsid w:val="00B15F8C"/>
    <w:rsid w:val="00B16749"/>
    <w:rsid w:val="00B167C3"/>
    <w:rsid w:val="00B17204"/>
    <w:rsid w:val="00B17CDD"/>
    <w:rsid w:val="00B20325"/>
    <w:rsid w:val="00B20716"/>
    <w:rsid w:val="00B209A4"/>
    <w:rsid w:val="00B2168B"/>
    <w:rsid w:val="00B216AF"/>
    <w:rsid w:val="00B21BAE"/>
    <w:rsid w:val="00B21FC4"/>
    <w:rsid w:val="00B2204F"/>
    <w:rsid w:val="00B22985"/>
    <w:rsid w:val="00B22DD1"/>
    <w:rsid w:val="00B22EFA"/>
    <w:rsid w:val="00B2324A"/>
    <w:rsid w:val="00B23326"/>
    <w:rsid w:val="00B23AA1"/>
    <w:rsid w:val="00B252CB"/>
    <w:rsid w:val="00B2540B"/>
    <w:rsid w:val="00B2561E"/>
    <w:rsid w:val="00B25F59"/>
    <w:rsid w:val="00B26725"/>
    <w:rsid w:val="00B26963"/>
    <w:rsid w:val="00B26B1C"/>
    <w:rsid w:val="00B26B9A"/>
    <w:rsid w:val="00B26BC5"/>
    <w:rsid w:val="00B26C82"/>
    <w:rsid w:val="00B26DE7"/>
    <w:rsid w:val="00B26F98"/>
    <w:rsid w:val="00B274EF"/>
    <w:rsid w:val="00B27C75"/>
    <w:rsid w:val="00B3004C"/>
    <w:rsid w:val="00B30536"/>
    <w:rsid w:val="00B309E7"/>
    <w:rsid w:val="00B3122F"/>
    <w:rsid w:val="00B312BC"/>
    <w:rsid w:val="00B318A9"/>
    <w:rsid w:val="00B32E41"/>
    <w:rsid w:val="00B32FDA"/>
    <w:rsid w:val="00B33345"/>
    <w:rsid w:val="00B339B0"/>
    <w:rsid w:val="00B340C2"/>
    <w:rsid w:val="00B344EA"/>
    <w:rsid w:val="00B3495F"/>
    <w:rsid w:val="00B34C40"/>
    <w:rsid w:val="00B35090"/>
    <w:rsid w:val="00B3522B"/>
    <w:rsid w:val="00B3563C"/>
    <w:rsid w:val="00B357FC"/>
    <w:rsid w:val="00B35A52"/>
    <w:rsid w:val="00B35ABB"/>
    <w:rsid w:val="00B35CDE"/>
    <w:rsid w:val="00B367ED"/>
    <w:rsid w:val="00B36B78"/>
    <w:rsid w:val="00B37744"/>
    <w:rsid w:val="00B37BE3"/>
    <w:rsid w:val="00B37C44"/>
    <w:rsid w:val="00B40026"/>
    <w:rsid w:val="00B4019B"/>
    <w:rsid w:val="00B402EB"/>
    <w:rsid w:val="00B4096E"/>
    <w:rsid w:val="00B41043"/>
    <w:rsid w:val="00B417DB"/>
    <w:rsid w:val="00B418A9"/>
    <w:rsid w:val="00B4227B"/>
    <w:rsid w:val="00B4276E"/>
    <w:rsid w:val="00B42C37"/>
    <w:rsid w:val="00B42E5F"/>
    <w:rsid w:val="00B43080"/>
    <w:rsid w:val="00B434DE"/>
    <w:rsid w:val="00B435EA"/>
    <w:rsid w:val="00B4362B"/>
    <w:rsid w:val="00B44496"/>
    <w:rsid w:val="00B44AA8"/>
    <w:rsid w:val="00B44B7C"/>
    <w:rsid w:val="00B4500E"/>
    <w:rsid w:val="00B451F0"/>
    <w:rsid w:val="00B4529B"/>
    <w:rsid w:val="00B4547F"/>
    <w:rsid w:val="00B4626D"/>
    <w:rsid w:val="00B4649D"/>
    <w:rsid w:val="00B4679D"/>
    <w:rsid w:val="00B469C8"/>
    <w:rsid w:val="00B5017C"/>
    <w:rsid w:val="00B5022C"/>
    <w:rsid w:val="00B5064D"/>
    <w:rsid w:val="00B50794"/>
    <w:rsid w:val="00B50B9F"/>
    <w:rsid w:val="00B50D65"/>
    <w:rsid w:val="00B50E4E"/>
    <w:rsid w:val="00B516AE"/>
    <w:rsid w:val="00B51B19"/>
    <w:rsid w:val="00B52058"/>
    <w:rsid w:val="00B52184"/>
    <w:rsid w:val="00B5258B"/>
    <w:rsid w:val="00B530C5"/>
    <w:rsid w:val="00B532B7"/>
    <w:rsid w:val="00B53934"/>
    <w:rsid w:val="00B54BA3"/>
    <w:rsid w:val="00B5509D"/>
    <w:rsid w:val="00B55791"/>
    <w:rsid w:val="00B56288"/>
    <w:rsid w:val="00B572C6"/>
    <w:rsid w:val="00B57541"/>
    <w:rsid w:val="00B576C3"/>
    <w:rsid w:val="00B577FB"/>
    <w:rsid w:val="00B57938"/>
    <w:rsid w:val="00B57B27"/>
    <w:rsid w:val="00B608CB"/>
    <w:rsid w:val="00B60C57"/>
    <w:rsid w:val="00B60DC9"/>
    <w:rsid w:val="00B60F1E"/>
    <w:rsid w:val="00B613E0"/>
    <w:rsid w:val="00B61A3D"/>
    <w:rsid w:val="00B61F7D"/>
    <w:rsid w:val="00B6206F"/>
    <w:rsid w:val="00B6297D"/>
    <w:rsid w:val="00B62DE9"/>
    <w:rsid w:val="00B63083"/>
    <w:rsid w:val="00B631DF"/>
    <w:rsid w:val="00B63591"/>
    <w:rsid w:val="00B639F8"/>
    <w:rsid w:val="00B64018"/>
    <w:rsid w:val="00B6420E"/>
    <w:rsid w:val="00B64405"/>
    <w:rsid w:val="00B64476"/>
    <w:rsid w:val="00B64C55"/>
    <w:rsid w:val="00B65420"/>
    <w:rsid w:val="00B6573A"/>
    <w:rsid w:val="00B6597C"/>
    <w:rsid w:val="00B66059"/>
    <w:rsid w:val="00B665BE"/>
    <w:rsid w:val="00B66612"/>
    <w:rsid w:val="00B66DEA"/>
    <w:rsid w:val="00B67D52"/>
    <w:rsid w:val="00B704C4"/>
    <w:rsid w:val="00B7063F"/>
    <w:rsid w:val="00B706B6"/>
    <w:rsid w:val="00B7099F"/>
    <w:rsid w:val="00B70C1A"/>
    <w:rsid w:val="00B713D7"/>
    <w:rsid w:val="00B714B3"/>
    <w:rsid w:val="00B71643"/>
    <w:rsid w:val="00B721A8"/>
    <w:rsid w:val="00B7255D"/>
    <w:rsid w:val="00B7277C"/>
    <w:rsid w:val="00B72B7D"/>
    <w:rsid w:val="00B72C2A"/>
    <w:rsid w:val="00B7338F"/>
    <w:rsid w:val="00B73E25"/>
    <w:rsid w:val="00B74298"/>
    <w:rsid w:val="00B743CA"/>
    <w:rsid w:val="00B744A8"/>
    <w:rsid w:val="00B7473B"/>
    <w:rsid w:val="00B751D7"/>
    <w:rsid w:val="00B768D1"/>
    <w:rsid w:val="00B76A8C"/>
    <w:rsid w:val="00B770EE"/>
    <w:rsid w:val="00B7777B"/>
    <w:rsid w:val="00B77CE4"/>
    <w:rsid w:val="00B77E1E"/>
    <w:rsid w:val="00B80205"/>
    <w:rsid w:val="00B8052D"/>
    <w:rsid w:val="00B80A3C"/>
    <w:rsid w:val="00B80C23"/>
    <w:rsid w:val="00B80CEC"/>
    <w:rsid w:val="00B80F09"/>
    <w:rsid w:val="00B81456"/>
    <w:rsid w:val="00B814A1"/>
    <w:rsid w:val="00B8154D"/>
    <w:rsid w:val="00B81C5F"/>
    <w:rsid w:val="00B81D8D"/>
    <w:rsid w:val="00B82A35"/>
    <w:rsid w:val="00B82BE4"/>
    <w:rsid w:val="00B82D5B"/>
    <w:rsid w:val="00B8315D"/>
    <w:rsid w:val="00B838E6"/>
    <w:rsid w:val="00B83A27"/>
    <w:rsid w:val="00B83B73"/>
    <w:rsid w:val="00B8420A"/>
    <w:rsid w:val="00B8453D"/>
    <w:rsid w:val="00B84C67"/>
    <w:rsid w:val="00B84D89"/>
    <w:rsid w:val="00B84DEA"/>
    <w:rsid w:val="00B84F45"/>
    <w:rsid w:val="00B85035"/>
    <w:rsid w:val="00B85D6A"/>
    <w:rsid w:val="00B8612B"/>
    <w:rsid w:val="00B8650E"/>
    <w:rsid w:val="00B86627"/>
    <w:rsid w:val="00B867C0"/>
    <w:rsid w:val="00B86ABB"/>
    <w:rsid w:val="00B86C17"/>
    <w:rsid w:val="00B86FDF"/>
    <w:rsid w:val="00B87284"/>
    <w:rsid w:val="00B873DE"/>
    <w:rsid w:val="00B87478"/>
    <w:rsid w:val="00B87CFB"/>
    <w:rsid w:val="00B87D8B"/>
    <w:rsid w:val="00B90537"/>
    <w:rsid w:val="00B90F1F"/>
    <w:rsid w:val="00B913E1"/>
    <w:rsid w:val="00B917E8"/>
    <w:rsid w:val="00B919AA"/>
    <w:rsid w:val="00B92103"/>
    <w:rsid w:val="00B921C2"/>
    <w:rsid w:val="00B925BC"/>
    <w:rsid w:val="00B92BAB"/>
    <w:rsid w:val="00B9329C"/>
    <w:rsid w:val="00B936C6"/>
    <w:rsid w:val="00B94026"/>
    <w:rsid w:val="00B940BB"/>
    <w:rsid w:val="00B94168"/>
    <w:rsid w:val="00B94918"/>
    <w:rsid w:val="00B94931"/>
    <w:rsid w:val="00B951E0"/>
    <w:rsid w:val="00B9585E"/>
    <w:rsid w:val="00B958ED"/>
    <w:rsid w:val="00B958FD"/>
    <w:rsid w:val="00B95C7B"/>
    <w:rsid w:val="00B95D89"/>
    <w:rsid w:val="00B9649A"/>
    <w:rsid w:val="00B96BAB"/>
    <w:rsid w:val="00B96FCB"/>
    <w:rsid w:val="00B97DE7"/>
    <w:rsid w:val="00B97EA1"/>
    <w:rsid w:val="00BA02A9"/>
    <w:rsid w:val="00BA065D"/>
    <w:rsid w:val="00BA086F"/>
    <w:rsid w:val="00BA0AAB"/>
    <w:rsid w:val="00BA0AFD"/>
    <w:rsid w:val="00BA0D8F"/>
    <w:rsid w:val="00BA1068"/>
    <w:rsid w:val="00BA149E"/>
    <w:rsid w:val="00BA1835"/>
    <w:rsid w:val="00BA201D"/>
    <w:rsid w:val="00BA2223"/>
    <w:rsid w:val="00BA2302"/>
    <w:rsid w:val="00BA230A"/>
    <w:rsid w:val="00BA25BF"/>
    <w:rsid w:val="00BA2EFA"/>
    <w:rsid w:val="00BA31D4"/>
    <w:rsid w:val="00BA3497"/>
    <w:rsid w:val="00BA3963"/>
    <w:rsid w:val="00BA39F8"/>
    <w:rsid w:val="00BA3A78"/>
    <w:rsid w:val="00BA3FBA"/>
    <w:rsid w:val="00BA4466"/>
    <w:rsid w:val="00BA4959"/>
    <w:rsid w:val="00BA4A25"/>
    <w:rsid w:val="00BA5082"/>
    <w:rsid w:val="00BA5433"/>
    <w:rsid w:val="00BA56E7"/>
    <w:rsid w:val="00BA5B7F"/>
    <w:rsid w:val="00BA61D4"/>
    <w:rsid w:val="00BA63D4"/>
    <w:rsid w:val="00BA64C1"/>
    <w:rsid w:val="00BA66A3"/>
    <w:rsid w:val="00BA7029"/>
    <w:rsid w:val="00BA704C"/>
    <w:rsid w:val="00BA773A"/>
    <w:rsid w:val="00BA77C4"/>
    <w:rsid w:val="00BA78B6"/>
    <w:rsid w:val="00BA7C43"/>
    <w:rsid w:val="00BA7CA7"/>
    <w:rsid w:val="00BA7D71"/>
    <w:rsid w:val="00BA7FFC"/>
    <w:rsid w:val="00BB09E6"/>
    <w:rsid w:val="00BB0C1A"/>
    <w:rsid w:val="00BB14C9"/>
    <w:rsid w:val="00BB18BD"/>
    <w:rsid w:val="00BB25A6"/>
    <w:rsid w:val="00BB2914"/>
    <w:rsid w:val="00BB2D3B"/>
    <w:rsid w:val="00BB368B"/>
    <w:rsid w:val="00BB37E8"/>
    <w:rsid w:val="00BB3B76"/>
    <w:rsid w:val="00BB4458"/>
    <w:rsid w:val="00BB549C"/>
    <w:rsid w:val="00BB57B9"/>
    <w:rsid w:val="00BB5B51"/>
    <w:rsid w:val="00BB5B7A"/>
    <w:rsid w:val="00BB60C5"/>
    <w:rsid w:val="00BB6544"/>
    <w:rsid w:val="00BB6705"/>
    <w:rsid w:val="00BB6FA2"/>
    <w:rsid w:val="00BC0382"/>
    <w:rsid w:val="00BC0433"/>
    <w:rsid w:val="00BC0C98"/>
    <w:rsid w:val="00BC1206"/>
    <w:rsid w:val="00BC12CF"/>
    <w:rsid w:val="00BC1580"/>
    <w:rsid w:val="00BC16B5"/>
    <w:rsid w:val="00BC1FEC"/>
    <w:rsid w:val="00BC212B"/>
    <w:rsid w:val="00BC259C"/>
    <w:rsid w:val="00BC270B"/>
    <w:rsid w:val="00BC2D78"/>
    <w:rsid w:val="00BC32CE"/>
    <w:rsid w:val="00BC3849"/>
    <w:rsid w:val="00BC40BA"/>
    <w:rsid w:val="00BC422B"/>
    <w:rsid w:val="00BC447A"/>
    <w:rsid w:val="00BC48F3"/>
    <w:rsid w:val="00BC4D56"/>
    <w:rsid w:val="00BC5637"/>
    <w:rsid w:val="00BC565C"/>
    <w:rsid w:val="00BC5761"/>
    <w:rsid w:val="00BC58E5"/>
    <w:rsid w:val="00BC6409"/>
    <w:rsid w:val="00BC685C"/>
    <w:rsid w:val="00BC6B6F"/>
    <w:rsid w:val="00BC6D69"/>
    <w:rsid w:val="00BC6E71"/>
    <w:rsid w:val="00BC70C8"/>
    <w:rsid w:val="00BC72A6"/>
    <w:rsid w:val="00BC783A"/>
    <w:rsid w:val="00BC7BF1"/>
    <w:rsid w:val="00BD0290"/>
    <w:rsid w:val="00BD0A58"/>
    <w:rsid w:val="00BD0C72"/>
    <w:rsid w:val="00BD133A"/>
    <w:rsid w:val="00BD1B82"/>
    <w:rsid w:val="00BD20F5"/>
    <w:rsid w:val="00BD2107"/>
    <w:rsid w:val="00BD2118"/>
    <w:rsid w:val="00BD33D6"/>
    <w:rsid w:val="00BD33F6"/>
    <w:rsid w:val="00BD45B0"/>
    <w:rsid w:val="00BD471C"/>
    <w:rsid w:val="00BD4E42"/>
    <w:rsid w:val="00BD57FA"/>
    <w:rsid w:val="00BD5B7C"/>
    <w:rsid w:val="00BD5D30"/>
    <w:rsid w:val="00BD641F"/>
    <w:rsid w:val="00BD6C77"/>
    <w:rsid w:val="00BD6D40"/>
    <w:rsid w:val="00BD7127"/>
    <w:rsid w:val="00BD74DA"/>
    <w:rsid w:val="00BD75F0"/>
    <w:rsid w:val="00BD782E"/>
    <w:rsid w:val="00BD7865"/>
    <w:rsid w:val="00BE03FE"/>
    <w:rsid w:val="00BE0832"/>
    <w:rsid w:val="00BE0FC1"/>
    <w:rsid w:val="00BE129A"/>
    <w:rsid w:val="00BE1D26"/>
    <w:rsid w:val="00BE1DAA"/>
    <w:rsid w:val="00BE1F7F"/>
    <w:rsid w:val="00BE22D9"/>
    <w:rsid w:val="00BE242F"/>
    <w:rsid w:val="00BE2C53"/>
    <w:rsid w:val="00BE2F8E"/>
    <w:rsid w:val="00BE3129"/>
    <w:rsid w:val="00BE35F3"/>
    <w:rsid w:val="00BE3D27"/>
    <w:rsid w:val="00BE3FB1"/>
    <w:rsid w:val="00BE4054"/>
    <w:rsid w:val="00BE4A29"/>
    <w:rsid w:val="00BE4B1A"/>
    <w:rsid w:val="00BE4DEE"/>
    <w:rsid w:val="00BE59CF"/>
    <w:rsid w:val="00BE5DD3"/>
    <w:rsid w:val="00BE6623"/>
    <w:rsid w:val="00BE6E25"/>
    <w:rsid w:val="00BE6F9E"/>
    <w:rsid w:val="00BE71D5"/>
    <w:rsid w:val="00BE7703"/>
    <w:rsid w:val="00BE7D21"/>
    <w:rsid w:val="00BE7EDC"/>
    <w:rsid w:val="00BE7F7D"/>
    <w:rsid w:val="00BF0AE7"/>
    <w:rsid w:val="00BF1471"/>
    <w:rsid w:val="00BF1C00"/>
    <w:rsid w:val="00BF23AF"/>
    <w:rsid w:val="00BF2826"/>
    <w:rsid w:val="00BF3B59"/>
    <w:rsid w:val="00BF4230"/>
    <w:rsid w:val="00BF44CA"/>
    <w:rsid w:val="00BF44D2"/>
    <w:rsid w:val="00BF5544"/>
    <w:rsid w:val="00BF563C"/>
    <w:rsid w:val="00BF5D46"/>
    <w:rsid w:val="00BF5FCD"/>
    <w:rsid w:val="00BF5FD8"/>
    <w:rsid w:val="00BF607E"/>
    <w:rsid w:val="00BF68C0"/>
    <w:rsid w:val="00BF74A6"/>
    <w:rsid w:val="00C0006D"/>
    <w:rsid w:val="00C010B6"/>
    <w:rsid w:val="00C010EB"/>
    <w:rsid w:val="00C01383"/>
    <w:rsid w:val="00C01A50"/>
    <w:rsid w:val="00C01ACE"/>
    <w:rsid w:val="00C01DFB"/>
    <w:rsid w:val="00C02195"/>
    <w:rsid w:val="00C0282D"/>
    <w:rsid w:val="00C02E0B"/>
    <w:rsid w:val="00C0300E"/>
    <w:rsid w:val="00C0338A"/>
    <w:rsid w:val="00C03ABD"/>
    <w:rsid w:val="00C03F73"/>
    <w:rsid w:val="00C040D7"/>
    <w:rsid w:val="00C04CDD"/>
    <w:rsid w:val="00C054A0"/>
    <w:rsid w:val="00C05BAA"/>
    <w:rsid w:val="00C05F03"/>
    <w:rsid w:val="00C06409"/>
    <w:rsid w:val="00C064CD"/>
    <w:rsid w:val="00C067DF"/>
    <w:rsid w:val="00C068A1"/>
    <w:rsid w:val="00C069F6"/>
    <w:rsid w:val="00C06DBA"/>
    <w:rsid w:val="00C06E90"/>
    <w:rsid w:val="00C07AA8"/>
    <w:rsid w:val="00C07C3B"/>
    <w:rsid w:val="00C07DBD"/>
    <w:rsid w:val="00C07FB9"/>
    <w:rsid w:val="00C101C1"/>
    <w:rsid w:val="00C1076D"/>
    <w:rsid w:val="00C10CAA"/>
    <w:rsid w:val="00C10DFB"/>
    <w:rsid w:val="00C10F2C"/>
    <w:rsid w:val="00C11123"/>
    <w:rsid w:val="00C11237"/>
    <w:rsid w:val="00C11461"/>
    <w:rsid w:val="00C115AB"/>
    <w:rsid w:val="00C11B1D"/>
    <w:rsid w:val="00C120C8"/>
    <w:rsid w:val="00C12324"/>
    <w:rsid w:val="00C14AE7"/>
    <w:rsid w:val="00C14EED"/>
    <w:rsid w:val="00C15AA6"/>
    <w:rsid w:val="00C15BF5"/>
    <w:rsid w:val="00C16668"/>
    <w:rsid w:val="00C166B6"/>
    <w:rsid w:val="00C16834"/>
    <w:rsid w:val="00C168F0"/>
    <w:rsid w:val="00C175D5"/>
    <w:rsid w:val="00C1770B"/>
    <w:rsid w:val="00C17CDF"/>
    <w:rsid w:val="00C203A5"/>
    <w:rsid w:val="00C205D9"/>
    <w:rsid w:val="00C20D81"/>
    <w:rsid w:val="00C21258"/>
    <w:rsid w:val="00C2188F"/>
    <w:rsid w:val="00C21C2D"/>
    <w:rsid w:val="00C21C4D"/>
    <w:rsid w:val="00C221DE"/>
    <w:rsid w:val="00C22587"/>
    <w:rsid w:val="00C228B5"/>
    <w:rsid w:val="00C22E7B"/>
    <w:rsid w:val="00C2350B"/>
    <w:rsid w:val="00C23794"/>
    <w:rsid w:val="00C23850"/>
    <w:rsid w:val="00C23A9D"/>
    <w:rsid w:val="00C23F0D"/>
    <w:rsid w:val="00C241BC"/>
    <w:rsid w:val="00C246B8"/>
    <w:rsid w:val="00C24ABC"/>
    <w:rsid w:val="00C24D12"/>
    <w:rsid w:val="00C25113"/>
    <w:rsid w:val="00C25174"/>
    <w:rsid w:val="00C25368"/>
    <w:rsid w:val="00C257AE"/>
    <w:rsid w:val="00C25C0F"/>
    <w:rsid w:val="00C26275"/>
    <w:rsid w:val="00C26A27"/>
    <w:rsid w:val="00C26BEA"/>
    <w:rsid w:val="00C26CC9"/>
    <w:rsid w:val="00C26F59"/>
    <w:rsid w:val="00C27107"/>
    <w:rsid w:val="00C271A6"/>
    <w:rsid w:val="00C2771E"/>
    <w:rsid w:val="00C305D8"/>
    <w:rsid w:val="00C30DCE"/>
    <w:rsid w:val="00C316AF"/>
    <w:rsid w:val="00C31FF9"/>
    <w:rsid w:val="00C320E3"/>
    <w:rsid w:val="00C3306A"/>
    <w:rsid w:val="00C331D4"/>
    <w:rsid w:val="00C33372"/>
    <w:rsid w:val="00C334DD"/>
    <w:rsid w:val="00C334F2"/>
    <w:rsid w:val="00C338C2"/>
    <w:rsid w:val="00C33B90"/>
    <w:rsid w:val="00C33F4E"/>
    <w:rsid w:val="00C341D3"/>
    <w:rsid w:val="00C34350"/>
    <w:rsid w:val="00C352C2"/>
    <w:rsid w:val="00C35A92"/>
    <w:rsid w:val="00C35AF7"/>
    <w:rsid w:val="00C35B7F"/>
    <w:rsid w:val="00C35D4B"/>
    <w:rsid w:val="00C376B8"/>
    <w:rsid w:val="00C37782"/>
    <w:rsid w:val="00C3789C"/>
    <w:rsid w:val="00C37D84"/>
    <w:rsid w:val="00C401F6"/>
    <w:rsid w:val="00C405EE"/>
    <w:rsid w:val="00C40690"/>
    <w:rsid w:val="00C40852"/>
    <w:rsid w:val="00C40AE0"/>
    <w:rsid w:val="00C40CF0"/>
    <w:rsid w:val="00C40F39"/>
    <w:rsid w:val="00C41173"/>
    <w:rsid w:val="00C41355"/>
    <w:rsid w:val="00C416A4"/>
    <w:rsid w:val="00C41927"/>
    <w:rsid w:val="00C41B5D"/>
    <w:rsid w:val="00C41C1A"/>
    <w:rsid w:val="00C41D0A"/>
    <w:rsid w:val="00C41EEB"/>
    <w:rsid w:val="00C4220B"/>
    <w:rsid w:val="00C423C1"/>
    <w:rsid w:val="00C4358D"/>
    <w:rsid w:val="00C435BD"/>
    <w:rsid w:val="00C436C4"/>
    <w:rsid w:val="00C438BD"/>
    <w:rsid w:val="00C44341"/>
    <w:rsid w:val="00C4438F"/>
    <w:rsid w:val="00C44726"/>
    <w:rsid w:val="00C448B6"/>
    <w:rsid w:val="00C44967"/>
    <w:rsid w:val="00C44B18"/>
    <w:rsid w:val="00C44F14"/>
    <w:rsid w:val="00C45861"/>
    <w:rsid w:val="00C45E9F"/>
    <w:rsid w:val="00C46146"/>
    <w:rsid w:val="00C461E5"/>
    <w:rsid w:val="00C46370"/>
    <w:rsid w:val="00C46465"/>
    <w:rsid w:val="00C46538"/>
    <w:rsid w:val="00C46865"/>
    <w:rsid w:val="00C46AD1"/>
    <w:rsid w:val="00C46C57"/>
    <w:rsid w:val="00C47046"/>
    <w:rsid w:val="00C472C9"/>
    <w:rsid w:val="00C47458"/>
    <w:rsid w:val="00C474B9"/>
    <w:rsid w:val="00C47516"/>
    <w:rsid w:val="00C4798B"/>
    <w:rsid w:val="00C47C8D"/>
    <w:rsid w:val="00C50043"/>
    <w:rsid w:val="00C5007F"/>
    <w:rsid w:val="00C505D3"/>
    <w:rsid w:val="00C510DE"/>
    <w:rsid w:val="00C514EF"/>
    <w:rsid w:val="00C51D6D"/>
    <w:rsid w:val="00C51E0B"/>
    <w:rsid w:val="00C522CE"/>
    <w:rsid w:val="00C5278E"/>
    <w:rsid w:val="00C529B3"/>
    <w:rsid w:val="00C53CFE"/>
    <w:rsid w:val="00C542D2"/>
    <w:rsid w:val="00C54C62"/>
    <w:rsid w:val="00C54C79"/>
    <w:rsid w:val="00C54DB3"/>
    <w:rsid w:val="00C5500F"/>
    <w:rsid w:val="00C55599"/>
    <w:rsid w:val="00C557F8"/>
    <w:rsid w:val="00C5646D"/>
    <w:rsid w:val="00C56838"/>
    <w:rsid w:val="00C56E92"/>
    <w:rsid w:val="00C5733F"/>
    <w:rsid w:val="00C5769A"/>
    <w:rsid w:val="00C57763"/>
    <w:rsid w:val="00C57937"/>
    <w:rsid w:val="00C600C6"/>
    <w:rsid w:val="00C602C7"/>
    <w:rsid w:val="00C604A8"/>
    <w:rsid w:val="00C60845"/>
    <w:rsid w:val="00C60C8A"/>
    <w:rsid w:val="00C6186A"/>
    <w:rsid w:val="00C61A15"/>
    <w:rsid w:val="00C61EC9"/>
    <w:rsid w:val="00C62189"/>
    <w:rsid w:val="00C622D6"/>
    <w:rsid w:val="00C62591"/>
    <w:rsid w:val="00C62652"/>
    <w:rsid w:val="00C62D69"/>
    <w:rsid w:val="00C62EDF"/>
    <w:rsid w:val="00C62F5E"/>
    <w:rsid w:val="00C63309"/>
    <w:rsid w:val="00C6331B"/>
    <w:rsid w:val="00C6346A"/>
    <w:rsid w:val="00C63DB4"/>
    <w:rsid w:val="00C64C1A"/>
    <w:rsid w:val="00C65233"/>
    <w:rsid w:val="00C652D7"/>
    <w:rsid w:val="00C6601F"/>
    <w:rsid w:val="00C66066"/>
    <w:rsid w:val="00C664B9"/>
    <w:rsid w:val="00C666F7"/>
    <w:rsid w:val="00C66713"/>
    <w:rsid w:val="00C67307"/>
    <w:rsid w:val="00C67B45"/>
    <w:rsid w:val="00C67BDB"/>
    <w:rsid w:val="00C7035A"/>
    <w:rsid w:val="00C7066E"/>
    <w:rsid w:val="00C70AD0"/>
    <w:rsid w:val="00C70CEE"/>
    <w:rsid w:val="00C70E3D"/>
    <w:rsid w:val="00C71521"/>
    <w:rsid w:val="00C71C9C"/>
    <w:rsid w:val="00C72468"/>
    <w:rsid w:val="00C72482"/>
    <w:rsid w:val="00C726D1"/>
    <w:rsid w:val="00C73AA3"/>
    <w:rsid w:val="00C740EE"/>
    <w:rsid w:val="00C7548C"/>
    <w:rsid w:val="00C75BBC"/>
    <w:rsid w:val="00C75F7B"/>
    <w:rsid w:val="00C7670D"/>
    <w:rsid w:val="00C76ADF"/>
    <w:rsid w:val="00C76E98"/>
    <w:rsid w:val="00C77631"/>
    <w:rsid w:val="00C77B8B"/>
    <w:rsid w:val="00C77FF8"/>
    <w:rsid w:val="00C803C5"/>
    <w:rsid w:val="00C80545"/>
    <w:rsid w:val="00C81360"/>
    <w:rsid w:val="00C81BB6"/>
    <w:rsid w:val="00C81BFE"/>
    <w:rsid w:val="00C81F42"/>
    <w:rsid w:val="00C82535"/>
    <w:rsid w:val="00C82A3D"/>
    <w:rsid w:val="00C82D51"/>
    <w:rsid w:val="00C82EEC"/>
    <w:rsid w:val="00C83505"/>
    <w:rsid w:val="00C83532"/>
    <w:rsid w:val="00C8360D"/>
    <w:rsid w:val="00C8377D"/>
    <w:rsid w:val="00C83B14"/>
    <w:rsid w:val="00C83FC7"/>
    <w:rsid w:val="00C841BD"/>
    <w:rsid w:val="00C84C78"/>
    <w:rsid w:val="00C84DE1"/>
    <w:rsid w:val="00C8510B"/>
    <w:rsid w:val="00C90DD3"/>
    <w:rsid w:val="00C9109C"/>
    <w:rsid w:val="00C91430"/>
    <w:rsid w:val="00C92732"/>
    <w:rsid w:val="00C92AA7"/>
    <w:rsid w:val="00C92E57"/>
    <w:rsid w:val="00C932A4"/>
    <w:rsid w:val="00C93A48"/>
    <w:rsid w:val="00C93BDB"/>
    <w:rsid w:val="00C93D8E"/>
    <w:rsid w:val="00C94197"/>
    <w:rsid w:val="00C94222"/>
    <w:rsid w:val="00C94705"/>
    <w:rsid w:val="00C9471A"/>
    <w:rsid w:val="00C94962"/>
    <w:rsid w:val="00C94A0F"/>
    <w:rsid w:val="00C94C03"/>
    <w:rsid w:val="00C957AF"/>
    <w:rsid w:val="00C95E9A"/>
    <w:rsid w:val="00C95F14"/>
    <w:rsid w:val="00C9621D"/>
    <w:rsid w:val="00C96310"/>
    <w:rsid w:val="00C96E24"/>
    <w:rsid w:val="00C9717C"/>
    <w:rsid w:val="00CA00BA"/>
    <w:rsid w:val="00CA05D7"/>
    <w:rsid w:val="00CA07D0"/>
    <w:rsid w:val="00CA0BAB"/>
    <w:rsid w:val="00CA3981"/>
    <w:rsid w:val="00CA3E44"/>
    <w:rsid w:val="00CA3EAD"/>
    <w:rsid w:val="00CA4088"/>
    <w:rsid w:val="00CA4427"/>
    <w:rsid w:val="00CA4A20"/>
    <w:rsid w:val="00CA4D9D"/>
    <w:rsid w:val="00CA50F7"/>
    <w:rsid w:val="00CA5D36"/>
    <w:rsid w:val="00CA5F9E"/>
    <w:rsid w:val="00CA6C9E"/>
    <w:rsid w:val="00CA7138"/>
    <w:rsid w:val="00CA72C7"/>
    <w:rsid w:val="00CA75C8"/>
    <w:rsid w:val="00CA780A"/>
    <w:rsid w:val="00CA7D0B"/>
    <w:rsid w:val="00CB061C"/>
    <w:rsid w:val="00CB0707"/>
    <w:rsid w:val="00CB0930"/>
    <w:rsid w:val="00CB0B8B"/>
    <w:rsid w:val="00CB1409"/>
    <w:rsid w:val="00CB154A"/>
    <w:rsid w:val="00CB1736"/>
    <w:rsid w:val="00CB193D"/>
    <w:rsid w:val="00CB289C"/>
    <w:rsid w:val="00CB29F3"/>
    <w:rsid w:val="00CB2D6D"/>
    <w:rsid w:val="00CB3682"/>
    <w:rsid w:val="00CB3C37"/>
    <w:rsid w:val="00CB3ED6"/>
    <w:rsid w:val="00CB4670"/>
    <w:rsid w:val="00CB470F"/>
    <w:rsid w:val="00CB4758"/>
    <w:rsid w:val="00CB4B48"/>
    <w:rsid w:val="00CB4D50"/>
    <w:rsid w:val="00CB4DFD"/>
    <w:rsid w:val="00CB51B4"/>
    <w:rsid w:val="00CB5B41"/>
    <w:rsid w:val="00CB5EAF"/>
    <w:rsid w:val="00CB5F45"/>
    <w:rsid w:val="00CB6039"/>
    <w:rsid w:val="00CB650D"/>
    <w:rsid w:val="00CB66C8"/>
    <w:rsid w:val="00CB67DC"/>
    <w:rsid w:val="00CB6D57"/>
    <w:rsid w:val="00CB6EC5"/>
    <w:rsid w:val="00CB72F8"/>
    <w:rsid w:val="00CC0691"/>
    <w:rsid w:val="00CC24F0"/>
    <w:rsid w:val="00CC2B16"/>
    <w:rsid w:val="00CC34AB"/>
    <w:rsid w:val="00CC3973"/>
    <w:rsid w:val="00CC440A"/>
    <w:rsid w:val="00CC44BA"/>
    <w:rsid w:val="00CC464B"/>
    <w:rsid w:val="00CC46C0"/>
    <w:rsid w:val="00CC4A61"/>
    <w:rsid w:val="00CC4A95"/>
    <w:rsid w:val="00CC5264"/>
    <w:rsid w:val="00CC6B66"/>
    <w:rsid w:val="00CC701C"/>
    <w:rsid w:val="00CC7CC3"/>
    <w:rsid w:val="00CD08C9"/>
    <w:rsid w:val="00CD0A64"/>
    <w:rsid w:val="00CD0BA8"/>
    <w:rsid w:val="00CD0FDD"/>
    <w:rsid w:val="00CD12F2"/>
    <w:rsid w:val="00CD1573"/>
    <w:rsid w:val="00CD213A"/>
    <w:rsid w:val="00CD2218"/>
    <w:rsid w:val="00CD226D"/>
    <w:rsid w:val="00CD25C2"/>
    <w:rsid w:val="00CD27AD"/>
    <w:rsid w:val="00CD2B5E"/>
    <w:rsid w:val="00CD2BC5"/>
    <w:rsid w:val="00CD2DB1"/>
    <w:rsid w:val="00CD2F2D"/>
    <w:rsid w:val="00CD3643"/>
    <w:rsid w:val="00CD375E"/>
    <w:rsid w:val="00CD39C3"/>
    <w:rsid w:val="00CD3A8D"/>
    <w:rsid w:val="00CD3CC1"/>
    <w:rsid w:val="00CD3E58"/>
    <w:rsid w:val="00CD435B"/>
    <w:rsid w:val="00CD44F4"/>
    <w:rsid w:val="00CD56EC"/>
    <w:rsid w:val="00CD5F45"/>
    <w:rsid w:val="00CD6190"/>
    <w:rsid w:val="00CD62CB"/>
    <w:rsid w:val="00CD6938"/>
    <w:rsid w:val="00CD6CFC"/>
    <w:rsid w:val="00CD6D1D"/>
    <w:rsid w:val="00CD6E91"/>
    <w:rsid w:val="00CD71A7"/>
    <w:rsid w:val="00CD785F"/>
    <w:rsid w:val="00CE027F"/>
    <w:rsid w:val="00CE094F"/>
    <w:rsid w:val="00CE0BC5"/>
    <w:rsid w:val="00CE0E5A"/>
    <w:rsid w:val="00CE0EDF"/>
    <w:rsid w:val="00CE0FAA"/>
    <w:rsid w:val="00CE128D"/>
    <w:rsid w:val="00CE164A"/>
    <w:rsid w:val="00CE16B0"/>
    <w:rsid w:val="00CE1D86"/>
    <w:rsid w:val="00CE21C0"/>
    <w:rsid w:val="00CE3028"/>
    <w:rsid w:val="00CE3701"/>
    <w:rsid w:val="00CE39CF"/>
    <w:rsid w:val="00CE4012"/>
    <w:rsid w:val="00CE475C"/>
    <w:rsid w:val="00CE49C5"/>
    <w:rsid w:val="00CE50A7"/>
    <w:rsid w:val="00CE5178"/>
    <w:rsid w:val="00CE5B63"/>
    <w:rsid w:val="00CE6B36"/>
    <w:rsid w:val="00CE6D27"/>
    <w:rsid w:val="00CE6F15"/>
    <w:rsid w:val="00CE7483"/>
    <w:rsid w:val="00CE757D"/>
    <w:rsid w:val="00CE78F3"/>
    <w:rsid w:val="00CE78F7"/>
    <w:rsid w:val="00CF0281"/>
    <w:rsid w:val="00CF028C"/>
    <w:rsid w:val="00CF06C3"/>
    <w:rsid w:val="00CF0827"/>
    <w:rsid w:val="00CF1349"/>
    <w:rsid w:val="00CF1744"/>
    <w:rsid w:val="00CF182B"/>
    <w:rsid w:val="00CF194A"/>
    <w:rsid w:val="00CF283D"/>
    <w:rsid w:val="00CF2ADB"/>
    <w:rsid w:val="00CF3178"/>
    <w:rsid w:val="00CF3256"/>
    <w:rsid w:val="00CF362B"/>
    <w:rsid w:val="00CF381F"/>
    <w:rsid w:val="00CF3AE7"/>
    <w:rsid w:val="00CF3AEF"/>
    <w:rsid w:val="00CF4A40"/>
    <w:rsid w:val="00CF56EE"/>
    <w:rsid w:val="00CF5926"/>
    <w:rsid w:val="00CF5E36"/>
    <w:rsid w:val="00CF672C"/>
    <w:rsid w:val="00CF6E9F"/>
    <w:rsid w:val="00CF79EE"/>
    <w:rsid w:val="00D00E26"/>
    <w:rsid w:val="00D01011"/>
    <w:rsid w:val="00D016C5"/>
    <w:rsid w:val="00D017EF"/>
    <w:rsid w:val="00D01A31"/>
    <w:rsid w:val="00D01C28"/>
    <w:rsid w:val="00D01DCB"/>
    <w:rsid w:val="00D02072"/>
    <w:rsid w:val="00D025D3"/>
    <w:rsid w:val="00D0286D"/>
    <w:rsid w:val="00D02D3D"/>
    <w:rsid w:val="00D034F0"/>
    <w:rsid w:val="00D03965"/>
    <w:rsid w:val="00D03D19"/>
    <w:rsid w:val="00D042CF"/>
    <w:rsid w:val="00D04514"/>
    <w:rsid w:val="00D04A91"/>
    <w:rsid w:val="00D04D7A"/>
    <w:rsid w:val="00D04FED"/>
    <w:rsid w:val="00D05642"/>
    <w:rsid w:val="00D0564F"/>
    <w:rsid w:val="00D05829"/>
    <w:rsid w:val="00D05D8A"/>
    <w:rsid w:val="00D06445"/>
    <w:rsid w:val="00D06581"/>
    <w:rsid w:val="00D06621"/>
    <w:rsid w:val="00D06A03"/>
    <w:rsid w:val="00D06DB6"/>
    <w:rsid w:val="00D07116"/>
    <w:rsid w:val="00D07997"/>
    <w:rsid w:val="00D07A37"/>
    <w:rsid w:val="00D10409"/>
    <w:rsid w:val="00D107E5"/>
    <w:rsid w:val="00D109A5"/>
    <w:rsid w:val="00D11059"/>
    <w:rsid w:val="00D11EBE"/>
    <w:rsid w:val="00D11F07"/>
    <w:rsid w:val="00D11FA6"/>
    <w:rsid w:val="00D1286E"/>
    <w:rsid w:val="00D13300"/>
    <w:rsid w:val="00D138CC"/>
    <w:rsid w:val="00D13989"/>
    <w:rsid w:val="00D14DB2"/>
    <w:rsid w:val="00D151E1"/>
    <w:rsid w:val="00D15305"/>
    <w:rsid w:val="00D1576F"/>
    <w:rsid w:val="00D157E1"/>
    <w:rsid w:val="00D15B2C"/>
    <w:rsid w:val="00D1608D"/>
    <w:rsid w:val="00D162AA"/>
    <w:rsid w:val="00D163A1"/>
    <w:rsid w:val="00D16572"/>
    <w:rsid w:val="00D1683F"/>
    <w:rsid w:val="00D171D9"/>
    <w:rsid w:val="00D1775B"/>
    <w:rsid w:val="00D1789D"/>
    <w:rsid w:val="00D17A7B"/>
    <w:rsid w:val="00D17DD3"/>
    <w:rsid w:val="00D17DE5"/>
    <w:rsid w:val="00D17E1D"/>
    <w:rsid w:val="00D20116"/>
    <w:rsid w:val="00D2028F"/>
    <w:rsid w:val="00D20689"/>
    <w:rsid w:val="00D20955"/>
    <w:rsid w:val="00D20B9C"/>
    <w:rsid w:val="00D20EE2"/>
    <w:rsid w:val="00D215AC"/>
    <w:rsid w:val="00D216F1"/>
    <w:rsid w:val="00D21C01"/>
    <w:rsid w:val="00D21CD6"/>
    <w:rsid w:val="00D22373"/>
    <w:rsid w:val="00D22A16"/>
    <w:rsid w:val="00D2349C"/>
    <w:rsid w:val="00D23700"/>
    <w:rsid w:val="00D23F54"/>
    <w:rsid w:val="00D23F79"/>
    <w:rsid w:val="00D24168"/>
    <w:rsid w:val="00D242C2"/>
    <w:rsid w:val="00D24413"/>
    <w:rsid w:val="00D24487"/>
    <w:rsid w:val="00D24EC8"/>
    <w:rsid w:val="00D25101"/>
    <w:rsid w:val="00D252E1"/>
    <w:rsid w:val="00D25E4F"/>
    <w:rsid w:val="00D26A7A"/>
    <w:rsid w:val="00D26B53"/>
    <w:rsid w:val="00D2735D"/>
    <w:rsid w:val="00D27A75"/>
    <w:rsid w:val="00D304D0"/>
    <w:rsid w:val="00D3052E"/>
    <w:rsid w:val="00D30E9E"/>
    <w:rsid w:val="00D30F5A"/>
    <w:rsid w:val="00D317EF"/>
    <w:rsid w:val="00D31DC4"/>
    <w:rsid w:val="00D32847"/>
    <w:rsid w:val="00D32F3F"/>
    <w:rsid w:val="00D33056"/>
    <w:rsid w:val="00D3394F"/>
    <w:rsid w:val="00D33B67"/>
    <w:rsid w:val="00D33BCA"/>
    <w:rsid w:val="00D33CA1"/>
    <w:rsid w:val="00D344C8"/>
    <w:rsid w:val="00D34B6F"/>
    <w:rsid w:val="00D35490"/>
    <w:rsid w:val="00D357ED"/>
    <w:rsid w:val="00D35BAB"/>
    <w:rsid w:val="00D35C81"/>
    <w:rsid w:val="00D35C95"/>
    <w:rsid w:val="00D35E19"/>
    <w:rsid w:val="00D35E77"/>
    <w:rsid w:val="00D35ECF"/>
    <w:rsid w:val="00D35F4C"/>
    <w:rsid w:val="00D36882"/>
    <w:rsid w:val="00D36BF8"/>
    <w:rsid w:val="00D404CE"/>
    <w:rsid w:val="00D406E2"/>
    <w:rsid w:val="00D410A2"/>
    <w:rsid w:val="00D41210"/>
    <w:rsid w:val="00D416D6"/>
    <w:rsid w:val="00D41FBA"/>
    <w:rsid w:val="00D421B4"/>
    <w:rsid w:val="00D4248B"/>
    <w:rsid w:val="00D42515"/>
    <w:rsid w:val="00D429A3"/>
    <w:rsid w:val="00D42ED2"/>
    <w:rsid w:val="00D42FE3"/>
    <w:rsid w:val="00D43346"/>
    <w:rsid w:val="00D43E1E"/>
    <w:rsid w:val="00D4418A"/>
    <w:rsid w:val="00D44990"/>
    <w:rsid w:val="00D449D8"/>
    <w:rsid w:val="00D44A1C"/>
    <w:rsid w:val="00D46391"/>
    <w:rsid w:val="00D465C7"/>
    <w:rsid w:val="00D47018"/>
    <w:rsid w:val="00D477C7"/>
    <w:rsid w:val="00D47D59"/>
    <w:rsid w:val="00D5047D"/>
    <w:rsid w:val="00D5090C"/>
    <w:rsid w:val="00D50D33"/>
    <w:rsid w:val="00D514D6"/>
    <w:rsid w:val="00D517A0"/>
    <w:rsid w:val="00D5181F"/>
    <w:rsid w:val="00D51A4B"/>
    <w:rsid w:val="00D51E3A"/>
    <w:rsid w:val="00D5212A"/>
    <w:rsid w:val="00D52175"/>
    <w:rsid w:val="00D5260B"/>
    <w:rsid w:val="00D52A6D"/>
    <w:rsid w:val="00D52C4F"/>
    <w:rsid w:val="00D5331D"/>
    <w:rsid w:val="00D53670"/>
    <w:rsid w:val="00D53A41"/>
    <w:rsid w:val="00D53D4B"/>
    <w:rsid w:val="00D5425B"/>
    <w:rsid w:val="00D54A2C"/>
    <w:rsid w:val="00D54ECD"/>
    <w:rsid w:val="00D54FB4"/>
    <w:rsid w:val="00D55395"/>
    <w:rsid w:val="00D55481"/>
    <w:rsid w:val="00D55840"/>
    <w:rsid w:val="00D560F4"/>
    <w:rsid w:val="00D5628E"/>
    <w:rsid w:val="00D5639A"/>
    <w:rsid w:val="00D57271"/>
    <w:rsid w:val="00D572DA"/>
    <w:rsid w:val="00D57875"/>
    <w:rsid w:val="00D60340"/>
    <w:rsid w:val="00D6071F"/>
    <w:rsid w:val="00D60800"/>
    <w:rsid w:val="00D6104D"/>
    <w:rsid w:val="00D616F7"/>
    <w:rsid w:val="00D61844"/>
    <w:rsid w:val="00D61996"/>
    <w:rsid w:val="00D61A67"/>
    <w:rsid w:val="00D6297C"/>
    <w:rsid w:val="00D62CE6"/>
    <w:rsid w:val="00D638A2"/>
    <w:rsid w:val="00D63E05"/>
    <w:rsid w:val="00D63E55"/>
    <w:rsid w:val="00D642DE"/>
    <w:rsid w:val="00D643DB"/>
    <w:rsid w:val="00D643E5"/>
    <w:rsid w:val="00D648D2"/>
    <w:rsid w:val="00D64970"/>
    <w:rsid w:val="00D64E30"/>
    <w:rsid w:val="00D64E9E"/>
    <w:rsid w:val="00D654C2"/>
    <w:rsid w:val="00D6587C"/>
    <w:rsid w:val="00D65EB7"/>
    <w:rsid w:val="00D669F9"/>
    <w:rsid w:val="00D66D72"/>
    <w:rsid w:val="00D66F6C"/>
    <w:rsid w:val="00D66FD3"/>
    <w:rsid w:val="00D67EE2"/>
    <w:rsid w:val="00D67F28"/>
    <w:rsid w:val="00D721C0"/>
    <w:rsid w:val="00D72986"/>
    <w:rsid w:val="00D72B35"/>
    <w:rsid w:val="00D72C6C"/>
    <w:rsid w:val="00D72D53"/>
    <w:rsid w:val="00D72F8B"/>
    <w:rsid w:val="00D7341A"/>
    <w:rsid w:val="00D73E23"/>
    <w:rsid w:val="00D7430E"/>
    <w:rsid w:val="00D7465C"/>
    <w:rsid w:val="00D74AB3"/>
    <w:rsid w:val="00D75439"/>
    <w:rsid w:val="00D756C5"/>
    <w:rsid w:val="00D75D68"/>
    <w:rsid w:val="00D75E54"/>
    <w:rsid w:val="00D76EED"/>
    <w:rsid w:val="00D7700B"/>
    <w:rsid w:val="00D778C8"/>
    <w:rsid w:val="00D77DA8"/>
    <w:rsid w:val="00D80078"/>
    <w:rsid w:val="00D80251"/>
    <w:rsid w:val="00D808C6"/>
    <w:rsid w:val="00D81B7C"/>
    <w:rsid w:val="00D81F60"/>
    <w:rsid w:val="00D82A29"/>
    <w:rsid w:val="00D82B43"/>
    <w:rsid w:val="00D83100"/>
    <w:rsid w:val="00D83921"/>
    <w:rsid w:val="00D83E3C"/>
    <w:rsid w:val="00D83ECD"/>
    <w:rsid w:val="00D84164"/>
    <w:rsid w:val="00D85601"/>
    <w:rsid w:val="00D85C23"/>
    <w:rsid w:val="00D85E40"/>
    <w:rsid w:val="00D85E6E"/>
    <w:rsid w:val="00D8653B"/>
    <w:rsid w:val="00D86D6D"/>
    <w:rsid w:val="00D87106"/>
    <w:rsid w:val="00D874EE"/>
    <w:rsid w:val="00D87B11"/>
    <w:rsid w:val="00D9042B"/>
    <w:rsid w:val="00D90B49"/>
    <w:rsid w:val="00D90FDE"/>
    <w:rsid w:val="00D918E9"/>
    <w:rsid w:val="00D91D46"/>
    <w:rsid w:val="00D92E48"/>
    <w:rsid w:val="00D93A14"/>
    <w:rsid w:val="00D93EA0"/>
    <w:rsid w:val="00D942DF"/>
    <w:rsid w:val="00D94779"/>
    <w:rsid w:val="00D947C6"/>
    <w:rsid w:val="00D948B8"/>
    <w:rsid w:val="00D94B37"/>
    <w:rsid w:val="00D94FD1"/>
    <w:rsid w:val="00D95034"/>
    <w:rsid w:val="00D95275"/>
    <w:rsid w:val="00D95357"/>
    <w:rsid w:val="00D95617"/>
    <w:rsid w:val="00D9649C"/>
    <w:rsid w:val="00D96983"/>
    <w:rsid w:val="00D96998"/>
    <w:rsid w:val="00D96AF6"/>
    <w:rsid w:val="00D96DB2"/>
    <w:rsid w:val="00D97497"/>
    <w:rsid w:val="00D97589"/>
    <w:rsid w:val="00DA0611"/>
    <w:rsid w:val="00DA08AE"/>
    <w:rsid w:val="00DA0B74"/>
    <w:rsid w:val="00DA11A5"/>
    <w:rsid w:val="00DA123F"/>
    <w:rsid w:val="00DA1458"/>
    <w:rsid w:val="00DA1981"/>
    <w:rsid w:val="00DA1F73"/>
    <w:rsid w:val="00DA3167"/>
    <w:rsid w:val="00DA319B"/>
    <w:rsid w:val="00DA3FE7"/>
    <w:rsid w:val="00DA418A"/>
    <w:rsid w:val="00DA43B0"/>
    <w:rsid w:val="00DA4497"/>
    <w:rsid w:val="00DA47B9"/>
    <w:rsid w:val="00DA4CB4"/>
    <w:rsid w:val="00DA4EEC"/>
    <w:rsid w:val="00DA557D"/>
    <w:rsid w:val="00DA62A2"/>
    <w:rsid w:val="00DA62C3"/>
    <w:rsid w:val="00DA71CC"/>
    <w:rsid w:val="00DA7308"/>
    <w:rsid w:val="00DA7EF7"/>
    <w:rsid w:val="00DB045D"/>
    <w:rsid w:val="00DB05F8"/>
    <w:rsid w:val="00DB0697"/>
    <w:rsid w:val="00DB06F5"/>
    <w:rsid w:val="00DB0865"/>
    <w:rsid w:val="00DB1112"/>
    <w:rsid w:val="00DB13D9"/>
    <w:rsid w:val="00DB2502"/>
    <w:rsid w:val="00DB2603"/>
    <w:rsid w:val="00DB26DA"/>
    <w:rsid w:val="00DB26FC"/>
    <w:rsid w:val="00DB2D53"/>
    <w:rsid w:val="00DB2FAA"/>
    <w:rsid w:val="00DB3145"/>
    <w:rsid w:val="00DB3234"/>
    <w:rsid w:val="00DB3670"/>
    <w:rsid w:val="00DB38FA"/>
    <w:rsid w:val="00DB3B1F"/>
    <w:rsid w:val="00DB437F"/>
    <w:rsid w:val="00DB4578"/>
    <w:rsid w:val="00DB48F8"/>
    <w:rsid w:val="00DB490A"/>
    <w:rsid w:val="00DB496B"/>
    <w:rsid w:val="00DB4AA7"/>
    <w:rsid w:val="00DB5049"/>
    <w:rsid w:val="00DB6406"/>
    <w:rsid w:val="00DB6753"/>
    <w:rsid w:val="00DB67A3"/>
    <w:rsid w:val="00DB688E"/>
    <w:rsid w:val="00DB68FE"/>
    <w:rsid w:val="00DB6D6F"/>
    <w:rsid w:val="00DB7484"/>
    <w:rsid w:val="00DB7F10"/>
    <w:rsid w:val="00DC0872"/>
    <w:rsid w:val="00DC0A84"/>
    <w:rsid w:val="00DC0EFE"/>
    <w:rsid w:val="00DC118F"/>
    <w:rsid w:val="00DC12E3"/>
    <w:rsid w:val="00DC18E7"/>
    <w:rsid w:val="00DC19AB"/>
    <w:rsid w:val="00DC200B"/>
    <w:rsid w:val="00DC232A"/>
    <w:rsid w:val="00DC2930"/>
    <w:rsid w:val="00DC2B41"/>
    <w:rsid w:val="00DC34BD"/>
    <w:rsid w:val="00DC3D72"/>
    <w:rsid w:val="00DC401F"/>
    <w:rsid w:val="00DC45AE"/>
    <w:rsid w:val="00DC4A80"/>
    <w:rsid w:val="00DC5539"/>
    <w:rsid w:val="00DC65D7"/>
    <w:rsid w:val="00DC674B"/>
    <w:rsid w:val="00DC6B3C"/>
    <w:rsid w:val="00DC70B0"/>
    <w:rsid w:val="00DC748A"/>
    <w:rsid w:val="00DC752E"/>
    <w:rsid w:val="00DC7918"/>
    <w:rsid w:val="00DC7EEA"/>
    <w:rsid w:val="00DD03F9"/>
    <w:rsid w:val="00DD06F2"/>
    <w:rsid w:val="00DD0F05"/>
    <w:rsid w:val="00DD11A5"/>
    <w:rsid w:val="00DD15D2"/>
    <w:rsid w:val="00DD183E"/>
    <w:rsid w:val="00DD1C60"/>
    <w:rsid w:val="00DD2493"/>
    <w:rsid w:val="00DD2552"/>
    <w:rsid w:val="00DD2812"/>
    <w:rsid w:val="00DD2A2E"/>
    <w:rsid w:val="00DD2A39"/>
    <w:rsid w:val="00DD2AF2"/>
    <w:rsid w:val="00DD3195"/>
    <w:rsid w:val="00DD3ADE"/>
    <w:rsid w:val="00DD3C99"/>
    <w:rsid w:val="00DD568A"/>
    <w:rsid w:val="00DD571B"/>
    <w:rsid w:val="00DD5B89"/>
    <w:rsid w:val="00DD5F3E"/>
    <w:rsid w:val="00DD627D"/>
    <w:rsid w:val="00DD6FF7"/>
    <w:rsid w:val="00DD7070"/>
    <w:rsid w:val="00DD710B"/>
    <w:rsid w:val="00DD733C"/>
    <w:rsid w:val="00DD736B"/>
    <w:rsid w:val="00DD7547"/>
    <w:rsid w:val="00DD761A"/>
    <w:rsid w:val="00DE0185"/>
    <w:rsid w:val="00DE0411"/>
    <w:rsid w:val="00DE0667"/>
    <w:rsid w:val="00DE1987"/>
    <w:rsid w:val="00DE231F"/>
    <w:rsid w:val="00DE264E"/>
    <w:rsid w:val="00DE283D"/>
    <w:rsid w:val="00DE28BC"/>
    <w:rsid w:val="00DE2BA4"/>
    <w:rsid w:val="00DE2FF9"/>
    <w:rsid w:val="00DE3419"/>
    <w:rsid w:val="00DE3E2F"/>
    <w:rsid w:val="00DE4088"/>
    <w:rsid w:val="00DE4A4A"/>
    <w:rsid w:val="00DE4AAC"/>
    <w:rsid w:val="00DE4AEC"/>
    <w:rsid w:val="00DE4EDF"/>
    <w:rsid w:val="00DE50EC"/>
    <w:rsid w:val="00DE5B1C"/>
    <w:rsid w:val="00DE69D3"/>
    <w:rsid w:val="00DE6CD0"/>
    <w:rsid w:val="00DE73B9"/>
    <w:rsid w:val="00DE7921"/>
    <w:rsid w:val="00DE7CAE"/>
    <w:rsid w:val="00DE7CC9"/>
    <w:rsid w:val="00DF0932"/>
    <w:rsid w:val="00DF0A19"/>
    <w:rsid w:val="00DF0B7F"/>
    <w:rsid w:val="00DF1CE6"/>
    <w:rsid w:val="00DF1E20"/>
    <w:rsid w:val="00DF2E86"/>
    <w:rsid w:val="00DF2ED9"/>
    <w:rsid w:val="00DF3652"/>
    <w:rsid w:val="00DF3CE1"/>
    <w:rsid w:val="00DF496C"/>
    <w:rsid w:val="00DF4B5E"/>
    <w:rsid w:val="00DF4D55"/>
    <w:rsid w:val="00DF4F11"/>
    <w:rsid w:val="00DF5568"/>
    <w:rsid w:val="00DF5816"/>
    <w:rsid w:val="00DF58B6"/>
    <w:rsid w:val="00DF5E9F"/>
    <w:rsid w:val="00DF62FA"/>
    <w:rsid w:val="00DF6713"/>
    <w:rsid w:val="00DF6931"/>
    <w:rsid w:val="00DF6B0B"/>
    <w:rsid w:val="00DF7214"/>
    <w:rsid w:val="00DF773D"/>
    <w:rsid w:val="00DF7A66"/>
    <w:rsid w:val="00E00C83"/>
    <w:rsid w:val="00E00F48"/>
    <w:rsid w:val="00E01735"/>
    <w:rsid w:val="00E01781"/>
    <w:rsid w:val="00E022B6"/>
    <w:rsid w:val="00E02318"/>
    <w:rsid w:val="00E025AC"/>
    <w:rsid w:val="00E02658"/>
    <w:rsid w:val="00E027BB"/>
    <w:rsid w:val="00E03480"/>
    <w:rsid w:val="00E0373A"/>
    <w:rsid w:val="00E0397F"/>
    <w:rsid w:val="00E03D81"/>
    <w:rsid w:val="00E0464E"/>
    <w:rsid w:val="00E04F22"/>
    <w:rsid w:val="00E04FEA"/>
    <w:rsid w:val="00E05587"/>
    <w:rsid w:val="00E05F9D"/>
    <w:rsid w:val="00E06DD0"/>
    <w:rsid w:val="00E07F4C"/>
    <w:rsid w:val="00E07F9E"/>
    <w:rsid w:val="00E101A8"/>
    <w:rsid w:val="00E104B9"/>
    <w:rsid w:val="00E109AF"/>
    <w:rsid w:val="00E1108A"/>
    <w:rsid w:val="00E121F2"/>
    <w:rsid w:val="00E12AE7"/>
    <w:rsid w:val="00E12F5C"/>
    <w:rsid w:val="00E12FDB"/>
    <w:rsid w:val="00E1314D"/>
    <w:rsid w:val="00E132F5"/>
    <w:rsid w:val="00E13426"/>
    <w:rsid w:val="00E13672"/>
    <w:rsid w:val="00E136A3"/>
    <w:rsid w:val="00E13F47"/>
    <w:rsid w:val="00E13F9F"/>
    <w:rsid w:val="00E1403B"/>
    <w:rsid w:val="00E14432"/>
    <w:rsid w:val="00E14BA8"/>
    <w:rsid w:val="00E1597B"/>
    <w:rsid w:val="00E159C8"/>
    <w:rsid w:val="00E162BD"/>
    <w:rsid w:val="00E163A7"/>
    <w:rsid w:val="00E1669A"/>
    <w:rsid w:val="00E1673D"/>
    <w:rsid w:val="00E16E81"/>
    <w:rsid w:val="00E16F8E"/>
    <w:rsid w:val="00E17CC4"/>
    <w:rsid w:val="00E20DD2"/>
    <w:rsid w:val="00E20FBC"/>
    <w:rsid w:val="00E21272"/>
    <w:rsid w:val="00E21325"/>
    <w:rsid w:val="00E21459"/>
    <w:rsid w:val="00E214CC"/>
    <w:rsid w:val="00E21735"/>
    <w:rsid w:val="00E21948"/>
    <w:rsid w:val="00E21BB5"/>
    <w:rsid w:val="00E22232"/>
    <w:rsid w:val="00E2244C"/>
    <w:rsid w:val="00E22470"/>
    <w:rsid w:val="00E224CD"/>
    <w:rsid w:val="00E22685"/>
    <w:rsid w:val="00E22AF3"/>
    <w:rsid w:val="00E2337F"/>
    <w:rsid w:val="00E235FE"/>
    <w:rsid w:val="00E237B8"/>
    <w:rsid w:val="00E2449D"/>
    <w:rsid w:val="00E24F5C"/>
    <w:rsid w:val="00E256FD"/>
    <w:rsid w:val="00E25E4E"/>
    <w:rsid w:val="00E26888"/>
    <w:rsid w:val="00E26B65"/>
    <w:rsid w:val="00E270B9"/>
    <w:rsid w:val="00E2710C"/>
    <w:rsid w:val="00E27534"/>
    <w:rsid w:val="00E276E6"/>
    <w:rsid w:val="00E27B91"/>
    <w:rsid w:val="00E30003"/>
    <w:rsid w:val="00E30AFB"/>
    <w:rsid w:val="00E30C9C"/>
    <w:rsid w:val="00E30FD0"/>
    <w:rsid w:val="00E31001"/>
    <w:rsid w:val="00E31022"/>
    <w:rsid w:val="00E31297"/>
    <w:rsid w:val="00E320AF"/>
    <w:rsid w:val="00E322E3"/>
    <w:rsid w:val="00E32306"/>
    <w:rsid w:val="00E325B3"/>
    <w:rsid w:val="00E32627"/>
    <w:rsid w:val="00E3267A"/>
    <w:rsid w:val="00E32B8E"/>
    <w:rsid w:val="00E33571"/>
    <w:rsid w:val="00E33784"/>
    <w:rsid w:val="00E33F7D"/>
    <w:rsid w:val="00E34826"/>
    <w:rsid w:val="00E34D9C"/>
    <w:rsid w:val="00E34E4B"/>
    <w:rsid w:val="00E34FE1"/>
    <w:rsid w:val="00E351DF"/>
    <w:rsid w:val="00E35881"/>
    <w:rsid w:val="00E35D1F"/>
    <w:rsid w:val="00E35FFC"/>
    <w:rsid w:val="00E36971"/>
    <w:rsid w:val="00E36F82"/>
    <w:rsid w:val="00E37F84"/>
    <w:rsid w:val="00E40876"/>
    <w:rsid w:val="00E40BB3"/>
    <w:rsid w:val="00E40D34"/>
    <w:rsid w:val="00E418E9"/>
    <w:rsid w:val="00E419CE"/>
    <w:rsid w:val="00E41E02"/>
    <w:rsid w:val="00E42141"/>
    <w:rsid w:val="00E42FCF"/>
    <w:rsid w:val="00E43401"/>
    <w:rsid w:val="00E4356E"/>
    <w:rsid w:val="00E43CE7"/>
    <w:rsid w:val="00E43E50"/>
    <w:rsid w:val="00E44A0A"/>
    <w:rsid w:val="00E46313"/>
    <w:rsid w:val="00E46821"/>
    <w:rsid w:val="00E46C98"/>
    <w:rsid w:val="00E470DE"/>
    <w:rsid w:val="00E47D3A"/>
    <w:rsid w:val="00E47D43"/>
    <w:rsid w:val="00E47E5A"/>
    <w:rsid w:val="00E50648"/>
    <w:rsid w:val="00E50BD1"/>
    <w:rsid w:val="00E511DF"/>
    <w:rsid w:val="00E514F2"/>
    <w:rsid w:val="00E522BB"/>
    <w:rsid w:val="00E52AAE"/>
    <w:rsid w:val="00E52C1C"/>
    <w:rsid w:val="00E5417D"/>
    <w:rsid w:val="00E54211"/>
    <w:rsid w:val="00E5427E"/>
    <w:rsid w:val="00E543EF"/>
    <w:rsid w:val="00E54930"/>
    <w:rsid w:val="00E549A1"/>
    <w:rsid w:val="00E54D3F"/>
    <w:rsid w:val="00E54DC6"/>
    <w:rsid w:val="00E552DE"/>
    <w:rsid w:val="00E55309"/>
    <w:rsid w:val="00E559CE"/>
    <w:rsid w:val="00E55EB8"/>
    <w:rsid w:val="00E55F1C"/>
    <w:rsid w:val="00E56881"/>
    <w:rsid w:val="00E56924"/>
    <w:rsid w:val="00E56B4D"/>
    <w:rsid w:val="00E56B87"/>
    <w:rsid w:val="00E5704B"/>
    <w:rsid w:val="00E57214"/>
    <w:rsid w:val="00E57363"/>
    <w:rsid w:val="00E573CC"/>
    <w:rsid w:val="00E57578"/>
    <w:rsid w:val="00E578B5"/>
    <w:rsid w:val="00E57FCD"/>
    <w:rsid w:val="00E60103"/>
    <w:rsid w:val="00E609EE"/>
    <w:rsid w:val="00E60C87"/>
    <w:rsid w:val="00E62152"/>
    <w:rsid w:val="00E6279D"/>
    <w:rsid w:val="00E628DA"/>
    <w:rsid w:val="00E63730"/>
    <w:rsid w:val="00E63CE4"/>
    <w:rsid w:val="00E641B6"/>
    <w:rsid w:val="00E646C6"/>
    <w:rsid w:val="00E656E1"/>
    <w:rsid w:val="00E65F75"/>
    <w:rsid w:val="00E66341"/>
    <w:rsid w:val="00E66372"/>
    <w:rsid w:val="00E6650E"/>
    <w:rsid w:val="00E66B06"/>
    <w:rsid w:val="00E66B24"/>
    <w:rsid w:val="00E67098"/>
    <w:rsid w:val="00E67999"/>
    <w:rsid w:val="00E67BE8"/>
    <w:rsid w:val="00E67CCE"/>
    <w:rsid w:val="00E70288"/>
    <w:rsid w:val="00E70295"/>
    <w:rsid w:val="00E70540"/>
    <w:rsid w:val="00E70F01"/>
    <w:rsid w:val="00E71515"/>
    <w:rsid w:val="00E719A5"/>
    <w:rsid w:val="00E71A3D"/>
    <w:rsid w:val="00E723AB"/>
    <w:rsid w:val="00E726DC"/>
    <w:rsid w:val="00E72E23"/>
    <w:rsid w:val="00E72EB3"/>
    <w:rsid w:val="00E73E4D"/>
    <w:rsid w:val="00E741FC"/>
    <w:rsid w:val="00E74467"/>
    <w:rsid w:val="00E75447"/>
    <w:rsid w:val="00E7610A"/>
    <w:rsid w:val="00E76418"/>
    <w:rsid w:val="00E765AA"/>
    <w:rsid w:val="00E768B3"/>
    <w:rsid w:val="00E7710A"/>
    <w:rsid w:val="00E773C1"/>
    <w:rsid w:val="00E7744F"/>
    <w:rsid w:val="00E7780E"/>
    <w:rsid w:val="00E77BBD"/>
    <w:rsid w:val="00E77EFF"/>
    <w:rsid w:val="00E8012F"/>
    <w:rsid w:val="00E806F8"/>
    <w:rsid w:val="00E81348"/>
    <w:rsid w:val="00E81442"/>
    <w:rsid w:val="00E828DF"/>
    <w:rsid w:val="00E829F5"/>
    <w:rsid w:val="00E82A5B"/>
    <w:rsid w:val="00E83295"/>
    <w:rsid w:val="00E83607"/>
    <w:rsid w:val="00E8382C"/>
    <w:rsid w:val="00E83D6B"/>
    <w:rsid w:val="00E84B43"/>
    <w:rsid w:val="00E84DCC"/>
    <w:rsid w:val="00E84EE3"/>
    <w:rsid w:val="00E8517B"/>
    <w:rsid w:val="00E85B29"/>
    <w:rsid w:val="00E868B4"/>
    <w:rsid w:val="00E86AAB"/>
    <w:rsid w:val="00E86D2F"/>
    <w:rsid w:val="00E86D5A"/>
    <w:rsid w:val="00E86FA6"/>
    <w:rsid w:val="00E875DF"/>
    <w:rsid w:val="00E87A80"/>
    <w:rsid w:val="00E9100C"/>
    <w:rsid w:val="00E910DB"/>
    <w:rsid w:val="00E9125C"/>
    <w:rsid w:val="00E91701"/>
    <w:rsid w:val="00E9189B"/>
    <w:rsid w:val="00E91951"/>
    <w:rsid w:val="00E91AD3"/>
    <w:rsid w:val="00E9244F"/>
    <w:rsid w:val="00E932DA"/>
    <w:rsid w:val="00E93506"/>
    <w:rsid w:val="00E936AA"/>
    <w:rsid w:val="00E93BF9"/>
    <w:rsid w:val="00E942B7"/>
    <w:rsid w:val="00E94EE4"/>
    <w:rsid w:val="00E952BC"/>
    <w:rsid w:val="00E959AA"/>
    <w:rsid w:val="00E95C89"/>
    <w:rsid w:val="00E96197"/>
    <w:rsid w:val="00E97271"/>
    <w:rsid w:val="00E97424"/>
    <w:rsid w:val="00E974C1"/>
    <w:rsid w:val="00E974D0"/>
    <w:rsid w:val="00E97673"/>
    <w:rsid w:val="00E97796"/>
    <w:rsid w:val="00E97866"/>
    <w:rsid w:val="00E9794F"/>
    <w:rsid w:val="00EA0A77"/>
    <w:rsid w:val="00EA0EEE"/>
    <w:rsid w:val="00EA11AD"/>
    <w:rsid w:val="00EA139C"/>
    <w:rsid w:val="00EA206D"/>
    <w:rsid w:val="00EA25E1"/>
    <w:rsid w:val="00EA2835"/>
    <w:rsid w:val="00EA2CAB"/>
    <w:rsid w:val="00EA2D93"/>
    <w:rsid w:val="00EA3356"/>
    <w:rsid w:val="00EA3657"/>
    <w:rsid w:val="00EA3730"/>
    <w:rsid w:val="00EA3EC5"/>
    <w:rsid w:val="00EA43C1"/>
    <w:rsid w:val="00EA470F"/>
    <w:rsid w:val="00EA4966"/>
    <w:rsid w:val="00EA500E"/>
    <w:rsid w:val="00EA5294"/>
    <w:rsid w:val="00EA5970"/>
    <w:rsid w:val="00EA5D7E"/>
    <w:rsid w:val="00EA714C"/>
    <w:rsid w:val="00EA73B3"/>
    <w:rsid w:val="00EA7FD2"/>
    <w:rsid w:val="00EB0832"/>
    <w:rsid w:val="00EB0BCF"/>
    <w:rsid w:val="00EB0BE8"/>
    <w:rsid w:val="00EB0C2F"/>
    <w:rsid w:val="00EB13A9"/>
    <w:rsid w:val="00EB1566"/>
    <w:rsid w:val="00EB156A"/>
    <w:rsid w:val="00EB202D"/>
    <w:rsid w:val="00EB212D"/>
    <w:rsid w:val="00EB255F"/>
    <w:rsid w:val="00EB2B7B"/>
    <w:rsid w:val="00EB2C29"/>
    <w:rsid w:val="00EB33E9"/>
    <w:rsid w:val="00EB3B97"/>
    <w:rsid w:val="00EB3F69"/>
    <w:rsid w:val="00EB4092"/>
    <w:rsid w:val="00EB50FD"/>
    <w:rsid w:val="00EB51F6"/>
    <w:rsid w:val="00EB556E"/>
    <w:rsid w:val="00EB621E"/>
    <w:rsid w:val="00EB65CC"/>
    <w:rsid w:val="00EB67E3"/>
    <w:rsid w:val="00EB6E08"/>
    <w:rsid w:val="00EB7AF1"/>
    <w:rsid w:val="00EB7BFF"/>
    <w:rsid w:val="00EC0054"/>
    <w:rsid w:val="00EC0315"/>
    <w:rsid w:val="00EC07FC"/>
    <w:rsid w:val="00EC09D7"/>
    <w:rsid w:val="00EC13FF"/>
    <w:rsid w:val="00EC144C"/>
    <w:rsid w:val="00EC1636"/>
    <w:rsid w:val="00EC17B7"/>
    <w:rsid w:val="00EC1A5F"/>
    <w:rsid w:val="00EC1DCC"/>
    <w:rsid w:val="00EC1F33"/>
    <w:rsid w:val="00EC3393"/>
    <w:rsid w:val="00EC369B"/>
    <w:rsid w:val="00EC44E0"/>
    <w:rsid w:val="00EC4623"/>
    <w:rsid w:val="00EC4A7B"/>
    <w:rsid w:val="00EC599F"/>
    <w:rsid w:val="00EC5A99"/>
    <w:rsid w:val="00EC5B29"/>
    <w:rsid w:val="00EC5C8B"/>
    <w:rsid w:val="00EC5F4E"/>
    <w:rsid w:val="00EC65C2"/>
    <w:rsid w:val="00EC69D9"/>
    <w:rsid w:val="00EC6A69"/>
    <w:rsid w:val="00EC6DD7"/>
    <w:rsid w:val="00EC73D3"/>
    <w:rsid w:val="00EC78A9"/>
    <w:rsid w:val="00EC7D49"/>
    <w:rsid w:val="00EC7FEA"/>
    <w:rsid w:val="00ED001F"/>
    <w:rsid w:val="00ED0104"/>
    <w:rsid w:val="00ED06E3"/>
    <w:rsid w:val="00ED0945"/>
    <w:rsid w:val="00ED0A64"/>
    <w:rsid w:val="00ED0F94"/>
    <w:rsid w:val="00ED130A"/>
    <w:rsid w:val="00ED135F"/>
    <w:rsid w:val="00ED17A9"/>
    <w:rsid w:val="00ED1902"/>
    <w:rsid w:val="00ED193B"/>
    <w:rsid w:val="00ED1E74"/>
    <w:rsid w:val="00ED206A"/>
    <w:rsid w:val="00ED2200"/>
    <w:rsid w:val="00ED246E"/>
    <w:rsid w:val="00ED2743"/>
    <w:rsid w:val="00ED2CFB"/>
    <w:rsid w:val="00ED2D50"/>
    <w:rsid w:val="00ED30A1"/>
    <w:rsid w:val="00ED388D"/>
    <w:rsid w:val="00ED391D"/>
    <w:rsid w:val="00ED3CBF"/>
    <w:rsid w:val="00ED3E8E"/>
    <w:rsid w:val="00ED4D3B"/>
    <w:rsid w:val="00ED5024"/>
    <w:rsid w:val="00ED5813"/>
    <w:rsid w:val="00ED58A2"/>
    <w:rsid w:val="00ED58FB"/>
    <w:rsid w:val="00ED675D"/>
    <w:rsid w:val="00ED68E6"/>
    <w:rsid w:val="00ED6D3E"/>
    <w:rsid w:val="00ED7371"/>
    <w:rsid w:val="00ED7746"/>
    <w:rsid w:val="00ED796D"/>
    <w:rsid w:val="00ED7F15"/>
    <w:rsid w:val="00EE097B"/>
    <w:rsid w:val="00EE0A87"/>
    <w:rsid w:val="00EE0C2F"/>
    <w:rsid w:val="00EE0F7E"/>
    <w:rsid w:val="00EE212F"/>
    <w:rsid w:val="00EE2777"/>
    <w:rsid w:val="00EE2EBC"/>
    <w:rsid w:val="00EE313D"/>
    <w:rsid w:val="00EE316D"/>
    <w:rsid w:val="00EE351C"/>
    <w:rsid w:val="00EE3A85"/>
    <w:rsid w:val="00EE4BC5"/>
    <w:rsid w:val="00EE4DC6"/>
    <w:rsid w:val="00EE521F"/>
    <w:rsid w:val="00EE552D"/>
    <w:rsid w:val="00EE5CB9"/>
    <w:rsid w:val="00EE6446"/>
    <w:rsid w:val="00EE64D5"/>
    <w:rsid w:val="00EE67C1"/>
    <w:rsid w:val="00EE68E4"/>
    <w:rsid w:val="00EE6B32"/>
    <w:rsid w:val="00EE6BF8"/>
    <w:rsid w:val="00EE6CC0"/>
    <w:rsid w:val="00EE6D04"/>
    <w:rsid w:val="00EE6D36"/>
    <w:rsid w:val="00EE70E0"/>
    <w:rsid w:val="00EE789D"/>
    <w:rsid w:val="00EF0EFE"/>
    <w:rsid w:val="00EF1769"/>
    <w:rsid w:val="00EF1C27"/>
    <w:rsid w:val="00EF23E0"/>
    <w:rsid w:val="00EF24EE"/>
    <w:rsid w:val="00EF253B"/>
    <w:rsid w:val="00EF26D3"/>
    <w:rsid w:val="00EF2C72"/>
    <w:rsid w:val="00EF2D31"/>
    <w:rsid w:val="00EF2D8E"/>
    <w:rsid w:val="00EF3143"/>
    <w:rsid w:val="00EF3699"/>
    <w:rsid w:val="00EF3B52"/>
    <w:rsid w:val="00EF3EEF"/>
    <w:rsid w:val="00EF4E61"/>
    <w:rsid w:val="00EF51BF"/>
    <w:rsid w:val="00EF590B"/>
    <w:rsid w:val="00EF6227"/>
    <w:rsid w:val="00EF6B57"/>
    <w:rsid w:val="00EF6DCB"/>
    <w:rsid w:val="00EF7353"/>
    <w:rsid w:val="00EF750D"/>
    <w:rsid w:val="00F00739"/>
    <w:rsid w:val="00F013DE"/>
    <w:rsid w:val="00F015E3"/>
    <w:rsid w:val="00F02684"/>
    <w:rsid w:val="00F026A6"/>
    <w:rsid w:val="00F02738"/>
    <w:rsid w:val="00F02AFB"/>
    <w:rsid w:val="00F02B53"/>
    <w:rsid w:val="00F03897"/>
    <w:rsid w:val="00F03C3F"/>
    <w:rsid w:val="00F03DDB"/>
    <w:rsid w:val="00F045D9"/>
    <w:rsid w:val="00F04EB3"/>
    <w:rsid w:val="00F05C1F"/>
    <w:rsid w:val="00F060C0"/>
    <w:rsid w:val="00F06959"/>
    <w:rsid w:val="00F06A09"/>
    <w:rsid w:val="00F07ACD"/>
    <w:rsid w:val="00F07D24"/>
    <w:rsid w:val="00F100B9"/>
    <w:rsid w:val="00F10395"/>
    <w:rsid w:val="00F10A7B"/>
    <w:rsid w:val="00F11338"/>
    <w:rsid w:val="00F11AC1"/>
    <w:rsid w:val="00F12118"/>
    <w:rsid w:val="00F1218B"/>
    <w:rsid w:val="00F126A5"/>
    <w:rsid w:val="00F12A92"/>
    <w:rsid w:val="00F12E1C"/>
    <w:rsid w:val="00F13EA7"/>
    <w:rsid w:val="00F13FDA"/>
    <w:rsid w:val="00F140E0"/>
    <w:rsid w:val="00F14B8D"/>
    <w:rsid w:val="00F14CA3"/>
    <w:rsid w:val="00F14DA4"/>
    <w:rsid w:val="00F14DAD"/>
    <w:rsid w:val="00F15170"/>
    <w:rsid w:val="00F151E1"/>
    <w:rsid w:val="00F15868"/>
    <w:rsid w:val="00F16224"/>
    <w:rsid w:val="00F1768C"/>
    <w:rsid w:val="00F17C7E"/>
    <w:rsid w:val="00F20085"/>
    <w:rsid w:val="00F20524"/>
    <w:rsid w:val="00F2094A"/>
    <w:rsid w:val="00F20E92"/>
    <w:rsid w:val="00F211C7"/>
    <w:rsid w:val="00F21884"/>
    <w:rsid w:val="00F2190A"/>
    <w:rsid w:val="00F2214F"/>
    <w:rsid w:val="00F223C5"/>
    <w:rsid w:val="00F23118"/>
    <w:rsid w:val="00F23968"/>
    <w:rsid w:val="00F23AA3"/>
    <w:rsid w:val="00F23CB6"/>
    <w:rsid w:val="00F24281"/>
    <w:rsid w:val="00F2451A"/>
    <w:rsid w:val="00F247DC"/>
    <w:rsid w:val="00F24C0A"/>
    <w:rsid w:val="00F24E44"/>
    <w:rsid w:val="00F26054"/>
    <w:rsid w:val="00F262A0"/>
    <w:rsid w:val="00F26AD5"/>
    <w:rsid w:val="00F26F85"/>
    <w:rsid w:val="00F272CD"/>
    <w:rsid w:val="00F27437"/>
    <w:rsid w:val="00F2787F"/>
    <w:rsid w:val="00F304D0"/>
    <w:rsid w:val="00F30A32"/>
    <w:rsid w:val="00F30C43"/>
    <w:rsid w:val="00F317F6"/>
    <w:rsid w:val="00F31BD4"/>
    <w:rsid w:val="00F31F4C"/>
    <w:rsid w:val="00F32309"/>
    <w:rsid w:val="00F3249F"/>
    <w:rsid w:val="00F32713"/>
    <w:rsid w:val="00F328F2"/>
    <w:rsid w:val="00F33457"/>
    <w:rsid w:val="00F34269"/>
    <w:rsid w:val="00F34664"/>
    <w:rsid w:val="00F3476C"/>
    <w:rsid w:val="00F349E0"/>
    <w:rsid w:val="00F34A8C"/>
    <w:rsid w:val="00F35955"/>
    <w:rsid w:val="00F35BF8"/>
    <w:rsid w:val="00F36086"/>
    <w:rsid w:val="00F36616"/>
    <w:rsid w:val="00F36977"/>
    <w:rsid w:val="00F369B2"/>
    <w:rsid w:val="00F369B6"/>
    <w:rsid w:val="00F36E32"/>
    <w:rsid w:val="00F36FCF"/>
    <w:rsid w:val="00F37B48"/>
    <w:rsid w:val="00F400A2"/>
    <w:rsid w:val="00F404CC"/>
    <w:rsid w:val="00F40598"/>
    <w:rsid w:val="00F40D09"/>
    <w:rsid w:val="00F4124A"/>
    <w:rsid w:val="00F416EC"/>
    <w:rsid w:val="00F419B4"/>
    <w:rsid w:val="00F421C4"/>
    <w:rsid w:val="00F42250"/>
    <w:rsid w:val="00F42623"/>
    <w:rsid w:val="00F4369B"/>
    <w:rsid w:val="00F4377A"/>
    <w:rsid w:val="00F44426"/>
    <w:rsid w:val="00F447FE"/>
    <w:rsid w:val="00F44E0A"/>
    <w:rsid w:val="00F458BB"/>
    <w:rsid w:val="00F45E79"/>
    <w:rsid w:val="00F45F64"/>
    <w:rsid w:val="00F45FAE"/>
    <w:rsid w:val="00F46D2F"/>
    <w:rsid w:val="00F47050"/>
    <w:rsid w:val="00F47958"/>
    <w:rsid w:val="00F47A5F"/>
    <w:rsid w:val="00F47B02"/>
    <w:rsid w:val="00F50256"/>
    <w:rsid w:val="00F5058F"/>
    <w:rsid w:val="00F50779"/>
    <w:rsid w:val="00F507BF"/>
    <w:rsid w:val="00F5230A"/>
    <w:rsid w:val="00F5281F"/>
    <w:rsid w:val="00F52969"/>
    <w:rsid w:val="00F52EDE"/>
    <w:rsid w:val="00F533C7"/>
    <w:rsid w:val="00F53709"/>
    <w:rsid w:val="00F53A41"/>
    <w:rsid w:val="00F53F79"/>
    <w:rsid w:val="00F5419B"/>
    <w:rsid w:val="00F544C1"/>
    <w:rsid w:val="00F544C9"/>
    <w:rsid w:val="00F54DC2"/>
    <w:rsid w:val="00F551FA"/>
    <w:rsid w:val="00F55BC8"/>
    <w:rsid w:val="00F55BCD"/>
    <w:rsid w:val="00F561D9"/>
    <w:rsid w:val="00F561F1"/>
    <w:rsid w:val="00F577A4"/>
    <w:rsid w:val="00F57FBE"/>
    <w:rsid w:val="00F6021E"/>
    <w:rsid w:val="00F6059D"/>
    <w:rsid w:val="00F605A1"/>
    <w:rsid w:val="00F6097A"/>
    <w:rsid w:val="00F609B4"/>
    <w:rsid w:val="00F61199"/>
    <w:rsid w:val="00F621FE"/>
    <w:rsid w:val="00F62311"/>
    <w:rsid w:val="00F62A0A"/>
    <w:rsid w:val="00F62BF3"/>
    <w:rsid w:val="00F63670"/>
    <w:rsid w:val="00F63ADA"/>
    <w:rsid w:val="00F64844"/>
    <w:rsid w:val="00F65184"/>
    <w:rsid w:val="00F651C6"/>
    <w:rsid w:val="00F65328"/>
    <w:rsid w:val="00F654F5"/>
    <w:rsid w:val="00F6553C"/>
    <w:rsid w:val="00F66047"/>
    <w:rsid w:val="00F6607B"/>
    <w:rsid w:val="00F67431"/>
    <w:rsid w:val="00F67D16"/>
    <w:rsid w:val="00F70422"/>
    <w:rsid w:val="00F708D0"/>
    <w:rsid w:val="00F71632"/>
    <w:rsid w:val="00F717D1"/>
    <w:rsid w:val="00F71B28"/>
    <w:rsid w:val="00F726B0"/>
    <w:rsid w:val="00F7317D"/>
    <w:rsid w:val="00F731F0"/>
    <w:rsid w:val="00F74CF3"/>
    <w:rsid w:val="00F74EB0"/>
    <w:rsid w:val="00F756BE"/>
    <w:rsid w:val="00F75C1C"/>
    <w:rsid w:val="00F767C3"/>
    <w:rsid w:val="00F770C1"/>
    <w:rsid w:val="00F77177"/>
    <w:rsid w:val="00F7772D"/>
    <w:rsid w:val="00F800A1"/>
    <w:rsid w:val="00F8040A"/>
    <w:rsid w:val="00F807D5"/>
    <w:rsid w:val="00F808F2"/>
    <w:rsid w:val="00F810E0"/>
    <w:rsid w:val="00F81C08"/>
    <w:rsid w:val="00F81FCE"/>
    <w:rsid w:val="00F824F4"/>
    <w:rsid w:val="00F8252D"/>
    <w:rsid w:val="00F826B5"/>
    <w:rsid w:val="00F8349B"/>
    <w:rsid w:val="00F836A3"/>
    <w:rsid w:val="00F8418C"/>
    <w:rsid w:val="00F84881"/>
    <w:rsid w:val="00F84A8E"/>
    <w:rsid w:val="00F85489"/>
    <w:rsid w:val="00F85B4A"/>
    <w:rsid w:val="00F862DC"/>
    <w:rsid w:val="00F865BF"/>
    <w:rsid w:val="00F866F2"/>
    <w:rsid w:val="00F86E25"/>
    <w:rsid w:val="00F871C1"/>
    <w:rsid w:val="00F87692"/>
    <w:rsid w:val="00F877CC"/>
    <w:rsid w:val="00F87DD4"/>
    <w:rsid w:val="00F900C6"/>
    <w:rsid w:val="00F90247"/>
    <w:rsid w:val="00F90497"/>
    <w:rsid w:val="00F904EF"/>
    <w:rsid w:val="00F905CB"/>
    <w:rsid w:val="00F90656"/>
    <w:rsid w:val="00F90893"/>
    <w:rsid w:val="00F90AED"/>
    <w:rsid w:val="00F9126E"/>
    <w:rsid w:val="00F913CF"/>
    <w:rsid w:val="00F91810"/>
    <w:rsid w:val="00F921B2"/>
    <w:rsid w:val="00F922EA"/>
    <w:rsid w:val="00F929E6"/>
    <w:rsid w:val="00F9301A"/>
    <w:rsid w:val="00F9372F"/>
    <w:rsid w:val="00F938E9"/>
    <w:rsid w:val="00F939A1"/>
    <w:rsid w:val="00F93A9B"/>
    <w:rsid w:val="00F93CD7"/>
    <w:rsid w:val="00F940D3"/>
    <w:rsid w:val="00F94668"/>
    <w:rsid w:val="00F949BE"/>
    <w:rsid w:val="00F94CAD"/>
    <w:rsid w:val="00F95238"/>
    <w:rsid w:val="00F953AE"/>
    <w:rsid w:val="00F9549B"/>
    <w:rsid w:val="00F95546"/>
    <w:rsid w:val="00F955E5"/>
    <w:rsid w:val="00F95F8D"/>
    <w:rsid w:val="00F9600E"/>
    <w:rsid w:val="00F96017"/>
    <w:rsid w:val="00F960B8"/>
    <w:rsid w:val="00F96644"/>
    <w:rsid w:val="00F966ED"/>
    <w:rsid w:val="00F96DDC"/>
    <w:rsid w:val="00F973A6"/>
    <w:rsid w:val="00F97B2C"/>
    <w:rsid w:val="00FA05B1"/>
    <w:rsid w:val="00FA06F5"/>
    <w:rsid w:val="00FA07CC"/>
    <w:rsid w:val="00FA0C5E"/>
    <w:rsid w:val="00FA11C1"/>
    <w:rsid w:val="00FA1A16"/>
    <w:rsid w:val="00FA1A9B"/>
    <w:rsid w:val="00FA1BC9"/>
    <w:rsid w:val="00FA21A4"/>
    <w:rsid w:val="00FA28A0"/>
    <w:rsid w:val="00FA2917"/>
    <w:rsid w:val="00FA3294"/>
    <w:rsid w:val="00FA3365"/>
    <w:rsid w:val="00FA3734"/>
    <w:rsid w:val="00FA389D"/>
    <w:rsid w:val="00FA479B"/>
    <w:rsid w:val="00FA4D55"/>
    <w:rsid w:val="00FA5B66"/>
    <w:rsid w:val="00FA5E2F"/>
    <w:rsid w:val="00FA6033"/>
    <w:rsid w:val="00FA750F"/>
    <w:rsid w:val="00FA793C"/>
    <w:rsid w:val="00FB0302"/>
    <w:rsid w:val="00FB032E"/>
    <w:rsid w:val="00FB0C67"/>
    <w:rsid w:val="00FB0FC3"/>
    <w:rsid w:val="00FB13E4"/>
    <w:rsid w:val="00FB2067"/>
    <w:rsid w:val="00FB21A7"/>
    <w:rsid w:val="00FB240F"/>
    <w:rsid w:val="00FB338D"/>
    <w:rsid w:val="00FB3F86"/>
    <w:rsid w:val="00FB4651"/>
    <w:rsid w:val="00FB4A28"/>
    <w:rsid w:val="00FB4A90"/>
    <w:rsid w:val="00FB54C3"/>
    <w:rsid w:val="00FB58A3"/>
    <w:rsid w:val="00FB5FFB"/>
    <w:rsid w:val="00FB69EC"/>
    <w:rsid w:val="00FB6C12"/>
    <w:rsid w:val="00FB6E62"/>
    <w:rsid w:val="00FB757C"/>
    <w:rsid w:val="00FC0214"/>
    <w:rsid w:val="00FC0574"/>
    <w:rsid w:val="00FC0A88"/>
    <w:rsid w:val="00FC0AE1"/>
    <w:rsid w:val="00FC1D97"/>
    <w:rsid w:val="00FC1E24"/>
    <w:rsid w:val="00FC213C"/>
    <w:rsid w:val="00FC2AF3"/>
    <w:rsid w:val="00FC2BD2"/>
    <w:rsid w:val="00FC2C6F"/>
    <w:rsid w:val="00FC30AA"/>
    <w:rsid w:val="00FC353D"/>
    <w:rsid w:val="00FC36B0"/>
    <w:rsid w:val="00FC3C66"/>
    <w:rsid w:val="00FC3FB4"/>
    <w:rsid w:val="00FC3FCA"/>
    <w:rsid w:val="00FC4A0F"/>
    <w:rsid w:val="00FC4E58"/>
    <w:rsid w:val="00FC4F64"/>
    <w:rsid w:val="00FC572A"/>
    <w:rsid w:val="00FC5FAA"/>
    <w:rsid w:val="00FC64E9"/>
    <w:rsid w:val="00FC67F5"/>
    <w:rsid w:val="00FC6F25"/>
    <w:rsid w:val="00FC70CA"/>
    <w:rsid w:val="00FC73EC"/>
    <w:rsid w:val="00FC79A2"/>
    <w:rsid w:val="00FC7B52"/>
    <w:rsid w:val="00FC7B96"/>
    <w:rsid w:val="00FC7C48"/>
    <w:rsid w:val="00FC7FA4"/>
    <w:rsid w:val="00FD031F"/>
    <w:rsid w:val="00FD1304"/>
    <w:rsid w:val="00FD17E4"/>
    <w:rsid w:val="00FD254D"/>
    <w:rsid w:val="00FD2585"/>
    <w:rsid w:val="00FD2658"/>
    <w:rsid w:val="00FD2D3E"/>
    <w:rsid w:val="00FD3225"/>
    <w:rsid w:val="00FD366C"/>
    <w:rsid w:val="00FD45D8"/>
    <w:rsid w:val="00FD4B67"/>
    <w:rsid w:val="00FD5D2C"/>
    <w:rsid w:val="00FD6919"/>
    <w:rsid w:val="00FD6B2C"/>
    <w:rsid w:val="00FD6D31"/>
    <w:rsid w:val="00FD6E68"/>
    <w:rsid w:val="00FD7409"/>
    <w:rsid w:val="00FD79E6"/>
    <w:rsid w:val="00FD7AB6"/>
    <w:rsid w:val="00FD7E85"/>
    <w:rsid w:val="00FD7FE9"/>
    <w:rsid w:val="00FE0388"/>
    <w:rsid w:val="00FE0808"/>
    <w:rsid w:val="00FE19AA"/>
    <w:rsid w:val="00FE19CE"/>
    <w:rsid w:val="00FE1A8C"/>
    <w:rsid w:val="00FE1B26"/>
    <w:rsid w:val="00FE2744"/>
    <w:rsid w:val="00FE2EB5"/>
    <w:rsid w:val="00FE2EF2"/>
    <w:rsid w:val="00FE2FD7"/>
    <w:rsid w:val="00FE3134"/>
    <w:rsid w:val="00FE3572"/>
    <w:rsid w:val="00FE3E95"/>
    <w:rsid w:val="00FE44A6"/>
    <w:rsid w:val="00FE46FF"/>
    <w:rsid w:val="00FE49A1"/>
    <w:rsid w:val="00FE50B8"/>
    <w:rsid w:val="00FE5428"/>
    <w:rsid w:val="00FE5B26"/>
    <w:rsid w:val="00FE5C3B"/>
    <w:rsid w:val="00FE5E3D"/>
    <w:rsid w:val="00FE6AEC"/>
    <w:rsid w:val="00FE6B6D"/>
    <w:rsid w:val="00FE6E04"/>
    <w:rsid w:val="00FE72BB"/>
    <w:rsid w:val="00FE7E9F"/>
    <w:rsid w:val="00FF06B8"/>
    <w:rsid w:val="00FF0F55"/>
    <w:rsid w:val="00FF11F0"/>
    <w:rsid w:val="00FF1ACE"/>
    <w:rsid w:val="00FF1E59"/>
    <w:rsid w:val="00FF20B9"/>
    <w:rsid w:val="00FF22C0"/>
    <w:rsid w:val="00FF2592"/>
    <w:rsid w:val="00FF301A"/>
    <w:rsid w:val="00FF32AD"/>
    <w:rsid w:val="00FF426F"/>
    <w:rsid w:val="00FF4393"/>
    <w:rsid w:val="00FF45AF"/>
    <w:rsid w:val="00FF4604"/>
    <w:rsid w:val="00FF4BBA"/>
    <w:rsid w:val="00FF4BC3"/>
    <w:rsid w:val="00FF4D56"/>
    <w:rsid w:val="00FF5077"/>
    <w:rsid w:val="00FF55B6"/>
    <w:rsid w:val="00FF57BB"/>
    <w:rsid w:val="00FF6E8A"/>
    <w:rsid w:val="00FF78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1F9B6B5"/>
  <w15:docId w15:val="{DB8298C6-DE21-41B6-9F4B-AE8AF78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uiPriority="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ocked="1"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locked="1"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locked="1"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345"/>
    <w:pPr>
      <w:spacing w:after="0" w:line="240" w:lineRule="auto"/>
    </w:pPr>
    <w:rPr>
      <w:rFonts w:ascii="Times New Roman" w:eastAsia="Times New Roman" w:hAnsi="Times New Roman" w:cs="Times New Roman"/>
      <w:sz w:val="24"/>
      <w:szCs w:val="24"/>
      <w:lang w:val="en-US" w:eastAsia="en-GB"/>
    </w:rPr>
  </w:style>
  <w:style w:type="paragraph" w:styleId="Heading1">
    <w:name w:val="heading 1"/>
    <w:aliases w:val="Subject page,Section title"/>
    <w:basedOn w:val="Normal"/>
    <w:next w:val="Normal"/>
    <w:link w:val="Heading1Char"/>
    <w:uiPriority w:val="9"/>
    <w:qFormat/>
    <w:rsid w:val="0014743A"/>
    <w:pPr>
      <w:pageBreakBefore/>
      <w:autoSpaceDE w:val="0"/>
      <w:autoSpaceDN w:val="0"/>
      <w:adjustRightInd w:val="0"/>
      <w:spacing w:after="120" w:line="600" w:lineRule="exact"/>
      <w:outlineLvl w:val="0"/>
    </w:pPr>
    <w:rPr>
      <w:rFonts w:cstheme="minorHAnsi"/>
      <w:sz w:val="60"/>
      <w:szCs w:val="60"/>
    </w:rPr>
  </w:style>
  <w:style w:type="paragraph" w:styleId="Heading2">
    <w:name w:val="heading 2"/>
    <w:aliases w:val="Sub-heading,Subject title"/>
    <w:basedOn w:val="Normal"/>
    <w:next w:val="Normal"/>
    <w:link w:val="Heading2Char"/>
    <w:uiPriority w:val="9"/>
    <w:unhideWhenUsed/>
    <w:qFormat/>
    <w:rsid w:val="003C5D23"/>
    <w:pPr>
      <w:spacing w:after="240"/>
      <w:outlineLvl w:val="1"/>
    </w:pPr>
    <w:rPr>
      <w:b/>
    </w:rPr>
  </w:style>
  <w:style w:type="paragraph" w:styleId="Heading3">
    <w:name w:val="heading 3"/>
    <w:basedOn w:val="Normal"/>
    <w:next w:val="Normal"/>
    <w:link w:val="Heading3Char"/>
    <w:uiPriority w:val="9"/>
    <w:unhideWhenUsed/>
    <w:qFormat/>
    <w:rsid w:val="0014743A"/>
    <w:pPr>
      <w:keepNext/>
      <w:numPr>
        <w:ilvl w:val="2"/>
        <w:numId w:val="5"/>
      </w:numPr>
      <w:spacing w:before="60" w:after="60"/>
      <w:ind w:left="720"/>
      <w:outlineLvl w:val="2"/>
    </w:pPr>
    <w:rPr>
      <w:rFonts w:cstheme="minorHAnsi"/>
      <w:b/>
    </w:rPr>
  </w:style>
  <w:style w:type="paragraph" w:styleId="Heading4">
    <w:name w:val="heading 4"/>
    <w:basedOn w:val="Normal"/>
    <w:next w:val="Normal"/>
    <w:link w:val="Heading4Char"/>
    <w:uiPriority w:val="9"/>
    <w:semiHidden/>
    <w:qFormat/>
    <w:rsid w:val="0024784A"/>
    <w:pPr>
      <w:numPr>
        <w:ilvl w:val="3"/>
        <w:numId w:val="5"/>
      </w:numPr>
      <w:outlineLvl w:val="3"/>
    </w:pPr>
  </w:style>
  <w:style w:type="paragraph" w:styleId="Heading5">
    <w:name w:val="heading 5"/>
    <w:basedOn w:val="Normal"/>
    <w:next w:val="Normal"/>
    <w:link w:val="Heading5Char"/>
    <w:uiPriority w:val="9"/>
    <w:semiHidden/>
    <w:rsid w:val="00473585"/>
    <w:pPr>
      <w:keepNext/>
      <w:keepLines/>
      <w:numPr>
        <w:ilvl w:val="4"/>
        <w:numId w:val="5"/>
      </w:numPr>
      <w:spacing w:before="200"/>
      <w:outlineLvl w:val="4"/>
    </w:pPr>
    <w:rPr>
      <w:rFonts w:asciiTheme="majorHAnsi" w:eastAsiaTheme="majorEastAsia" w:hAnsiTheme="majorHAnsi" w:cstheme="majorBidi"/>
      <w:color w:val="2B494B" w:themeColor="accent1" w:themeShade="7F"/>
    </w:rPr>
  </w:style>
  <w:style w:type="paragraph" w:styleId="Heading6">
    <w:name w:val="heading 6"/>
    <w:basedOn w:val="Normal"/>
    <w:next w:val="Normal"/>
    <w:link w:val="Heading6Char"/>
    <w:uiPriority w:val="9"/>
    <w:semiHidden/>
    <w:unhideWhenUsed/>
    <w:qFormat/>
    <w:rsid w:val="00473585"/>
    <w:pPr>
      <w:keepNext/>
      <w:keepLines/>
      <w:numPr>
        <w:ilvl w:val="5"/>
        <w:numId w:val="5"/>
      </w:numPr>
      <w:spacing w:before="200"/>
      <w:outlineLvl w:val="5"/>
    </w:pPr>
    <w:rPr>
      <w:rFonts w:asciiTheme="majorHAnsi" w:eastAsiaTheme="majorEastAsia" w:hAnsiTheme="majorHAnsi" w:cstheme="majorBidi"/>
      <w:i/>
      <w:iCs/>
      <w:color w:val="2B494B" w:themeColor="accent1" w:themeShade="7F"/>
    </w:rPr>
  </w:style>
  <w:style w:type="paragraph" w:styleId="Heading7">
    <w:name w:val="heading 7"/>
    <w:basedOn w:val="Normal"/>
    <w:next w:val="Normal"/>
    <w:link w:val="Heading7Char"/>
    <w:uiPriority w:val="9"/>
    <w:semiHidden/>
    <w:unhideWhenUsed/>
    <w:qFormat/>
    <w:rsid w:val="0047358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585"/>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73585"/>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ject page Char,Section title Char"/>
    <w:basedOn w:val="DefaultParagraphFont"/>
    <w:link w:val="Heading1"/>
    <w:uiPriority w:val="9"/>
    <w:rsid w:val="0014743A"/>
    <w:rPr>
      <w:rFonts w:ascii="Times New Roman" w:hAnsi="Times New Roman" w:cstheme="minorHAnsi"/>
      <w:color w:val="000000" w:themeColor="text1"/>
      <w:sz w:val="60"/>
      <w:szCs w:val="60"/>
    </w:rPr>
  </w:style>
  <w:style w:type="character" w:customStyle="1" w:styleId="Heading2Char">
    <w:name w:val="Heading 2 Char"/>
    <w:aliases w:val="Sub-heading Char,Subject title Char"/>
    <w:basedOn w:val="DefaultParagraphFont"/>
    <w:link w:val="Heading2"/>
    <w:uiPriority w:val="9"/>
    <w:rsid w:val="003C5D23"/>
    <w:rPr>
      <w:rFonts w:ascii="Times New Roman"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14743A"/>
    <w:rPr>
      <w:rFonts w:ascii="Times New Roman" w:hAnsi="Times New Roman" w:cstheme="minorHAnsi"/>
      <w:b/>
      <w:color w:val="000000" w:themeColor="text1"/>
    </w:rPr>
  </w:style>
  <w:style w:type="character" w:customStyle="1" w:styleId="Heading4Char">
    <w:name w:val="Heading 4 Char"/>
    <w:basedOn w:val="DefaultParagraphFont"/>
    <w:link w:val="Heading4"/>
    <w:uiPriority w:val="9"/>
    <w:semiHidden/>
    <w:rsid w:val="0024784A"/>
    <w:rPr>
      <w:rFonts w:ascii="Times New Roman" w:hAnsi="Times New Roman"/>
      <w:color w:val="000000" w:themeColor="text1"/>
    </w:rPr>
  </w:style>
  <w:style w:type="character" w:customStyle="1" w:styleId="Heading5Char">
    <w:name w:val="Heading 5 Char"/>
    <w:basedOn w:val="DefaultParagraphFont"/>
    <w:link w:val="Heading5"/>
    <w:uiPriority w:val="9"/>
    <w:semiHidden/>
    <w:rsid w:val="00FE1B26"/>
    <w:rPr>
      <w:rFonts w:asciiTheme="majorHAnsi" w:eastAsiaTheme="majorEastAsia" w:hAnsiTheme="majorHAnsi" w:cstheme="majorBidi"/>
      <w:color w:val="2B494B" w:themeColor="accent1" w:themeShade="7F"/>
    </w:rPr>
  </w:style>
  <w:style w:type="character" w:customStyle="1" w:styleId="Heading6Char">
    <w:name w:val="Heading 6 Char"/>
    <w:basedOn w:val="DefaultParagraphFont"/>
    <w:link w:val="Heading6"/>
    <w:uiPriority w:val="9"/>
    <w:semiHidden/>
    <w:rsid w:val="00473585"/>
    <w:rPr>
      <w:rFonts w:asciiTheme="majorHAnsi" w:eastAsiaTheme="majorEastAsia" w:hAnsiTheme="majorHAnsi" w:cstheme="majorBidi"/>
      <w:i/>
      <w:iCs/>
      <w:color w:val="2B494B" w:themeColor="accent1" w:themeShade="7F"/>
    </w:rPr>
  </w:style>
  <w:style w:type="character" w:customStyle="1" w:styleId="Heading7Char">
    <w:name w:val="Heading 7 Char"/>
    <w:basedOn w:val="DefaultParagraphFont"/>
    <w:link w:val="Heading7"/>
    <w:uiPriority w:val="9"/>
    <w:semiHidden/>
    <w:rsid w:val="004735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585"/>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473585"/>
    <w:rPr>
      <w:rFonts w:asciiTheme="majorHAnsi" w:eastAsiaTheme="majorEastAsia" w:hAnsiTheme="majorHAnsi" w:cstheme="majorBidi"/>
      <w:i/>
      <w:iCs/>
      <w:color w:val="404040" w:themeColor="text1" w:themeTint="BF"/>
      <w:szCs w:val="20"/>
    </w:rPr>
  </w:style>
  <w:style w:type="paragraph" w:styleId="Header">
    <w:name w:val="header"/>
    <w:basedOn w:val="Normal"/>
    <w:link w:val="HeaderChar"/>
    <w:uiPriority w:val="99"/>
    <w:rsid w:val="000B4CB9"/>
    <w:pPr>
      <w:pBdr>
        <w:bottom w:val="single" w:sz="4" w:space="4" w:color="auto"/>
      </w:pBdr>
      <w:spacing w:line="140" w:lineRule="exact"/>
      <w:jc w:val="right"/>
    </w:pPr>
    <w:rPr>
      <w:rFonts w:asciiTheme="majorHAnsi" w:hAnsiTheme="majorHAnsi" w:cstheme="majorHAnsi"/>
      <w:noProof/>
      <w:sz w:val="12"/>
      <w:szCs w:val="12"/>
    </w:rPr>
  </w:style>
  <w:style w:type="character" w:customStyle="1" w:styleId="HeaderChar">
    <w:name w:val="Header Char"/>
    <w:basedOn w:val="DefaultParagraphFont"/>
    <w:link w:val="Header"/>
    <w:uiPriority w:val="99"/>
    <w:rsid w:val="000B4CB9"/>
    <w:rPr>
      <w:rFonts w:asciiTheme="majorHAnsi" w:hAnsiTheme="majorHAnsi" w:cstheme="majorHAnsi"/>
      <w:noProof/>
      <w:sz w:val="12"/>
      <w:szCs w:val="12"/>
      <w:lang w:eastAsia="en-GB"/>
    </w:rPr>
  </w:style>
  <w:style w:type="paragraph" w:styleId="Footer">
    <w:name w:val="footer"/>
    <w:basedOn w:val="Normal"/>
    <w:link w:val="FooterChar"/>
    <w:uiPriority w:val="99"/>
    <w:unhideWhenUsed/>
    <w:rsid w:val="00EF23E0"/>
    <w:pPr>
      <w:tabs>
        <w:tab w:val="center" w:pos="4513"/>
        <w:tab w:val="right" w:pos="9026"/>
      </w:tabs>
    </w:pPr>
  </w:style>
  <w:style w:type="character" w:customStyle="1" w:styleId="FooterChar">
    <w:name w:val="Footer Char"/>
    <w:basedOn w:val="DefaultParagraphFont"/>
    <w:link w:val="Footer"/>
    <w:uiPriority w:val="99"/>
    <w:rsid w:val="00FE1B26"/>
    <w:rPr>
      <w:rFonts w:ascii="Times New Roman" w:hAnsi="Times New Roman"/>
    </w:rPr>
  </w:style>
  <w:style w:type="paragraph" w:styleId="BalloonText">
    <w:name w:val="Balloon Text"/>
    <w:basedOn w:val="Normal"/>
    <w:link w:val="BalloonTextChar"/>
    <w:uiPriority w:val="99"/>
    <w:semiHidden/>
    <w:unhideWhenUsed/>
    <w:rsid w:val="00EF23E0"/>
    <w:rPr>
      <w:rFonts w:ascii="Tahoma" w:hAnsi="Tahoma" w:cs="Tahoma"/>
      <w:sz w:val="16"/>
      <w:szCs w:val="16"/>
    </w:rPr>
  </w:style>
  <w:style w:type="character" w:customStyle="1" w:styleId="BalloonTextChar">
    <w:name w:val="Balloon Text Char"/>
    <w:basedOn w:val="DefaultParagraphFont"/>
    <w:link w:val="BalloonText"/>
    <w:uiPriority w:val="99"/>
    <w:semiHidden/>
    <w:rsid w:val="00EF23E0"/>
    <w:rPr>
      <w:rFonts w:ascii="Tahoma" w:hAnsi="Tahoma" w:cs="Tahoma"/>
      <w:sz w:val="16"/>
      <w:szCs w:val="16"/>
    </w:rPr>
  </w:style>
  <w:style w:type="paragraph" w:styleId="Title">
    <w:name w:val="Title"/>
    <w:basedOn w:val="Normal"/>
    <w:next w:val="Normal"/>
    <w:link w:val="TitleChar"/>
    <w:uiPriority w:val="5"/>
    <w:rsid w:val="00DA0B74"/>
    <w:pPr>
      <w:pBdr>
        <w:bottom w:val="single" w:sz="4" w:space="12" w:color="auto"/>
      </w:pBdr>
      <w:spacing w:before="1080" w:line="600" w:lineRule="exact"/>
      <w:ind w:left="2410"/>
    </w:pPr>
    <w:rPr>
      <w:rFonts w:cstheme="minorHAnsi"/>
      <w:sz w:val="60"/>
      <w:szCs w:val="52"/>
    </w:rPr>
  </w:style>
  <w:style w:type="character" w:customStyle="1" w:styleId="TitleChar">
    <w:name w:val="Title Char"/>
    <w:basedOn w:val="DefaultParagraphFont"/>
    <w:link w:val="Title"/>
    <w:uiPriority w:val="5"/>
    <w:rsid w:val="00FE1B26"/>
    <w:rPr>
      <w:rFonts w:ascii="Times New Roman" w:hAnsi="Times New Roman" w:cstheme="minorHAnsi"/>
      <w:sz w:val="60"/>
      <w:szCs w:val="52"/>
    </w:rPr>
  </w:style>
  <w:style w:type="paragraph" w:customStyle="1" w:styleId="Client">
    <w:name w:val="Client"/>
    <w:basedOn w:val="Normal"/>
    <w:rsid w:val="00270306"/>
    <w:pPr>
      <w:spacing w:before="360" w:line="360" w:lineRule="exact"/>
      <w:ind w:left="2410"/>
    </w:pPr>
    <w:rPr>
      <w:rFonts w:asciiTheme="minorHAnsi" w:hAnsiTheme="minorHAnsi" w:cstheme="minorHAnsi"/>
      <w:b/>
      <w:sz w:val="28"/>
      <w:szCs w:val="20"/>
    </w:rPr>
  </w:style>
  <w:style w:type="paragraph" w:customStyle="1" w:styleId="Version">
    <w:name w:val="Version"/>
    <w:basedOn w:val="Normal"/>
    <w:rsid w:val="00270306"/>
    <w:pPr>
      <w:spacing w:before="840" w:line="360" w:lineRule="exact"/>
      <w:ind w:left="2410"/>
    </w:pPr>
    <w:rPr>
      <w:rFonts w:asciiTheme="minorHAnsi" w:hAnsiTheme="minorHAnsi" w:cstheme="minorHAnsi"/>
      <w:color w:val="666666"/>
      <w:sz w:val="28"/>
      <w:szCs w:val="30"/>
    </w:rPr>
  </w:style>
  <w:style w:type="paragraph" w:styleId="Date">
    <w:name w:val="Date"/>
    <w:basedOn w:val="Normal"/>
    <w:next w:val="Normal"/>
    <w:link w:val="DateChar"/>
    <w:uiPriority w:val="9"/>
    <w:rsid w:val="00270306"/>
    <w:pPr>
      <w:spacing w:line="360" w:lineRule="exact"/>
      <w:ind w:left="2410"/>
    </w:pPr>
    <w:rPr>
      <w:rFonts w:asciiTheme="minorHAnsi" w:hAnsiTheme="minorHAnsi" w:cstheme="minorHAnsi"/>
      <w:color w:val="666666"/>
      <w:sz w:val="28"/>
      <w:szCs w:val="30"/>
    </w:rPr>
  </w:style>
  <w:style w:type="character" w:customStyle="1" w:styleId="DateChar">
    <w:name w:val="Date Char"/>
    <w:basedOn w:val="DefaultParagraphFont"/>
    <w:link w:val="Date"/>
    <w:uiPriority w:val="9"/>
    <w:rsid w:val="00FE1B26"/>
    <w:rPr>
      <w:rFonts w:cstheme="minorHAnsi"/>
      <w:color w:val="666666"/>
      <w:sz w:val="28"/>
      <w:szCs w:val="30"/>
    </w:rPr>
  </w:style>
  <w:style w:type="paragraph" w:customStyle="1" w:styleId="Source">
    <w:name w:val="Source"/>
    <w:basedOn w:val="Normal"/>
    <w:qFormat/>
    <w:rsid w:val="00074FFC"/>
    <w:pPr>
      <w:pBdr>
        <w:top w:val="single" w:sz="4" w:space="1" w:color="7F7F7F" w:themeColor="text1" w:themeTint="80"/>
      </w:pBdr>
      <w:autoSpaceDE w:val="0"/>
      <w:autoSpaceDN w:val="0"/>
      <w:adjustRightInd w:val="0"/>
      <w:spacing w:after="480"/>
      <w:ind w:left="993" w:hanging="993"/>
    </w:pPr>
    <w:rPr>
      <w:rFonts w:cstheme="minorHAnsi"/>
      <w:i/>
      <w:iCs/>
      <w:sz w:val="18"/>
      <w:szCs w:val="16"/>
    </w:rPr>
  </w:style>
  <w:style w:type="paragraph" w:customStyle="1" w:styleId="References">
    <w:name w:val="References"/>
    <w:basedOn w:val="Heading1"/>
    <w:rsid w:val="00E32B8E"/>
    <w:pPr>
      <w:spacing w:after="600"/>
      <w:ind w:left="2410"/>
    </w:pPr>
  </w:style>
  <w:style w:type="paragraph" w:customStyle="1" w:styleId="Charttitle">
    <w:name w:val="Chart title"/>
    <w:basedOn w:val="Normal"/>
    <w:qFormat/>
    <w:rsid w:val="00A8794E"/>
    <w:pPr>
      <w:keepNext/>
      <w:numPr>
        <w:numId w:val="1"/>
      </w:numPr>
      <w:pBdr>
        <w:top w:val="single" w:sz="4" w:space="1" w:color="7F7F7F" w:themeColor="text1" w:themeTint="80"/>
      </w:pBdr>
      <w:autoSpaceDE w:val="0"/>
      <w:autoSpaceDN w:val="0"/>
      <w:adjustRightInd w:val="0"/>
      <w:spacing w:before="480" w:after="120" w:line="220" w:lineRule="atLeast"/>
    </w:pPr>
    <w:rPr>
      <w:rFonts w:asciiTheme="minorHAnsi" w:hAnsiTheme="minorHAnsi" w:cstheme="minorHAnsi"/>
      <w:b/>
      <w:iCs/>
      <w:color w:val="000000"/>
      <w:sz w:val="18"/>
      <w:szCs w:val="20"/>
    </w:rPr>
  </w:style>
  <w:style w:type="character" w:styleId="PlaceholderText">
    <w:name w:val="Placeholder Text"/>
    <w:uiPriority w:val="99"/>
    <w:qFormat/>
    <w:rsid w:val="00753C9B"/>
  </w:style>
  <w:style w:type="paragraph" w:customStyle="1" w:styleId="Subheading">
    <w:name w:val="Subheading"/>
    <w:basedOn w:val="Normal"/>
    <w:qFormat/>
    <w:rsid w:val="00E66B06"/>
    <w:pPr>
      <w:autoSpaceDE w:val="0"/>
      <w:autoSpaceDN w:val="0"/>
      <w:adjustRightInd w:val="0"/>
      <w:spacing w:before="600" w:after="360" w:line="360" w:lineRule="exact"/>
    </w:pPr>
    <w:rPr>
      <w:rFonts w:asciiTheme="minorHAnsi" w:hAnsiTheme="minorHAnsi" w:cstheme="minorHAnsi"/>
      <w:b/>
      <w:bCs/>
      <w:sz w:val="30"/>
      <w:szCs w:val="30"/>
    </w:rPr>
  </w:style>
  <w:style w:type="character" w:styleId="FootnoteReference">
    <w:name w:val="footnote reference"/>
    <w:basedOn w:val="DefaultParagraphFont"/>
    <w:unhideWhenUsed/>
    <w:rsid w:val="0024784A"/>
    <w:rPr>
      <w:vertAlign w:val="superscript"/>
    </w:rPr>
  </w:style>
  <w:style w:type="paragraph" w:customStyle="1" w:styleId="Dashedbullets">
    <w:name w:val="Dashed bullets"/>
    <w:basedOn w:val="Normal"/>
    <w:qFormat/>
    <w:rsid w:val="007461C5"/>
    <w:pPr>
      <w:numPr>
        <w:numId w:val="2"/>
      </w:numPr>
      <w:ind w:left="284" w:hanging="284"/>
    </w:pPr>
  </w:style>
  <w:style w:type="paragraph" w:styleId="FootnoteText">
    <w:name w:val="footnote text"/>
    <w:basedOn w:val="Normal"/>
    <w:link w:val="FootnoteTextChar"/>
    <w:rsid w:val="004A6329"/>
    <w:pPr>
      <w:pBdr>
        <w:top w:val="single" w:sz="4" w:space="1" w:color="7F7F7F" w:themeColor="text1" w:themeTint="80"/>
      </w:pBdr>
      <w:spacing w:before="120" w:after="240"/>
    </w:pPr>
    <w:rPr>
      <w:rFonts w:asciiTheme="minorHAnsi" w:hAnsiTheme="minorHAnsi" w:cstheme="minorHAnsi"/>
      <w:sz w:val="16"/>
      <w:szCs w:val="16"/>
    </w:rPr>
  </w:style>
  <w:style w:type="character" w:customStyle="1" w:styleId="FootnoteTextChar">
    <w:name w:val="Footnote Text Char"/>
    <w:basedOn w:val="DefaultParagraphFont"/>
    <w:link w:val="FootnoteText"/>
    <w:uiPriority w:val="99"/>
    <w:rsid w:val="004A6329"/>
    <w:rPr>
      <w:rFonts w:cstheme="minorHAnsi"/>
      <w:color w:val="000000" w:themeColor="text1"/>
      <w:sz w:val="16"/>
      <w:szCs w:val="16"/>
    </w:rPr>
  </w:style>
  <w:style w:type="paragraph" w:customStyle="1" w:styleId="Contents">
    <w:name w:val="Contents"/>
    <w:basedOn w:val="Normal"/>
    <w:rsid w:val="005748B6"/>
    <w:pPr>
      <w:pageBreakBefore/>
      <w:spacing w:after="540" w:line="600" w:lineRule="exact"/>
      <w:ind w:left="2410"/>
    </w:pPr>
    <w:rPr>
      <w:rFonts w:cs="Arial"/>
      <w:color w:val="221E1F"/>
      <w:sz w:val="60"/>
      <w:szCs w:val="60"/>
    </w:rPr>
  </w:style>
  <w:style w:type="paragraph" w:styleId="TOC1">
    <w:name w:val="toc 1"/>
    <w:basedOn w:val="Normal"/>
    <w:next w:val="Normal"/>
    <w:autoRedefine/>
    <w:uiPriority w:val="39"/>
    <w:unhideWhenUsed/>
    <w:rsid w:val="00B80A3C"/>
    <w:pPr>
      <w:tabs>
        <w:tab w:val="right" w:leader="dot" w:pos="9629"/>
      </w:tabs>
      <w:spacing w:after="120"/>
      <w:ind w:left="2410"/>
    </w:pPr>
    <w:rPr>
      <w:rFonts w:cs="Arial"/>
      <w:noProof/>
    </w:rPr>
  </w:style>
  <w:style w:type="character" w:styleId="Hyperlink">
    <w:name w:val="Hyperlink"/>
    <w:basedOn w:val="DefaultParagraphFont"/>
    <w:uiPriority w:val="99"/>
    <w:unhideWhenUsed/>
    <w:qFormat/>
    <w:rsid w:val="00D163A1"/>
    <w:rPr>
      <w:color w:val="008CD1"/>
      <w:u w:val="single"/>
    </w:rPr>
  </w:style>
  <w:style w:type="paragraph" w:customStyle="1" w:styleId="Acknowledgements">
    <w:name w:val="Acknowledgements"/>
    <w:basedOn w:val="Normal"/>
    <w:qFormat/>
    <w:rsid w:val="00B71643"/>
    <w:pPr>
      <w:pageBreakBefore/>
      <w:spacing w:after="480" w:line="600" w:lineRule="exact"/>
    </w:pPr>
    <w:rPr>
      <w:sz w:val="60"/>
      <w:szCs w:val="60"/>
    </w:rPr>
  </w:style>
  <w:style w:type="paragraph" w:styleId="TOC2">
    <w:name w:val="toc 2"/>
    <w:basedOn w:val="TOC1"/>
    <w:next w:val="Normal"/>
    <w:autoRedefine/>
    <w:uiPriority w:val="39"/>
    <w:unhideWhenUsed/>
    <w:rsid w:val="00F938E9"/>
    <w:pPr>
      <w:tabs>
        <w:tab w:val="left" w:pos="3261"/>
      </w:tabs>
      <w:spacing w:after="60"/>
      <w:ind w:left="3261" w:hanging="426"/>
    </w:pPr>
    <w:rPr>
      <w:b/>
    </w:rPr>
  </w:style>
  <w:style w:type="paragraph" w:styleId="Quote">
    <w:name w:val="Quote"/>
    <w:basedOn w:val="Normal"/>
    <w:next w:val="Normal"/>
    <w:link w:val="QuoteChar"/>
    <w:uiPriority w:val="9"/>
    <w:qFormat/>
    <w:rsid w:val="00FE2EF2"/>
    <w:pPr>
      <w:spacing w:line="480" w:lineRule="exact"/>
    </w:pPr>
    <w:rPr>
      <w:rFonts w:cstheme="minorHAnsi"/>
      <w:i/>
      <w:iCs/>
      <w:color w:val="4D4D4D"/>
      <w:sz w:val="40"/>
      <w:szCs w:val="40"/>
    </w:rPr>
  </w:style>
  <w:style w:type="character" w:customStyle="1" w:styleId="QuoteChar">
    <w:name w:val="Quote Char"/>
    <w:basedOn w:val="DefaultParagraphFont"/>
    <w:link w:val="Quote"/>
    <w:uiPriority w:val="9"/>
    <w:rsid w:val="00FE1B26"/>
    <w:rPr>
      <w:rFonts w:ascii="Times New Roman" w:hAnsi="Times New Roman" w:cstheme="minorHAnsi"/>
      <w:i/>
      <w:iCs/>
      <w:color w:val="4D4D4D"/>
      <w:sz w:val="40"/>
      <w:szCs w:val="40"/>
    </w:rPr>
  </w:style>
  <w:style w:type="paragraph" w:styleId="TableofFigures">
    <w:name w:val="table of figures"/>
    <w:basedOn w:val="Normal"/>
    <w:next w:val="Normal"/>
    <w:uiPriority w:val="99"/>
    <w:unhideWhenUsed/>
    <w:rsid w:val="009E78D3"/>
    <w:pPr>
      <w:tabs>
        <w:tab w:val="left" w:pos="3402"/>
        <w:tab w:val="right" w:leader="dot" w:pos="9639"/>
      </w:tabs>
      <w:spacing w:line="400" w:lineRule="exact"/>
      <w:ind w:left="3402" w:hanging="992"/>
    </w:pPr>
    <w:rPr>
      <w:noProof/>
    </w:rPr>
  </w:style>
  <w:style w:type="paragraph" w:styleId="TOC3">
    <w:name w:val="toc 3"/>
    <w:basedOn w:val="TableofFigures"/>
    <w:next w:val="Normal"/>
    <w:autoRedefine/>
    <w:uiPriority w:val="19"/>
    <w:unhideWhenUsed/>
    <w:rsid w:val="00AC114A"/>
    <w:pPr>
      <w:tabs>
        <w:tab w:val="clear" w:pos="3402"/>
        <w:tab w:val="left" w:pos="3544"/>
      </w:tabs>
      <w:ind w:left="3544" w:hanging="1134"/>
    </w:pPr>
  </w:style>
  <w:style w:type="paragraph" w:styleId="Subtitle">
    <w:name w:val="Subtitle"/>
    <w:basedOn w:val="Normal"/>
    <w:next w:val="Normal"/>
    <w:link w:val="SubtitleChar"/>
    <w:uiPriority w:val="9"/>
    <w:qFormat/>
    <w:rsid w:val="00162D54"/>
    <w:pPr>
      <w:numPr>
        <w:ilvl w:val="1"/>
      </w:numPr>
      <w:spacing w:after="240"/>
    </w:pPr>
    <w:rPr>
      <w:rFonts w:eastAsiaTheme="majorEastAsia" w:cstheme="majorBidi"/>
      <w:b/>
      <w:iCs/>
    </w:rPr>
  </w:style>
  <w:style w:type="character" w:customStyle="1" w:styleId="SubtitleChar">
    <w:name w:val="Subtitle Char"/>
    <w:basedOn w:val="DefaultParagraphFont"/>
    <w:link w:val="Subtitle"/>
    <w:uiPriority w:val="9"/>
    <w:rsid w:val="00162D54"/>
    <w:rPr>
      <w:rFonts w:ascii="Times New Roman" w:eastAsiaTheme="majorEastAsia" w:hAnsi="Times New Roman" w:cstheme="majorBidi"/>
      <w:b/>
      <w:iCs/>
      <w:color w:val="000000" w:themeColor="text1"/>
      <w:szCs w:val="24"/>
    </w:rPr>
  </w:style>
  <w:style w:type="paragraph" w:customStyle="1" w:styleId="Subsubtitle">
    <w:name w:val="Sub subtitle"/>
    <w:basedOn w:val="Normal"/>
    <w:qFormat/>
    <w:rsid w:val="004057C7"/>
    <w:pPr>
      <w:spacing w:before="360" w:after="240"/>
    </w:pPr>
    <w:rPr>
      <w:b/>
    </w:rPr>
  </w:style>
  <w:style w:type="paragraph" w:customStyle="1" w:styleId="Listoffigures">
    <w:name w:val="List of figures"/>
    <w:basedOn w:val="Contents"/>
    <w:rsid w:val="009C79B1"/>
    <w:pPr>
      <w:pageBreakBefore w:val="0"/>
      <w:spacing w:before="120"/>
    </w:pPr>
  </w:style>
  <w:style w:type="table" w:styleId="TableGrid">
    <w:name w:val="Table Grid"/>
    <w:basedOn w:val="TableNormal"/>
    <w:uiPriority w:val="39"/>
    <w:rsid w:val="00176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qFormat/>
    <w:rsid w:val="00A8794E"/>
    <w:pPr>
      <w:keepNext/>
      <w:numPr>
        <w:numId w:val="4"/>
      </w:numPr>
      <w:pBdr>
        <w:top w:val="single" w:sz="4" w:space="1" w:color="7F7F7F" w:themeColor="text1" w:themeTint="80"/>
      </w:pBdr>
      <w:spacing w:before="480" w:after="360" w:line="220" w:lineRule="exact"/>
    </w:pPr>
    <w:rPr>
      <w:rFonts w:cstheme="minorHAnsi"/>
      <w:b/>
      <w:iCs/>
      <w:color w:val="221E1F"/>
      <w:sz w:val="18"/>
      <w:szCs w:val="20"/>
    </w:rPr>
  </w:style>
  <w:style w:type="paragraph" w:styleId="TOCHeading">
    <w:name w:val="TOC Heading"/>
    <w:basedOn w:val="Heading1"/>
    <w:next w:val="Normal"/>
    <w:uiPriority w:val="9"/>
    <w:unhideWhenUsed/>
    <w:qFormat/>
    <w:rsid w:val="0023212F"/>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406E70" w:themeColor="accent1" w:themeShade="BF"/>
      <w:sz w:val="28"/>
      <w:szCs w:val="28"/>
    </w:rPr>
  </w:style>
  <w:style w:type="paragraph" w:customStyle="1" w:styleId="Appendix">
    <w:name w:val="Appendix"/>
    <w:basedOn w:val="Heading1"/>
    <w:qFormat/>
    <w:rsid w:val="00E32B8E"/>
    <w:pPr>
      <w:spacing w:after="480"/>
    </w:pPr>
  </w:style>
  <w:style w:type="paragraph" w:customStyle="1" w:styleId="CompanyProfile">
    <w:name w:val="Company Profile"/>
    <w:basedOn w:val="Heading1"/>
    <w:qFormat/>
    <w:rsid w:val="005E636F"/>
    <w:pPr>
      <w:pageBreakBefore w:val="0"/>
      <w:framePr w:hSpace="180" w:wrap="around" w:vAnchor="text" w:hAnchor="text" w:y="8277"/>
      <w:spacing w:line="220" w:lineRule="exact"/>
      <w:outlineLvl w:val="9"/>
    </w:pPr>
    <w:rPr>
      <w:rFonts w:asciiTheme="minorHAnsi" w:hAnsiTheme="minorHAnsi"/>
      <w:b/>
      <w:sz w:val="19"/>
    </w:rPr>
  </w:style>
  <w:style w:type="paragraph" w:customStyle="1" w:styleId="ExecutiveSummary">
    <w:name w:val="Executive Summary"/>
    <w:basedOn w:val="Heading1"/>
    <w:rsid w:val="00A04771"/>
    <w:pPr>
      <w:outlineLvl w:val="9"/>
    </w:pPr>
  </w:style>
  <w:style w:type="paragraph" w:styleId="CommentText">
    <w:name w:val="annotation text"/>
    <w:basedOn w:val="Normal"/>
    <w:link w:val="CommentTextChar"/>
    <w:uiPriority w:val="99"/>
    <w:unhideWhenUsed/>
    <w:rsid w:val="006903A2"/>
    <w:rPr>
      <w:sz w:val="20"/>
      <w:szCs w:val="20"/>
    </w:rPr>
  </w:style>
  <w:style w:type="character" w:customStyle="1" w:styleId="CommentTextChar">
    <w:name w:val="Comment Text Char"/>
    <w:basedOn w:val="DefaultParagraphFont"/>
    <w:link w:val="CommentText"/>
    <w:uiPriority w:val="99"/>
    <w:rsid w:val="00AD1916"/>
    <w:rPr>
      <w:rFonts w:ascii="Times New Roman" w:hAnsi="Times New Roman"/>
      <w:color w:val="000000" w:themeColor="text1"/>
      <w:sz w:val="20"/>
      <w:szCs w:val="20"/>
    </w:rPr>
  </w:style>
  <w:style w:type="character" w:styleId="CommentReference">
    <w:name w:val="annotation reference"/>
    <w:basedOn w:val="DefaultParagraphFont"/>
    <w:uiPriority w:val="99"/>
    <w:unhideWhenUsed/>
    <w:rsid w:val="00AD1916"/>
    <w:rPr>
      <w:sz w:val="16"/>
      <w:szCs w:val="16"/>
    </w:rPr>
  </w:style>
  <w:style w:type="paragraph" w:styleId="ListParagraph">
    <w:name w:val="List Paragraph"/>
    <w:basedOn w:val="Normal"/>
    <w:uiPriority w:val="34"/>
    <w:qFormat/>
    <w:rsid w:val="00F651C6"/>
    <w:pPr>
      <w:ind w:left="720"/>
      <w:contextualSpacing/>
    </w:pPr>
  </w:style>
  <w:style w:type="table" w:customStyle="1" w:styleId="Vividtable">
    <w:name w:val="Vivid table"/>
    <w:basedOn w:val="TableNormal"/>
    <w:uiPriority w:val="99"/>
    <w:rsid w:val="00D64970"/>
    <w:pPr>
      <w:spacing w:after="0" w:line="240" w:lineRule="auto"/>
    </w:pPr>
    <w:rPr>
      <w:sz w:val="18"/>
    </w:rPr>
    <w:tblPr>
      <w:tblStyleRowBandSize w:val="1"/>
      <w:tblInd w:w="0" w:type="dxa"/>
      <w:tblCellMar>
        <w:top w:w="0" w:type="dxa"/>
        <w:left w:w="108" w:type="dxa"/>
        <w:bottom w:w="0" w:type="dxa"/>
        <w:right w:w="108" w:type="dxa"/>
      </w:tblCellMar>
    </w:tblPr>
    <w:tcPr>
      <w:vAlign w:val="center"/>
    </w:tcPr>
    <w:tblStylePr w:type="firstRow">
      <w:rPr>
        <w:rFonts w:asciiTheme="minorHAnsi" w:hAnsiTheme="minorHAnsi"/>
        <w:b/>
        <w:sz w:val="18"/>
      </w:rPr>
    </w:tblStylePr>
    <w:tblStylePr w:type="band1Horz">
      <w:tblPr/>
      <w:tcPr>
        <w:shd w:val="clear" w:color="auto" w:fill="DDDDDD"/>
      </w:tcPr>
    </w:tblStylePr>
  </w:style>
  <w:style w:type="paragraph" w:customStyle="1" w:styleId="Chartspacer">
    <w:name w:val="Chart spacer"/>
    <w:basedOn w:val="Normal"/>
    <w:qFormat/>
    <w:rsid w:val="00B0668C"/>
    <w:rPr>
      <w:sz w:val="8"/>
      <w:szCs w:val="8"/>
    </w:rPr>
  </w:style>
  <w:style w:type="paragraph" w:customStyle="1" w:styleId="Boxtitle">
    <w:name w:val="Box title"/>
    <w:basedOn w:val="Charttitle"/>
    <w:qFormat/>
    <w:rsid w:val="00E32306"/>
    <w:pPr>
      <w:numPr>
        <w:numId w:val="3"/>
      </w:numPr>
      <w:pBdr>
        <w:top w:val="none" w:sz="0" w:space="0" w:color="auto"/>
      </w:pBdr>
      <w:spacing w:before="240" w:after="240"/>
      <w:ind w:hanging="720"/>
    </w:pPr>
    <w:rPr>
      <w:color w:val="000000" w:themeColor="text1"/>
    </w:rPr>
  </w:style>
  <w:style w:type="paragraph" w:customStyle="1" w:styleId="Note">
    <w:name w:val="Note"/>
    <w:basedOn w:val="Source"/>
    <w:qFormat/>
    <w:rsid w:val="00074FFC"/>
    <w:pPr>
      <w:keepNext/>
      <w:spacing w:after="0"/>
    </w:pPr>
  </w:style>
  <w:style w:type="character" w:styleId="PageNumber">
    <w:name w:val="page number"/>
    <w:basedOn w:val="DefaultParagraphFont"/>
    <w:uiPriority w:val="99"/>
    <w:rsid w:val="008C78F1"/>
    <w:rPr>
      <w:rFonts w:asciiTheme="minorHAnsi" w:hAnsiTheme="minorHAnsi"/>
      <w:sz w:val="16"/>
    </w:rPr>
  </w:style>
  <w:style w:type="paragraph" w:customStyle="1" w:styleId="Longquote">
    <w:name w:val="Long quote"/>
    <w:basedOn w:val="Normal"/>
    <w:qFormat/>
    <w:rsid w:val="00DE264E"/>
    <w:pPr>
      <w:suppressAutoHyphens/>
      <w:autoSpaceDE w:val="0"/>
      <w:autoSpaceDN w:val="0"/>
      <w:adjustRightInd w:val="0"/>
      <w:spacing w:before="360" w:after="360" w:line="300" w:lineRule="atLeast"/>
      <w:ind w:left="1134" w:right="1134"/>
      <w:textAlignment w:val="center"/>
    </w:pPr>
    <w:rPr>
      <w:i/>
    </w:rPr>
  </w:style>
  <w:style w:type="paragraph" w:customStyle="1" w:styleId="Indentedbullet">
    <w:name w:val="Indented bullet"/>
    <w:basedOn w:val="Dashedbullets"/>
    <w:qFormat/>
    <w:rsid w:val="007461C5"/>
    <w:pPr>
      <w:ind w:left="1592" w:hanging="360"/>
    </w:pPr>
  </w:style>
  <w:style w:type="paragraph" w:customStyle="1" w:styleId="Appendixheading">
    <w:name w:val="Appendix heading"/>
    <w:basedOn w:val="Subheading"/>
    <w:next w:val="Normal"/>
    <w:qFormat/>
    <w:rsid w:val="00061790"/>
    <w:pPr>
      <w:spacing w:before="120" w:after="120"/>
    </w:pPr>
  </w:style>
  <w:style w:type="character" w:styleId="FollowedHyperlink">
    <w:name w:val="FollowedHyperlink"/>
    <w:basedOn w:val="DefaultParagraphFont"/>
    <w:uiPriority w:val="99"/>
    <w:semiHidden/>
    <w:unhideWhenUsed/>
    <w:rsid w:val="005C154A"/>
    <w:rPr>
      <w:color w:val="DFC76F" w:themeColor="followedHyperlink"/>
      <w:u w:val="single"/>
    </w:rPr>
  </w:style>
  <w:style w:type="paragraph" w:styleId="CommentSubject">
    <w:name w:val="annotation subject"/>
    <w:basedOn w:val="CommentText"/>
    <w:next w:val="CommentText"/>
    <w:link w:val="CommentSubjectChar"/>
    <w:uiPriority w:val="99"/>
    <w:semiHidden/>
    <w:unhideWhenUsed/>
    <w:rsid w:val="0086604D"/>
    <w:rPr>
      <w:b/>
      <w:bCs/>
    </w:rPr>
  </w:style>
  <w:style w:type="character" w:customStyle="1" w:styleId="CommentSubjectChar">
    <w:name w:val="Comment Subject Char"/>
    <w:basedOn w:val="CommentTextChar"/>
    <w:link w:val="CommentSubject"/>
    <w:uiPriority w:val="99"/>
    <w:semiHidden/>
    <w:rsid w:val="0086604D"/>
    <w:rPr>
      <w:rFonts w:ascii="Times New Roman" w:hAnsi="Times New Roman"/>
      <w:b/>
      <w:bCs/>
      <w:color w:val="000000" w:themeColor="text1"/>
      <w:sz w:val="20"/>
      <w:szCs w:val="20"/>
    </w:rPr>
  </w:style>
  <w:style w:type="paragraph" w:styleId="Revision">
    <w:name w:val="Revision"/>
    <w:hidden/>
    <w:uiPriority w:val="99"/>
    <w:semiHidden/>
    <w:rsid w:val="00096E67"/>
    <w:pPr>
      <w:spacing w:after="0" w:line="240" w:lineRule="auto"/>
    </w:pPr>
    <w:rPr>
      <w:rFonts w:ascii="Times New Roman" w:hAnsi="Times New Roman"/>
      <w:color w:val="000000" w:themeColor="text1"/>
    </w:rPr>
  </w:style>
  <w:style w:type="character" w:styleId="EndnoteReference">
    <w:name w:val="endnote reference"/>
    <w:basedOn w:val="DefaultParagraphFont"/>
    <w:uiPriority w:val="99"/>
    <w:semiHidden/>
    <w:unhideWhenUsed/>
    <w:rsid w:val="004F70DA"/>
    <w:rPr>
      <w:vertAlign w:val="superscript"/>
    </w:rPr>
  </w:style>
  <w:style w:type="character" w:customStyle="1" w:styleId="normaltextrun1">
    <w:name w:val="normaltextrun1"/>
    <w:basedOn w:val="DefaultParagraphFont"/>
    <w:rsid w:val="00B17CDD"/>
  </w:style>
  <w:style w:type="paragraph" w:customStyle="1" w:styleId="paragraph">
    <w:name w:val="paragraph"/>
    <w:basedOn w:val="Normal"/>
    <w:rsid w:val="00B17CDD"/>
  </w:style>
  <w:style w:type="character" w:customStyle="1" w:styleId="eop">
    <w:name w:val="eop"/>
    <w:basedOn w:val="DefaultParagraphFont"/>
    <w:rsid w:val="00B17CDD"/>
  </w:style>
  <w:style w:type="table" w:customStyle="1" w:styleId="TableGridLight1">
    <w:name w:val="Table Grid Light1"/>
    <w:basedOn w:val="TableNormal"/>
    <w:uiPriority w:val="40"/>
    <w:rsid w:val="00B17C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B17CDD"/>
    <w:pPr>
      <w:spacing w:after="0" w:line="240" w:lineRule="auto"/>
    </w:pPr>
  </w:style>
  <w:style w:type="paragraph" w:styleId="NormalWeb">
    <w:name w:val="Normal (Web)"/>
    <w:basedOn w:val="Normal"/>
    <w:uiPriority w:val="99"/>
    <w:semiHidden/>
    <w:unhideWhenUsed/>
    <w:rsid w:val="00752D05"/>
    <w:pPr>
      <w:spacing w:before="100" w:beforeAutospacing="1" w:after="100" w:afterAutospacing="1"/>
    </w:pPr>
  </w:style>
  <w:style w:type="character" w:customStyle="1" w:styleId="WW8Num4z1">
    <w:name w:val="WW8Num4z1"/>
    <w:rsid w:val="00C8360D"/>
  </w:style>
  <w:style w:type="paragraph" w:styleId="BodyText">
    <w:name w:val="Body Text"/>
    <w:basedOn w:val="Normal"/>
    <w:link w:val="BodyTextChar"/>
    <w:qFormat/>
    <w:rsid w:val="006959CE"/>
    <w:pPr>
      <w:spacing w:line="280" w:lineRule="exact"/>
    </w:pPr>
    <w:rPr>
      <w:rFonts w:asciiTheme="minorHAnsi" w:hAnsiTheme="minorHAnsi"/>
    </w:rPr>
  </w:style>
  <w:style w:type="character" w:customStyle="1" w:styleId="BodyTextChar">
    <w:name w:val="Body Text Char"/>
    <w:basedOn w:val="DefaultParagraphFont"/>
    <w:link w:val="BodyText"/>
    <w:rsid w:val="006959CE"/>
    <w:rPr>
      <w:color w:val="000000" w:themeColor="text1"/>
    </w:rPr>
  </w:style>
  <w:style w:type="paragraph" w:styleId="ListBullet">
    <w:name w:val="List Bullet"/>
    <w:basedOn w:val="Normal"/>
    <w:uiPriority w:val="99"/>
    <w:unhideWhenUsed/>
    <w:rsid w:val="006E76D7"/>
    <w:pPr>
      <w:numPr>
        <w:numId w:val="9"/>
      </w:numPr>
      <w:contextualSpacing/>
    </w:pPr>
  </w:style>
  <w:style w:type="character" w:customStyle="1" w:styleId="UnresolvedMention1">
    <w:name w:val="Unresolved Mention1"/>
    <w:basedOn w:val="DefaultParagraphFont"/>
    <w:uiPriority w:val="99"/>
    <w:semiHidden/>
    <w:unhideWhenUsed/>
    <w:rsid w:val="009A350D"/>
    <w:rPr>
      <w:color w:val="605E5C"/>
      <w:shd w:val="clear" w:color="auto" w:fill="E1DFDD"/>
    </w:rPr>
  </w:style>
  <w:style w:type="character" w:customStyle="1" w:styleId="UnresolvedMention2">
    <w:name w:val="Unresolved Mention2"/>
    <w:basedOn w:val="DefaultParagraphFont"/>
    <w:uiPriority w:val="99"/>
    <w:semiHidden/>
    <w:unhideWhenUsed/>
    <w:rsid w:val="00E46313"/>
    <w:rPr>
      <w:color w:val="605E5C"/>
      <w:shd w:val="clear" w:color="auto" w:fill="E1DFDD"/>
    </w:rPr>
  </w:style>
  <w:style w:type="paragraph" w:customStyle="1" w:styleId="msonormal0">
    <w:name w:val="msonormal"/>
    <w:basedOn w:val="Normal"/>
    <w:rsid w:val="004325ED"/>
    <w:pPr>
      <w:spacing w:before="100" w:beforeAutospacing="1" w:after="100" w:afterAutospacing="1"/>
    </w:pPr>
  </w:style>
  <w:style w:type="paragraph" w:customStyle="1" w:styleId="xl64">
    <w:name w:val="xl64"/>
    <w:basedOn w:val="Normal"/>
    <w:rsid w:val="004325ED"/>
    <w:pPr>
      <w:spacing w:before="100" w:beforeAutospacing="1" w:after="100" w:afterAutospacing="1"/>
      <w:jc w:val="center"/>
      <w:textAlignment w:val="center"/>
    </w:pPr>
    <w:rPr>
      <w:color w:val="000000"/>
      <w:sz w:val="20"/>
      <w:szCs w:val="20"/>
    </w:rPr>
  </w:style>
  <w:style w:type="paragraph" w:customStyle="1" w:styleId="xl65">
    <w:name w:val="xl65"/>
    <w:basedOn w:val="Normal"/>
    <w:rsid w:val="004325ED"/>
    <w:pPr>
      <w:spacing w:before="100" w:beforeAutospacing="1" w:after="100" w:afterAutospacing="1"/>
      <w:jc w:val="center"/>
      <w:textAlignment w:val="center"/>
    </w:pPr>
    <w:rPr>
      <w:color w:val="000000"/>
      <w:sz w:val="20"/>
      <w:szCs w:val="20"/>
    </w:rPr>
  </w:style>
  <w:style w:type="paragraph" w:customStyle="1" w:styleId="xl66">
    <w:name w:val="xl66"/>
    <w:basedOn w:val="Normal"/>
    <w:rsid w:val="004325ED"/>
    <w:pPr>
      <w:pBdr>
        <w:bottom w:val="single" w:sz="8" w:space="0" w:color="auto"/>
      </w:pBdr>
      <w:spacing w:before="100" w:beforeAutospacing="1" w:after="100" w:afterAutospacing="1"/>
      <w:jc w:val="center"/>
      <w:textAlignment w:val="center"/>
    </w:pPr>
    <w:rPr>
      <w:color w:val="000000"/>
      <w:sz w:val="20"/>
      <w:szCs w:val="20"/>
    </w:rPr>
  </w:style>
  <w:style w:type="paragraph" w:customStyle="1" w:styleId="xl67">
    <w:name w:val="xl67"/>
    <w:basedOn w:val="Normal"/>
    <w:rsid w:val="004325ED"/>
    <w:pPr>
      <w:spacing w:before="100" w:beforeAutospacing="1" w:after="100" w:afterAutospacing="1"/>
      <w:jc w:val="center"/>
      <w:textAlignment w:val="center"/>
    </w:pPr>
    <w:rPr>
      <w:color w:val="000000"/>
      <w:sz w:val="20"/>
      <w:szCs w:val="20"/>
    </w:rPr>
  </w:style>
  <w:style w:type="paragraph" w:customStyle="1" w:styleId="xl68">
    <w:name w:val="xl68"/>
    <w:basedOn w:val="Normal"/>
    <w:rsid w:val="004325ED"/>
    <w:pPr>
      <w:pBdr>
        <w:top w:val="single" w:sz="8" w:space="0" w:color="auto"/>
        <w:bottom w:val="single" w:sz="8" w:space="0" w:color="auto"/>
      </w:pBdr>
      <w:spacing w:before="100" w:beforeAutospacing="1" w:after="100" w:afterAutospacing="1"/>
      <w:jc w:val="center"/>
      <w:textAlignment w:val="center"/>
    </w:pPr>
    <w:rPr>
      <w:color w:val="000000"/>
      <w:sz w:val="20"/>
      <w:szCs w:val="20"/>
    </w:rPr>
  </w:style>
  <w:style w:type="character" w:customStyle="1" w:styleId="UnresolvedMention">
    <w:name w:val="Unresolved Mention"/>
    <w:basedOn w:val="DefaultParagraphFont"/>
    <w:uiPriority w:val="99"/>
    <w:semiHidden/>
    <w:unhideWhenUsed/>
    <w:rsid w:val="001B753C"/>
    <w:rPr>
      <w:color w:val="605E5C"/>
      <w:shd w:val="clear" w:color="auto" w:fill="E1DFDD"/>
    </w:rPr>
  </w:style>
  <w:style w:type="paragraph" w:styleId="EndnoteText">
    <w:name w:val="endnote text"/>
    <w:basedOn w:val="Normal"/>
    <w:link w:val="EndnoteTextChar"/>
    <w:uiPriority w:val="99"/>
    <w:semiHidden/>
    <w:unhideWhenUsed/>
    <w:rsid w:val="001E0933"/>
    <w:rPr>
      <w:sz w:val="20"/>
      <w:szCs w:val="20"/>
    </w:rPr>
  </w:style>
  <w:style w:type="character" w:customStyle="1" w:styleId="EndnoteTextChar">
    <w:name w:val="Endnote Text Char"/>
    <w:basedOn w:val="DefaultParagraphFont"/>
    <w:link w:val="EndnoteText"/>
    <w:uiPriority w:val="99"/>
    <w:semiHidden/>
    <w:rsid w:val="001E0933"/>
    <w:rPr>
      <w:rFonts w:ascii="Times New Roman" w:eastAsia="Times New Roman" w:hAnsi="Times New Roman" w:cs="Times New Roman"/>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0645">
      <w:bodyDiv w:val="1"/>
      <w:marLeft w:val="0"/>
      <w:marRight w:val="0"/>
      <w:marTop w:val="0"/>
      <w:marBottom w:val="0"/>
      <w:divBdr>
        <w:top w:val="none" w:sz="0" w:space="0" w:color="auto"/>
        <w:left w:val="none" w:sz="0" w:space="0" w:color="auto"/>
        <w:bottom w:val="none" w:sz="0" w:space="0" w:color="auto"/>
        <w:right w:val="none" w:sz="0" w:space="0" w:color="auto"/>
      </w:divBdr>
    </w:div>
    <w:div w:id="71388905">
      <w:bodyDiv w:val="1"/>
      <w:marLeft w:val="0"/>
      <w:marRight w:val="0"/>
      <w:marTop w:val="0"/>
      <w:marBottom w:val="0"/>
      <w:divBdr>
        <w:top w:val="none" w:sz="0" w:space="0" w:color="auto"/>
        <w:left w:val="none" w:sz="0" w:space="0" w:color="auto"/>
        <w:bottom w:val="none" w:sz="0" w:space="0" w:color="auto"/>
        <w:right w:val="none" w:sz="0" w:space="0" w:color="auto"/>
      </w:divBdr>
    </w:div>
    <w:div w:id="81268053">
      <w:bodyDiv w:val="1"/>
      <w:marLeft w:val="0"/>
      <w:marRight w:val="0"/>
      <w:marTop w:val="0"/>
      <w:marBottom w:val="0"/>
      <w:divBdr>
        <w:top w:val="none" w:sz="0" w:space="0" w:color="auto"/>
        <w:left w:val="none" w:sz="0" w:space="0" w:color="auto"/>
        <w:bottom w:val="none" w:sz="0" w:space="0" w:color="auto"/>
        <w:right w:val="none" w:sz="0" w:space="0" w:color="auto"/>
      </w:divBdr>
    </w:div>
    <w:div w:id="87653286">
      <w:bodyDiv w:val="1"/>
      <w:marLeft w:val="0"/>
      <w:marRight w:val="0"/>
      <w:marTop w:val="0"/>
      <w:marBottom w:val="0"/>
      <w:divBdr>
        <w:top w:val="none" w:sz="0" w:space="0" w:color="auto"/>
        <w:left w:val="none" w:sz="0" w:space="0" w:color="auto"/>
        <w:bottom w:val="none" w:sz="0" w:space="0" w:color="auto"/>
        <w:right w:val="none" w:sz="0" w:space="0" w:color="auto"/>
      </w:divBdr>
    </w:div>
    <w:div w:id="109594454">
      <w:bodyDiv w:val="1"/>
      <w:marLeft w:val="0"/>
      <w:marRight w:val="0"/>
      <w:marTop w:val="0"/>
      <w:marBottom w:val="0"/>
      <w:divBdr>
        <w:top w:val="none" w:sz="0" w:space="0" w:color="auto"/>
        <w:left w:val="none" w:sz="0" w:space="0" w:color="auto"/>
        <w:bottom w:val="none" w:sz="0" w:space="0" w:color="auto"/>
        <w:right w:val="none" w:sz="0" w:space="0" w:color="auto"/>
      </w:divBdr>
    </w:div>
    <w:div w:id="258293805">
      <w:bodyDiv w:val="1"/>
      <w:marLeft w:val="0"/>
      <w:marRight w:val="0"/>
      <w:marTop w:val="0"/>
      <w:marBottom w:val="0"/>
      <w:divBdr>
        <w:top w:val="none" w:sz="0" w:space="0" w:color="auto"/>
        <w:left w:val="none" w:sz="0" w:space="0" w:color="auto"/>
        <w:bottom w:val="none" w:sz="0" w:space="0" w:color="auto"/>
        <w:right w:val="none" w:sz="0" w:space="0" w:color="auto"/>
      </w:divBdr>
    </w:div>
    <w:div w:id="279189768">
      <w:bodyDiv w:val="1"/>
      <w:marLeft w:val="0"/>
      <w:marRight w:val="0"/>
      <w:marTop w:val="0"/>
      <w:marBottom w:val="0"/>
      <w:divBdr>
        <w:top w:val="none" w:sz="0" w:space="0" w:color="auto"/>
        <w:left w:val="none" w:sz="0" w:space="0" w:color="auto"/>
        <w:bottom w:val="none" w:sz="0" w:space="0" w:color="auto"/>
        <w:right w:val="none" w:sz="0" w:space="0" w:color="auto"/>
      </w:divBdr>
    </w:div>
    <w:div w:id="304743440">
      <w:bodyDiv w:val="1"/>
      <w:marLeft w:val="0"/>
      <w:marRight w:val="0"/>
      <w:marTop w:val="0"/>
      <w:marBottom w:val="0"/>
      <w:divBdr>
        <w:top w:val="none" w:sz="0" w:space="0" w:color="auto"/>
        <w:left w:val="none" w:sz="0" w:space="0" w:color="auto"/>
        <w:bottom w:val="none" w:sz="0" w:space="0" w:color="auto"/>
        <w:right w:val="none" w:sz="0" w:space="0" w:color="auto"/>
      </w:divBdr>
    </w:div>
    <w:div w:id="372119033">
      <w:bodyDiv w:val="1"/>
      <w:marLeft w:val="0"/>
      <w:marRight w:val="0"/>
      <w:marTop w:val="0"/>
      <w:marBottom w:val="0"/>
      <w:divBdr>
        <w:top w:val="none" w:sz="0" w:space="0" w:color="auto"/>
        <w:left w:val="none" w:sz="0" w:space="0" w:color="auto"/>
        <w:bottom w:val="none" w:sz="0" w:space="0" w:color="auto"/>
        <w:right w:val="none" w:sz="0" w:space="0" w:color="auto"/>
      </w:divBdr>
    </w:div>
    <w:div w:id="376199314">
      <w:bodyDiv w:val="1"/>
      <w:marLeft w:val="0"/>
      <w:marRight w:val="0"/>
      <w:marTop w:val="0"/>
      <w:marBottom w:val="0"/>
      <w:divBdr>
        <w:top w:val="none" w:sz="0" w:space="0" w:color="auto"/>
        <w:left w:val="none" w:sz="0" w:space="0" w:color="auto"/>
        <w:bottom w:val="none" w:sz="0" w:space="0" w:color="auto"/>
        <w:right w:val="none" w:sz="0" w:space="0" w:color="auto"/>
      </w:divBdr>
    </w:div>
    <w:div w:id="439178941">
      <w:bodyDiv w:val="1"/>
      <w:marLeft w:val="0"/>
      <w:marRight w:val="0"/>
      <w:marTop w:val="0"/>
      <w:marBottom w:val="0"/>
      <w:divBdr>
        <w:top w:val="none" w:sz="0" w:space="0" w:color="auto"/>
        <w:left w:val="none" w:sz="0" w:space="0" w:color="auto"/>
        <w:bottom w:val="none" w:sz="0" w:space="0" w:color="auto"/>
        <w:right w:val="none" w:sz="0" w:space="0" w:color="auto"/>
      </w:divBdr>
    </w:div>
    <w:div w:id="444156702">
      <w:bodyDiv w:val="1"/>
      <w:marLeft w:val="0"/>
      <w:marRight w:val="0"/>
      <w:marTop w:val="0"/>
      <w:marBottom w:val="0"/>
      <w:divBdr>
        <w:top w:val="none" w:sz="0" w:space="0" w:color="auto"/>
        <w:left w:val="none" w:sz="0" w:space="0" w:color="auto"/>
        <w:bottom w:val="none" w:sz="0" w:space="0" w:color="auto"/>
        <w:right w:val="none" w:sz="0" w:space="0" w:color="auto"/>
      </w:divBdr>
    </w:div>
    <w:div w:id="463885444">
      <w:bodyDiv w:val="1"/>
      <w:marLeft w:val="0"/>
      <w:marRight w:val="0"/>
      <w:marTop w:val="0"/>
      <w:marBottom w:val="0"/>
      <w:divBdr>
        <w:top w:val="none" w:sz="0" w:space="0" w:color="auto"/>
        <w:left w:val="none" w:sz="0" w:space="0" w:color="auto"/>
        <w:bottom w:val="none" w:sz="0" w:space="0" w:color="auto"/>
        <w:right w:val="none" w:sz="0" w:space="0" w:color="auto"/>
      </w:divBdr>
    </w:div>
    <w:div w:id="471564279">
      <w:bodyDiv w:val="1"/>
      <w:marLeft w:val="0"/>
      <w:marRight w:val="0"/>
      <w:marTop w:val="0"/>
      <w:marBottom w:val="0"/>
      <w:divBdr>
        <w:top w:val="none" w:sz="0" w:space="0" w:color="auto"/>
        <w:left w:val="none" w:sz="0" w:space="0" w:color="auto"/>
        <w:bottom w:val="none" w:sz="0" w:space="0" w:color="auto"/>
        <w:right w:val="none" w:sz="0" w:space="0" w:color="auto"/>
      </w:divBdr>
    </w:div>
    <w:div w:id="495196557">
      <w:bodyDiv w:val="1"/>
      <w:marLeft w:val="0"/>
      <w:marRight w:val="0"/>
      <w:marTop w:val="0"/>
      <w:marBottom w:val="0"/>
      <w:divBdr>
        <w:top w:val="none" w:sz="0" w:space="0" w:color="auto"/>
        <w:left w:val="none" w:sz="0" w:space="0" w:color="auto"/>
        <w:bottom w:val="none" w:sz="0" w:space="0" w:color="auto"/>
        <w:right w:val="none" w:sz="0" w:space="0" w:color="auto"/>
      </w:divBdr>
    </w:div>
    <w:div w:id="550582225">
      <w:bodyDiv w:val="1"/>
      <w:marLeft w:val="0"/>
      <w:marRight w:val="0"/>
      <w:marTop w:val="0"/>
      <w:marBottom w:val="0"/>
      <w:divBdr>
        <w:top w:val="none" w:sz="0" w:space="0" w:color="auto"/>
        <w:left w:val="none" w:sz="0" w:space="0" w:color="auto"/>
        <w:bottom w:val="none" w:sz="0" w:space="0" w:color="auto"/>
        <w:right w:val="none" w:sz="0" w:space="0" w:color="auto"/>
      </w:divBdr>
      <w:divsChild>
        <w:div w:id="1710227984">
          <w:marLeft w:val="0"/>
          <w:marRight w:val="180"/>
          <w:marTop w:val="0"/>
          <w:marBottom w:val="0"/>
          <w:divBdr>
            <w:top w:val="none" w:sz="0" w:space="0" w:color="auto"/>
            <w:left w:val="none" w:sz="0" w:space="0" w:color="auto"/>
            <w:bottom w:val="none" w:sz="0" w:space="0" w:color="auto"/>
            <w:right w:val="none" w:sz="0" w:space="0" w:color="auto"/>
          </w:divBdr>
        </w:div>
        <w:div w:id="124276742">
          <w:marLeft w:val="0"/>
          <w:marRight w:val="0"/>
          <w:marTop w:val="0"/>
          <w:marBottom w:val="30"/>
          <w:divBdr>
            <w:top w:val="none" w:sz="0" w:space="0" w:color="auto"/>
            <w:left w:val="none" w:sz="0" w:space="0" w:color="auto"/>
            <w:bottom w:val="none" w:sz="0" w:space="0" w:color="auto"/>
            <w:right w:val="none" w:sz="0" w:space="0" w:color="auto"/>
          </w:divBdr>
          <w:divsChild>
            <w:div w:id="814100198">
              <w:marLeft w:val="0"/>
              <w:marRight w:val="0"/>
              <w:marTop w:val="48"/>
              <w:marBottom w:val="48"/>
              <w:divBdr>
                <w:top w:val="none" w:sz="0" w:space="0" w:color="auto"/>
                <w:left w:val="none" w:sz="0" w:space="0" w:color="auto"/>
                <w:bottom w:val="none" w:sz="0" w:space="0" w:color="auto"/>
                <w:right w:val="none" w:sz="0" w:space="0" w:color="auto"/>
              </w:divBdr>
            </w:div>
            <w:div w:id="106688140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553583803">
      <w:bodyDiv w:val="1"/>
      <w:marLeft w:val="0"/>
      <w:marRight w:val="0"/>
      <w:marTop w:val="0"/>
      <w:marBottom w:val="0"/>
      <w:divBdr>
        <w:top w:val="none" w:sz="0" w:space="0" w:color="auto"/>
        <w:left w:val="none" w:sz="0" w:space="0" w:color="auto"/>
        <w:bottom w:val="none" w:sz="0" w:space="0" w:color="auto"/>
        <w:right w:val="none" w:sz="0" w:space="0" w:color="auto"/>
      </w:divBdr>
    </w:div>
    <w:div w:id="597754929">
      <w:bodyDiv w:val="1"/>
      <w:marLeft w:val="0"/>
      <w:marRight w:val="0"/>
      <w:marTop w:val="0"/>
      <w:marBottom w:val="0"/>
      <w:divBdr>
        <w:top w:val="none" w:sz="0" w:space="0" w:color="auto"/>
        <w:left w:val="none" w:sz="0" w:space="0" w:color="auto"/>
        <w:bottom w:val="none" w:sz="0" w:space="0" w:color="auto"/>
        <w:right w:val="none" w:sz="0" w:space="0" w:color="auto"/>
      </w:divBdr>
    </w:div>
    <w:div w:id="661274499">
      <w:bodyDiv w:val="1"/>
      <w:marLeft w:val="0"/>
      <w:marRight w:val="0"/>
      <w:marTop w:val="0"/>
      <w:marBottom w:val="0"/>
      <w:divBdr>
        <w:top w:val="none" w:sz="0" w:space="0" w:color="auto"/>
        <w:left w:val="none" w:sz="0" w:space="0" w:color="auto"/>
        <w:bottom w:val="none" w:sz="0" w:space="0" w:color="auto"/>
        <w:right w:val="none" w:sz="0" w:space="0" w:color="auto"/>
      </w:divBdr>
    </w:div>
    <w:div w:id="667289508">
      <w:bodyDiv w:val="1"/>
      <w:marLeft w:val="0"/>
      <w:marRight w:val="0"/>
      <w:marTop w:val="0"/>
      <w:marBottom w:val="0"/>
      <w:divBdr>
        <w:top w:val="none" w:sz="0" w:space="0" w:color="auto"/>
        <w:left w:val="none" w:sz="0" w:space="0" w:color="auto"/>
        <w:bottom w:val="none" w:sz="0" w:space="0" w:color="auto"/>
        <w:right w:val="none" w:sz="0" w:space="0" w:color="auto"/>
      </w:divBdr>
    </w:div>
    <w:div w:id="668870714">
      <w:bodyDiv w:val="1"/>
      <w:marLeft w:val="0"/>
      <w:marRight w:val="0"/>
      <w:marTop w:val="0"/>
      <w:marBottom w:val="0"/>
      <w:divBdr>
        <w:top w:val="none" w:sz="0" w:space="0" w:color="auto"/>
        <w:left w:val="none" w:sz="0" w:space="0" w:color="auto"/>
        <w:bottom w:val="none" w:sz="0" w:space="0" w:color="auto"/>
        <w:right w:val="none" w:sz="0" w:space="0" w:color="auto"/>
      </w:divBdr>
    </w:div>
    <w:div w:id="715471636">
      <w:bodyDiv w:val="1"/>
      <w:marLeft w:val="0"/>
      <w:marRight w:val="0"/>
      <w:marTop w:val="0"/>
      <w:marBottom w:val="0"/>
      <w:divBdr>
        <w:top w:val="none" w:sz="0" w:space="0" w:color="auto"/>
        <w:left w:val="none" w:sz="0" w:space="0" w:color="auto"/>
        <w:bottom w:val="none" w:sz="0" w:space="0" w:color="auto"/>
        <w:right w:val="none" w:sz="0" w:space="0" w:color="auto"/>
      </w:divBdr>
    </w:div>
    <w:div w:id="746880688">
      <w:bodyDiv w:val="1"/>
      <w:marLeft w:val="0"/>
      <w:marRight w:val="0"/>
      <w:marTop w:val="0"/>
      <w:marBottom w:val="0"/>
      <w:divBdr>
        <w:top w:val="none" w:sz="0" w:space="0" w:color="auto"/>
        <w:left w:val="none" w:sz="0" w:space="0" w:color="auto"/>
        <w:bottom w:val="none" w:sz="0" w:space="0" w:color="auto"/>
        <w:right w:val="none" w:sz="0" w:space="0" w:color="auto"/>
      </w:divBdr>
    </w:div>
    <w:div w:id="759184100">
      <w:bodyDiv w:val="1"/>
      <w:marLeft w:val="0"/>
      <w:marRight w:val="0"/>
      <w:marTop w:val="0"/>
      <w:marBottom w:val="0"/>
      <w:divBdr>
        <w:top w:val="none" w:sz="0" w:space="0" w:color="auto"/>
        <w:left w:val="none" w:sz="0" w:space="0" w:color="auto"/>
        <w:bottom w:val="none" w:sz="0" w:space="0" w:color="auto"/>
        <w:right w:val="none" w:sz="0" w:space="0" w:color="auto"/>
      </w:divBdr>
    </w:div>
    <w:div w:id="789975046">
      <w:bodyDiv w:val="1"/>
      <w:marLeft w:val="0"/>
      <w:marRight w:val="0"/>
      <w:marTop w:val="0"/>
      <w:marBottom w:val="0"/>
      <w:divBdr>
        <w:top w:val="none" w:sz="0" w:space="0" w:color="auto"/>
        <w:left w:val="none" w:sz="0" w:space="0" w:color="auto"/>
        <w:bottom w:val="none" w:sz="0" w:space="0" w:color="auto"/>
        <w:right w:val="none" w:sz="0" w:space="0" w:color="auto"/>
      </w:divBdr>
    </w:div>
    <w:div w:id="790053390">
      <w:bodyDiv w:val="1"/>
      <w:marLeft w:val="0"/>
      <w:marRight w:val="0"/>
      <w:marTop w:val="0"/>
      <w:marBottom w:val="0"/>
      <w:divBdr>
        <w:top w:val="none" w:sz="0" w:space="0" w:color="auto"/>
        <w:left w:val="none" w:sz="0" w:space="0" w:color="auto"/>
        <w:bottom w:val="none" w:sz="0" w:space="0" w:color="auto"/>
        <w:right w:val="none" w:sz="0" w:space="0" w:color="auto"/>
      </w:divBdr>
    </w:div>
    <w:div w:id="812334826">
      <w:bodyDiv w:val="1"/>
      <w:marLeft w:val="0"/>
      <w:marRight w:val="0"/>
      <w:marTop w:val="0"/>
      <w:marBottom w:val="0"/>
      <w:divBdr>
        <w:top w:val="none" w:sz="0" w:space="0" w:color="auto"/>
        <w:left w:val="none" w:sz="0" w:space="0" w:color="auto"/>
        <w:bottom w:val="none" w:sz="0" w:space="0" w:color="auto"/>
        <w:right w:val="none" w:sz="0" w:space="0" w:color="auto"/>
      </w:divBdr>
    </w:div>
    <w:div w:id="835732555">
      <w:bodyDiv w:val="1"/>
      <w:marLeft w:val="0"/>
      <w:marRight w:val="0"/>
      <w:marTop w:val="0"/>
      <w:marBottom w:val="0"/>
      <w:divBdr>
        <w:top w:val="none" w:sz="0" w:space="0" w:color="auto"/>
        <w:left w:val="none" w:sz="0" w:space="0" w:color="auto"/>
        <w:bottom w:val="none" w:sz="0" w:space="0" w:color="auto"/>
        <w:right w:val="none" w:sz="0" w:space="0" w:color="auto"/>
      </w:divBdr>
    </w:div>
    <w:div w:id="838541661">
      <w:bodyDiv w:val="1"/>
      <w:marLeft w:val="0"/>
      <w:marRight w:val="0"/>
      <w:marTop w:val="0"/>
      <w:marBottom w:val="0"/>
      <w:divBdr>
        <w:top w:val="none" w:sz="0" w:space="0" w:color="auto"/>
        <w:left w:val="none" w:sz="0" w:space="0" w:color="auto"/>
        <w:bottom w:val="none" w:sz="0" w:space="0" w:color="auto"/>
        <w:right w:val="none" w:sz="0" w:space="0" w:color="auto"/>
      </w:divBdr>
    </w:div>
    <w:div w:id="849759910">
      <w:bodyDiv w:val="1"/>
      <w:marLeft w:val="0"/>
      <w:marRight w:val="0"/>
      <w:marTop w:val="0"/>
      <w:marBottom w:val="0"/>
      <w:divBdr>
        <w:top w:val="none" w:sz="0" w:space="0" w:color="auto"/>
        <w:left w:val="none" w:sz="0" w:space="0" w:color="auto"/>
        <w:bottom w:val="none" w:sz="0" w:space="0" w:color="auto"/>
        <w:right w:val="none" w:sz="0" w:space="0" w:color="auto"/>
      </w:divBdr>
    </w:div>
    <w:div w:id="882644192">
      <w:bodyDiv w:val="1"/>
      <w:marLeft w:val="0"/>
      <w:marRight w:val="0"/>
      <w:marTop w:val="0"/>
      <w:marBottom w:val="0"/>
      <w:divBdr>
        <w:top w:val="none" w:sz="0" w:space="0" w:color="auto"/>
        <w:left w:val="none" w:sz="0" w:space="0" w:color="auto"/>
        <w:bottom w:val="none" w:sz="0" w:space="0" w:color="auto"/>
        <w:right w:val="none" w:sz="0" w:space="0" w:color="auto"/>
      </w:divBdr>
    </w:div>
    <w:div w:id="899748166">
      <w:bodyDiv w:val="1"/>
      <w:marLeft w:val="0"/>
      <w:marRight w:val="0"/>
      <w:marTop w:val="0"/>
      <w:marBottom w:val="0"/>
      <w:divBdr>
        <w:top w:val="none" w:sz="0" w:space="0" w:color="auto"/>
        <w:left w:val="none" w:sz="0" w:space="0" w:color="auto"/>
        <w:bottom w:val="none" w:sz="0" w:space="0" w:color="auto"/>
        <w:right w:val="none" w:sz="0" w:space="0" w:color="auto"/>
      </w:divBdr>
    </w:div>
    <w:div w:id="939727281">
      <w:bodyDiv w:val="1"/>
      <w:marLeft w:val="0"/>
      <w:marRight w:val="0"/>
      <w:marTop w:val="0"/>
      <w:marBottom w:val="0"/>
      <w:divBdr>
        <w:top w:val="none" w:sz="0" w:space="0" w:color="auto"/>
        <w:left w:val="none" w:sz="0" w:space="0" w:color="auto"/>
        <w:bottom w:val="none" w:sz="0" w:space="0" w:color="auto"/>
        <w:right w:val="none" w:sz="0" w:space="0" w:color="auto"/>
      </w:divBdr>
    </w:div>
    <w:div w:id="955674851">
      <w:bodyDiv w:val="1"/>
      <w:marLeft w:val="0"/>
      <w:marRight w:val="0"/>
      <w:marTop w:val="0"/>
      <w:marBottom w:val="0"/>
      <w:divBdr>
        <w:top w:val="none" w:sz="0" w:space="0" w:color="auto"/>
        <w:left w:val="none" w:sz="0" w:space="0" w:color="auto"/>
        <w:bottom w:val="none" w:sz="0" w:space="0" w:color="auto"/>
        <w:right w:val="none" w:sz="0" w:space="0" w:color="auto"/>
      </w:divBdr>
    </w:div>
    <w:div w:id="980620258">
      <w:bodyDiv w:val="1"/>
      <w:marLeft w:val="0"/>
      <w:marRight w:val="0"/>
      <w:marTop w:val="0"/>
      <w:marBottom w:val="0"/>
      <w:divBdr>
        <w:top w:val="none" w:sz="0" w:space="0" w:color="auto"/>
        <w:left w:val="none" w:sz="0" w:space="0" w:color="auto"/>
        <w:bottom w:val="none" w:sz="0" w:space="0" w:color="auto"/>
        <w:right w:val="none" w:sz="0" w:space="0" w:color="auto"/>
      </w:divBdr>
    </w:div>
    <w:div w:id="999964806">
      <w:bodyDiv w:val="1"/>
      <w:marLeft w:val="0"/>
      <w:marRight w:val="0"/>
      <w:marTop w:val="0"/>
      <w:marBottom w:val="0"/>
      <w:divBdr>
        <w:top w:val="none" w:sz="0" w:space="0" w:color="auto"/>
        <w:left w:val="none" w:sz="0" w:space="0" w:color="auto"/>
        <w:bottom w:val="none" w:sz="0" w:space="0" w:color="auto"/>
        <w:right w:val="none" w:sz="0" w:space="0" w:color="auto"/>
      </w:divBdr>
    </w:div>
    <w:div w:id="1021591562">
      <w:bodyDiv w:val="1"/>
      <w:marLeft w:val="0"/>
      <w:marRight w:val="0"/>
      <w:marTop w:val="0"/>
      <w:marBottom w:val="0"/>
      <w:divBdr>
        <w:top w:val="none" w:sz="0" w:space="0" w:color="auto"/>
        <w:left w:val="none" w:sz="0" w:space="0" w:color="auto"/>
        <w:bottom w:val="none" w:sz="0" w:space="0" w:color="auto"/>
        <w:right w:val="none" w:sz="0" w:space="0" w:color="auto"/>
      </w:divBdr>
    </w:div>
    <w:div w:id="1129476247">
      <w:bodyDiv w:val="1"/>
      <w:marLeft w:val="0"/>
      <w:marRight w:val="0"/>
      <w:marTop w:val="0"/>
      <w:marBottom w:val="0"/>
      <w:divBdr>
        <w:top w:val="none" w:sz="0" w:space="0" w:color="auto"/>
        <w:left w:val="none" w:sz="0" w:space="0" w:color="auto"/>
        <w:bottom w:val="none" w:sz="0" w:space="0" w:color="auto"/>
        <w:right w:val="none" w:sz="0" w:space="0" w:color="auto"/>
      </w:divBdr>
    </w:div>
    <w:div w:id="1215389990">
      <w:bodyDiv w:val="1"/>
      <w:marLeft w:val="0"/>
      <w:marRight w:val="0"/>
      <w:marTop w:val="0"/>
      <w:marBottom w:val="0"/>
      <w:divBdr>
        <w:top w:val="none" w:sz="0" w:space="0" w:color="auto"/>
        <w:left w:val="none" w:sz="0" w:space="0" w:color="auto"/>
        <w:bottom w:val="none" w:sz="0" w:space="0" w:color="auto"/>
        <w:right w:val="none" w:sz="0" w:space="0" w:color="auto"/>
      </w:divBdr>
    </w:div>
    <w:div w:id="1245601699">
      <w:bodyDiv w:val="1"/>
      <w:marLeft w:val="0"/>
      <w:marRight w:val="0"/>
      <w:marTop w:val="0"/>
      <w:marBottom w:val="0"/>
      <w:divBdr>
        <w:top w:val="none" w:sz="0" w:space="0" w:color="auto"/>
        <w:left w:val="none" w:sz="0" w:space="0" w:color="auto"/>
        <w:bottom w:val="none" w:sz="0" w:space="0" w:color="auto"/>
        <w:right w:val="none" w:sz="0" w:space="0" w:color="auto"/>
      </w:divBdr>
    </w:div>
    <w:div w:id="1276207533">
      <w:bodyDiv w:val="1"/>
      <w:marLeft w:val="0"/>
      <w:marRight w:val="0"/>
      <w:marTop w:val="0"/>
      <w:marBottom w:val="0"/>
      <w:divBdr>
        <w:top w:val="none" w:sz="0" w:space="0" w:color="auto"/>
        <w:left w:val="none" w:sz="0" w:space="0" w:color="auto"/>
        <w:bottom w:val="none" w:sz="0" w:space="0" w:color="auto"/>
        <w:right w:val="none" w:sz="0" w:space="0" w:color="auto"/>
      </w:divBdr>
    </w:div>
    <w:div w:id="1304919765">
      <w:bodyDiv w:val="1"/>
      <w:marLeft w:val="0"/>
      <w:marRight w:val="0"/>
      <w:marTop w:val="0"/>
      <w:marBottom w:val="0"/>
      <w:divBdr>
        <w:top w:val="none" w:sz="0" w:space="0" w:color="auto"/>
        <w:left w:val="none" w:sz="0" w:space="0" w:color="auto"/>
        <w:bottom w:val="none" w:sz="0" w:space="0" w:color="auto"/>
        <w:right w:val="none" w:sz="0" w:space="0" w:color="auto"/>
      </w:divBdr>
    </w:div>
    <w:div w:id="1354569227">
      <w:bodyDiv w:val="1"/>
      <w:marLeft w:val="0"/>
      <w:marRight w:val="0"/>
      <w:marTop w:val="0"/>
      <w:marBottom w:val="0"/>
      <w:divBdr>
        <w:top w:val="none" w:sz="0" w:space="0" w:color="auto"/>
        <w:left w:val="none" w:sz="0" w:space="0" w:color="auto"/>
        <w:bottom w:val="none" w:sz="0" w:space="0" w:color="auto"/>
        <w:right w:val="none" w:sz="0" w:space="0" w:color="auto"/>
      </w:divBdr>
    </w:div>
    <w:div w:id="1355377583">
      <w:bodyDiv w:val="1"/>
      <w:marLeft w:val="0"/>
      <w:marRight w:val="0"/>
      <w:marTop w:val="0"/>
      <w:marBottom w:val="0"/>
      <w:divBdr>
        <w:top w:val="none" w:sz="0" w:space="0" w:color="auto"/>
        <w:left w:val="none" w:sz="0" w:space="0" w:color="auto"/>
        <w:bottom w:val="none" w:sz="0" w:space="0" w:color="auto"/>
        <w:right w:val="none" w:sz="0" w:space="0" w:color="auto"/>
      </w:divBdr>
    </w:div>
    <w:div w:id="1360398196">
      <w:bodyDiv w:val="1"/>
      <w:marLeft w:val="0"/>
      <w:marRight w:val="0"/>
      <w:marTop w:val="0"/>
      <w:marBottom w:val="0"/>
      <w:divBdr>
        <w:top w:val="none" w:sz="0" w:space="0" w:color="auto"/>
        <w:left w:val="none" w:sz="0" w:space="0" w:color="auto"/>
        <w:bottom w:val="none" w:sz="0" w:space="0" w:color="auto"/>
        <w:right w:val="none" w:sz="0" w:space="0" w:color="auto"/>
      </w:divBdr>
    </w:div>
    <w:div w:id="1364745538">
      <w:bodyDiv w:val="1"/>
      <w:marLeft w:val="0"/>
      <w:marRight w:val="0"/>
      <w:marTop w:val="0"/>
      <w:marBottom w:val="0"/>
      <w:divBdr>
        <w:top w:val="none" w:sz="0" w:space="0" w:color="auto"/>
        <w:left w:val="none" w:sz="0" w:space="0" w:color="auto"/>
        <w:bottom w:val="none" w:sz="0" w:space="0" w:color="auto"/>
        <w:right w:val="none" w:sz="0" w:space="0" w:color="auto"/>
      </w:divBdr>
    </w:div>
    <w:div w:id="1390764301">
      <w:bodyDiv w:val="1"/>
      <w:marLeft w:val="0"/>
      <w:marRight w:val="0"/>
      <w:marTop w:val="0"/>
      <w:marBottom w:val="0"/>
      <w:divBdr>
        <w:top w:val="none" w:sz="0" w:space="0" w:color="auto"/>
        <w:left w:val="none" w:sz="0" w:space="0" w:color="auto"/>
        <w:bottom w:val="none" w:sz="0" w:space="0" w:color="auto"/>
        <w:right w:val="none" w:sz="0" w:space="0" w:color="auto"/>
      </w:divBdr>
    </w:div>
    <w:div w:id="1422293932">
      <w:bodyDiv w:val="1"/>
      <w:marLeft w:val="0"/>
      <w:marRight w:val="0"/>
      <w:marTop w:val="0"/>
      <w:marBottom w:val="0"/>
      <w:divBdr>
        <w:top w:val="none" w:sz="0" w:space="0" w:color="auto"/>
        <w:left w:val="none" w:sz="0" w:space="0" w:color="auto"/>
        <w:bottom w:val="none" w:sz="0" w:space="0" w:color="auto"/>
        <w:right w:val="none" w:sz="0" w:space="0" w:color="auto"/>
      </w:divBdr>
    </w:div>
    <w:div w:id="1479805280">
      <w:bodyDiv w:val="1"/>
      <w:marLeft w:val="0"/>
      <w:marRight w:val="0"/>
      <w:marTop w:val="0"/>
      <w:marBottom w:val="0"/>
      <w:divBdr>
        <w:top w:val="none" w:sz="0" w:space="0" w:color="auto"/>
        <w:left w:val="none" w:sz="0" w:space="0" w:color="auto"/>
        <w:bottom w:val="none" w:sz="0" w:space="0" w:color="auto"/>
        <w:right w:val="none" w:sz="0" w:space="0" w:color="auto"/>
      </w:divBdr>
    </w:div>
    <w:div w:id="1499887279">
      <w:bodyDiv w:val="1"/>
      <w:marLeft w:val="0"/>
      <w:marRight w:val="0"/>
      <w:marTop w:val="0"/>
      <w:marBottom w:val="0"/>
      <w:divBdr>
        <w:top w:val="none" w:sz="0" w:space="0" w:color="auto"/>
        <w:left w:val="none" w:sz="0" w:space="0" w:color="auto"/>
        <w:bottom w:val="none" w:sz="0" w:space="0" w:color="auto"/>
        <w:right w:val="none" w:sz="0" w:space="0" w:color="auto"/>
      </w:divBdr>
    </w:div>
    <w:div w:id="1504665299">
      <w:bodyDiv w:val="1"/>
      <w:marLeft w:val="0"/>
      <w:marRight w:val="0"/>
      <w:marTop w:val="0"/>
      <w:marBottom w:val="0"/>
      <w:divBdr>
        <w:top w:val="none" w:sz="0" w:space="0" w:color="auto"/>
        <w:left w:val="none" w:sz="0" w:space="0" w:color="auto"/>
        <w:bottom w:val="none" w:sz="0" w:space="0" w:color="auto"/>
        <w:right w:val="none" w:sz="0" w:space="0" w:color="auto"/>
      </w:divBdr>
    </w:div>
    <w:div w:id="1506742997">
      <w:bodyDiv w:val="1"/>
      <w:marLeft w:val="0"/>
      <w:marRight w:val="0"/>
      <w:marTop w:val="0"/>
      <w:marBottom w:val="0"/>
      <w:divBdr>
        <w:top w:val="none" w:sz="0" w:space="0" w:color="auto"/>
        <w:left w:val="none" w:sz="0" w:space="0" w:color="auto"/>
        <w:bottom w:val="none" w:sz="0" w:space="0" w:color="auto"/>
        <w:right w:val="none" w:sz="0" w:space="0" w:color="auto"/>
      </w:divBdr>
    </w:div>
    <w:div w:id="1593776544">
      <w:bodyDiv w:val="1"/>
      <w:marLeft w:val="0"/>
      <w:marRight w:val="0"/>
      <w:marTop w:val="0"/>
      <w:marBottom w:val="0"/>
      <w:divBdr>
        <w:top w:val="none" w:sz="0" w:space="0" w:color="auto"/>
        <w:left w:val="none" w:sz="0" w:space="0" w:color="auto"/>
        <w:bottom w:val="none" w:sz="0" w:space="0" w:color="auto"/>
        <w:right w:val="none" w:sz="0" w:space="0" w:color="auto"/>
      </w:divBdr>
    </w:div>
    <w:div w:id="1603489475">
      <w:bodyDiv w:val="1"/>
      <w:marLeft w:val="0"/>
      <w:marRight w:val="0"/>
      <w:marTop w:val="0"/>
      <w:marBottom w:val="0"/>
      <w:divBdr>
        <w:top w:val="none" w:sz="0" w:space="0" w:color="auto"/>
        <w:left w:val="none" w:sz="0" w:space="0" w:color="auto"/>
        <w:bottom w:val="none" w:sz="0" w:space="0" w:color="auto"/>
        <w:right w:val="none" w:sz="0" w:space="0" w:color="auto"/>
      </w:divBdr>
    </w:div>
    <w:div w:id="1620600872">
      <w:bodyDiv w:val="1"/>
      <w:marLeft w:val="0"/>
      <w:marRight w:val="0"/>
      <w:marTop w:val="0"/>
      <w:marBottom w:val="0"/>
      <w:divBdr>
        <w:top w:val="none" w:sz="0" w:space="0" w:color="auto"/>
        <w:left w:val="none" w:sz="0" w:space="0" w:color="auto"/>
        <w:bottom w:val="none" w:sz="0" w:space="0" w:color="auto"/>
        <w:right w:val="none" w:sz="0" w:space="0" w:color="auto"/>
      </w:divBdr>
    </w:div>
    <w:div w:id="1654215441">
      <w:bodyDiv w:val="1"/>
      <w:marLeft w:val="0"/>
      <w:marRight w:val="0"/>
      <w:marTop w:val="0"/>
      <w:marBottom w:val="0"/>
      <w:divBdr>
        <w:top w:val="none" w:sz="0" w:space="0" w:color="auto"/>
        <w:left w:val="none" w:sz="0" w:space="0" w:color="auto"/>
        <w:bottom w:val="none" w:sz="0" w:space="0" w:color="auto"/>
        <w:right w:val="none" w:sz="0" w:space="0" w:color="auto"/>
      </w:divBdr>
    </w:div>
    <w:div w:id="1682507535">
      <w:bodyDiv w:val="1"/>
      <w:marLeft w:val="0"/>
      <w:marRight w:val="0"/>
      <w:marTop w:val="0"/>
      <w:marBottom w:val="0"/>
      <w:divBdr>
        <w:top w:val="none" w:sz="0" w:space="0" w:color="auto"/>
        <w:left w:val="none" w:sz="0" w:space="0" w:color="auto"/>
        <w:bottom w:val="none" w:sz="0" w:space="0" w:color="auto"/>
        <w:right w:val="none" w:sz="0" w:space="0" w:color="auto"/>
      </w:divBdr>
    </w:div>
    <w:div w:id="1690065016">
      <w:bodyDiv w:val="1"/>
      <w:marLeft w:val="0"/>
      <w:marRight w:val="0"/>
      <w:marTop w:val="0"/>
      <w:marBottom w:val="0"/>
      <w:divBdr>
        <w:top w:val="none" w:sz="0" w:space="0" w:color="auto"/>
        <w:left w:val="none" w:sz="0" w:space="0" w:color="auto"/>
        <w:bottom w:val="none" w:sz="0" w:space="0" w:color="auto"/>
        <w:right w:val="none" w:sz="0" w:space="0" w:color="auto"/>
      </w:divBdr>
    </w:div>
    <w:div w:id="1707176031">
      <w:bodyDiv w:val="1"/>
      <w:marLeft w:val="0"/>
      <w:marRight w:val="0"/>
      <w:marTop w:val="0"/>
      <w:marBottom w:val="0"/>
      <w:divBdr>
        <w:top w:val="none" w:sz="0" w:space="0" w:color="auto"/>
        <w:left w:val="none" w:sz="0" w:space="0" w:color="auto"/>
        <w:bottom w:val="none" w:sz="0" w:space="0" w:color="auto"/>
        <w:right w:val="none" w:sz="0" w:space="0" w:color="auto"/>
      </w:divBdr>
    </w:div>
    <w:div w:id="1818836551">
      <w:bodyDiv w:val="1"/>
      <w:marLeft w:val="0"/>
      <w:marRight w:val="0"/>
      <w:marTop w:val="0"/>
      <w:marBottom w:val="0"/>
      <w:divBdr>
        <w:top w:val="none" w:sz="0" w:space="0" w:color="auto"/>
        <w:left w:val="none" w:sz="0" w:space="0" w:color="auto"/>
        <w:bottom w:val="none" w:sz="0" w:space="0" w:color="auto"/>
        <w:right w:val="none" w:sz="0" w:space="0" w:color="auto"/>
      </w:divBdr>
    </w:div>
    <w:div w:id="1835877707">
      <w:bodyDiv w:val="1"/>
      <w:marLeft w:val="0"/>
      <w:marRight w:val="0"/>
      <w:marTop w:val="0"/>
      <w:marBottom w:val="0"/>
      <w:divBdr>
        <w:top w:val="none" w:sz="0" w:space="0" w:color="auto"/>
        <w:left w:val="none" w:sz="0" w:space="0" w:color="auto"/>
        <w:bottom w:val="none" w:sz="0" w:space="0" w:color="auto"/>
        <w:right w:val="none" w:sz="0" w:space="0" w:color="auto"/>
      </w:divBdr>
    </w:div>
    <w:div w:id="1837839022">
      <w:bodyDiv w:val="1"/>
      <w:marLeft w:val="0"/>
      <w:marRight w:val="0"/>
      <w:marTop w:val="0"/>
      <w:marBottom w:val="0"/>
      <w:divBdr>
        <w:top w:val="none" w:sz="0" w:space="0" w:color="auto"/>
        <w:left w:val="none" w:sz="0" w:space="0" w:color="auto"/>
        <w:bottom w:val="none" w:sz="0" w:space="0" w:color="auto"/>
        <w:right w:val="none" w:sz="0" w:space="0" w:color="auto"/>
      </w:divBdr>
    </w:div>
    <w:div w:id="1853494260">
      <w:bodyDiv w:val="1"/>
      <w:marLeft w:val="0"/>
      <w:marRight w:val="0"/>
      <w:marTop w:val="0"/>
      <w:marBottom w:val="0"/>
      <w:divBdr>
        <w:top w:val="none" w:sz="0" w:space="0" w:color="auto"/>
        <w:left w:val="none" w:sz="0" w:space="0" w:color="auto"/>
        <w:bottom w:val="none" w:sz="0" w:space="0" w:color="auto"/>
        <w:right w:val="none" w:sz="0" w:space="0" w:color="auto"/>
      </w:divBdr>
    </w:div>
    <w:div w:id="1873612424">
      <w:bodyDiv w:val="1"/>
      <w:marLeft w:val="0"/>
      <w:marRight w:val="0"/>
      <w:marTop w:val="0"/>
      <w:marBottom w:val="0"/>
      <w:divBdr>
        <w:top w:val="none" w:sz="0" w:space="0" w:color="auto"/>
        <w:left w:val="none" w:sz="0" w:space="0" w:color="auto"/>
        <w:bottom w:val="none" w:sz="0" w:space="0" w:color="auto"/>
        <w:right w:val="none" w:sz="0" w:space="0" w:color="auto"/>
      </w:divBdr>
    </w:div>
    <w:div w:id="1886212912">
      <w:bodyDiv w:val="1"/>
      <w:marLeft w:val="0"/>
      <w:marRight w:val="0"/>
      <w:marTop w:val="0"/>
      <w:marBottom w:val="0"/>
      <w:divBdr>
        <w:top w:val="none" w:sz="0" w:space="0" w:color="auto"/>
        <w:left w:val="none" w:sz="0" w:space="0" w:color="auto"/>
        <w:bottom w:val="none" w:sz="0" w:space="0" w:color="auto"/>
        <w:right w:val="none" w:sz="0" w:space="0" w:color="auto"/>
      </w:divBdr>
    </w:div>
    <w:div w:id="1894460530">
      <w:bodyDiv w:val="1"/>
      <w:marLeft w:val="0"/>
      <w:marRight w:val="0"/>
      <w:marTop w:val="0"/>
      <w:marBottom w:val="0"/>
      <w:divBdr>
        <w:top w:val="none" w:sz="0" w:space="0" w:color="auto"/>
        <w:left w:val="none" w:sz="0" w:space="0" w:color="auto"/>
        <w:bottom w:val="none" w:sz="0" w:space="0" w:color="auto"/>
        <w:right w:val="none" w:sz="0" w:space="0" w:color="auto"/>
      </w:divBdr>
    </w:div>
    <w:div w:id="1938319884">
      <w:bodyDiv w:val="1"/>
      <w:marLeft w:val="0"/>
      <w:marRight w:val="0"/>
      <w:marTop w:val="0"/>
      <w:marBottom w:val="0"/>
      <w:divBdr>
        <w:top w:val="none" w:sz="0" w:space="0" w:color="auto"/>
        <w:left w:val="none" w:sz="0" w:space="0" w:color="auto"/>
        <w:bottom w:val="none" w:sz="0" w:space="0" w:color="auto"/>
        <w:right w:val="none" w:sz="0" w:space="0" w:color="auto"/>
      </w:divBdr>
    </w:div>
    <w:div w:id="1973902353">
      <w:bodyDiv w:val="1"/>
      <w:marLeft w:val="0"/>
      <w:marRight w:val="0"/>
      <w:marTop w:val="0"/>
      <w:marBottom w:val="0"/>
      <w:divBdr>
        <w:top w:val="none" w:sz="0" w:space="0" w:color="auto"/>
        <w:left w:val="none" w:sz="0" w:space="0" w:color="auto"/>
        <w:bottom w:val="none" w:sz="0" w:space="0" w:color="auto"/>
        <w:right w:val="none" w:sz="0" w:space="0" w:color="auto"/>
      </w:divBdr>
    </w:div>
    <w:div w:id="2009164748">
      <w:bodyDiv w:val="1"/>
      <w:marLeft w:val="0"/>
      <w:marRight w:val="0"/>
      <w:marTop w:val="0"/>
      <w:marBottom w:val="0"/>
      <w:divBdr>
        <w:top w:val="none" w:sz="0" w:space="0" w:color="auto"/>
        <w:left w:val="none" w:sz="0" w:space="0" w:color="auto"/>
        <w:bottom w:val="none" w:sz="0" w:space="0" w:color="auto"/>
        <w:right w:val="none" w:sz="0" w:space="0" w:color="auto"/>
      </w:divBdr>
    </w:div>
    <w:div w:id="2038922487">
      <w:bodyDiv w:val="1"/>
      <w:marLeft w:val="0"/>
      <w:marRight w:val="0"/>
      <w:marTop w:val="0"/>
      <w:marBottom w:val="0"/>
      <w:divBdr>
        <w:top w:val="none" w:sz="0" w:space="0" w:color="auto"/>
        <w:left w:val="none" w:sz="0" w:space="0" w:color="auto"/>
        <w:bottom w:val="none" w:sz="0" w:space="0" w:color="auto"/>
        <w:right w:val="none" w:sz="0" w:space="0" w:color="auto"/>
      </w:divBdr>
    </w:div>
    <w:div w:id="2042391284">
      <w:bodyDiv w:val="1"/>
      <w:marLeft w:val="0"/>
      <w:marRight w:val="0"/>
      <w:marTop w:val="0"/>
      <w:marBottom w:val="0"/>
      <w:divBdr>
        <w:top w:val="none" w:sz="0" w:space="0" w:color="auto"/>
        <w:left w:val="none" w:sz="0" w:space="0" w:color="auto"/>
        <w:bottom w:val="none" w:sz="0" w:space="0" w:color="auto"/>
        <w:right w:val="none" w:sz="0" w:space="0" w:color="auto"/>
      </w:divBdr>
      <w:divsChild>
        <w:div w:id="1705444238">
          <w:marLeft w:val="225"/>
          <w:marRight w:val="225"/>
          <w:marTop w:val="225"/>
          <w:marBottom w:val="0"/>
          <w:divBdr>
            <w:top w:val="none" w:sz="0" w:space="0" w:color="auto"/>
            <w:left w:val="none" w:sz="0" w:space="0" w:color="auto"/>
            <w:bottom w:val="none" w:sz="0" w:space="0" w:color="auto"/>
            <w:right w:val="none" w:sz="0" w:space="0" w:color="auto"/>
          </w:divBdr>
          <w:divsChild>
            <w:div w:id="661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903">
      <w:bodyDiv w:val="1"/>
      <w:marLeft w:val="0"/>
      <w:marRight w:val="0"/>
      <w:marTop w:val="0"/>
      <w:marBottom w:val="0"/>
      <w:divBdr>
        <w:top w:val="none" w:sz="0" w:space="0" w:color="auto"/>
        <w:left w:val="none" w:sz="0" w:space="0" w:color="auto"/>
        <w:bottom w:val="none" w:sz="0" w:space="0" w:color="auto"/>
        <w:right w:val="none" w:sz="0" w:space="0" w:color="auto"/>
      </w:divBdr>
    </w:div>
    <w:div w:id="2098549185">
      <w:bodyDiv w:val="1"/>
      <w:marLeft w:val="0"/>
      <w:marRight w:val="0"/>
      <w:marTop w:val="0"/>
      <w:marBottom w:val="0"/>
      <w:divBdr>
        <w:top w:val="none" w:sz="0" w:space="0" w:color="auto"/>
        <w:left w:val="none" w:sz="0" w:space="0" w:color="auto"/>
        <w:bottom w:val="none" w:sz="0" w:space="0" w:color="auto"/>
        <w:right w:val="none" w:sz="0" w:space="0" w:color="auto"/>
      </w:divBdr>
    </w:div>
    <w:div w:id="210036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34"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20Kingsmill\AppData\Roaming\Microsoft\Templates\Vivid\Short%20Report%20v2.7.dotm" TargetMode="External"/></Relationships>
</file>

<file path=word/theme/theme1.xml><?xml version="1.0" encoding="utf-8"?>
<a:theme xmlns:a="http://schemas.openxmlformats.org/drawingml/2006/main" name="FM Primary">
  <a:themeElements>
    <a:clrScheme name="vivid charts">
      <a:dk1>
        <a:sysClr val="windowText" lastClr="000000"/>
      </a:dk1>
      <a:lt1>
        <a:sysClr val="window" lastClr="FFFFFF"/>
      </a:lt1>
      <a:dk2>
        <a:srgbClr val="FDC692"/>
      </a:dk2>
      <a:lt2>
        <a:srgbClr val="ABE1FA"/>
      </a:lt2>
      <a:accent1>
        <a:srgbClr val="569497"/>
      </a:accent1>
      <a:accent2>
        <a:srgbClr val="9FD18B"/>
      </a:accent2>
      <a:accent3>
        <a:srgbClr val="FFDB74"/>
      </a:accent3>
      <a:accent4>
        <a:srgbClr val="F7955B"/>
      </a:accent4>
      <a:accent5>
        <a:srgbClr val="20C4F4"/>
      </a:accent5>
      <a:accent6>
        <a:srgbClr val="76AEB9"/>
      </a:accent6>
      <a:hlink>
        <a:srgbClr val="DDE5B5"/>
      </a:hlink>
      <a:folHlink>
        <a:srgbClr val="DFC76F"/>
      </a:folHlink>
    </a:clrScheme>
    <a:fontScheme name="FreshMinds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noAutofit/>
      </a:bodyPr>
      <a:lstStyle>
        <a:defPPr>
          <a:defRPr sz="1000" dirty="0">
            <a:latin typeface="Arial" pitchFamily="34" charset="0"/>
            <a:cs typeface="Arial" pitchFamily="34"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BD2C4435B2743B5E1D40314295FD4" ma:contentTypeVersion="4" ma:contentTypeDescription="Create a new document." ma:contentTypeScope="" ma:versionID="ee20a651b1a4b4a2bbd2636f894858e6">
  <xsd:schema xmlns:xsd="http://www.w3.org/2001/XMLSchema" xmlns:xs="http://www.w3.org/2001/XMLSchema" xmlns:p="http://schemas.microsoft.com/office/2006/metadata/properties" xmlns:ns2="c77e92fc-4c8f-484b-a144-1d1f640dfa12" targetNamespace="http://schemas.microsoft.com/office/2006/metadata/properties" ma:root="true" ma:fieldsID="bbd4636f41d48f6175535255f2371d6c" ns2:_="">
    <xsd:import namespace="c77e92fc-4c8f-484b-a144-1d1f640dfa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e92fc-4c8f-484b-a144-1d1f640dfa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Vivar</b:Tag>
    <b:SourceType>Report</b:SourceType>
    <b:Guid>{130AFB3E-CC4B-43E9-9331-4A6B353EF02A}</b:Guid>
    <b:Author>
      <b:Author>
        <b:NameList>
          <b:Person>
            <b:Last>Economics</b:Last>
            <b:First>Vivid</b:First>
          </b:Person>
        </b:NameList>
      </b:Author>
    </b:Author>
    <b:Title>Type report name here in Italics</b:Title>
    <b:Year>[Month] [Year]</b:Year>
    <b:City>report prepared for</b:City>
    <b:Publisher>[Type client name here]</b:Publisher>
    <b:RefOrder>1</b:RefOrder>
  </b:Source>
</b:Sources>
</file>

<file path=customXml/itemProps1.xml><?xml version="1.0" encoding="utf-8"?>
<ds:datastoreItem xmlns:ds="http://schemas.openxmlformats.org/officeDocument/2006/customXml" ds:itemID="{FBEBA692-B097-4D4E-8107-E3BE189DF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e92fc-4c8f-484b-a144-1d1f640df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ADA7B-031C-4D4D-A4B9-CD62A8318DCA}">
  <ds:schemaRefs>
    <ds:schemaRef ds:uri="http://schemas.microsoft.com/sharepoint/v3/contenttype/forms"/>
  </ds:schemaRefs>
</ds:datastoreItem>
</file>

<file path=customXml/itemProps3.xml><?xml version="1.0" encoding="utf-8"?>
<ds:datastoreItem xmlns:ds="http://schemas.openxmlformats.org/officeDocument/2006/customXml" ds:itemID="{CAEEF3BD-6A35-4FC4-A450-5D49985D9495}">
  <ds:schemaRef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c77e92fc-4c8f-484b-a144-1d1f640dfa12"/>
    <ds:schemaRef ds:uri="http://purl.org/dc/terms/"/>
    <ds:schemaRef ds:uri="http://purl.org/dc/elements/1.1/"/>
  </ds:schemaRefs>
</ds:datastoreItem>
</file>

<file path=customXml/itemProps4.xml><?xml version="1.0" encoding="utf-8"?>
<ds:datastoreItem xmlns:ds="http://schemas.openxmlformats.org/officeDocument/2006/customXml" ds:itemID="{D52154A0-945B-446B-B8C5-A5159B91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Report v2.7</Template>
  <TotalTime>319</TotalTime>
  <Pages>64</Pages>
  <Words>12393</Words>
  <Characters>62838</Characters>
  <Application>Microsoft Office Word</Application>
  <DocSecurity>0</DocSecurity>
  <Lines>4005</Lines>
  <Paragraphs>3065</Paragraphs>
  <ScaleCrop>false</ScaleCrop>
  <HeadingPairs>
    <vt:vector size="2" baseType="variant">
      <vt:variant>
        <vt:lpstr>Title</vt:lpstr>
      </vt:variant>
      <vt:variant>
        <vt:i4>1</vt:i4>
      </vt:variant>
    </vt:vector>
  </HeadingPairs>
  <TitlesOfParts>
    <vt:vector size="1" baseType="lpstr">
      <vt:lpstr>Eskander Fankhauser Setzer</vt:lpstr>
    </vt:vector>
  </TitlesOfParts>
  <Company>Vivid Economics</Company>
  <LinksUpToDate>false</LinksUpToDate>
  <CharactersWithSpaces>72292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Eskander Fankhauser Setzer</dc:title>
  <dc:creator>S.Fankhauser@lse.ac.uk</dc:creator>
  <cp:lastModifiedBy>Reviewing Editor</cp:lastModifiedBy>
  <cp:revision>152</cp:revision>
  <cp:lastPrinted>2020-05-07T08:36:00Z</cp:lastPrinted>
  <dcterms:created xsi:type="dcterms:W3CDTF">2020-05-20T07:33:00Z</dcterms:created>
  <dcterms:modified xsi:type="dcterms:W3CDTF">2020-09-14T05:16:00Z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0x010100FC3BD2C4435B2743B5E1D40314295FD4</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3c05a27a-c60a-3212-8541-c2bd6d6c3b7c</vt:lpwstr>
  </property>
  <property fmtid="{D5CDD505-2E9C-101B-9397-08002B2CF9AE}" pid="25" name="Mendeley Recent Style Name 5_1">
    <vt:lpwstr>Harvard Reference format 1 (author-date)</vt:lpwstr>
  </property>
</Properties>
</file>