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3" w:name="insights-module-technical-documentation"/>
    <w:p>
      <w:pPr>
        <w:pStyle w:val="Heading1"/>
      </w:pPr>
      <w:r>
        <w:t xml:space="preserve">Insights Module — Technical Documentation</w:t>
      </w:r>
    </w:p>
    <w:p>
      <w:pPr>
        <w:pStyle w:val="FirstParagraph"/>
      </w:pPr>
      <w:r>
        <w:rPr>
          <w:b/>
          <w:bCs/>
        </w:rPr>
        <w:t xml:space="preserve">ARR Due Diligence · OBIWAN</w:t>
      </w:r>
      <w:r>
        <w:t xml:space="preserve"> </w:t>
      </w:r>
      <w:r>
        <w:t xml:space="preserve">— Ex-ante screening for Afforestation, Reforestation and Revegetation (ARR) carbon projects.</w:t>
      </w:r>
    </w:p>
    <w:p>
      <w:pPr>
        <w:pStyle w:val="BodyText"/>
      </w:pPr>
      <w:r>
        <w:t xml:space="preserve">Powered by Hansen Global Forest Change, NASA GEDI biomass, and a VM0047-aligned quantification engine.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" w:name="notice-to-all-users"/>
      <w:r>
        <w:t xml:space="preserve">⚠️ Notice to all users</w:t>
      </w:r>
      <w:bookmarkEnd w:id="9"/>
    </w:p>
    <w:p>
      <w:pPr>
        <w:pStyle w:val="BlockText"/>
      </w:pPr>
      <w:r>
        <w:rPr>
          <w:b/>
          <w:bCs/>
        </w:rPr>
        <w:t xml:space="preserve">This tool is a preliminary screening instrument.</w:t>
      </w:r>
      <w:r>
        <w:t xml:space="preserve"> </w:t>
      </w:r>
      <w:r>
        <w:t xml:space="preserve">It is designed to be run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a</w:t>
      </w:r>
      <w:r>
        <w:t xml:space="preserve"> </w:t>
      </w:r>
      <w:r>
        <w:t xml:space="preserve">complete pre-feasibility analysis, not in place of one. Its outputs identify and rank</w:t>
      </w:r>
      <w:r>
        <w:t xml:space="preserve"> </w:t>
      </w:r>
      <w:r>
        <w:t xml:space="preserve">candidate areas and give order-of-magnitude carbon and credit estimates so that scarce</w:t>
      </w:r>
      <w:r>
        <w:t xml:space="preserve"> </w:t>
      </w:r>
      <w:r>
        <w:t xml:space="preserve">field and modelling budgets can be pointed at the right sites.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validated</w:t>
      </w:r>
      <w:r>
        <w:t xml:space="preserve"> </w:t>
      </w:r>
      <w:r>
        <w:t xml:space="preserve">quantification, a Project Design Document (PDD), or a substitute for site-level</w:t>
      </w:r>
      <w:r>
        <w:t xml:space="preserve"> </w:t>
      </w:r>
      <w:r>
        <w:t xml:space="preserve">measurement or assessment by a validation and verification body (VVB). Every figure it</w:t>
      </w:r>
      <w:r>
        <w:t xml:space="preserve"> </w:t>
      </w:r>
      <w:r>
        <w:t xml:space="preserve">produces carries a provenance label indicating how much local measurement stands behind</w:t>
      </w:r>
      <w:r>
        <w:t xml:space="preserve"> </w:t>
      </w:r>
      <w:r>
        <w:t xml:space="preserve">it; read that label before quoting any number.</w:t>
      </w:r>
    </w:p>
    <w:p>
      <w:r>
        <w:pict>
          <v:rect style="width:0;height:1.5pt" o:hralign="center" o:hrstd="t" o:hr="t"/>
        </w:pict>
      </w:r>
    </w:p>
    <w:bookmarkStart w:id="16" w:name="Xa15c171f9b4c5eecf0a9d34409e92670acd4598"/>
    <w:p>
      <w:pPr>
        <w:pStyle w:val="Heading2"/>
      </w:pPr>
      <w:r>
        <w:t xml:space="preserve">Section 1 — Theoretical Foundation &amp; Geospatial Data Integration</w:t>
      </w:r>
    </w:p>
    <w:p>
      <w:pPr>
        <w:pStyle w:val="FirstParagraph"/>
      </w:pPr>
      <w:r>
        <w:t xml:space="preserve">The module’s central design principle is that</w:t>
      </w:r>
      <w:r>
        <w:t xml:space="preserve"> </w:t>
      </w:r>
      <w:r>
        <w:rPr>
          <w:b/>
          <w:bCs/>
        </w:rPr>
        <w:t xml:space="preserve">statistics are disciplined by geography</w:t>
      </w:r>
      <w:r>
        <w:t xml:space="preserve">.</w:t>
      </w:r>
      <w:r>
        <w:t xml:space="preserve"> </w:t>
      </w:r>
      <w:r>
        <w:t xml:space="preserve">Rather than projecting an idealised growth curve in isolation, every quantitative estimate</w:t>
      </w:r>
      <w:r>
        <w:t xml:space="preserve"> </w:t>
      </w:r>
      <w:r>
        <w:t xml:space="preserve">is bounded by what two authoritative Earth-observation datasets actually record about the</w:t>
      </w:r>
      <w:r>
        <w:t xml:space="preserve"> </w:t>
      </w:r>
      <w:r>
        <w:t xml:space="preserve">project’s own landscape. Two datasets do the constraining:</w:t>
      </w:r>
      <w:r>
        <w:t xml:space="preserve"> </w:t>
      </w:r>
      <w:r>
        <w:rPr>
          <w:b/>
          <w:bCs/>
        </w:rPr>
        <w:t xml:space="preserve">Hansen Global Forest Change</w:t>
      </w:r>
      <w:r>
        <w:t xml:space="preserve"> </w:t>
      </w:r>
      <w:r>
        <w:t xml:space="preserve">constrains</w:t>
      </w:r>
      <w:r>
        <w:t xml:space="preserve"> </w:t>
      </w:r>
      <w:r>
        <w:rPr>
          <w:i/>
          <w:iCs/>
        </w:rPr>
        <w:t xml:space="preserve">where</w:t>
      </w:r>
      <w:r>
        <w:t xml:space="preserve"> </w:t>
      </w:r>
      <w:r>
        <w:t xml:space="preserve">an intervention is eligible, and</w:t>
      </w:r>
      <w:r>
        <w:t xml:space="preserve"> </w:t>
      </w:r>
      <w:r>
        <w:rPr>
          <w:b/>
          <w:bCs/>
        </w:rPr>
        <w:t xml:space="preserve">NASA GEDI</w:t>
      </w:r>
      <w:r>
        <w:t xml:space="preserve"> </w:t>
      </w:r>
      <w:r>
        <w:t xml:space="preserve">constrains</w:t>
      </w:r>
      <w:r>
        <w:t xml:space="preserve"> </w:t>
      </w:r>
      <w:r>
        <w:rPr>
          <w:i/>
          <w:iCs/>
        </w:rPr>
        <w:t xml:space="preserve">how much</w:t>
      </w:r>
      <w:r>
        <w:t xml:space="preserve"> </w:t>
      </w:r>
      <w:r>
        <w:t xml:space="preserve">carbon that intervention can plausibly accumulate.</w:t>
      </w:r>
    </w:p>
    <w:bookmarkStart w:id="10" w:name="Xe162d61619fe740e4a32294e8854608f22a1408"/>
    <w:p>
      <w:pPr>
        <w:pStyle w:val="Heading3"/>
      </w:pPr>
      <w:r>
        <w:t xml:space="preserve">1.1 Hansen Global Forest Change integration — isolating eligible land</w:t>
      </w:r>
    </w:p>
    <w:p>
      <w:pPr>
        <w:pStyle w:val="FirstParagraph"/>
      </w:pPr>
      <w:r>
        <w:t xml:space="preserve">The tool uses the Hansen Global Forest Change (GFC) product (default source</w:t>
      </w:r>
      <w:r>
        <w:t xml:space="preserve"> </w:t>
      </w:r>
      <w:r>
        <w:rPr>
          <w:rStyle w:val="VerbatimChar"/>
        </w:rPr>
        <w:t xml:space="preserve">UMD/hansen/global_forest_change_2025_v1_13</w:t>
      </w:r>
      <w:r>
        <w:t xml:space="preserve">, 30 m resolution) as its</w:t>
      </w:r>
      <w:r>
        <w:t xml:space="preserve"> </w:t>
      </w:r>
      <w:r>
        <w:rPr>
          <w:b/>
          <w:bCs/>
        </w:rPr>
        <w:t xml:space="preserve">single, global</w:t>
      </w:r>
      <w:r>
        <w:rPr>
          <w:b/>
          <w:bCs/>
        </w:rPr>
        <w:t xml:space="preserve"> </w:t>
      </w:r>
      <w:r>
        <w:rPr>
          <w:b/>
          <w:bCs/>
        </w:rPr>
        <w:t xml:space="preserve">forest-change source</w:t>
      </w:r>
      <w:r>
        <w:t xml:space="preserve">. Restricting to one product is deliberate: it makes the</w:t>
      </w:r>
      <w:r>
        <w:t xml:space="preserve"> </w:t>
      </w:r>
      <w:r>
        <w:t xml:space="preserve">classification reproducible and directly comparable from one country to the next, with no</w:t>
      </w:r>
      <w:r>
        <w:t xml:space="preserve"> </w:t>
      </w:r>
      <w:r>
        <w:t xml:space="preserve">dependence on national land-cover layers that vary in quality and availability.</w:t>
      </w:r>
    </w:p>
    <w:p>
      <w:pPr>
        <w:pStyle w:val="BodyText"/>
      </w:pPr>
      <w:r>
        <w:t xml:space="preserve">For a user-defined analysis window (</w:t>
      </w:r>
      <w:r>
        <w:rPr>
          <w:rStyle w:val="VerbatimChar"/>
        </w:rPr>
        <w:t xml:space="preserve">T_start → T0</w:t>
      </w:r>
      <w:r>
        <w:t xml:space="preserve">), each 30 m pixel is assigned to one of</w:t>
      </w:r>
      <w:r>
        <w:t xml:space="preserve"> </w:t>
      </w:r>
      <w:r>
        <w:t xml:space="preserve">four transition classes by a strict decision tree evaluated server-side in Google Earth</w:t>
      </w:r>
      <w:r>
        <w:t xml:space="preserve"> </w:t>
      </w:r>
      <w:r>
        <w:t xml:space="preserve">Engine: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56"/>
        <w:gridCol w:w="1232"/>
        <w:gridCol w:w="2112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Role in the screen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Stable forest</w:t>
            </w:r>
          </w:p>
        </w:tc>
        <w:tc>
          <w:tcPr/>
          <w:p>
            <w:pPr>
              <w:pStyle w:val="Compact"/>
            </w:pPr>
            <w:r>
              <w:t xml:space="preserve">Forest in 2000, still forest at T0</w:t>
            </w:r>
          </w:p>
        </w:tc>
        <w:tc>
          <w:tcPr/>
          <w:p>
            <w:pPr>
              <w:pStyle w:val="Compact"/>
            </w:pPr>
            <w:r>
              <w:t xml:space="preserve">Ceiling reference (Section 1.2)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Stable non-forest</w:t>
            </w:r>
          </w:p>
        </w:tc>
        <w:tc>
          <w:tcPr/>
          <w:p>
            <w:pPr>
              <w:pStyle w:val="Compact"/>
            </w:pPr>
            <w:r>
              <w:t xml:space="preserve">Non-forest throughout the window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Forest loss</w:t>
            </w:r>
          </w:p>
        </w:tc>
        <w:tc>
          <w:tcPr/>
          <w:p>
            <w:pPr>
              <w:pStyle w:val="Compact"/>
            </w:pPr>
            <w:r>
              <w:t xml:space="preserve">Forest at T_start, cleared within the window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Forest gain</w:t>
            </w:r>
          </w:p>
        </w:tc>
        <w:tc>
          <w:tcPr/>
          <w:p>
            <w:pPr>
              <w:pStyle w:val="Compact"/>
            </w:pPr>
            <w:r>
              <w:t xml:space="preserve">Non-forest that regenerated to forest</w:t>
            </w:r>
          </w:p>
        </w:tc>
        <w:tc>
          <w:tcPr/>
          <w:p>
            <w:pPr>
              <w:pStyle w:val="Compact"/>
            </w:pPr>
            <w:r>
              <w:t xml:space="preserve">Regeneration calibration only</w:t>
            </w:r>
          </w:p>
        </w:tc>
      </w:tr>
    </w:tbl>
    <w:p>
      <w:pPr>
        <w:pStyle w:val="BodyText"/>
      </w:pPr>
      <w:r>
        <w:t xml:space="preserve">“Forest”</w:t>
      </w:r>
      <w:r>
        <w:t xml:space="preserve"> </w:t>
      </w:r>
      <w:r>
        <w:t xml:space="preserve">is defined by a user-set</w:t>
      </w:r>
      <w:r>
        <w:t xml:space="preserve"> </w:t>
      </w:r>
      <w:r>
        <w:rPr>
          <w:b/>
          <w:bCs/>
        </w:rPr>
        <w:t xml:space="preserve">canopy-cover threshold</w:t>
      </w:r>
      <w:r>
        <w:t xml:space="preserve"> </w:t>
      </w:r>
      <w:r>
        <w:t xml:space="preserve">on the year-2000 baseline</w:t>
      </w:r>
      <w:r>
        <w:t xml:space="preserve"> </w:t>
      </w:r>
      <w:r>
        <w:t xml:space="preserve">(</w:t>
      </w:r>
      <w:r>
        <w:rPr>
          <w:rStyle w:val="VerbatimChar"/>
        </w:rPr>
        <w:t xml:space="preserve">treecover2000</w:t>
      </w:r>
      <w:r>
        <w:t xml:space="preserve">, default 25%). Loss is dated by the</w:t>
      </w:r>
      <w:r>
        <w:t xml:space="preserve"> </w:t>
      </w:r>
      <w:r>
        <w:rPr>
          <w:rStyle w:val="VerbatimChar"/>
        </w:rPr>
        <w:t xml:space="preserve">lossyear</w:t>
      </w:r>
      <w:r>
        <w:t xml:space="preserve"> </w:t>
      </w:r>
      <w:r>
        <w:t xml:space="preserve">band and restricted to the</w:t>
      </w:r>
      <w:r>
        <w:t xml:space="preserve"> </w:t>
      </w:r>
      <w:r>
        <w:t xml:space="preserve">analysis window; a pixel is</w:t>
      </w:r>
      <w:r>
        <w:t xml:space="preserve"> </w:t>
      </w:r>
      <w:r>
        <w:t xml:space="preserve">“forest at T_start”</w:t>
      </w:r>
      <w:r>
        <w:t xml:space="preserve"> </w:t>
      </w:r>
      <w:r>
        <w:t xml:space="preserve">only if it was forest in 2000 and had not</w:t>
      </w:r>
      <w:r>
        <w:t xml:space="preserve"> </w:t>
      </w:r>
      <w:r>
        <w:t xml:space="preserve">already been lost by T_start.</w:t>
      </w:r>
    </w:p>
    <w:p>
      <w:pPr>
        <w:pStyle w:val="BodyText"/>
      </w:pPr>
      <w:r>
        <w:rPr>
          <w:b/>
          <w:bCs/>
        </w:rPr>
        <w:t xml:space="preserve">Isolation of the two plantable classes.</w:t>
      </w:r>
      <w:r>
        <w:t xml:space="preserve"> </w:t>
      </w:r>
      <w:r>
        <w:t xml:space="preserve">ARR activities can only be credited on land</w:t>
      </w:r>
      <w:r>
        <w:t xml:space="preserve"> </w:t>
      </w:r>
      <w:r>
        <w:t xml:space="preserve">that is genuinely non-forest at the project start. The module therefore treats</w:t>
      </w:r>
      <w:r>
        <w:t xml:space="preserve"> </w:t>
      </w:r>
      <w:r>
        <w:rPr>
          <w:b/>
          <w:bCs/>
        </w:rPr>
        <w:t xml:space="preserve">only</w:t>
      </w:r>
      <w:r>
        <w:rPr>
          <w:b/>
          <w:bCs/>
        </w:rPr>
        <w:t xml:space="preserve"> </w:t>
      </w:r>
      <w:r>
        <w:rPr>
          <w:b/>
          <w:bCs/>
        </w:rPr>
        <w:t xml:space="preserve">classes 22 (Stable non-forest) and 12 (Forest loss)</w:t>
      </w:r>
      <w:r>
        <w:t xml:space="preserve"> </w:t>
      </w:r>
      <w:r>
        <w:t xml:space="preserve">as candidate project area: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Stable non-forest (22)</w:t>
      </w:r>
      <w:r>
        <w:t xml:space="preserve"> </w:t>
      </w:r>
      <w:r>
        <w:t xml:space="preserve">— land that has carried little or no tree cover throughout the</w:t>
      </w:r>
      <w:r>
        <w:t xml:space="preserve"> </w:t>
      </w:r>
      <w:r>
        <w:t xml:space="preserve">window. This is the classic ARR opportunity: degraded pasture, abandoned cropland, open</w:t>
      </w:r>
      <w:r>
        <w:t xml:space="preserve"> </w:t>
      </w:r>
      <w:r>
        <w:t xml:space="preserve">scrub available for planting or assisted regeneration.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Forest loss (12)</w:t>
      </w:r>
      <w:r>
        <w:t xml:space="preserve"> </w:t>
      </w:r>
      <w:r>
        <w:t xml:space="preserve">— land deforested within the window and not yet recovered. It is a</w:t>
      </w:r>
      <w:r>
        <w:t xml:space="preserve"> </w:t>
      </w:r>
      <w:r>
        <w:t xml:space="preserve">restoration opportunity, though the cause of loss (which Hansen does not distinguish, see</w:t>
      </w:r>
      <w:r>
        <w:t xml:space="preserve"> </w:t>
      </w:r>
      <w:r>
        <w:t xml:space="preserve">Section 4) should be understood before committing.</w:t>
      </w:r>
    </w:p>
    <w:p>
      <w:pPr>
        <w:pStyle w:val="FirstParagraph"/>
      </w:pPr>
      <w:r>
        <w:t xml:space="preserve">Classes</w:t>
      </w:r>
      <w:r>
        <w:t xml:space="preserve"> </w:t>
      </w:r>
      <w:r>
        <w:rPr>
          <w:b/>
          <w:bCs/>
        </w:rPr>
        <w:t xml:space="preserve">11 (Stable forest)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21 (Forest gain)</w:t>
      </w:r>
      <w:r>
        <w:t xml:space="preserve"> </w:t>
      </w:r>
      <w:r>
        <w:t xml:space="preserve">are</w:t>
      </w:r>
      <w:r>
        <w:t xml:space="preserve"> </w:t>
      </w:r>
      <w:r>
        <w:rPr>
          <w:i/>
          <w:iCs/>
        </w:rPr>
        <w:t xml:space="preserve">never</w:t>
      </w:r>
      <w:r>
        <w:t xml:space="preserve"> </w:t>
      </w:r>
      <w:r>
        <w:t xml:space="preserve">offered as project area</w:t>
      </w:r>
      <w:r>
        <w:t xml:space="preserve"> </w:t>
      </w:r>
      <w:r>
        <w:t xml:space="preserve">in the interface. Stable forest is not ARR-eligible; it serves only as the carbon ceiling</w:t>
      </w:r>
      <w:r>
        <w:t xml:space="preserve"> </w:t>
      </w:r>
      <w:r>
        <w:t xml:space="preserve">reference. Forest gain is used only to calibrate the recovery rate of the growth curve.</w:t>
      </w:r>
    </w:p>
    <w:p>
      <w:pPr>
        <w:pStyle w:val="BlockText"/>
      </w:pPr>
      <w:r>
        <w:rPr>
          <w:b/>
          <w:bCs/>
        </w:rPr>
        <w:t xml:space="preserve">Hansen caveat (honest disclosure).</w:t>
      </w:r>
      <w:r>
        <w:t xml:space="preserve"> </w:t>
      </w:r>
      <w:r>
        <w:t xml:space="preserve">Hansen’s</w:t>
      </w:r>
      <w:r>
        <w:t xml:space="preserve"> </w:t>
      </w:r>
      <w:r>
        <w:rPr>
          <w:rStyle w:val="VerbatimChar"/>
        </w:rPr>
        <w:t xml:space="preserve">gain</w:t>
      </w:r>
      <w:r>
        <w:t xml:space="preserve"> </w:t>
      </w:r>
      <w:r>
        <w:t xml:space="preserve">band covers 2000–2012 only and</w:t>
      </w:r>
      <w:r>
        <w:t xml:space="preserve"> </w:t>
      </w:r>
      <w:r>
        <w:t xml:space="preserve">carries no year, so class 21 cannot be restricted to an arbitrary analysis window. The</w:t>
      </w:r>
      <w:r>
        <w:t xml:space="preserve"> </w:t>
      </w:r>
      <w:r>
        <w:t xml:space="preserve">module uses it</w:t>
      </w:r>
      <w:r>
        <w:t xml:space="preserve"> </w:t>
      </w:r>
      <w:r>
        <w:rPr>
          <w:i/>
          <w:iCs/>
        </w:rPr>
        <w:t xml:space="preserve">exclusively</w:t>
      </w:r>
      <w:r>
        <w:t xml:space="preserve"> </w:t>
      </w:r>
      <w:r>
        <w:t xml:space="preserve">to calibrate a regeneration rate, never as creditable area.</w:t>
      </w:r>
      <w:r>
        <w:t xml:space="preserve"> </w:t>
      </w:r>
      <w:r>
        <w:t xml:space="preserve">Separately, Hansen</w:t>
      </w:r>
      <w:r>
        <w:t xml:space="preserve"> </w:t>
      </w:r>
      <w:r>
        <w:t xml:space="preserve">“loss”</w:t>
      </w:r>
      <w:r>
        <w:t xml:space="preserve"> </w:t>
      </w:r>
      <w:r>
        <w:t xml:space="preserve">means stand-replacing canopy removal, which includes plantation</w:t>
      </w:r>
      <w:r>
        <w:t xml:space="preserve"> </w:t>
      </w:r>
      <w:r>
        <w:t xml:space="preserve">harvest and natural disturbance — it is a canopy-change signal, not a deforestation</w:t>
      </w:r>
      <w:r>
        <w:t xml:space="preserve"> </w:t>
      </w:r>
      <w:r>
        <w:t xml:space="preserve">figure.</w:t>
      </w:r>
    </w:p>
    <w:bookmarkEnd w:id="10"/>
    <w:bookmarkStart w:id="15" w:name="X60d68e5a29fb714a680526c56bc65999802ef3d"/>
    <w:p>
      <w:pPr>
        <w:pStyle w:val="Heading3"/>
      </w:pPr>
      <w:r>
        <w:t xml:space="preserve">1.2 GEDI biomass integration — the localised carbon ceiling</w:t>
      </w:r>
    </w:p>
    <w:p>
      <w:pPr>
        <w:pStyle w:val="FirstParagraph"/>
      </w:pPr>
      <w:r>
        <w:t xml:space="preserve">Where Hansen answers</w:t>
      </w:r>
      <w:r>
        <w:t xml:space="preserve"> </w:t>
      </w:r>
      <w:r>
        <w:rPr>
          <w:i/>
          <w:iCs/>
        </w:rPr>
        <w:t xml:space="preserve">where</w:t>
      </w:r>
      <w:r>
        <w:t xml:space="preserve">, NASA’s</w:t>
      </w:r>
      <w:r>
        <w:t xml:space="preserve"> </w:t>
      </w:r>
      <w:r>
        <w:rPr>
          <w:b/>
          <w:bCs/>
        </w:rPr>
        <w:t xml:space="preserve">GEDI</w:t>
      </w:r>
      <w:r>
        <w:t xml:space="preserve"> </w:t>
      </w:r>
      <w:r>
        <w:t xml:space="preserve">(Global Ecosystem Dynamics Investigation)</w:t>
      </w:r>
      <w:r>
        <w:t xml:space="preserve"> </w:t>
      </w:r>
      <w:r>
        <w:t xml:space="preserve">answers</w:t>
      </w:r>
      <w:r>
        <w:t xml:space="preserve"> </w:t>
      </w:r>
      <w:r>
        <w:rPr>
          <w:i/>
          <w:iCs/>
        </w:rPr>
        <w:t xml:space="preserve">how much</w:t>
      </w:r>
      <w:r>
        <w:t xml:space="preserve">. GEDI is a spaceborne LiDAR instrument that samples canopy structure and</w:t>
      </w:r>
      <w:r>
        <w:t xml:space="preserve"> </w:t>
      </w:r>
      <w:r>
        <w:t xml:space="preserve">returns</w:t>
      </w:r>
      <w:r>
        <w:t xml:space="preserve"> </w:t>
      </w:r>
      <w:r>
        <w:rPr>
          <w:b/>
          <w:bCs/>
        </w:rPr>
        <w:t xml:space="preserve">Above-Ground Biomass Density (AGBD)</w:t>
      </w:r>
      <w:r>
        <w:t xml:space="preserve"> </w:t>
      </w:r>
      <w:r>
        <w:t xml:space="preserve">at the footprint level (Level 4A product,</w:t>
      </w:r>
      <w:r>
        <w:t xml:space="preserve"> </w:t>
      </w:r>
      <w:r>
        <w:t xml:space="preserve">~25 m footprints). Critically, GEDI is a</w:t>
      </w:r>
      <w:r>
        <w:t xml:space="preserve"> </w:t>
      </w:r>
      <w:r>
        <w:rPr>
          <w:b/>
          <w:bCs/>
        </w:rPr>
        <w:t xml:space="preserve">statistical sample of the landscape, not a</w:t>
      </w:r>
      <w:r>
        <w:rPr>
          <w:b/>
          <w:bCs/>
        </w:rPr>
        <w:t xml:space="preserve"> </w:t>
      </w:r>
      <w:r>
        <w:rPr>
          <w:b/>
          <w:bCs/>
        </w:rPr>
        <w:t xml:space="preserve">wall-to-wall map</w:t>
      </w:r>
      <w:r>
        <w:t xml:space="preserve"> </w:t>
      </w:r>
      <w:r>
        <w:t xml:space="preserve">— and the module treats it as such.</w:t>
      </w:r>
    </w:p>
    <w:bookmarkStart w:id="11" w:name="X11fac98f491ea4e0e7392aca58b739fdb538d79"/>
    <w:p>
      <w:pPr>
        <w:pStyle w:val="Heading4"/>
      </w:pPr>
      <w:r>
        <w:t xml:space="preserve">Design-based estimation, not pixel arithmetic</w:t>
      </w:r>
    </w:p>
    <w:p>
      <w:pPr>
        <w:pStyle w:val="FirstParagraph"/>
      </w:pPr>
      <w:r>
        <w:t xml:space="preserve">Differencing two interpolated biomass maps confounds model error with real change and</w:t>
      </w:r>
      <w:r>
        <w:t xml:space="preserve"> </w:t>
      </w:r>
      <w:r>
        <w:t xml:space="preserve">yields no defensible uncertainty. Instead, the module treats the GEDI footprints falling</w:t>
      </w:r>
      <w:r>
        <w:t xml:space="preserve"> </w:t>
      </w:r>
      <w:r>
        <w:t xml:space="preserve">inside each transition class as a sample and computes a</w:t>
      </w:r>
      <w:r>
        <w:t xml:space="preserve"> </w:t>
      </w:r>
      <w:r>
        <w:rPr>
          <w:b/>
          <w:bCs/>
        </w:rPr>
        <w:t xml:space="preserve">design-based estimate</w:t>
      </w:r>
      <w:r>
        <w:t xml:space="preserve"> </w:t>
      </w:r>
      <w:r>
        <w:t xml:space="preserve">— a mean</w:t>
      </w:r>
      <w:r>
        <w:t xml:space="preserve"> </w:t>
      </w:r>
      <w:r>
        <w:t xml:space="preserve">AGBD with a</w:t>
      </w:r>
      <w:r>
        <w:t xml:space="preserve"> </w:t>
      </w:r>
      <w:r>
        <w:rPr>
          <w:b/>
          <w:bCs/>
        </w:rPr>
        <w:t xml:space="preserve">hybrid standard error</w:t>
      </w:r>
      <w:r>
        <w:t xml:space="preserve"> </w:t>
      </w:r>
      <w:r>
        <w:t xml:space="preserve">that combines the sampling variance of the mean with</w:t>
      </w:r>
      <w:r>
        <w:t xml:space="preserve"> </w:t>
      </w:r>
      <w:r>
        <w:t xml:space="preserve">GEDI’s own per-footprint model variance:</w:t>
      </w:r>
    </w:p>
    <w:p>
      <w:pPr>
        <w:pStyle w:val="SourceCode"/>
      </w:pPr>
      <w:r>
        <w:rPr>
          <w:rStyle w:val="VerbatimChar"/>
        </w:rPr>
        <w:t xml:space="preserve">ȳ      = mean(yᵢ)                 estimated mean AGBD for the stratum (Mg/ha)</w:t>
      </w:r>
      <w:r>
        <w:br/>
      </w:r>
      <w:r>
        <w:rPr>
          <w:rStyle w:val="VerbatimChar"/>
        </w:rPr>
        <w:t xml:space="preserve">v_samp = s² / n                   design-based sampling variance of the mean</w:t>
      </w:r>
      <w:r>
        <w:br/>
      </w:r>
      <w:r>
        <w:rPr>
          <w:rStyle w:val="VerbatimChar"/>
        </w:rPr>
        <w:t xml:space="preserve">v_pred = mean(uᵢ²) / n            GEDI model prediction-error contribution</w:t>
      </w:r>
      <w:r>
        <w:br/>
      </w:r>
      <w:r>
        <w:rPr>
          <w:rStyle w:val="VerbatimChar"/>
        </w:rPr>
        <w:t xml:space="preserve">SE     = √(v_samp + v_pred)       hybrid standard error</w:t>
      </w:r>
      <w:r>
        <w:br/>
      </w:r>
      <w:r>
        <w:rPr>
          <w:rStyle w:val="VerbatimChar"/>
        </w:rPr>
        <w:t xml:space="preserve">95% CI = ȳ ± 1.96 · SE</w:t>
      </w:r>
    </w:p>
    <w:p>
      <w:pPr>
        <w:pStyle w:val="FirstParagraph"/>
      </w:pPr>
      <w:r>
        <w:t xml:space="preserve">Every downstream figure inherits this uncertainty, which is why the interface shows a</w:t>
      </w:r>
      <w:r>
        <w:t xml:space="preserve"> </w:t>
      </w:r>
      <w:r>
        <w:t xml:space="preserve">confidence interval on essentially every biomass quantity.</w:t>
      </w:r>
    </w:p>
    <w:bookmarkEnd w:id="11"/>
    <w:bookmarkStart w:id="12" w:name="the-carbon-ceiling-carbon-equilibrium"/>
    <w:p>
      <w:pPr>
        <w:pStyle w:val="Heading4"/>
      </w:pPr>
      <w:r>
        <w:t xml:space="preserve">The carbon ceiling (</w:t>
      </w:r>
      <w:r>
        <w:t xml:space="preserve">“carbon equilibrium”</w:t>
      </w:r>
      <w:r>
        <w:t xml:space="preserve">)</w:t>
      </w:r>
    </w:p>
    <w:p>
      <w:pPr>
        <w:pStyle w:val="FirstParagraph"/>
      </w:pPr>
      <w:r>
        <w:t xml:space="preserve">The key ecological construct is the</w:t>
      </w:r>
      <w:r>
        <w:t xml:space="preserve"> </w:t>
      </w:r>
      <w:r>
        <w:rPr>
          <w:b/>
          <w:bCs/>
        </w:rPr>
        <w:t xml:space="preserve">carbon ceiling</w:t>
      </w:r>
      <w:r>
        <w:t xml:space="preserve">: the maximum above-ground biomass the</w:t>
      </w:r>
      <w:r>
        <w:t xml:space="preserve"> </w:t>
      </w:r>
      <w:r>
        <w:t xml:space="preserve">project land can realistically sustain, estimated from the</w:t>
      </w:r>
      <w:r>
        <w:t xml:space="preserve"> </w:t>
      </w:r>
      <w:r>
        <w:rPr>
          <w:b/>
          <w:bCs/>
        </w:rPr>
        <w:t xml:space="preserve">mean AGBD of the surrounding</w:t>
      </w:r>
      <w:r>
        <w:rPr>
          <w:b/>
          <w:bCs/>
        </w:rPr>
        <w:t xml:space="preserve"> </w:t>
      </w:r>
      <w:r>
        <w:rPr>
          <w:b/>
          <w:bCs/>
        </w:rPr>
        <w:t xml:space="preserve">mature forest</w:t>
      </w:r>
      <w:r>
        <w:t xml:space="preserve"> </w:t>
      </w:r>
      <w:r>
        <w:t xml:space="preserve">(the Stable-forest stratum, class 11)</w:t>
      </w:r>
      <w:r>
        <w:t xml:space="preserve"> </w:t>
      </w:r>
      <w:r>
        <w:rPr>
          <w:i/>
          <w:iCs/>
        </w:rPr>
        <w:t xml:space="preserve">in the same landscape</w:t>
      </w:r>
      <w:r>
        <w:t xml:space="preserve">. This is the</w:t>
      </w:r>
      <w:r>
        <w:t xml:space="preserve"> </w:t>
      </w:r>
      <w:r>
        <w:t xml:space="preserve">localised carrying capacity — the biomass level toward which an undisturbed stand in this</w:t>
      </w:r>
      <w:r>
        <w:t xml:space="preserve"> </w:t>
      </w:r>
      <w:r>
        <w:t xml:space="preserve">climate, on these soils, at this elevation, tends to equilibrate.</w:t>
      </w:r>
    </w:p>
    <w:p>
      <w:pPr>
        <w:pStyle w:val="BodyText"/>
      </w:pPr>
      <w:r>
        <w:t xml:space="preserve">The module additionally fits the</w:t>
      </w:r>
      <w:r>
        <w:t xml:space="preserve"> </w:t>
      </w:r>
      <w:r>
        <w:rPr>
          <w:b/>
          <w:bCs/>
        </w:rPr>
        <w:t xml:space="preserve">recovery rate</w:t>
      </w:r>
      <w:r>
        <w:t xml:space="preserve"> </w:t>
      </w:r>
      <w:r>
        <w:t xml:space="preserve">of the accumulation curve to the measured</w:t>
      </w:r>
      <w:r>
        <w:t xml:space="preserve"> </w:t>
      </w:r>
      <w:r>
        <w:t xml:space="preserve">multi-year trend of locally regenerating land (the Forest-gain stratum, class 21), so both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asymptote</w:t>
      </w:r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speed of approach</w:t>
      </w:r>
      <w:r>
        <w:t xml:space="preserve"> </w:t>
      </w:r>
      <w:r>
        <w:t xml:space="preserve">reflect this specific place rather than a</w:t>
      </w:r>
      <w:r>
        <w:t xml:space="preserve"> </w:t>
      </w:r>
      <w:r>
        <w:t xml:space="preserve">textbook.</w:t>
      </w:r>
    </w:p>
    <w:bookmarkEnd w:id="12"/>
    <w:bookmarkStart w:id="13" w:name="X9c50eda2a5de4b07c19f7dceb58ae48900e9384"/>
    <w:p>
      <w:pPr>
        <w:pStyle w:val="Heading4"/>
      </w:pPr>
      <w:r>
        <w:t xml:space="preserve">Why the curve must be constrained by GEDI — the ecological theory</w:t>
      </w:r>
    </w:p>
    <w:p>
      <w:pPr>
        <w:pStyle w:val="FirstParagraph"/>
      </w:pPr>
      <w:r>
        <w:t xml:space="preserve">A carbon accumulation curve is, ecologically, an approach to a</w:t>
      </w:r>
      <w:r>
        <w:t xml:space="preserve"> </w:t>
      </w:r>
      <w:r>
        <w:rPr>
          <w:b/>
          <w:bCs/>
        </w:rPr>
        <w:t xml:space="preserve">stable equilibrium</w:t>
      </w:r>
      <w:r>
        <w:t xml:space="preserve">, not</w:t>
      </w:r>
      <w:r>
        <w:t xml:space="preserve"> </w:t>
      </w:r>
      <w:r>
        <w:t xml:space="preserve">an unbounded exponential. As a stand ages, growth slows: light, water, and nutrients become</w:t>
      </w:r>
      <w:r>
        <w:t xml:space="preserve"> </w:t>
      </w:r>
      <w:r>
        <w:t xml:space="preserve">limiting, self-thinning sets in, and net biomass gain asymptotes toward the carrying</w:t>
      </w:r>
      <w:r>
        <w:t xml:space="preserve"> </w:t>
      </w:r>
      <w:r>
        <w:t xml:space="preserve">capacity of the site.</w:t>
      </w:r>
      <w:r>
        <w:t xml:space="preserve"> </w:t>
      </w:r>
      <w:r>
        <w:rPr>
          <w:b/>
          <w:bCs/>
        </w:rPr>
        <w:t xml:space="preserve">No reforestation intervention can push a stand’s biomass durably</w:t>
      </w:r>
      <w:r>
        <w:rPr>
          <w:b/>
          <w:bCs/>
        </w:rPr>
        <w:t xml:space="preserve"> </w:t>
      </w:r>
      <w:r>
        <w:rPr>
          <w:b/>
          <w:bCs/>
        </w:rPr>
        <w:t xml:space="preserve">above the level that the surrounding mature vegetation already demonstrates is</w:t>
      </w:r>
      <w:r>
        <w:rPr>
          <w:b/>
          <w:bCs/>
        </w:rPr>
        <w:t xml:space="preserve"> </w:t>
      </w:r>
      <w:r>
        <w:rPr>
          <w:b/>
          <w:bCs/>
        </w:rPr>
        <w:t xml:space="preserve">sustainable</w:t>
      </w:r>
      <w:r>
        <w:t xml:space="preserve">, because the same climatic and edaphic limits apply.</w:t>
      </w:r>
    </w:p>
    <w:p>
      <w:pPr>
        <w:pStyle w:val="BodyText"/>
      </w:pPr>
      <w:r>
        <w:t xml:space="preserve">The module enforces this directly: the resolved growth curve is</w:t>
      </w:r>
      <w:r>
        <w:t xml:space="preserve"> </w:t>
      </w:r>
      <w:r>
        <w:rPr>
          <w:b/>
          <w:bCs/>
        </w:rPr>
        <w:t xml:space="preserve">clamped so that projected</w:t>
      </w:r>
      <w:r>
        <w:rPr>
          <w:b/>
          <w:bCs/>
        </w:rPr>
        <w:t xml:space="preserve"> </w:t>
      </w:r>
      <w:r>
        <w:rPr>
          <w:b/>
          <w:bCs/>
        </w:rPr>
        <w:t xml:space="preserve">biomass never exceeds the GEDI-derived ceiling of the local landscape.</w:t>
      </w:r>
      <w:r>
        <w:t xml:space="preserve"> </w:t>
      </w:r>
      <w:r>
        <w:t xml:space="preserve">This has three</w:t>
      </w:r>
      <w:r>
        <w:t xml:space="preserve"> </w:t>
      </w:r>
      <w:r>
        <w:t xml:space="preserve">practical consequences: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Conservatism by construction.</w:t>
      </w:r>
      <w:r>
        <w:t xml:space="preserve"> </w:t>
      </w:r>
      <w:r>
        <w:t xml:space="preserve">Optimistic species-level yields are capped at what the</w:t>
      </w:r>
      <w:r>
        <w:t xml:space="preserve"> </w:t>
      </w:r>
      <w:r>
        <w:t xml:space="preserve">landscape can actually hold, which is the risk-appropriate posture for a screening tool.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Local realism over global averages.</w:t>
      </w:r>
      <w:r>
        <w:t xml:space="preserve"> </w:t>
      </w:r>
      <w:r>
        <w:t xml:space="preserve">A dry-forest project is held to a dry-forest</w:t>
      </w:r>
      <w:r>
        <w:t xml:space="preserve"> </w:t>
      </w:r>
      <w:r>
        <w:t xml:space="preserve">ceiling; a humid-tropical project to a humid-tropical ceiling — measured on site, not</w:t>
      </w:r>
      <w:r>
        <w:t xml:space="preserve"> </w:t>
      </w:r>
      <w:r>
        <w:t xml:space="preserve">assumed.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Transparent provenance.</w:t>
      </w:r>
      <w:r>
        <w:t xml:space="preserve"> </w:t>
      </w:r>
      <w:r>
        <w:t xml:space="preserve">When GEDI cannot supply the ceiling (see below), the tool</w:t>
      </w:r>
      <w:r>
        <w:t xml:space="preserve"> </w:t>
      </w:r>
      <w:r>
        <w:t xml:space="preserve">falls back to a published ecological-zone default and</w:t>
      </w:r>
      <w:r>
        <w:t xml:space="preserve"> </w:t>
      </w:r>
      <w:r>
        <w:rPr>
          <w:i/>
          <w:iCs/>
        </w:rPr>
        <w:t xml:space="preserve">labels the result as indicative</w:t>
      </w:r>
      <w:r>
        <w:t xml:space="preserve">.</w:t>
      </w:r>
    </w:p>
    <w:bookmarkEnd w:id="13"/>
    <w:bookmarkStart w:id="14" w:name="provenance-tiers"/>
    <w:p>
      <w:pPr>
        <w:pStyle w:val="Heading4"/>
      </w:pPr>
      <w:r>
        <w:t xml:space="preserve">Provenance tiers</w:t>
      </w:r>
    </w:p>
    <w:p>
      <w:pPr>
        <w:pStyle w:val="FirstParagraph"/>
      </w:pPr>
      <w:r>
        <w:t xml:space="preserve">Because GEDI does not exist everywhere or always in sufficient density, every curve carries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provenance tier</w:t>
      </w:r>
      <w:r>
        <w:t xml:space="preserve"> </w:t>
      </w:r>
      <w:r>
        <w:t xml:space="preserve">that follows the numbers all the way to the exported report: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gedi_calibrated</w:t>
            </w:r>
          </w:p>
        </w:tc>
        <w:tc>
          <w:tcPr/>
          <w:p>
            <w:pPr>
              <w:pStyle w:val="Compact"/>
            </w:pPr>
            <w:r>
              <w:t xml:space="preserve">Both ceiling and recovery rate fit to this AOI’s own GEDI record. Strongest evidence.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gedi_partial</w:t>
            </w:r>
          </w:p>
        </w:tc>
        <w:tc>
          <w:tcPr/>
          <w:p>
            <w:pPr>
              <w:pStyle w:val="Compact"/>
            </w:pPr>
            <w:r>
              <w:t xml:space="preserve">One of the two comes from GEDI, the other from published defaults.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ipcc_default</w:t>
            </w:r>
          </w:p>
        </w:tc>
        <w:tc>
          <w:tcPr/>
          <w:p>
            <w:pPr>
              <w:pStyle w:val="Compact"/>
            </w:pPr>
            <w:r>
              <w:t xml:space="preserve">No usable GEDI (outside the ±51.6° orbital band, or too few footprints). Curve is literature-based —</w:t>
            </w:r>
            <w:r>
              <w:t xml:space="preserve"> </w:t>
            </w:r>
            <w:r>
              <w:rPr>
                <w:b/>
                <w:bCs/>
              </w:rPr>
              <w:t xml:space="preserve">indicative only</w:t>
            </w:r>
            <w:r>
              <w:t xml:space="preserve">.</w:t>
            </w:r>
          </w:p>
        </w:tc>
      </w:tr>
    </w:tbl>
    <w:p>
      <w:pPr>
        <w:pStyle w:val="BodyText"/>
      </w:pPr>
      <w:r>
        <w:t xml:space="preserve">The uncertainty deduction applied downstream (Section 3) escalates automatically as the tier</w:t>
      </w:r>
      <w:r>
        <w:t xml:space="preserve"> </w:t>
      </w:r>
      <w:r>
        <w:t xml:space="preserve">weakens (10% → 20% → 30%), because claiming a 10% uncertainty on a curve with no site</w:t>
      </w:r>
      <w:r>
        <w:t xml:space="preserve"> </w:t>
      </w:r>
      <w:r>
        <w:t xml:space="preserve">measurement would not be defensible.</w:t>
      </w:r>
    </w:p>
    <w:p>
      <w:r>
        <w:pict>
          <v:rect style="width:0;height:1.5pt" o:hralign="center" o:hrstd="t" o:hr="t"/>
        </w:pict>
      </w:r>
    </w:p>
    <w:bookmarkEnd w:id="14"/>
    <w:bookmarkEnd w:id="15"/>
    <w:bookmarkEnd w:id="16"/>
    <w:bookmarkStart w:id="24" w:name="Xf5b43c23f7615dbfea4f5f84006618b25a87ef0"/>
    <w:p>
      <w:pPr>
        <w:pStyle w:val="Heading2"/>
      </w:pPr>
      <w:r>
        <w:t xml:space="preserve">Section 2 — Reforestation Interventions &amp; User Parameters</w:t>
      </w:r>
    </w:p>
    <w:bookmarkStart w:id="17" w:name="X58fb88d3bd8412c7124ac7182851031c5dd73a1"/>
    <w:p>
      <w:pPr>
        <w:pStyle w:val="Heading3"/>
      </w:pPr>
      <w:r>
        <w:t xml:space="preserve">2.1 Where the defaults come from, and how to override them</w:t>
      </w:r>
    </w:p>
    <w:p>
      <w:pPr>
        <w:pStyle w:val="FirstParagraph"/>
      </w:pPr>
      <w:r>
        <w:t xml:space="preserve">The module ships two internal reference databases that seed every parameter: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 ecological-zone table</w:t>
      </w:r>
      <w:r>
        <w:t xml:space="preserve"> </w:t>
      </w:r>
      <w:r>
        <w:t xml:space="preserve">(10 FAO global ecological zones) providing, per zone, an AGB</w:t>
      </w:r>
      <w:r>
        <w:t xml:space="preserve"> </w:t>
      </w:r>
      <w:r>
        <w:t xml:space="preserve">ceiling, early- and mature-phase growth rates, a root-to-shoot ratio, and a recovery-rate</w:t>
      </w:r>
      <w:r>
        <w:t xml:space="preserve"> </w:t>
      </w:r>
      <w:r>
        <w:t xml:space="preserve">constant. The zone is auto-suggested from the AOI’s latitude and mean tree cover, and can</w:t>
      </w:r>
      <w:r>
        <w:t xml:space="preserve"> </w:t>
      </w:r>
      <w:r>
        <w:t xml:space="preserve">be overridden.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 species-template library</w:t>
      </w:r>
      <w:r>
        <w:t xml:space="preserve"> </w:t>
      </w:r>
      <w:r>
        <w:t xml:space="preserve">(native mixed broadleaf, fast-growing pioneer, eucalyptus,</w:t>
      </w:r>
      <w:r>
        <w:t xml:space="preserve"> </w:t>
      </w:r>
      <w:r>
        <w:t xml:space="preserve">teak/long-rotation hardwood, agroforestry/fruit, mangrove, natural-regeneration cohort),</w:t>
      </w:r>
      <w:r>
        <w:t xml:space="preserve"> </w:t>
      </w:r>
      <w:r>
        <w:t xml:space="preserve">each carrying allometric and growth parameters.</w:t>
      </w:r>
    </w:p>
    <w:p>
      <w:pPr>
        <w:pStyle w:val="BlockText"/>
      </w:pPr>
      <w:r>
        <w:rPr>
          <w:b/>
          <w:bCs/>
        </w:rPr>
        <w:t xml:space="preserve">These are screening approximations informed by IPCC 2019 Refinement (Vol. 4, Ch. 4),</w:t>
      </w:r>
      <w:r>
        <w:rPr>
          <w:b/>
          <w:bCs/>
        </w:rPr>
        <w:t xml:space="preserve"> </w:t>
      </w:r>
      <w:r>
        <w:rPr>
          <w:b/>
          <w:bCs/>
        </w:rPr>
        <w:t xml:space="preserve">not verified Tier-2 values.</w:t>
      </w:r>
      <w:r>
        <w:t xml:space="preserve"> </w:t>
      </w:r>
      <w:r>
        <w:t xml:space="preserve">They exist to give a sensible curve before the user supplies</w:t>
      </w:r>
      <w:r>
        <w:t xml:space="preserve"> </w:t>
      </w:r>
      <w:r>
        <w:t xml:space="preserve">better numbers.</w:t>
      </w:r>
    </w:p>
    <w:p>
      <w:pPr>
        <w:pStyle w:val="FirstParagraph"/>
      </w:pPr>
      <w:r>
        <w:rPr>
          <w:b/>
          <w:bCs/>
        </w:rPr>
        <w:t xml:space="preserve">User-supplied data.</w:t>
      </w:r>
      <w:r>
        <w:t xml:space="preserve"> </w:t>
      </w:r>
      <w:r>
        <w:t xml:space="preserve">Every field is exposed in the interface. A user with</w:t>
      </w:r>
      <w:r>
        <w:t xml:space="preserve"> </w:t>
      </w:r>
      <w:r>
        <w:t xml:space="preserve">species-specific or measured parameters can:</w:t>
      </w:r>
    </w:p>
    <w:p>
      <w:pPr>
        <w:pStyle w:val="Compact"/>
        <w:numPr>
          <w:ilvl w:val="0"/>
          <w:numId w:val="1004"/>
        </w:numPr>
      </w:pPr>
      <w:r>
        <w:t xml:space="preserve">Select a template as a starting point, then edit any field (max AGB, growth-rate</w:t>
      </w:r>
      <w:r>
        <w:t xml:space="preserve"> </w:t>
      </w:r>
      <w:r>
        <w:t xml:space="preserve">constant, stem density, mortality, wood density, root:shoot, harvest cycle).</w:t>
      </w:r>
    </w:p>
    <w:p>
      <w:pPr>
        <w:pStyle w:val="Compact"/>
        <w:numPr>
          <w:ilvl w:val="0"/>
          <w:numId w:val="1004"/>
        </w:numPr>
      </w:pPr>
      <w:r>
        <w:t xml:space="preserve">Build a</w:t>
      </w:r>
      <w:r>
        <w:t xml:space="preserve"> </w:t>
      </w:r>
      <w:r>
        <w:rPr>
          <w:b/>
          <w:bCs/>
        </w:rPr>
        <w:t xml:space="preserve">multi-cohort mix</w:t>
      </w:r>
      <w:r>
        <w:t xml:space="preserve"> </w:t>
      </w:r>
      <w:r>
        <w:t xml:space="preserve">(up to five species), each with its own parameters and an</w:t>
      </w:r>
      <w:r>
        <w:t xml:space="preserve"> </w:t>
      </w:r>
      <w:r>
        <w:t xml:space="preserve">area fraction; fractions are normalised to sum to 1.</w:t>
      </w:r>
    </w:p>
    <w:p>
      <w:pPr>
        <w:pStyle w:val="Compact"/>
        <w:numPr>
          <w:ilvl w:val="0"/>
          <w:numId w:val="1004"/>
        </w:numPr>
      </w:pPr>
      <w:r>
        <w:t xml:space="preserve">Enable</w:t>
      </w:r>
      <w:r>
        <w:t xml:space="preserve"> </w:t>
      </w:r>
      <w:r>
        <w:rPr>
          <w:b/>
          <w:bCs/>
        </w:rPr>
        <w:t xml:space="preserve">GEDI calibration</w:t>
      </w:r>
      <w:r>
        <w:t xml:space="preserve">, which overrides the template ceiling (and, where possible,</w:t>
      </w:r>
      <w:r>
        <w:t xml:space="preserve"> </w:t>
      </w:r>
      <w:r>
        <w:t xml:space="preserve">the recovery rate) with values measured on the AOI itself.</w:t>
      </w:r>
    </w:p>
    <w:p>
      <w:pPr>
        <w:pStyle w:val="FirstParagraph"/>
      </w:pPr>
      <w:r>
        <w:t xml:space="preserve">Where local GEDI calibration and user parameters disagree, the resolved ceiling is taken</w:t>
      </w:r>
      <w:r>
        <w:t xml:space="preserve"> </w:t>
      </w:r>
      <w:r>
        <w:t xml:space="preserve">from the strongest available evidence and each species’ own maximum AGB is scaled to that</w:t>
      </w:r>
      <w:r>
        <w:t xml:space="preserve"> </w:t>
      </w:r>
      <w:r>
        <w:t xml:space="preserve">ceiling, so a locally-measured carrying capacity is never silently ignored.</w:t>
      </w:r>
    </w:p>
    <w:bookmarkEnd w:id="17"/>
    <w:bookmarkStart w:id="22" w:name="parameter-reference"/>
    <w:p>
      <w:pPr>
        <w:pStyle w:val="Heading3"/>
      </w:pPr>
      <w:r>
        <w:t xml:space="preserve">2.2 Parameter reference</w:t>
      </w:r>
    </w:p>
    <w:p>
      <w:pPr>
        <w:pStyle w:val="FirstParagraph"/>
      </w:pPr>
      <w:r>
        <w:t xml:space="preserve">For each parameter:</w:t>
      </w:r>
      <w:r>
        <w:t xml:space="preserve"> </w:t>
      </w:r>
      <w:r>
        <w:rPr>
          <w:b/>
          <w:bCs/>
        </w:rPr>
        <w:t xml:space="preserve">what it is</w:t>
      </w:r>
      <w:r>
        <w:t xml:space="preserve">,</w:t>
      </w:r>
      <w:r>
        <w:t xml:space="preserve"> </w:t>
      </w:r>
      <w:r>
        <w:rPr>
          <w:b/>
          <w:bCs/>
        </w:rPr>
        <w:t xml:space="preserve">why it matters</w:t>
      </w:r>
      <w:r>
        <w:t xml:space="preserve">, and</w:t>
      </w:r>
      <w:r>
        <w:t xml:space="preserve"> </w:t>
      </w:r>
      <w:r>
        <w:rPr>
          <w:b/>
          <w:bCs/>
        </w:rPr>
        <w:t xml:space="preserve">how it operates in the data</w:t>
      </w:r>
      <w:r>
        <w:rPr>
          <w:b/>
          <w:bCs/>
        </w:rPr>
        <w:t xml:space="preserve"> </w:t>
      </w:r>
      <w:r>
        <w:rPr>
          <w:b/>
          <w:bCs/>
        </w:rPr>
        <w:t xml:space="preserve">flow</w:t>
      </w:r>
      <w:r>
        <w:t xml:space="preserve"> </w:t>
      </w:r>
      <w:r>
        <w:t xml:space="preserve">(its effect on the curve’s shape or asymptote).</w:t>
      </w:r>
    </w:p>
    <w:p>
      <w:r>
        <w:pict>
          <v:rect style="width:0;height:1.5pt" o:hralign="center" o:hrstd="t" o:hr="t"/>
        </w:pict>
      </w:r>
    </w:p>
    <w:bookmarkStart w:id="18" w:name="intervention-type"/>
    <w:p>
      <w:pPr>
        <w:pStyle w:val="Heading4"/>
      </w:pPr>
      <w:r>
        <w:t xml:space="preserve">Intervention Type</w:t>
      </w:r>
    </w:p>
    <w:p>
      <w:pPr>
        <w:pStyle w:val="FirstParagraph"/>
      </w:pPr>
      <w:r>
        <w:rPr>
          <w:b/>
          <w:bCs/>
        </w:rPr>
        <w:t xml:space="preserve">What it is.</w:t>
      </w:r>
      <w:r>
        <w:t xml:space="preserve"> </w:t>
      </w:r>
      <w:r>
        <w:t xml:space="preserve">The land-management strategy. The module implements three intervention</w:t>
      </w:r>
      <w:r>
        <w:t xml:space="preserve"> </w:t>
      </w:r>
      <w:r>
        <w:t xml:space="preserve">archetypes, each mapped to a growth-model family and a set of establishment assumptions: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9"/>
        <w:gridCol w:w="2578"/>
        <w:gridCol w:w="2762"/>
        <w:gridCol w:w="128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Growth model</w:t>
            </w:r>
          </w:p>
        </w:tc>
        <w:tc>
          <w:tcPr/>
          <w:p>
            <w:pPr>
              <w:pStyle w:val="Compact"/>
            </w:pPr>
            <w:r>
              <w:t xml:space="preserve">Establishment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Active planting</w:t>
            </w:r>
          </w:p>
        </w:tc>
        <w:tc>
          <w:tcPr/>
          <w:p>
            <w:pPr>
              <w:pStyle w:val="Compact"/>
            </w:pPr>
            <w:r>
              <w:t xml:space="preserve">Logistic</w:t>
            </w:r>
          </w:p>
        </w:tc>
        <w:tc>
          <w:tcPr/>
          <w:p>
            <w:pPr>
              <w:pStyle w:val="Compact"/>
            </w:pPr>
            <w:r>
              <w:t xml:space="preserve">Bare ground, ~1 yr lag, defined stem density</w:t>
            </w:r>
          </w:p>
        </w:tc>
        <w:tc>
          <w:tcPr/>
          <w:p>
            <w:pPr>
              <w:pStyle w:val="Compact"/>
            </w:pPr>
            <w:r>
              <w:t xml:space="preserve">Fastest early accrual, highest establishment cost and mortality risk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Assisted Natural Regeneration (ANR)</w:t>
            </w:r>
          </w:p>
        </w:tc>
        <w:tc>
          <w:tcPr/>
          <w:p>
            <w:pPr>
              <w:pStyle w:val="Compact"/>
            </w:pPr>
            <w:r>
              <w:t xml:space="preserve">Recovery curve</w:t>
            </w:r>
          </w:p>
        </w:tc>
        <w:tc>
          <w:tcPr/>
          <w:p>
            <w:pPr>
              <w:pStyle w:val="Compact"/>
            </w:pPr>
            <w:r>
              <w:t xml:space="preserve">Existing rootstock/seed bank, head-start (</w:t>
            </w:r>
            <w:r>
              <w:t xml:space="preserve">“advancement years”</w:t>
            </w:r>
            <w:r>
              <w:t xml:space="preserve">), no planting</w:t>
            </w:r>
          </w:p>
        </w:tc>
        <w:tc>
          <w:tcPr/>
          <w:p>
            <w:pPr>
              <w:pStyle w:val="Compact"/>
            </w:pPr>
            <w:r>
              <w:t xml:space="preserve">Slower canopy closure but non-zero year-0 stock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Mixed / enrichment</w:t>
            </w:r>
          </w:p>
        </w:tc>
        <w:tc>
          <w:tcPr/>
          <w:p>
            <w:pPr>
              <w:pStyle w:val="Compact"/>
            </w:pPr>
            <w:r>
              <w:t xml:space="preserve">Blend</w:t>
            </w:r>
          </w:p>
        </w:tc>
        <w:tc>
          <w:tcPr/>
          <w:p>
            <w:pPr>
              <w:pStyle w:val="Compact"/>
            </w:pPr>
            <w:r>
              <w:t xml:space="preserve">ANR matrix with enrichment planting in gaps</w:t>
            </w:r>
          </w:p>
        </w:tc>
        <w:tc>
          <w:tcPr/>
          <w:p>
            <w:pPr>
              <w:pStyle w:val="Compact"/>
            </w:pPr>
            <w:r>
              <w:t xml:space="preserve">Weighted by an ANR area fraction</w:t>
            </w:r>
          </w:p>
        </w:tc>
      </w:tr>
    </w:tbl>
    <w:p>
      <w:pPr>
        <w:pStyle w:val="BodyText"/>
      </w:pPr>
      <w:r>
        <w:rPr>
          <w:i/>
          <w:iCs/>
        </w:rPr>
        <w:t xml:space="preserve">Agroforestry</w:t>
      </w:r>
      <w:r>
        <w:t xml:space="preserve"> </w:t>
      </w:r>
      <w:r>
        <w:t xml:space="preserve">is supported, but as a</w:t>
      </w:r>
      <w:r>
        <w:t xml:space="preserve"> </w:t>
      </w:r>
      <w:r>
        <w:rPr>
          <w:b/>
          <w:bCs/>
        </w:rPr>
        <w:t xml:space="preserve">species/composition choice</w:t>
      </w:r>
      <w:r>
        <w:t xml:space="preserve"> </w:t>
      </w:r>
      <w:r>
        <w:t xml:space="preserve">(the agroforestry</w:t>
      </w:r>
      <w:r>
        <w:t xml:space="preserve"> </w:t>
      </w:r>
      <w:r>
        <w:t xml:space="preserve">template: low stem density, low ceiling, livelihood co-benefits) rather than a fourth</w:t>
      </w:r>
      <w:r>
        <w:t xml:space="preserve"> </w:t>
      </w:r>
      <w:r>
        <w:t xml:space="preserve">intervention toggle. Model it by selecting active planting (or mixed) with the agroforestry</w:t>
      </w:r>
      <w:r>
        <w:t xml:space="preserve"> </w:t>
      </w:r>
      <w:r>
        <w:t xml:space="preserve">cohort at an appropriate density.</w:t>
      </w:r>
    </w:p>
    <w:p>
      <w:pPr>
        <w:pStyle w:val="BodyText"/>
      </w:pPr>
      <w:r>
        <w:rPr>
          <w:b/>
          <w:bCs/>
        </w:rPr>
        <w:t xml:space="preserve">Why it matters.</w:t>
      </w:r>
      <w:r>
        <w:t xml:space="preserve"> </w:t>
      </w:r>
      <w:r>
        <w:t xml:space="preserve">The intervention determines the</w:t>
      </w:r>
      <w:r>
        <w:t xml:space="preserve"> </w:t>
      </w:r>
      <w:r>
        <w:rPr>
          <w:i/>
          <w:iCs/>
        </w:rPr>
        <w:t xml:space="preserve">fundamental shape</w:t>
      </w:r>
      <w:r>
        <w:t xml:space="preserve"> </w:t>
      </w:r>
      <w:r>
        <w:t xml:space="preserve">of the curve.</w:t>
      </w:r>
      <w:r>
        <w:t xml:space="preserve"> </w:t>
      </w:r>
      <w:r>
        <w:t xml:space="preserve">Active planting starts from zero and follows a sigmoid establishment curve. ANR starts from</w:t>
      </w:r>
      <w:r>
        <w:t xml:space="preserve"> </w:t>
      </w:r>
      <w:r>
        <w:t xml:space="preserve">standing biomass and follows a saturating recovery toward the ceiling — crediting only the</w:t>
      </w:r>
      <w:r>
        <w:t xml:space="preserve"> </w:t>
      </w:r>
      <w:r>
        <w:t xml:space="preserve">year-over-year</w:t>
      </w:r>
      <w:r>
        <w:t xml:space="preserve"> </w:t>
      </w:r>
      <w:r>
        <w:rPr>
          <w:i/>
          <w:iCs/>
        </w:rPr>
        <w:t xml:space="preserve">increment</w:t>
      </w:r>
      <w:r>
        <w:t xml:space="preserve">, never the pre-existing stock (an early modelling error that this</w:t>
      </w:r>
      <w:r>
        <w:t xml:space="preserve"> </w:t>
      </w:r>
      <w:r>
        <w:t xml:space="preserve">tool explicitly corrects). This distinction is material to both the timing and the</w:t>
      </w:r>
      <w:r>
        <w:t xml:space="preserve"> </w:t>
      </w:r>
      <w:r>
        <w:t xml:space="preserve">additionality of credits.</w:t>
      </w:r>
    </w:p>
    <w:p>
      <w:pPr>
        <w:pStyle w:val="BodyText"/>
      </w:pPr>
      <w:r>
        <w:rPr>
          <w:b/>
          <w:bCs/>
        </w:rPr>
        <w:t xml:space="preserve">How it operates in the data flow.</w:t>
      </w:r>
      <w:r>
        <w:t xml:space="preserve"> </w:t>
      </w:r>
      <w:r>
        <w:t xml:space="preserve">The intervention preset supplies (a) the growth-model</w:t>
      </w:r>
      <w:r>
        <w:t xml:space="preserve"> </w:t>
      </w:r>
      <w:r>
        <w:t xml:space="preserve">family, (b) an establishment lag that shifts the curve right, (c) an advancement-years</w:t>
      </w:r>
      <w:r>
        <w:t xml:space="preserve"> </w:t>
      </w:r>
      <w:r>
        <w:t xml:space="preserve">head-start for ANR, and (d) multiplicative modifiers on both the growth rate and the</w:t>
      </w:r>
      <w:r>
        <w:t xml:space="preserve"> </w:t>
      </w:r>
      <w:r>
        <w:t xml:space="preserve">ceiling. It is the first lever applied when the curve is resolved.</w:t>
      </w:r>
    </w:p>
    <w:p>
      <w:r>
        <w:pict>
          <v:rect style="width:0;height:1.5pt" o:hralign="center" o:hrstd="t" o:hr="t"/>
        </w:pict>
      </w:r>
    </w:p>
    <w:bookmarkEnd w:id="18"/>
    <w:bookmarkStart w:id="19" w:name="species-composition"/>
    <w:p>
      <w:pPr>
        <w:pStyle w:val="Heading4"/>
      </w:pPr>
      <w:r>
        <w:t xml:space="preserve">Species Composition</w:t>
      </w:r>
    </w:p>
    <w:p>
      <w:pPr>
        <w:pStyle w:val="FirstParagraph"/>
      </w:pPr>
      <w:r>
        <w:rPr>
          <w:b/>
          <w:bCs/>
        </w:rPr>
        <w:t xml:space="preserve">What it is.</w:t>
      </w:r>
      <w:r>
        <w:t xml:space="preserve"> </w:t>
      </w:r>
      <w:r>
        <w:t xml:space="preserve">The mix of species cohorts on the project area — from a</w:t>
      </w:r>
      <w:r>
        <w:t xml:space="preserve"> </w:t>
      </w:r>
      <w:r>
        <w:rPr>
          <w:b/>
          <w:bCs/>
        </w:rPr>
        <w:t xml:space="preserve">monoculture</w:t>
      </w:r>
      <w:r>
        <w:t xml:space="preserve"> </w:t>
      </w:r>
      <w:r>
        <w:t xml:space="preserve">(a single cohort at 100% area fraction) to a</w:t>
      </w:r>
      <w:r>
        <w:t xml:space="preserve"> </w:t>
      </w:r>
      <w:r>
        <w:rPr>
          <w:b/>
          <w:bCs/>
        </w:rPr>
        <w:t xml:space="preserve">mixed native</w:t>
      </w:r>
      <w:r>
        <w:t xml:space="preserve"> </w:t>
      </w:r>
      <w:r>
        <w:t xml:space="preserve">planting (several cohorts,</w:t>
      </w:r>
      <w:r>
        <w:t xml:space="preserve"> </w:t>
      </w:r>
      <w:r>
        <w:t xml:space="preserve">each with an area share). Each cohort carries its own growth model, maximum AGB, growth-rate</w:t>
      </w:r>
      <w:r>
        <w:t xml:space="preserve"> </w:t>
      </w:r>
      <w:r>
        <w:t xml:space="preserve">constant, stem density, mortality, and wood density.</w:t>
      </w:r>
    </w:p>
    <w:p>
      <w:pPr>
        <w:pStyle w:val="BodyText"/>
      </w:pPr>
      <w:r>
        <w:rPr>
          <w:b/>
          <w:bCs/>
        </w:rPr>
        <w:t xml:space="preserve">Why it matters.</w:t>
      </w:r>
      <w:r>
        <w:t xml:space="preserve"> </w:t>
      </w:r>
      <w:r>
        <w:t xml:space="preserve">Composition affects two things the carbon accounting cares about: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Early-stage growth rate.</w:t>
      </w:r>
      <w:r>
        <w:t xml:space="preserve"> </w:t>
      </w:r>
      <w:r>
        <w:t xml:space="preserve">Fast-growing pioneers close canopy and accrue biomass</w:t>
      </w:r>
      <w:r>
        <w:t xml:space="preserve"> </w:t>
      </w:r>
      <w:r>
        <w:t xml:space="preserve">quickly but plateau at a lower ceiling; long-rotation hardwoods start slowly but reach a</w:t>
      </w:r>
      <w:r>
        <w:t xml:space="preserve"> </w:t>
      </w:r>
      <w:r>
        <w:t xml:space="preserve">higher, more stable carbon density.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Long-term carbon-density stability.</w:t>
      </w:r>
      <w:r>
        <w:t xml:space="preserve"> </w:t>
      </w:r>
      <w:r>
        <w:t xml:space="preserve">Mixed native stands are generally more resilient</w:t>
      </w:r>
      <w:r>
        <w:t xml:space="preserve"> </w:t>
      </w:r>
      <w:r>
        <w:t xml:space="preserve">(pest, disease, drought, fire) and hold a more stable long-term carbon density than a</w:t>
      </w:r>
      <w:r>
        <w:t xml:space="preserve"> </w:t>
      </w:r>
      <w:r>
        <w:t xml:space="preserve">monoculture, which is exposed to correlated failure and, if harvested, to periodic</w:t>
      </w:r>
      <w:r>
        <w:t xml:space="preserve"> </w:t>
      </w:r>
      <w:r>
        <w:t xml:space="preserve">stock resets.</w:t>
      </w:r>
    </w:p>
    <w:p>
      <w:pPr>
        <w:pStyle w:val="FirstParagraph"/>
      </w:pPr>
      <w:r>
        <w:rPr>
          <w:b/>
          <w:bCs/>
        </w:rPr>
        <w:t xml:space="preserve">How it operates in the data flow.</w:t>
      </w:r>
      <w:r>
        <w:t xml:space="preserve"> </w:t>
      </w:r>
      <w:r>
        <w:t xml:space="preserve">Each cohort’s carbon curve is computed independently</w:t>
      </w:r>
      <w:r>
        <w:t xml:space="preserve"> </w:t>
      </w:r>
      <w:r>
        <w:t xml:space="preserve">and then</w:t>
      </w:r>
      <w:r>
        <w:t xml:space="preserve"> </w:t>
      </w:r>
      <w:r>
        <w:rPr>
          <w:b/>
          <w:bCs/>
        </w:rPr>
        <w:t xml:space="preserve">area-weighted</w:t>
      </w:r>
      <w:r>
        <w:t xml:space="preserve"> </w:t>
      </w:r>
      <w:r>
        <w:t xml:space="preserve">by its fraction to produce the stand-level curve. A cohort’s own</w:t>
      </w:r>
      <w:r>
        <w:t xml:space="preserve"> </w:t>
      </w:r>
      <w:r>
        <w:t xml:space="preserve">maximum AGB is treated as its share of the site’s potential and rescaled to the resolved</w:t>
      </w:r>
      <w:r>
        <w:t xml:space="preserve"> </w:t>
      </w:r>
      <w:r>
        <w:t xml:space="preserve">(GEDI-constrained) ceiling, keeping the mix internally consistent with the measured carrying</w:t>
      </w:r>
      <w:r>
        <w:t xml:space="preserve"> </w:t>
      </w:r>
      <w:r>
        <w:t xml:space="preserve">capacity.</w:t>
      </w:r>
    </w:p>
    <w:p>
      <w:r>
        <w:pict>
          <v:rect style="width:0;height:1.5pt" o:hralign="center" o:hrstd="t" o:hr="t"/>
        </w:pict>
      </w:r>
    </w:p>
    <w:bookmarkEnd w:id="19"/>
    <w:bookmarkStart w:id="20" w:name="initial-planting-density-treesha"/>
    <w:p>
      <w:pPr>
        <w:pStyle w:val="Heading4"/>
      </w:pPr>
      <w:r>
        <w:t xml:space="preserve">Initial Planting Density (trees/ha)</w:t>
      </w:r>
    </w:p>
    <w:p>
      <w:pPr>
        <w:pStyle w:val="FirstParagraph"/>
      </w:pPr>
      <w:r>
        <w:rPr>
          <w:b/>
          <w:bCs/>
        </w:rPr>
        <w:t xml:space="preserve">What it is.</w:t>
      </w:r>
      <w:r>
        <w:t xml:space="preserve"> </w:t>
      </w:r>
      <w:r>
        <w:t xml:space="preserve">The number of stems established per hectare (typical range ~400–2,500</w:t>
      </w:r>
      <w:r>
        <w:t xml:space="preserve"> </w:t>
      </w:r>
      <w:r>
        <w:t xml:space="preserve">trees/ha; 0 for pure natural-regeneration cohorts). Agroforestry sits low (~400); native</w:t>
      </w:r>
      <w:r>
        <w:t xml:space="preserve"> </w:t>
      </w:r>
      <w:r>
        <w:t xml:space="preserve">restoration around 1,100; dense pioneer or mangrove plantings higher.</w:t>
      </w:r>
    </w:p>
    <w:p>
      <w:pPr>
        <w:pStyle w:val="BodyText"/>
      </w:pPr>
      <w:r>
        <w:rPr>
          <w:b/>
          <w:bCs/>
        </w:rPr>
        <w:t xml:space="preserve">Why it matters.</w:t>
      </w:r>
      <w:r>
        <w:t xml:space="preserve"> </w:t>
      </w:r>
      <w:r>
        <w:t xml:space="preserve">Density governs the</w:t>
      </w:r>
      <w:r>
        <w:t xml:space="preserve"> </w:t>
      </w:r>
      <w:r>
        <w:rPr>
          <w:b/>
          <w:bCs/>
        </w:rPr>
        <w:t xml:space="preserve">slope of the early-stage accumulation curve</w:t>
      </w:r>
      <w:r>
        <w:t xml:space="preserve"> </w:t>
      </w:r>
      <w:r>
        <w:t xml:space="preserve">—</w:t>
      </w:r>
      <w:r>
        <w:t xml:space="preserve"> </w:t>
      </w:r>
      <w:r>
        <w:t xml:space="preserve">how quickly the site captures growing space and closes canopy — and interacts with mortality</w:t>
      </w:r>
      <w:r>
        <w:t xml:space="preserve"> </w:t>
      </w:r>
      <w:r>
        <w:t xml:space="preserve">to determine effective stocking. Too low and the site under-utilises its growing space for</w:t>
      </w:r>
      <w:r>
        <w:t xml:space="preserve"> </w:t>
      </w:r>
      <w:r>
        <w:t xml:space="preserve">years; too high and self-thinning and competition erode the benefit.</w:t>
      </w:r>
    </w:p>
    <w:p>
      <w:pPr>
        <w:pStyle w:val="BodyText"/>
      </w:pPr>
      <w:r>
        <w:rPr>
          <w:b/>
          <w:bCs/>
        </w:rPr>
        <w:t xml:space="preserve">How it operates in the data flow.</w:t>
      </w:r>
      <w:r>
        <w:t xml:space="preserve"> </w:t>
      </w:r>
      <w:r>
        <w:t xml:space="preserve">Density scales the establishment phase of planted</w:t>
      </w:r>
      <w:r>
        <w:t xml:space="preserve"> </w:t>
      </w:r>
      <w:r>
        <w:t xml:space="preserve">(logistic) cohorts and is the base against which the survival/mortality discount is applied.</w:t>
      </w:r>
      <w:r>
        <w:t xml:space="preserve"> </w:t>
      </w:r>
      <w:r>
        <w:t xml:space="preserve">Because the stand-level ceiling is fixed by the site’s carrying capacity, density chiefly</w:t>
      </w:r>
      <w:r>
        <w:t xml:space="preserve"> </w:t>
      </w:r>
      <w:r>
        <w:t xml:space="preserve">affects</w:t>
      </w:r>
      <w:r>
        <w:t xml:space="preserve"> </w:t>
      </w:r>
      <w:r>
        <w:rPr>
          <w:i/>
          <w:iCs/>
        </w:rPr>
        <w:t xml:space="preserve">how fast</w:t>
      </w:r>
      <w:r>
        <w:t xml:space="preserve"> </w:t>
      </w:r>
      <w:r>
        <w:t xml:space="preserve">the curve climbs, not its asymptote — a denser planting reaches a given</w:t>
      </w:r>
      <w:r>
        <w:t xml:space="preserve"> </w:t>
      </w:r>
      <w:r>
        <w:t xml:space="preserve">carbon level sooner but converges to the same ecological ceiling.</w:t>
      </w:r>
    </w:p>
    <w:p>
      <w:r>
        <w:pict>
          <v:rect style="width:0;height:1.5pt" o:hralign="center" o:hrstd="t" o:hr="t"/>
        </w:pict>
      </w:r>
    </w:p>
    <w:bookmarkEnd w:id="20"/>
    <w:bookmarkStart w:id="21" w:name="expected-survival-rate"/>
    <w:p>
      <w:pPr>
        <w:pStyle w:val="Heading4"/>
      </w:pPr>
      <w:r>
        <w:t xml:space="preserve">Expected Survival Rate (%)</w:t>
      </w:r>
    </w:p>
    <w:p>
      <w:pPr>
        <w:pStyle w:val="FirstParagraph"/>
      </w:pPr>
      <w:r>
        <w:rPr>
          <w:b/>
          <w:bCs/>
        </w:rPr>
        <w:t xml:space="preserve">What it is.</w:t>
      </w:r>
      <w:r>
        <w:t xml:space="preserve"> </w:t>
      </w:r>
      <w:r>
        <w:t xml:space="preserve">The proportion of established stems that persist. In the module this is</w:t>
      </w:r>
      <w:r>
        <w:t xml:space="preserve"> </w:t>
      </w:r>
      <w:r>
        <w:t xml:space="preserve">expressed through two mortality parameters rather than a single number: a</w:t>
      </w:r>
      <w:r>
        <w:t xml:space="preserve"> </w:t>
      </w:r>
      <w:r>
        <w:rPr>
          <w:b/>
          <w:bCs/>
        </w:rPr>
        <w:t xml:space="preserve">first-year</w:t>
      </w:r>
      <w:r>
        <w:rPr>
          <w:b/>
          <w:bCs/>
        </w:rPr>
        <w:t xml:space="preserve"> </w:t>
      </w:r>
      <w:r>
        <w:rPr>
          <w:b/>
          <w:bCs/>
        </w:rPr>
        <w:t xml:space="preserve">(establishment) mortality</w:t>
      </w:r>
      <w:r>
        <w:t xml:space="preserve"> </w:t>
      </w:r>
      <w:r>
        <w:t xml:space="preserve">and an</w:t>
      </w:r>
      <w:r>
        <w:t xml:space="preserve"> </w:t>
      </w:r>
      <w:r>
        <w:rPr>
          <w:b/>
          <w:bCs/>
        </w:rPr>
        <w:t xml:space="preserve">annual mortality</w:t>
      </w:r>
      <w:r>
        <w:t xml:space="preserve"> </w:t>
      </w:r>
      <w:r>
        <w:t xml:space="preserve">thereafter. Effective survival is</w:t>
      </w:r>
      <w:r>
        <w:t xml:space="preserve"> </w:t>
      </w:r>
      <w:r>
        <w:rPr>
          <w:rStyle w:val="VerbatimChar"/>
        </w:rPr>
        <w:t xml:space="preserve">(1 − establishment mortality) × (1 − annual mortality)^years</w:t>
      </w:r>
      <w:r>
        <w:t xml:space="preserve">, applied up to canopy closure.</w:t>
      </w:r>
    </w:p>
    <w:p>
      <w:pPr>
        <w:pStyle w:val="BodyText"/>
      </w:pPr>
      <w:r>
        <w:rPr>
          <w:b/>
          <w:bCs/>
        </w:rPr>
        <w:t xml:space="preserve">Why it matters.</w:t>
      </w:r>
      <w:r>
        <w:t xml:space="preserve"> </w:t>
      </w:r>
      <w:r>
        <w:t xml:space="preserve">Survival acts as a</w:t>
      </w:r>
      <w:r>
        <w:t xml:space="preserve"> </w:t>
      </w:r>
      <w:r>
        <w:rPr>
          <w:b/>
          <w:bCs/>
        </w:rPr>
        <w:t xml:space="preserve">discount factor on the early biomass-accumulation</w:t>
      </w:r>
      <w:r>
        <w:rPr>
          <w:b/>
          <w:bCs/>
        </w:rPr>
        <w:t xml:space="preserve"> </w:t>
      </w:r>
      <w:r>
        <w:rPr>
          <w:b/>
          <w:bCs/>
        </w:rPr>
        <w:t xml:space="preserve">slope.</w:t>
      </w:r>
      <w:r>
        <w:t xml:space="preserve"> </w:t>
      </w:r>
      <w:r>
        <w:t xml:space="preserve">Establishment losses are the leading cause of ARR under-performance; a curve that</w:t>
      </w:r>
      <w:r>
        <w:t xml:space="preserve"> </w:t>
      </w:r>
      <w:r>
        <w:t xml:space="preserve">assumes perfect survival systematically over-credits the first decade. Disturbance settings</w:t>
      </w:r>
      <w:r>
        <w:t xml:space="preserve"> </w:t>
      </w:r>
      <w:r>
        <w:t xml:space="preserve">(fire risk, grazing pressure) feed directly into mortality, because browsing and fire are</w:t>
      </w:r>
      <w:r>
        <w:t xml:space="preserve"> </w:t>
      </w:r>
      <w:r>
        <w:t xml:space="preserve">the dominant real-world causes of seedling loss.</w:t>
      </w:r>
    </w:p>
    <w:p>
      <w:pPr>
        <w:pStyle w:val="BodyText"/>
      </w:pPr>
      <w:r>
        <w:rPr>
          <w:b/>
          <w:bCs/>
        </w:rPr>
        <w:t xml:space="preserve">How it operates in the data flow.</w:t>
      </w:r>
      <w:r>
        <w:t xml:space="preserve"> </w:t>
      </w:r>
      <w:r>
        <w:t xml:space="preserve">Survival reduces effective stocking during the</w:t>
      </w:r>
      <w:r>
        <w:t xml:space="preserve"> </w:t>
      </w:r>
      <w:r>
        <w:t xml:space="preserve">establishment phase, damping the early slope. It is applied</w:t>
      </w:r>
      <w:r>
        <w:t xml:space="preserve"> </w:t>
      </w:r>
      <w:r>
        <w:rPr>
          <w:b/>
          <w:bCs/>
        </w:rPr>
        <w:t xml:space="preserve">only up to canopy closure</w:t>
      </w:r>
      <w:r>
        <w:t xml:space="preserve">,</w:t>
      </w:r>
      <w:r>
        <w:t xml:space="preserve"> </w:t>
      </w:r>
      <w:r>
        <w:t xml:space="preserve">by design: a stand’s maximum AGB is a</w:t>
      </w:r>
      <w:r>
        <w:t xml:space="preserve"> </w:t>
      </w:r>
      <w:r>
        <w:rPr>
          <w:i/>
          <w:iCs/>
        </w:rPr>
        <w:t xml:space="preserve">stand-level</w:t>
      </w:r>
      <w:r>
        <w:t xml:space="preserve"> </w:t>
      </w:r>
      <w:r>
        <w:t xml:space="preserve">asymptote that already embeds</w:t>
      </w:r>
      <w:r>
        <w:t xml:space="preserve"> </w:t>
      </w:r>
      <w:r>
        <w:t xml:space="preserve">self-thinning, so compounding per-stem mortality across the full rotation would double-count</w:t>
      </w:r>
      <w:r>
        <w:t xml:space="preserve"> </w:t>
      </w:r>
      <w:r>
        <w:t xml:space="preserve">losses and drive the curve unphysically downward in later decades. Mortality therefore</w:t>
      </w:r>
      <w:r>
        <w:t xml:space="preserve"> </w:t>
      </w:r>
      <w:r>
        <w:t xml:space="preserve">discounts early accrual, not the mature ceiling.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modifiers-site-climate-and-disturbance"/>
    <w:p>
      <w:pPr>
        <w:pStyle w:val="Heading3"/>
      </w:pPr>
      <w:r>
        <w:t xml:space="preserve">2.3 Modifiers: site, climate, and disturbance</w:t>
      </w:r>
    </w:p>
    <w:p>
      <w:pPr>
        <w:pStyle w:val="FirstParagraph"/>
      </w:pPr>
      <w:r>
        <w:t xml:space="preserve">On top of intervention, composition, density and survival, four site-condition levers apply</w:t>
      </w:r>
      <w:r>
        <w:t xml:space="preserve"> </w:t>
      </w:r>
      <w:r>
        <w:rPr>
          <w:b/>
          <w:bCs/>
        </w:rPr>
        <w:t xml:space="preserve">multiplicative modifiers</w:t>
      </w:r>
      <w:r>
        <w:t xml:space="preserve"> </w:t>
      </w:r>
      <w:r>
        <w:t xml:space="preserve">to the growth rate and the ceiling (and additive modifiers to</w:t>
      </w:r>
      <w:r>
        <w:t xml:space="preserve"> </w:t>
      </w:r>
      <w:r>
        <w:t xml:space="preserve">mortality):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Site index</w:t>
      </w:r>
      <w:r>
        <w:t xml:space="preserve"> </w:t>
      </w:r>
      <w:r>
        <w:t xml:space="preserve">(0.5–1.5) — productivity relative to the zone average.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Soil quality</w:t>
      </w:r>
      <w:r>
        <w:t xml:space="preserve"> </w:t>
      </w:r>
      <w:r>
        <w:t xml:space="preserve">(degraded / moderate / good).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Water stress</w:t>
      </w:r>
      <w:r>
        <w:t xml:space="preserve"> </w:t>
      </w:r>
      <w:r>
        <w:t xml:space="preserve">(none / seasonal / severe).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Fire risk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grazing pressure</w:t>
      </w:r>
      <w:r>
        <w:t xml:space="preserve"> </w:t>
      </w:r>
      <w:r>
        <w:t xml:space="preserve">(none/low → high) — primarily raise mortality.</w:t>
      </w:r>
    </w:p>
    <w:p>
      <w:pPr>
        <w:pStyle w:val="FirstParagraph"/>
      </w:pPr>
      <w:r>
        <w:t xml:space="preserve">These compound (a degraded, drought-stressed site is worse than either alone) and are</w:t>
      </w:r>
      <w:r>
        <w:t xml:space="preserve"> </w:t>
      </w:r>
      <w:r>
        <w:t xml:space="preserve">clamped to sane bounds so that a stack of pessimistic settings cannot drive the curve to</w:t>
      </w:r>
      <w:r>
        <w:t xml:space="preserve"> </w:t>
      </w:r>
      <w:r>
        <w:t xml:space="preserve">zero. All of this remains subordinate to the GEDI ceiling: modifiers move the curve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the envelope the landscape allows, never above it.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section-3-decision-logic-data-flow"/>
    <w:p>
      <w:pPr>
        <w:pStyle w:val="Heading2"/>
      </w:pPr>
      <w:r>
        <w:t xml:space="preserve">Section 3 — Decision Logic &amp; Data Flow</w:t>
      </w:r>
    </w:p>
    <w:bookmarkStart w:id="25" w:name="the-spatial-screening-logic"/>
    <w:p>
      <w:pPr>
        <w:pStyle w:val="Heading3"/>
      </w:pPr>
      <w:r>
        <w:t xml:space="preserve">3.1 The spatial screening logic</w:t>
      </w:r>
    </w:p>
    <w:p>
      <w:pPr>
        <w:pStyle w:val="FirstParagraph"/>
      </w:pPr>
      <w:r>
        <w:t xml:space="preserve">Before any carbon is modelled, the tool decides</w:t>
      </w:r>
      <w:r>
        <w:t xml:space="preserve"> </w:t>
      </w:r>
      <w:r>
        <w:rPr>
          <w:b/>
          <w:bCs/>
        </w:rPr>
        <w:t xml:space="preserve">which land is eligible</w:t>
      </w:r>
      <w:r>
        <w:t xml:space="preserve">. The AOI (a KML</w:t>
      </w:r>
      <w:r>
        <w:t xml:space="preserve"> </w:t>
      </w:r>
      <w:r>
        <w:t xml:space="preserve">boundary, ≤ 1 MB) is intersected with the Hansen product, classified into the four</w:t>
      </w:r>
      <w:r>
        <w:t xml:space="preserve"> </w:t>
      </w:r>
      <w:r>
        <w:t xml:space="preserve">transition classes, and filtered so that only the two plantable classes can become project</w:t>
      </w:r>
      <w:r>
        <w:t xml:space="preserve"> </w:t>
      </w:r>
      <w:r>
        <w:t xml:space="preserve">area. Per-class areas are computed with a latitude-corrected pixel-area sum (never a naive</w:t>
      </w:r>
      <w:r>
        <w:t xml:space="preserve"> </w:t>
      </w:r>
      <w:r>
        <w:t xml:space="preserve">pixel count), so hectare figures are correct at any latitude.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A[User AOI boundary&lt;br/&gt;KML ≤ 1 MB] --&gt; B[Clip Hansen GFC&lt;br/&gt;to AOI]</w:t>
      </w:r>
      <w:r>
        <w:br/>
      </w:r>
      <w:r>
        <w:rPr>
          <w:rStyle w:val="VerbatimChar"/>
        </w:rPr>
        <w:t xml:space="preserve">    B --&gt; C{treecover2000&lt;br/&gt;≥ canopy threshold?}</w:t>
      </w:r>
      <w:r>
        <w:br/>
      </w:r>
      <w:r>
        <w:rPr>
          <w:rStyle w:val="VerbatimChar"/>
        </w:rPr>
        <w:t xml:space="preserve">    C -- Yes --&gt; D{Lost within&lt;br/&gt;T_start → T0?}</w:t>
      </w:r>
      <w:r>
        <w:br/>
      </w:r>
      <w:r>
        <w:rPr>
          <w:rStyle w:val="VerbatimChar"/>
        </w:rPr>
        <w:t xml:space="preserve">    C -- No --&gt; E{Regenerated&lt;br/&gt;gain flag?}</w:t>
      </w:r>
      <w:r>
        <w:br/>
      </w:r>
      <w:r>
        <w:rPr>
          <w:rStyle w:val="VerbatimChar"/>
        </w:rPr>
        <w:t xml:space="preserve">    D -- Yes --&gt; F["12 · Forest loss&lt;br/&gt;(PLANTABLE)"]</w:t>
      </w:r>
      <w:r>
        <w:br/>
      </w:r>
      <w:r>
        <w:rPr>
          <w:rStyle w:val="VerbatimChar"/>
        </w:rPr>
        <w:t xml:space="preserve">    D -- No --&gt; G[11 · Stable forest&lt;br/&gt;ceiling reference]</w:t>
      </w:r>
      <w:r>
        <w:br/>
      </w:r>
      <w:r>
        <w:rPr>
          <w:rStyle w:val="VerbatimChar"/>
        </w:rPr>
        <w:t xml:space="preserve">    E -- Yes --&gt; H[21 · Forest gain&lt;br/&gt;recovery calibration]</w:t>
      </w:r>
      <w:r>
        <w:br/>
      </w:r>
      <w:r>
        <w:rPr>
          <w:rStyle w:val="VerbatimChar"/>
        </w:rPr>
        <w:t xml:space="preserve">    E -- No --&gt; I["22 · Stable non-forest&lt;br/&gt;(PLANTABLE)"]</w:t>
      </w:r>
      <w:r>
        <w:br/>
      </w:r>
      <w:r>
        <w:br/>
      </w:r>
      <w:r>
        <w:rPr>
          <w:rStyle w:val="VerbatimChar"/>
        </w:rPr>
        <w:t xml:space="preserve">    F --&gt; J[Per-class area&lt;br/&gt;pixelArea sum, ha]</w:t>
      </w:r>
      <w:r>
        <w:br/>
      </w:r>
      <w:r>
        <w:rPr>
          <w:rStyle w:val="VerbatimChar"/>
        </w:rPr>
        <w:t xml:space="preserve">    G --&gt; J</w:t>
      </w:r>
      <w:r>
        <w:br/>
      </w:r>
      <w:r>
        <w:rPr>
          <w:rStyle w:val="VerbatimChar"/>
        </w:rPr>
        <w:t xml:space="preserve">    H --&gt; J</w:t>
      </w:r>
      <w:r>
        <w:br/>
      </w:r>
      <w:r>
        <w:rPr>
          <w:rStyle w:val="VerbatimChar"/>
        </w:rPr>
        <w:t xml:space="preserve">    I --&gt; J</w:t>
      </w:r>
      <w:r>
        <w:br/>
      </w:r>
      <w:r>
        <w:br/>
      </w:r>
      <w:r>
        <w:rPr>
          <w:rStyle w:val="VerbatimChar"/>
        </w:rPr>
        <w:t xml:space="preserve">    J --&gt; K{Class is&lt;br/&gt;22 or 12?}</w:t>
      </w:r>
      <w:r>
        <w:br/>
      </w:r>
      <w:r>
        <w:rPr>
          <w:rStyle w:val="VerbatimChar"/>
        </w:rPr>
        <w:t xml:space="preserve">    K -- Yes --&gt; L[Eligible project area&lt;br/&gt;selectable in UI]</w:t>
      </w:r>
      <w:r>
        <w:br/>
      </w:r>
      <w:r>
        <w:rPr>
          <w:rStyle w:val="VerbatimChar"/>
        </w:rPr>
        <w:t xml:space="preserve">    K -- No --&gt; M[Reference / calibration only&lt;br/&gt;never creditable]</w:t>
      </w:r>
      <w:r>
        <w:br/>
      </w:r>
      <w:r>
        <w:br/>
      </w:r>
      <w:r>
        <w:rPr>
          <w:rStyle w:val="VerbatimChar"/>
        </w:rPr>
        <w:t xml:space="preserve">    classDef plant fill:#0f7b47,stroke:#0b5c36,color:#fff;</w:t>
      </w:r>
      <w:r>
        <w:br/>
      </w:r>
      <w:r>
        <w:rPr>
          <w:rStyle w:val="VerbatimChar"/>
        </w:rPr>
        <w:t xml:space="preserve">    classDef ref fill:#374a41,stroke:#26312b,color:#e7eee9;</w:t>
      </w:r>
      <w:r>
        <w:br/>
      </w:r>
      <w:r>
        <w:rPr>
          <w:rStyle w:val="VerbatimChar"/>
        </w:rPr>
        <w:t xml:space="preserve">    class F,I,L plant;</w:t>
      </w:r>
      <w:r>
        <w:br/>
      </w:r>
      <w:r>
        <w:rPr>
          <w:rStyle w:val="VerbatimChar"/>
        </w:rPr>
        <w:t xml:space="preserve">    class G,H,M ref;</w:t>
      </w:r>
    </w:p>
    <w:bookmarkEnd w:id="25"/>
    <w:bookmarkStart w:id="26" w:name="the-carbon-curve-calculation-engine"/>
    <w:p>
      <w:pPr>
        <w:pStyle w:val="Heading3"/>
      </w:pPr>
      <w:r>
        <w:t xml:space="preserve">3.2 The carbon curve calculation engine</w:t>
      </w:r>
    </w:p>
    <w:p>
      <w:pPr>
        <w:pStyle w:val="FirstParagraph"/>
      </w:pPr>
      <w:r>
        <w:t xml:space="preserve">Once eligible area is known, the engine resolves a single stand-level carbon curve from five</w:t>
      </w:r>
      <w:r>
        <w:t xml:space="preserve"> </w:t>
      </w:r>
      <w:r>
        <w:t xml:space="preserve">independent levers, constrains it to the GEDI ceiling, ages the project cohorts over the</w:t>
      </w:r>
      <w:r>
        <w:t xml:space="preserve"> </w:t>
      </w:r>
      <w:r>
        <w:t xml:space="preserve">crediting period, and applies the VM0047-aligned deduction chain to reach a net emission-</w:t>
      </w:r>
      <w:r>
        <w:t xml:space="preserve"> </w:t>
      </w:r>
      <w:r>
        <w:t xml:space="preserve">reduction (ER) estimate with a sensitivity band.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subgraph INPUTS[User &amp; data inputs]</w:t>
      </w:r>
      <w:r>
        <w:br/>
      </w:r>
      <w:r>
        <w:rPr>
          <w:rStyle w:val="VerbatimChar"/>
        </w:rPr>
        <w:t xml:space="preserve">        I1[Intervention type]</w:t>
      </w:r>
      <w:r>
        <w:br/>
      </w:r>
      <w:r>
        <w:rPr>
          <w:rStyle w:val="VerbatimChar"/>
        </w:rPr>
        <w:t xml:space="preserve">        I2[Species mix + density]</w:t>
      </w:r>
      <w:r>
        <w:br/>
      </w:r>
      <w:r>
        <w:rPr>
          <w:rStyle w:val="VerbatimChar"/>
        </w:rPr>
        <w:t xml:space="preserve">        I3[Survival / mortality]</w:t>
      </w:r>
      <w:r>
        <w:br/>
      </w:r>
      <w:r>
        <w:rPr>
          <w:rStyle w:val="VerbatimChar"/>
        </w:rPr>
        <w:t xml:space="preserve">        I4[Ecological zone + site modifiers]</w:t>
      </w:r>
      <w:r>
        <w:br/>
      </w:r>
      <w:r>
        <w:rPr>
          <w:rStyle w:val="VerbatimChar"/>
        </w:rPr>
        <w:t xml:space="preserve">        I5[(GEDI footprints&lt;br/&gt;design-based AGBD)]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I5 --&gt; CAL{GEDI usable?&lt;br/&gt;in coverage &amp; enough footprints}</w:t>
      </w:r>
      <w:r>
        <w:br/>
      </w:r>
      <w:r>
        <w:rPr>
          <w:rStyle w:val="VerbatimChar"/>
        </w:rPr>
        <w:t xml:space="preserve">    CAL -- Yes --&gt; C1[Ceiling = mean AGBD of&lt;br/&gt;local mature forest, class 11]</w:t>
      </w:r>
      <w:r>
        <w:br/>
      </w:r>
      <w:r>
        <w:rPr>
          <w:rStyle w:val="VerbatimChar"/>
        </w:rPr>
        <w:t xml:space="preserve">    CAL -- Yes --&gt; C2[Recovery rate fit to&lt;br/&gt;regenerating land, class 21]</w:t>
      </w:r>
      <w:r>
        <w:br/>
      </w:r>
      <w:r>
        <w:rPr>
          <w:rStyle w:val="VerbatimChar"/>
        </w:rPr>
        <w:t xml:space="preserve">    CAL -- No --&gt; C3[Ceiling &amp; rate from&lt;br/&gt;IPCC zone defaults&lt;br/&gt;tier = indicative]</w:t>
      </w:r>
      <w:r>
        <w:br/>
      </w:r>
      <w:r>
        <w:br/>
      </w:r>
      <w:r>
        <w:rPr>
          <w:rStyle w:val="VerbatimChar"/>
        </w:rPr>
        <w:t xml:space="preserve">    I4 --&gt; C1</w:t>
      </w:r>
      <w:r>
        <w:br/>
      </w:r>
      <w:r>
        <w:rPr>
          <w:rStyle w:val="VerbatimChar"/>
        </w:rPr>
        <w:t xml:space="preserve">    C1 --&gt; R[Resolve ceiling &amp; rate]</w:t>
      </w:r>
      <w:r>
        <w:br/>
      </w:r>
      <w:r>
        <w:rPr>
          <w:rStyle w:val="VerbatimChar"/>
        </w:rPr>
        <w:t xml:space="preserve">    C2 --&gt; R</w:t>
      </w:r>
      <w:r>
        <w:br/>
      </w:r>
      <w:r>
        <w:rPr>
          <w:rStyle w:val="VerbatimChar"/>
        </w:rPr>
        <w:t xml:space="preserve">    C3 --&gt; R</w:t>
      </w:r>
      <w:r>
        <w:br/>
      </w:r>
      <w:r>
        <w:br/>
      </w:r>
      <w:r>
        <w:rPr>
          <w:rStyle w:val="VerbatimChar"/>
        </w:rPr>
        <w:t xml:space="preserve">    I1 --&gt; S[Per-cohort growth model&lt;br/&gt;logistic / recovery curve]</w:t>
      </w:r>
      <w:r>
        <w:br/>
      </w:r>
      <w:r>
        <w:rPr>
          <w:rStyle w:val="VerbatimChar"/>
        </w:rPr>
        <w:t xml:space="preserve">    I2 --&gt; S</w:t>
      </w:r>
      <w:r>
        <w:br/>
      </w:r>
      <w:r>
        <w:rPr>
          <w:rStyle w:val="VerbatimChar"/>
        </w:rPr>
        <w:t xml:space="preserve">    I3 --&gt; S</w:t>
      </w:r>
      <w:r>
        <w:br/>
      </w:r>
      <w:r>
        <w:rPr>
          <w:rStyle w:val="VerbatimChar"/>
        </w:rPr>
        <w:t xml:space="preserve">    R --&gt; S</w:t>
      </w:r>
      <w:r>
        <w:br/>
      </w:r>
      <w:r>
        <w:br/>
      </w:r>
      <w:r>
        <w:rPr>
          <w:rStyle w:val="VerbatimChar"/>
        </w:rPr>
        <w:t xml:space="preserve">    S --&gt; W[Area-weight cohorts&lt;br/&gt;→ stand curve]</w:t>
      </w:r>
      <w:r>
        <w:br/>
      </w:r>
      <w:r>
        <w:rPr>
          <w:rStyle w:val="VerbatimChar"/>
        </w:rPr>
        <w:t xml:space="preserve">    W --&gt; CLAMP[[Clamp: biomass ≤ GEDI ceiling]]</w:t>
      </w:r>
      <w:r>
        <w:br/>
      </w:r>
      <w:r>
        <w:rPr>
          <w:rStyle w:val="VerbatimChar"/>
        </w:rPr>
        <w:t xml:space="preserve">    CLAMP --&gt; AGE[Age cohorts over&lt;br/&gt;crediting period]</w:t>
      </w:r>
      <w:r>
        <w:br/>
      </w:r>
      <w:r>
        <w:br/>
      </w:r>
      <w:r>
        <w:rPr>
          <w:rStyle w:val="VerbatimChar"/>
        </w:rPr>
        <w:t xml:space="preserve">    AGE --&gt; D1[− Baseline removals&lt;br/&gt;from project stratum trend, ≥ 0]</w:t>
      </w:r>
      <w:r>
        <w:br/>
      </w:r>
      <w:r>
        <w:rPr>
          <w:rStyle w:val="VerbatimChar"/>
        </w:rPr>
        <w:t xml:space="preserve">    D1 --&gt; D2[− Leakage · Performance benchmark]</w:t>
      </w:r>
      <w:r>
        <w:br/>
      </w:r>
      <w:r>
        <w:rPr>
          <w:rStyle w:val="VerbatimChar"/>
        </w:rPr>
        <w:t xml:space="preserve">    D2 --&gt; D3[− Uncertainty&lt;br/&gt;escalated by provenance tier]</w:t>
      </w:r>
      <w:r>
        <w:br/>
      </w:r>
      <w:r>
        <w:rPr>
          <w:rStyle w:val="VerbatimChar"/>
        </w:rPr>
        <w:t xml:space="preserve">    D3 --&gt; D4[− Non-permanence buffer]</w:t>
      </w:r>
      <w:r>
        <w:br/>
      </w:r>
      <w:r>
        <w:rPr>
          <w:rStyle w:val="VerbatimChar"/>
        </w:rPr>
        <w:t xml:space="preserve">    D4 --&gt; OUT[Net ERs / VCUs&lt;br/&gt;+ Base / Conservative / Optimistic band]</w:t>
      </w:r>
      <w:r>
        <w:br/>
      </w:r>
      <w:r>
        <w:br/>
      </w:r>
      <w:r>
        <w:rPr>
          <w:rStyle w:val="VerbatimChar"/>
        </w:rPr>
        <w:t xml:space="preserve">    classDef gedi fill:#0f7b47,stroke:#0b5c36,color:#fff;</w:t>
      </w:r>
      <w:r>
        <w:br/>
      </w:r>
      <w:r>
        <w:rPr>
          <w:rStyle w:val="VerbatimChar"/>
        </w:rPr>
        <w:t xml:space="preserve">    classDef ipcc fill:#8a4b0c,stroke:#5c3208,color:#fff;</w:t>
      </w:r>
      <w:r>
        <w:br/>
      </w:r>
      <w:r>
        <w:rPr>
          <w:rStyle w:val="VerbatimChar"/>
        </w:rPr>
        <w:t xml:space="preserve">    classDef out fill:#3d6fb0,stroke:#2b4f80,color:#fff;</w:t>
      </w:r>
      <w:r>
        <w:br/>
      </w:r>
      <w:r>
        <w:rPr>
          <w:rStyle w:val="VerbatimChar"/>
        </w:rPr>
        <w:t xml:space="preserve">    class C1,C2 gedi;</w:t>
      </w:r>
      <w:r>
        <w:br/>
      </w:r>
      <w:r>
        <w:rPr>
          <w:rStyle w:val="VerbatimChar"/>
        </w:rPr>
        <w:t xml:space="preserve">    class C3 ipcc;</w:t>
      </w:r>
      <w:r>
        <w:br/>
      </w:r>
      <w:r>
        <w:rPr>
          <w:rStyle w:val="VerbatimChar"/>
        </w:rPr>
        <w:t xml:space="preserve">    class OUT out;</w:t>
      </w:r>
    </w:p>
    <w:p>
      <w:pPr>
        <w:pStyle w:val="FirstParagraph"/>
      </w:pPr>
      <w:r>
        <w:rPr>
          <w:b/>
          <w:bCs/>
        </w:rPr>
        <w:t xml:space="preserve">Reading the engine.</w:t>
      </w:r>
      <w:r>
        <w:t xml:space="preserve"> </w:t>
      </w:r>
      <w:r>
        <w:t xml:space="preserve">The two branches out of</w:t>
      </w:r>
      <w:r>
        <w:t xml:space="preserve"> </w:t>
      </w:r>
      <w:r>
        <w:t xml:space="preserve">“GEDI usable?”</w:t>
      </w:r>
      <w:r>
        <w:t xml:space="preserve"> </w:t>
      </w:r>
      <w:r>
        <w:t xml:space="preserve">are the provenance fork: the</w:t>
      </w:r>
      <w:r>
        <w:t xml:space="preserve"> </w:t>
      </w:r>
      <w:r>
        <w:t xml:space="preserve">green path (site-calibrated) and the amber path (IPCC-default, indicative). The</w:t>
      </w:r>
      <w:r>
        <w:t xml:space="preserve"> </w:t>
      </w:r>
      <w:r>
        <w:t xml:space="preserve">double-bordered</w:t>
      </w:r>
      <w:r>
        <w:t xml:space="preserve"> </w:t>
      </w:r>
      <w:r>
        <w:rPr>
          <w:b/>
          <w:bCs/>
        </w:rPr>
        <w:t xml:space="preserve">clamp</w:t>
      </w:r>
      <w:r>
        <w:t xml:space="preserve"> </w:t>
      </w:r>
      <w:r>
        <w:t xml:space="preserve">node is where the ecological-ceiling constraint from Section 1.2 is</w:t>
      </w:r>
      <w:r>
        <w:t xml:space="preserve"> </w:t>
      </w:r>
      <w:r>
        <w:t xml:space="preserve">enforced. The deduction chain at the bottom is where screening-level additionality and</w:t>
      </w:r>
      <w:r>
        <w:t xml:space="preserve"> </w:t>
      </w:r>
      <w:r>
        <w:t xml:space="preserve">permanence are represented conservatively (Section 4 and FAQ Q4).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section-4-use-cases-system-limitations"/>
    <w:p>
      <w:pPr>
        <w:pStyle w:val="Heading2"/>
      </w:pPr>
      <w:r>
        <w:t xml:space="preserve">Section 4 — Use Cases &amp; System Limitations</w:t>
      </w:r>
    </w:p>
    <w:bookmarkStart w:id="28" w:name="primary-use-case"/>
    <w:p>
      <w:pPr>
        <w:pStyle w:val="Heading3"/>
      </w:pPr>
      <w:r>
        <w:t xml:space="preserve">4.1 Primary use case</w:t>
      </w:r>
    </w:p>
    <w:p>
      <w:pPr>
        <w:pStyle w:val="FirstParagraph"/>
      </w:pPr>
      <w:r>
        <w:rPr>
          <w:b/>
          <w:bCs/>
        </w:rPr>
        <w:t xml:space="preserve">A rapid, first-pass screening and pre-feasibility evaluation tool.</w:t>
      </w:r>
      <w:r>
        <w:t xml:space="preserve"> </w:t>
      </w:r>
      <w:r>
        <w:t xml:space="preserve">Its job is to help a</w:t>
      </w:r>
      <w:r>
        <w:t xml:space="preserve"> </w:t>
      </w:r>
      <w:r>
        <w:t xml:space="preserve">project developer, investor, or analyst answer, in minutes and at zero field cost: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Is there enough eligible (Stable non-forest / Forest loss) land in this AOI to be worth</w:t>
      </w:r>
      <w:r>
        <w:rPr>
          <w:i/>
          <w:iCs/>
        </w:rPr>
        <w:t xml:space="preserve"> </w:t>
      </w:r>
      <w:r>
        <w:rPr>
          <w:i/>
          <w:iCs/>
        </w:rPr>
        <w:t xml:space="preserve">pursuing?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What is the order-of-magnitude carbon and credit potential, with an honest uncertainty</w:t>
      </w:r>
      <w:r>
        <w:rPr>
          <w:i/>
          <w:iCs/>
        </w:rPr>
        <w:t xml:space="preserve"> </w:t>
      </w:r>
      <w:r>
        <w:rPr>
          <w:i/>
          <w:iCs/>
        </w:rPr>
        <w:t xml:space="preserve">band?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How do intervention choices (planting vs. ANR, species, density) change that potential?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Which of several candidate areas should receive the limited budget for full field</w:t>
      </w:r>
      <w:r>
        <w:rPr>
          <w:i/>
          <w:iCs/>
        </w:rPr>
        <w:t xml:space="preserve"> </w:t>
      </w:r>
      <w:r>
        <w:rPr>
          <w:i/>
          <w:iCs/>
        </w:rPr>
        <w:t xml:space="preserve">measurement and methodology-compliant modelling?</w:t>
      </w:r>
    </w:p>
    <w:p>
      <w:pPr>
        <w:pStyle w:val="FirstParagraph"/>
      </w:pPr>
      <w:r>
        <w:t xml:space="preserve">It is a</w:t>
      </w:r>
      <w:r>
        <w:t xml:space="preserve"> </w:t>
      </w:r>
      <w:r>
        <w:rPr>
          <w:b/>
          <w:bCs/>
        </w:rPr>
        <w:t xml:space="preserve">funnel and a triage instrument</w:t>
      </w:r>
      <w:r>
        <w:t xml:space="preserve"> </w:t>
      </w:r>
      <w:r>
        <w:t xml:space="preserve">— a way to spend expensive due-diligence effort</w:t>
      </w:r>
      <w:r>
        <w:t xml:space="preserve"> </w:t>
      </w:r>
      <w:r>
        <w:t xml:space="preserve">only where the cheap screen says it is warranted. It sits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a full pre-feasibility or</w:t>
      </w:r>
      <w:r>
        <w:t xml:space="preserve"> </w:t>
      </w:r>
      <w:r>
        <w:t xml:space="preserve">site-level feasibility study, not in place of it.</w:t>
      </w:r>
    </w:p>
    <w:bookmarkEnd w:id="28"/>
    <w:bookmarkStart w:id="29" w:name="key-limitations"/>
    <w:p>
      <w:pPr>
        <w:pStyle w:val="Heading3"/>
      </w:pPr>
      <w:r>
        <w:t xml:space="preserve">4.2 Key limitations</w:t>
      </w:r>
    </w:p>
    <w:p>
      <w:pPr>
        <w:pStyle w:val="FirstParagraph"/>
      </w:pPr>
      <w:r>
        <w:rPr>
          <w:b/>
          <w:bCs/>
        </w:rPr>
        <w:t xml:space="preserve">Reliance on global default datasets.</w:t>
      </w:r>
      <w:r>
        <w:t xml:space="preserve"> </w:t>
      </w:r>
      <w:r>
        <w:t xml:space="preserve">Hansen and GEDI are global products with genuine,</w:t>
      </w:r>
      <w:r>
        <w:t xml:space="preserve"> </w:t>
      </w:r>
      <w:r>
        <w:t xml:space="preserve">well-documented localisation discrepancies:</w:t>
      </w:r>
    </w:p>
    <w:p>
      <w:pPr>
        <w:pStyle w:val="Compact"/>
        <w:numPr>
          <w:ilvl w:val="0"/>
          <w:numId w:val="1008"/>
        </w:numPr>
      </w:pPr>
      <w:r>
        <w:t xml:space="preserve">Hansen may mis-time or mis-classify change in cloud-prone, dry, or plantation landscapes,</w:t>
      </w:r>
      <w:r>
        <w:t xml:space="preserve"> </w:t>
      </w:r>
      <w:r>
        <w:t xml:space="preserve">and its</w:t>
      </w:r>
      <w:r>
        <w:t xml:space="preserve"> </w:t>
      </w:r>
      <w:r>
        <w:t xml:space="preserve">“loss”</w:t>
      </w:r>
      <w:r>
        <w:t xml:space="preserve"> </w:t>
      </w:r>
      <w:r>
        <w:t xml:space="preserve">does not distinguish deforestation from harvest or natural disturbance.</w:t>
      </w:r>
    </w:p>
    <w:p>
      <w:pPr>
        <w:pStyle w:val="Compact"/>
        <w:numPr>
          <w:ilvl w:val="0"/>
          <w:numId w:val="1008"/>
        </w:numPr>
      </w:pPr>
      <w:r>
        <w:t xml:space="preserve">GEDI is a</w:t>
      </w:r>
      <w:r>
        <w:t xml:space="preserve"> </w:t>
      </w:r>
      <w:r>
        <w:rPr>
          <w:i/>
          <w:iCs/>
        </w:rPr>
        <w:t xml:space="preserve">sample</w:t>
      </w:r>
      <w:r>
        <w:t xml:space="preserve">, is unavailable above ~51.6° latitude, and can be sparse over small</w:t>
      </w:r>
      <w:r>
        <w:t xml:space="preserve"> </w:t>
      </w:r>
      <w:r>
        <w:t xml:space="preserve">AOIs — in which cases the tool falls back to zone defaults and labels results as</w:t>
      </w:r>
      <w:r>
        <w:t xml:space="preserve"> </w:t>
      </w:r>
      <w:r>
        <w:t xml:space="preserve">indicative.</w:t>
      </w:r>
    </w:p>
    <w:p>
      <w:pPr>
        <w:pStyle w:val="Compact"/>
        <w:numPr>
          <w:ilvl w:val="0"/>
          <w:numId w:val="1008"/>
        </w:numPr>
      </w:pPr>
      <w:r>
        <w:t xml:space="preserve">Both are subject to their own measurement and model error, which the tool propagates but</w:t>
      </w:r>
      <w:r>
        <w:t xml:space="preserve"> </w:t>
      </w:r>
      <w:r>
        <w:t xml:space="preserve">cannot eliminate.</w:t>
      </w:r>
    </w:p>
    <w:p>
      <w:pPr>
        <w:pStyle w:val="FirstParagraph"/>
      </w:pPr>
      <w:r>
        <w:rPr>
          <w:b/>
          <w:bCs/>
        </w:rPr>
        <w:t xml:space="preserve">Simplified, screening-level carbon model.</w:t>
      </w:r>
      <w:r>
        <w:t xml:space="preserve"> </w:t>
      </w:r>
      <w:r>
        <w:t xml:space="preserve">The engine is a transparent, screening-grade</w:t>
      </w:r>
      <w:r>
        <w:t xml:space="preserve"> </w:t>
      </w:r>
      <w:r>
        <w:t xml:space="preserve">model —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 full Tier 3, methodology-specific accounting. Specifically:</w:t>
      </w:r>
    </w:p>
    <w:p>
      <w:pPr>
        <w:pStyle w:val="Compact"/>
        <w:numPr>
          <w:ilvl w:val="0"/>
          <w:numId w:val="1009"/>
        </w:numPr>
      </w:pPr>
      <w:r>
        <w:t xml:space="preserve">The baseline is approximated (from the project stratum’s own historical trend, clamped to</w:t>
      </w:r>
      <w:r>
        <w:t xml:space="preserve"> </w:t>
      </w:r>
      <w:r>
        <w:t xml:space="preserve">be non-additional), not a formally modelled Verra/Gold Standard counterfactual.</w:t>
      </w:r>
    </w:p>
    <w:p>
      <w:pPr>
        <w:pStyle w:val="Compact"/>
        <w:numPr>
          <w:ilvl w:val="0"/>
          <w:numId w:val="1009"/>
        </w:numPr>
      </w:pPr>
      <w:r>
        <w:t xml:space="preserve">Additionality, leakage, and non-permanence are represented as</w:t>
      </w:r>
      <w:r>
        <w:t xml:space="preserve"> </w:t>
      </w:r>
      <w:r>
        <w:rPr>
          <w:b/>
          <w:bCs/>
        </w:rPr>
        <w:t xml:space="preserve">conservative deductions</w:t>
      </w:r>
      <w:r>
        <w:t xml:space="preserve">,</w:t>
      </w:r>
      <w:r>
        <w:t xml:space="preserve"> </w:t>
      </w:r>
      <w:r>
        <w:t xml:space="preserve">not as the evidence-based assessments a methodology requires (see FAQ Q4).</w:t>
      </w:r>
    </w:p>
    <w:p>
      <w:pPr>
        <w:pStyle w:val="Compact"/>
        <w:numPr>
          <w:ilvl w:val="0"/>
          <w:numId w:val="1009"/>
        </w:numPr>
      </w:pPr>
      <w:r>
        <w:t xml:space="preserve">Carbon pools are simplified (above- and below-ground woody biomass by default; SOC,</w:t>
      </w:r>
      <w:r>
        <w:t xml:space="preserve"> </w:t>
      </w:r>
      <w:r>
        <w:t xml:space="preserve">deadwood, and litter optional and unverified).</w:t>
      </w:r>
    </w:p>
    <w:p>
      <w:pPr>
        <w:pStyle w:val="Compact"/>
        <w:numPr>
          <w:ilvl w:val="0"/>
          <w:numId w:val="1009"/>
        </w:numPr>
      </w:pPr>
      <w:r>
        <w:t xml:space="preserve">The GEDI standard error slightly understates total uncertainty because it approximates,</w:t>
      </w:r>
      <w:r>
        <w:t xml:space="preserve"> </w:t>
      </w:r>
      <w:r>
        <w:t xml:space="preserve">rather than fully propagates, GEDI’s model covariance term. This is one reason the tool</w:t>
      </w:r>
      <w:r>
        <w:t xml:space="preserve"> </w:t>
      </w:r>
      <w:r>
        <w:t xml:space="preserve">applies its own sample-size-aware uncertainty floor.</w:t>
      </w:r>
    </w:p>
    <w:p>
      <w:pPr>
        <w:pStyle w:val="FirstParagraph"/>
      </w:pPr>
      <w:r>
        <w:rPr>
          <w:b/>
          <w:bCs/>
        </w:rPr>
        <w:t xml:space="preserve">In short:</w:t>
      </w:r>
      <w:r>
        <w:t xml:space="preserve"> </w:t>
      </w:r>
      <w:r>
        <w:t xml:space="preserve">the outputs are defensible as a</w:t>
      </w:r>
      <w:r>
        <w:t xml:space="preserve"> </w:t>
      </w:r>
      <w:r>
        <w:rPr>
          <w:i/>
          <w:iCs/>
        </w:rPr>
        <w:t xml:space="preserve">screen</w:t>
      </w:r>
      <w:r>
        <w:t xml:space="preserve"> </w:t>
      </w:r>
      <w:r>
        <w:t xml:space="preserve">and indefensible as a</w:t>
      </w:r>
      <w:r>
        <w:t xml:space="preserve"> </w:t>
      </w:r>
      <w:r>
        <w:rPr>
          <w:i/>
          <w:iCs/>
        </w:rPr>
        <w:t xml:space="preserve">submission</w:t>
      </w:r>
      <w:r>
        <w:t xml:space="preserve">.</w:t>
      </w:r>
      <w:r>
        <w:t xml:space="preserve"> </w:t>
      </w:r>
      <w:r>
        <w:t xml:space="preserve">Treat the sensitivity range, not the point estimate, as the result, and never use these</w:t>
      </w:r>
      <w:r>
        <w:t xml:space="preserve"> </w:t>
      </w:r>
      <w:r>
        <w:t xml:space="preserve">figures for credit issuance, sales, or investment commitment without the subsequent</w:t>
      </w:r>
      <w:r>
        <w:t xml:space="preserve"> </w:t>
      </w:r>
      <w:r>
        <w:t xml:space="preserve">feasibility work they are meant to prioritise.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section-5-qa-faq"/>
    <w:p>
      <w:pPr>
        <w:pStyle w:val="Heading2"/>
      </w:pPr>
      <w:r>
        <w:t xml:space="preserve">Section 5 — QA / FAQ</w:t>
      </w:r>
    </w:p>
    <w:p>
      <w:pPr>
        <w:pStyle w:val="FirstParagraph"/>
      </w:pPr>
      <w:r>
        <w:rPr>
          <w:b/>
          <w:bCs/>
        </w:rPr>
        <w:t xml:space="preserve">Q1 — Is there another version of this tool available?</w:t>
      </w:r>
    </w:p>
    <w:p>
      <w:pPr>
        <w:pStyle w:val="BodyText"/>
      </w:pPr>
      <w:r>
        <w:t xml:space="preserve">Yes. This release is an early, evolving version, deliberately not framed as a finished</w:t>
      </w:r>
      <w:r>
        <w:t xml:space="preserve"> </w:t>
      </w:r>
      <w:r>
        <w:t xml:space="preserve">product. It emerged from an iterative development process and is expected to grow — more</w:t>
      </w:r>
      <w:r>
        <w:t xml:space="preserve"> </w:t>
      </w:r>
      <w:r>
        <w:t xml:space="preserve">datasets, richer intervention modelling, and tighter methodology alignment are on the</w:t>
      </w:r>
      <w:r>
        <w:t xml:space="preserve"> </w:t>
      </w:r>
      <w:r>
        <w:t xml:space="preserve">roadmap. We see tooling in this space as a collaboration: user feedback from real screening</w:t>
      </w:r>
      <w:r>
        <w:t xml:space="preserve"> </w:t>
      </w:r>
      <w:r>
        <w:t xml:space="preserve">work directly shapes what gets built next. If you have parameters, local data, or workflow</w:t>
      </w:r>
      <w:r>
        <w:t xml:space="preserve"> </w:t>
      </w:r>
      <w:r>
        <w:t xml:space="preserve">needs the tool does not yet cover, that input is welcome and actively wanted.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 — Why do the carbon estimations from this tool look different from my own field</w:t>
      </w:r>
      <w:r>
        <w:rPr>
          <w:b/>
          <w:bCs/>
        </w:rPr>
        <w:t xml:space="preserve"> </w:t>
      </w:r>
      <w:r>
        <w:rPr>
          <w:b/>
          <w:bCs/>
        </w:rPr>
        <w:t xml:space="preserve">data or models?</w:t>
      </w:r>
    </w:p>
    <w:p>
      <w:pPr>
        <w:pStyle w:val="BodyText"/>
      </w:pPr>
      <w:r>
        <w:t xml:space="preserve">This tool uses a</w:t>
      </w:r>
      <w:r>
        <w:t xml:space="preserve"> </w:t>
      </w:r>
      <w:r>
        <w:rPr>
          <w:b/>
          <w:bCs/>
        </w:rPr>
        <w:t xml:space="preserve">carbon-equilibrium approach.</w:t>
      </w:r>
      <w:r>
        <w:t xml:space="preserve"> </w:t>
      </w:r>
      <w:r>
        <w:t xml:space="preserve">Its projected carbon stock will</w:t>
      </w:r>
      <w:r>
        <w:t xml:space="preserve"> </w:t>
      </w:r>
      <w:r>
        <w:rPr>
          <w:i/>
          <w:iCs/>
        </w:rPr>
        <w:t xml:space="preserve">never</w:t>
      </w:r>
      <w:r>
        <w:t xml:space="preserve"> </w:t>
      </w:r>
      <w:r>
        <w:t xml:space="preserve">exceed the ecological carrying capacity defined by the local GEDI biomass data (the mean</w:t>
      </w:r>
      <w:r>
        <w:t xml:space="preserve"> </w:t>
      </w:r>
      <w:r>
        <w:t xml:space="preserve">biomass of the surrounding mature forest). Your ground-measured results or local models may</w:t>
      </w:r>
      <w:r>
        <w:t xml:space="preserve"> </w:t>
      </w:r>
      <w:r>
        <w:t xml:space="preserve">show higher potential yields under optimal management — and they may well be right for a</w:t>
      </w:r>
      <w:r>
        <w:t xml:space="preserve"> </w:t>
      </w:r>
      <w:r>
        <w:t xml:space="preserve">specific, well-tended stand. This tool deliberately implements a</w:t>
      </w:r>
      <w:r>
        <w:t xml:space="preserve"> </w:t>
      </w:r>
      <w:r>
        <w:rPr>
          <w:b/>
          <w:bCs/>
        </w:rPr>
        <w:t xml:space="preserve">conservative,</w:t>
      </w:r>
      <w:r>
        <w:rPr>
          <w:b/>
          <w:bCs/>
        </w:rPr>
        <w:t xml:space="preserve"> </w:t>
      </w:r>
      <w:r>
        <w:rPr>
          <w:b/>
          <w:bCs/>
        </w:rPr>
        <w:t xml:space="preserve">ecologically constrained ceiling for risk management</w:t>
      </w:r>
      <w:r>
        <w:t xml:space="preserve">: at the screening stage it is safer</w:t>
      </w:r>
      <w:r>
        <w:t xml:space="preserve"> </w:t>
      </w:r>
      <w:r>
        <w:t xml:space="preserve">to under-promise. Remember that this tool precedes a full pre-feasibility or comprehensive</w:t>
      </w:r>
      <w:r>
        <w:t xml:space="preserve"> </w:t>
      </w:r>
      <w:r>
        <w:t xml:space="preserve">site-level feasibility study, where localised parameters and primary field data are fully</w:t>
      </w:r>
      <w:r>
        <w:t xml:space="preserve"> </w:t>
      </w:r>
      <w:r>
        <w:t xml:space="preserve">integrated and where a higher, well-substantiated yield can legitimately be modelled.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 — What is the spatial resolution and update frequency of the underlying data?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Hansen Global Forest Change</w:t>
      </w:r>
      <w:r>
        <w:t xml:space="preserve"> </w:t>
      </w:r>
      <w:r>
        <w:t xml:space="preserve">— 30 m pixels, updated annually. The default source is the</w:t>
      </w:r>
      <w:r>
        <w:t xml:space="preserve"> </w:t>
      </w:r>
      <w:r>
        <w:t xml:space="preserve">2025 v1.13 collection, whose loss record extends through 2024; older collections remain</w:t>
      </w:r>
      <w:r>
        <w:t xml:space="preserve"> </w:t>
      </w:r>
      <w:r>
        <w:t xml:space="preserve">selectable for reproducibility.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GEDI L4A biomass</w:t>
      </w:r>
      <w:r>
        <w:t xml:space="preserve"> </w:t>
      </w:r>
      <w:r>
        <w:t xml:space="preserve">— ~25 m footprints, collected from 2019 onward as an orbital</w:t>
      </w:r>
      <w:r>
        <w:t xml:space="preserve"> </w:t>
      </w:r>
      <w:r>
        <w:rPr>
          <w:i/>
          <w:iCs/>
        </w:rPr>
        <w:t xml:space="preserve">sample</w:t>
      </w:r>
      <w:r>
        <w:t xml:space="preserve"> </w:t>
      </w:r>
      <w:r>
        <w:t xml:space="preserve">(not wall-to-wall), between roughly 51.6° N and 51.6° S. The tool aggregates the available</w:t>
      </w:r>
      <w:r>
        <w:t xml:space="preserve"> </w:t>
      </w:r>
      <w:r>
        <w:t xml:space="preserve">multi-year footprint record per transition class.</w:t>
      </w:r>
    </w:p>
    <w:p>
      <w:pPr>
        <w:pStyle w:val="FirstParagraph"/>
      </w:pPr>
      <w:r>
        <w:t xml:space="preserve">Because these cadences differ and GEDI is a sample, small or recently-changed AOIs can have</w:t>
      </w:r>
      <w:r>
        <w:t xml:space="preserve"> </w:t>
      </w:r>
      <w:r>
        <w:t xml:space="preserve">thin footprint counts. The provenance tier on every output tells you when this has forced a</w:t>
      </w:r>
      <w:r>
        <w:t xml:space="preserve"> </w:t>
      </w:r>
      <w:r>
        <w:t xml:space="preserve">fallback to defaults. Re-running after a new Hansen release, or over a larger AOI, can</w:t>
      </w:r>
      <w:r>
        <w:t xml:space="preserve"> </w:t>
      </w:r>
      <w:r>
        <w:t xml:space="preserve">improve both the classification currency and the GEDI sample size.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 — How are additionality and leakage handled at this screening stage?</w:t>
      </w:r>
    </w:p>
    <w:p>
      <w:pPr>
        <w:pStyle w:val="BodyText"/>
      </w:pPr>
      <w:r>
        <w:t xml:space="preserve">Conservatively and approximately —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as a methodology-compliant assessment. At the</w:t>
      </w:r>
      <w:r>
        <w:t xml:space="preserve"> </w:t>
      </w:r>
      <w:r>
        <w:t xml:space="preserve">screening stage: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Additionality</w:t>
      </w:r>
      <w:r>
        <w:t xml:space="preserve"> </w:t>
      </w:r>
      <w:r>
        <w:t xml:space="preserve">is approached two ways. Observed historical additionality (whether the</w:t>
      </w:r>
      <w:r>
        <w:t xml:space="preserve"> </w:t>
      </w:r>
      <w:r>
        <w:t xml:space="preserve">land is already gaining biomass) is reported as a sanity check. For the ex-ante estimate,</w:t>
      </w:r>
      <w:r>
        <w:t xml:space="preserve"> </w:t>
      </w:r>
      <w:r>
        <w:t xml:space="preserve">the baseline is taken from the project stratum’s</w:t>
      </w:r>
      <w:r>
        <w:t xml:space="preserve"> </w:t>
      </w:r>
      <w:r>
        <w:rPr>
          <w:i/>
          <w:iCs/>
        </w:rPr>
        <w:t xml:space="preserve">own</w:t>
      </w:r>
      <w:r>
        <w:t xml:space="preserve"> </w:t>
      </w:r>
      <w:r>
        <w:t xml:space="preserve">historical trend and clamped to be</w:t>
      </w:r>
      <w:r>
        <w:t xml:space="preserve"> </w:t>
      </w:r>
      <w:r>
        <w:t xml:space="preserve">non-additional (≥ 0), so any pre-existing biomass gain is subtracted from the project’s</w:t>
      </w:r>
      <w:r>
        <w:t xml:space="preserve"> </w:t>
      </w:r>
      <w:r>
        <w:t xml:space="preserve">gross removals every year rather than credited. This is a deliberately cautious proxy for</w:t>
      </w:r>
      <w:r>
        <w:t xml:space="preserve"> </w:t>
      </w:r>
      <w:r>
        <w:t xml:space="preserve">a formally modelled counterfactual, not a substitute for one.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Leakage</w:t>
      </w:r>
      <w:r>
        <w:t xml:space="preserve"> </w:t>
      </w:r>
      <w:r>
        <w:t xml:space="preserve">is applied as a user-set percentage deduction over a configurable period, a</w:t>
      </w:r>
      <w:r>
        <w:t xml:space="preserve"> </w:t>
      </w:r>
      <w:r>
        <w:t xml:space="preserve">placeholder for the activity-shifting and market-leakage analysis a full methodology</w:t>
      </w:r>
      <w:r>
        <w:t xml:space="preserve"> </w:t>
      </w:r>
      <w:r>
        <w:t xml:space="preserve">requires.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Non-permanence</w:t>
      </w:r>
      <w:r>
        <w:t xml:space="preserve"> </w:t>
      </w:r>
      <w:r>
        <w:t xml:space="preserve">is represented by a buffer-pool deduction, and</w:t>
      </w:r>
      <w:r>
        <w:t xml:space="preserve"> </w:t>
      </w:r>
      <w:r>
        <w:rPr>
          <w:b/>
          <w:bCs/>
        </w:rPr>
        <w:t xml:space="preserve">uncertainty</w:t>
      </w:r>
      <w:r>
        <w:t xml:space="preserve"> </w:t>
      </w:r>
      <w:r>
        <w:t xml:space="preserve">by a</w:t>
      </w:r>
      <w:r>
        <w:t xml:space="preserve"> </w:t>
      </w:r>
      <w:r>
        <w:t xml:space="preserve">deduction that escalates automatically when the carbon curve is not backed by local GEDI</w:t>
      </w:r>
      <w:r>
        <w:t xml:space="preserve"> </w:t>
      </w:r>
      <w:r>
        <w:t xml:space="preserve">measurement.</w:t>
      </w:r>
    </w:p>
    <w:p>
      <w:pPr>
        <w:pStyle w:val="FirstParagraph"/>
      </w:pPr>
      <w:r>
        <w:t xml:space="preserve">A rigorous additionality demonstration (regulatory surplus, barrier analysis, common-</w:t>
      </w:r>
      <w:r>
        <w:t xml:space="preserve"> </w:t>
      </w:r>
      <w:r>
        <w:t xml:space="preserve">practice) and a quantified leakage assessment are part of the</w:t>
      </w:r>
      <w:r>
        <w:t xml:space="preserve"> </w:t>
      </w:r>
      <w:r>
        <w:rPr>
          <w:i/>
          <w:iCs/>
        </w:rPr>
        <w:t xml:space="preserve">feasibility</w:t>
      </w:r>
      <w:r>
        <w:t xml:space="preserve"> </w:t>
      </w:r>
      <w:r>
        <w:t xml:space="preserve">stage that this</w:t>
      </w:r>
      <w:r>
        <w:t xml:space="preserve"> </w:t>
      </w:r>
      <w:r>
        <w:t xml:space="preserve">screen is designed to precede, not replace.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Q5 — Can I use these outputs for credit issuance, sales, or an investment decision?</w:t>
      </w:r>
    </w:p>
    <w:p>
      <w:pPr>
        <w:pStyle w:val="BodyText"/>
      </w:pPr>
      <w:r>
        <w:t xml:space="preserve">No. These are ex-ante</w:t>
      </w:r>
      <w:r>
        <w:t xml:space="preserve"> </w:t>
      </w:r>
      <w:r>
        <w:rPr>
          <w:i/>
          <w:iCs/>
        </w:rPr>
        <w:t xml:space="preserve">screening</w:t>
      </w:r>
      <w:r>
        <w:t xml:space="preserve"> </w:t>
      </w:r>
      <w:r>
        <w:t xml:space="preserve">figures. They are appropriate for prioritising sites,</w:t>
      </w:r>
      <w:r>
        <w:t xml:space="preserve"> </w:t>
      </w:r>
      <w:r>
        <w:t xml:space="preserve">sizing an opportunity, and deciding where to spend field budget. They are not a validated</w:t>
      </w:r>
      <w:r>
        <w:t xml:space="preserve"> </w:t>
      </w:r>
      <w:r>
        <w:t xml:space="preserve">quantification and must not be used for issuance, forward sales, or a final investment</w:t>
      </w:r>
      <w:r>
        <w:t xml:space="preserve"> </w:t>
      </w:r>
      <w:r>
        <w:t xml:space="preserve">commitment without the subsequent methodology-compliant feasibility work.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Q6 — My project area is outside GEDI coverage (high latitude). Does the tool still work?</w:t>
      </w:r>
    </w:p>
    <w:p>
      <w:pPr>
        <w:pStyle w:val="BodyText"/>
      </w:pPr>
      <w:r>
        <w:t xml:space="preserve">Yes, with a clearly-labelled caveat. Outside the ±51.6° GEDI band, the carbon curve cannot</w:t>
      </w:r>
      <w:r>
        <w:t xml:space="preserve"> </w:t>
      </w:r>
      <w:r>
        <w:t xml:space="preserve">be calibrated from local LiDAR and falls back to IPCC ecological-zone defaults; results are</w:t>
      </w:r>
      <w:r>
        <w:t xml:space="preserve"> </w:t>
      </w:r>
      <w:r>
        <w:t xml:space="preserve">tagged</w:t>
      </w:r>
      <w:r>
        <w:t xml:space="preserve"> </w:t>
      </w:r>
      <w:r>
        <w:rPr>
          <w:rStyle w:val="VerbatimChar"/>
        </w:rPr>
        <w:t xml:space="preserve">ipcc_default</w:t>
      </w:r>
      <w:r>
        <w:t xml:space="preserve"> </w:t>
      </w:r>
      <w:r>
        <w:t xml:space="preserve">(indicative only) and carry a larger uncertainty deduction. The</w:t>
      </w:r>
      <w:r>
        <w:t xml:space="preserve"> </w:t>
      </w:r>
      <w:r>
        <w:t xml:space="preserve">spatial screen (Hansen classification, eligible-area accounting) works everywhere on Earth</w:t>
      </w:r>
      <w:r>
        <w:t xml:space="preserve"> </w:t>
      </w:r>
      <w:r>
        <w:t xml:space="preserve">regardless of GEDI coverage.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Q7 — What does the</w:t>
      </w:r>
      <w:r>
        <w:rPr>
          <w:b/>
          <w:bCs/>
        </w:rPr>
        <w:t xml:space="preserve"> </w:t>
      </w:r>
      <w:r>
        <w:rPr>
          <w:b/>
          <w:bCs/>
        </w:rPr>
        <w:t xml:space="preserve">“provenance tier”</w:t>
      </w:r>
      <w:r>
        <w:rPr>
          <w:b/>
          <w:bCs/>
        </w:rPr>
        <w:t xml:space="preserve"> </w:t>
      </w:r>
      <w:r>
        <w:rPr>
          <w:b/>
          <w:bCs/>
        </w:rPr>
        <w:t xml:space="preserve">on my results mean, and why should I care?</w:t>
      </w:r>
    </w:p>
    <w:p>
      <w:pPr>
        <w:pStyle w:val="BodyText"/>
      </w:pPr>
      <w:r>
        <w:t xml:space="preserve">It states how much local measurement stands behind the carbon numbers:</w:t>
      </w:r>
      <w:r>
        <w:t xml:space="preserve"> </w:t>
      </w:r>
      <w:r>
        <w:rPr>
          <w:rStyle w:val="VerbatimChar"/>
        </w:rPr>
        <w:t xml:space="preserve">gedi_calibrated</w:t>
      </w:r>
      <w:r>
        <w:t xml:space="preserve"> </w:t>
      </w:r>
      <w:r>
        <w:t xml:space="preserve">(site-measured ceiling and rate),</w:t>
      </w:r>
      <w:r>
        <w:t xml:space="preserve"> </w:t>
      </w:r>
      <w:r>
        <w:rPr>
          <w:rStyle w:val="VerbatimChar"/>
        </w:rPr>
        <w:t xml:space="preserve">gedi_partial</w:t>
      </w:r>
      <w:r>
        <w:t xml:space="preserve"> </w:t>
      </w:r>
      <w:r>
        <w:t xml:space="preserve">(one of the two), or</w:t>
      </w:r>
      <w:r>
        <w:t xml:space="preserve"> </w:t>
      </w:r>
      <w:r>
        <w:rPr>
          <w:rStyle w:val="VerbatimChar"/>
        </w:rPr>
        <w:t xml:space="preserve">ipcc_default</w:t>
      </w:r>
      <w:r>
        <w:t xml:space="preserve"> </w:t>
      </w:r>
      <w:r>
        <w:t xml:space="preserve">(literature only). It is the single most important label on any output: a</w:t>
      </w:r>
      <w:r>
        <w:t xml:space="preserve"> </w:t>
      </w:r>
      <w:r>
        <w:rPr>
          <w:rStyle w:val="VerbatimChar"/>
        </w:rPr>
        <w:t xml:space="preserve">gedi_calibrated</w:t>
      </w:r>
      <w:r>
        <w:t xml:space="preserve"> </w:t>
      </w:r>
      <w:r>
        <w:t xml:space="preserve">estimate is a defensible screen, while an</w:t>
      </w:r>
      <w:r>
        <w:t xml:space="preserve"> </w:t>
      </w:r>
      <w:r>
        <w:rPr>
          <w:rStyle w:val="VerbatimChar"/>
        </w:rPr>
        <w:t xml:space="preserve">ipcc_default</w:t>
      </w:r>
      <w:r>
        <w:t xml:space="preserve"> </w:t>
      </w:r>
      <w:r>
        <w:t xml:space="preserve">estimate is an</w:t>
      </w:r>
      <w:r>
        <w:t xml:space="preserve"> </w:t>
      </w:r>
      <w:r>
        <w:t xml:space="preserve">order-of-magnitude indication. Always quote the tier alongside the number.</w:t>
      </w:r>
    </w:p>
    <w:p>
      <w:r>
        <w:pict>
          <v:rect style="width:0;height:1.5pt" o:hralign="center" o:hrstd="t" o:hr="t"/>
        </w:pict>
      </w:r>
    </w:p>
    <w:bookmarkStart w:id="31" w:name="document-control"/>
    <w:p>
      <w:pPr>
        <w:pStyle w:val="Heading3"/>
      </w:pPr>
      <w:r>
        <w:t xml:space="preserve">Document control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/insights</w:t>
            </w:r>
            <w:r>
              <w:t xml:space="preserve"> </w:t>
            </w:r>
            <w:r>
              <w:t xml:space="preserve">— ARR Due Diligence · OBIWAN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Screening tool (pre-feasibility). Not for issuance or investment commitment.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sources</w:t>
            </w:r>
          </w:p>
        </w:tc>
        <w:tc>
          <w:tcPr/>
          <w:p>
            <w:pPr>
              <w:pStyle w:val="Compact"/>
            </w:pPr>
            <w:r>
              <w:t xml:space="preserve">Hansen GFC (UMD) · GEDI L4A (NASA/UMD)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Methodology alignment</w:t>
            </w:r>
          </w:p>
        </w:tc>
        <w:tc>
          <w:tcPr/>
          <w:p>
            <w:pPr>
              <w:pStyle w:val="Compact"/>
            </w:pPr>
            <w:r>
              <w:t xml:space="preserve">VM0047-aligned, screening-level (not a validated quantification)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 parameter provenance</w:t>
            </w:r>
          </w:p>
        </w:tc>
        <w:tc>
          <w:tcPr/>
          <w:p>
            <w:pPr>
              <w:pStyle w:val="Compact"/>
            </w:pPr>
            <w:r>
              <w:t xml:space="preserve">IPCC 2019 Refinement, Vol. 4, Ch. 4 — verify before any submission</w:t>
            </w:r>
          </w:p>
        </w:tc>
      </w:tr>
    </w:tbl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2026-07-23T00:42:29Z</dcterms:created>
  <dcterms:modified xsi:type="dcterms:W3CDTF">2026-07-23T00:42:29Z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