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5D18" w14:textId="77777777" w:rsidR="0016550C" w:rsidRDefault="00000000">
      <w:pPr>
        <w:pStyle w:val="Heading1"/>
        <w:rPr>
          <w:sz w:val="46"/>
          <w:szCs w:val="46"/>
        </w:rPr>
      </w:pPr>
      <w:r>
        <w:rPr>
          <w:sz w:val="46"/>
          <w:szCs w:val="46"/>
        </w:rPr>
        <w:t>Strategic Architecture and Content Framework for the University of Toledo Athletics Onboarding Platform</w:t>
      </w:r>
    </w:p>
    <w:p w14:paraId="64085D19" w14:textId="77777777" w:rsidR="0016550C" w:rsidRDefault="00000000">
      <w:pPr>
        <w:pStyle w:val="Heading2"/>
        <w:spacing w:before="0"/>
        <w:rPr>
          <w:sz w:val="34"/>
          <w:szCs w:val="34"/>
        </w:rPr>
      </w:pPr>
      <w:r>
        <w:rPr>
          <w:sz w:val="34"/>
          <w:szCs w:val="34"/>
        </w:rPr>
        <w:t>Executive Synthesis and Paradigm Evaluation</w:t>
      </w:r>
    </w:p>
    <w:p w14:paraId="64085D1A" w14:textId="77777777" w:rsidR="0016550C" w:rsidRDefault="00000000">
      <w:pPr>
        <w:pBdr>
          <w:top w:val="nil"/>
          <w:left w:val="nil"/>
          <w:bottom w:val="nil"/>
          <w:right w:val="nil"/>
          <w:between w:val="nil"/>
        </w:pBdr>
        <w:rPr>
          <w:sz w:val="20"/>
          <w:szCs w:val="20"/>
        </w:rPr>
      </w:pPr>
      <w:r>
        <w:rPr>
          <w:sz w:val="20"/>
          <w:szCs w:val="20"/>
        </w:rPr>
        <w:t>The assimilation of new personnel within a Division I collegiate athletics department requires an intricate, multi-layered approach that bridges rigid regulatory compliance protocols, unique institutional culture, and complex campus logistics. The development of a digital onboarding platform for the University of Toledo Athletics Department represents a critical opportunity to standardize knowledge transfer, accelerate the time-to-productivity for incoming staff, and mitigate the severe institutional risks associated with human error in a regulated environment. Developing an ecosystem that effectively guides an employee from the initial offer letter through their first year requires an infrastructure that is both technically resilient and content-rich.</w:t>
      </w:r>
    </w:p>
    <w:p w14:paraId="64085D1B" w14:textId="77777777" w:rsidR="0016550C" w:rsidRDefault="00000000">
      <w:pPr>
        <w:pBdr>
          <w:top w:val="nil"/>
          <w:left w:val="nil"/>
          <w:bottom w:val="nil"/>
          <w:right w:val="nil"/>
          <w:between w:val="nil"/>
        </w:pBdr>
        <w:rPr>
          <w:sz w:val="20"/>
          <w:szCs w:val="20"/>
        </w:rPr>
      </w:pPr>
      <w:r>
        <w:rPr>
          <w:sz w:val="20"/>
          <w:szCs w:val="20"/>
        </w:rPr>
        <w:t>An initial proposition to utilize an unmoderated crowdsourcing model—whereby all current employees submit unstructured guidelines, personal instructions, and anecdotal onboarding struggles to automatically form the official onboarding manual—presents profound operational, legal, and compliance risks. While crowdsourcing is an excellent mechanism for fostering departmental engagement and capturing tacit institutional knowledge that rarely exists in formal manuals, an unmoderated approach assumes a uniform level of contextual understanding and regulatory accuracy among all staff members. Relying exclusively on peer-generated content without a formalized validation hierarchy risks the dissemination of outdated, contradictory, or legally perilous procedures, particularly concerning the National Collegiate Athletic Association (NCAA) compliance standards, Title IX protocols, and Name, Image, and Likeness (NIL) regulations.</w:t>
      </w:r>
    </w:p>
    <w:p w14:paraId="64085D1C" w14:textId="77777777" w:rsidR="0016550C" w:rsidRDefault="00000000">
      <w:pPr>
        <w:pBdr>
          <w:top w:val="nil"/>
          <w:left w:val="nil"/>
          <w:bottom w:val="nil"/>
          <w:right w:val="nil"/>
          <w:between w:val="nil"/>
        </w:pBdr>
        <w:rPr>
          <w:sz w:val="20"/>
          <w:szCs w:val="20"/>
        </w:rPr>
      </w:pPr>
      <w:r>
        <w:rPr>
          <w:sz w:val="20"/>
          <w:szCs w:val="20"/>
        </w:rPr>
        <w:t>The optimal strategy mandates a transition from a purely crowdsourced wiki to a Moderated Knowledge Management Workflow. In this structural paradigm, employee contributions are actively solicited but are routed through a centralized administrative approval matrix prior to publication. This ensures that the final documentation acts as a verified, authoritative "single source of truth" while still benefiting from the collective intelligence of the existing workforce.</w:t>
      </w:r>
    </w:p>
    <w:p w14:paraId="64085D1D" w14:textId="77777777" w:rsidR="0016550C" w:rsidRDefault="00000000">
      <w:pPr>
        <w:pBdr>
          <w:top w:val="nil"/>
          <w:left w:val="nil"/>
          <w:bottom w:val="nil"/>
          <w:right w:val="nil"/>
          <w:between w:val="nil"/>
        </w:pBdr>
        <w:rPr>
          <w:sz w:val="20"/>
          <w:szCs w:val="20"/>
        </w:rPr>
      </w:pPr>
      <w:r>
        <w:rPr>
          <w:sz w:val="20"/>
          <w:szCs w:val="20"/>
        </w:rPr>
        <w:t>To support this dynamic, interactive architecture, hosting the platform on a static service such as GitHub Pages is fundamentally insufficient. A static hosting environment cannot natively process incoming form submissions, execute relational database queries, or manage secure user authentication and moderation states without relying on a patchwork of disjointed third-party services. Instead, the deployment of a serverless full-stack application utilizing the Cloudflare Developer Platform—specifically Cloudflare Pages for the frontend, Cloudflare Workers for the backend API, and Cloudflare D1 for the relational database—provides a highly scalable, exceptionally secure, and deeply integrated infrastructure.</w:t>
      </w:r>
    </w:p>
    <w:p w14:paraId="64085D1E" w14:textId="77777777" w:rsidR="0016550C" w:rsidRDefault="00000000">
      <w:pPr>
        <w:pBdr>
          <w:top w:val="nil"/>
          <w:left w:val="nil"/>
          <w:bottom w:val="nil"/>
          <w:right w:val="nil"/>
          <w:between w:val="nil"/>
        </w:pBdr>
        <w:spacing w:after="225"/>
        <w:rPr>
          <w:sz w:val="20"/>
          <w:szCs w:val="20"/>
        </w:rPr>
      </w:pPr>
      <w:r>
        <w:rPr>
          <w:sz w:val="20"/>
          <w:szCs w:val="20"/>
        </w:rPr>
        <w:t>This comprehensive report provides an exhaustive architectural blueprint for constructing this onboarding platform. It details the essential organizational, departmental, and campus-wide content required for a complete onboarding experience, evaluates the strategic transition to Cloudflare's serverless infrastructure, and outlines the precise database architecture necessary to support a secure, moderated crowdsourcing workflow.</w:t>
      </w:r>
    </w:p>
    <w:p w14:paraId="64085D1F" w14:textId="77777777" w:rsidR="0016550C" w:rsidRDefault="00000000">
      <w:pPr>
        <w:pStyle w:val="Heading2"/>
        <w:spacing w:before="0"/>
        <w:rPr>
          <w:sz w:val="34"/>
          <w:szCs w:val="34"/>
        </w:rPr>
      </w:pPr>
      <w:r>
        <w:rPr>
          <w:sz w:val="34"/>
          <w:szCs w:val="34"/>
        </w:rPr>
        <w:t>Transforming the Crowdsourcing Model: The Moderated Workflow</w:t>
      </w:r>
    </w:p>
    <w:p w14:paraId="64085D20" w14:textId="77777777" w:rsidR="0016550C" w:rsidRDefault="00000000">
      <w:pPr>
        <w:pBdr>
          <w:top w:val="nil"/>
          <w:left w:val="nil"/>
          <w:bottom w:val="nil"/>
          <w:right w:val="nil"/>
          <w:between w:val="nil"/>
        </w:pBdr>
        <w:rPr>
          <w:sz w:val="20"/>
          <w:szCs w:val="20"/>
        </w:rPr>
      </w:pPr>
      <w:r>
        <w:rPr>
          <w:sz w:val="20"/>
          <w:szCs w:val="20"/>
        </w:rPr>
        <w:t xml:space="preserve">Implementing a successful knowledge management system requires balancing the democratization of information with rigorous quality control. The average enterprise employee wastes substantial time searching for fragmented information, a friction point that an onboarding platform aims to eliminate. However, allowing any employee to publish directly to the live onboarding manual inevitably degrades the </w:t>
      </w:r>
      <w:r>
        <w:rPr>
          <w:sz w:val="20"/>
          <w:szCs w:val="20"/>
        </w:rPr>
        <w:lastRenderedPageBreak/>
        <w:t>quality of the repository, leading to information silos, redundancies, and the proliferation of "tribal knowledge" that lacks official endorsement.</w:t>
      </w:r>
    </w:p>
    <w:p w14:paraId="64085D21" w14:textId="77777777" w:rsidR="0016550C" w:rsidRDefault="00000000">
      <w:pPr>
        <w:pBdr>
          <w:top w:val="nil"/>
          <w:left w:val="nil"/>
          <w:bottom w:val="nil"/>
          <w:right w:val="nil"/>
          <w:between w:val="nil"/>
        </w:pBdr>
        <w:rPr>
          <w:sz w:val="20"/>
          <w:szCs w:val="20"/>
        </w:rPr>
      </w:pPr>
      <w:r>
        <w:rPr>
          <w:sz w:val="20"/>
          <w:szCs w:val="20"/>
        </w:rPr>
        <w:t>To rectify the vulnerabilities of an open wiki, the onboarding tool must implement a tiered, role-based access control system governing the lifecycle of all crowdsourced content. This workflow transforms raw employee insights into structured, standardized operational procedures.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6550C" w14:paraId="64085D26" w14:textId="77777777">
        <w:trPr>
          <w:tblHeader/>
        </w:trPr>
        <w:tc>
          <w:tcPr>
            <w:tcW w:w="2340" w:type="dxa"/>
            <w:tcMar>
              <w:top w:w="0" w:type="dxa"/>
              <w:left w:w="0" w:type="dxa"/>
              <w:bottom w:w="0" w:type="dxa"/>
              <w:right w:w="0" w:type="dxa"/>
            </w:tcMar>
          </w:tcPr>
          <w:p w14:paraId="64085D22" w14:textId="77777777" w:rsidR="0016550C" w:rsidRDefault="00000000">
            <w:pPr>
              <w:pBdr>
                <w:top w:val="nil"/>
                <w:left w:val="nil"/>
                <w:bottom w:val="nil"/>
                <w:right w:val="nil"/>
                <w:between w:val="nil"/>
              </w:pBdr>
              <w:rPr>
                <w:sz w:val="20"/>
                <w:szCs w:val="20"/>
              </w:rPr>
            </w:pPr>
            <w:r>
              <w:rPr>
                <w:sz w:val="20"/>
                <w:szCs w:val="20"/>
              </w:rPr>
              <w:t>Workflow Stage</w:t>
            </w:r>
          </w:p>
        </w:tc>
        <w:tc>
          <w:tcPr>
            <w:tcW w:w="2340" w:type="dxa"/>
            <w:tcMar>
              <w:top w:w="0" w:type="dxa"/>
              <w:left w:w="0" w:type="dxa"/>
              <w:bottom w:w="0" w:type="dxa"/>
              <w:right w:w="0" w:type="dxa"/>
            </w:tcMar>
          </w:tcPr>
          <w:p w14:paraId="64085D23" w14:textId="77777777" w:rsidR="0016550C" w:rsidRDefault="00000000">
            <w:pPr>
              <w:pBdr>
                <w:top w:val="nil"/>
                <w:left w:val="nil"/>
                <w:bottom w:val="nil"/>
                <w:right w:val="nil"/>
                <w:between w:val="nil"/>
              </w:pBdr>
              <w:rPr>
                <w:sz w:val="20"/>
                <w:szCs w:val="20"/>
              </w:rPr>
            </w:pPr>
            <w:r>
              <w:rPr>
                <w:sz w:val="20"/>
                <w:szCs w:val="20"/>
              </w:rPr>
              <w:t>Primary Actor</w:t>
            </w:r>
          </w:p>
        </w:tc>
        <w:tc>
          <w:tcPr>
            <w:tcW w:w="2340" w:type="dxa"/>
            <w:tcMar>
              <w:top w:w="0" w:type="dxa"/>
              <w:left w:w="0" w:type="dxa"/>
              <w:bottom w:w="0" w:type="dxa"/>
              <w:right w:w="0" w:type="dxa"/>
            </w:tcMar>
          </w:tcPr>
          <w:p w14:paraId="64085D24" w14:textId="77777777" w:rsidR="0016550C" w:rsidRDefault="00000000">
            <w:pPr>
              <w:pBdr>
                <w:top w:val="nil"/>
                <w:left w:val="nil"/>
                <w:bottom w:val="nil"/>
                <w:right w:val="nil"/>
                <w:between w:val="nil"/>
              </w:pBdr>
              <w:rPr>
                <w:sz w:val="20"/>
                <w:szCs w:val="20"/>
              </w:rPr>
            </w:pPr>
            <w:r>
              <w:rPr>
                <w:sz w:val="20"/>
                <w:szCs w:val="20"/>
              </w:rPr>
              <w:t>Action and Objective</w:t>
            </w:r>
          </w:p>
        </w:tc>
        <w:tc>
          <w:tcPr>
            <w:tcW w:w="2340" w:type="dxa"/>
            <w:tcMar>
              <w:top w:w="0" w:type="dxa"/>
              <w:left w:w="0" w:type="dxa"/>
              <w:bottom w:w="0" w:type="dxa"/>
              <w:right w:w="0" w:type="dxa"/>
            </w:tcMar>
          </w:tcPr>
          <w:p w14:paraId="64085D25" w14:textId="77777777" w:rsidR="0016550C" w:rsidRDefault="00000000">
            <w:pPr>
              <w:pBdr>
                <w:top w:val="nil"/>
                <w:left w:val="nil"/>
                <w:bottom w:val="nil"/>
                <w:right w:val="nil"/>
                <w:between w:val="nil"/>
              </w:pBdr>
              <w:rPr>
                <w:sz w:val="20"/>
                <w:szCs w:val="20"/>
              </w:rPr>
            </w:pPr>
            <w:r>
              <w:rPr>
                <w:sz w:val="20"/>
                <w:szCs w:val="20"/>
              </w:rPr>
              <w:t>System State</w:t>
            </w:r>
          </w:p>
        </w:tc>
      </w:tr>
      <w:tr w:rsidR="0016550C" w14:paraId="64085D2B" w14:textId="77777777">
        <w:tc>
          <w:tcPr>
            <w:tcW w:w="2340" w:type="dxa"/>
            <w:tcMar>
              <w:top w:w="0" w:type="dxa"/>
              <w:left w:w="0" w:type="dxa"/>
              <w:bottom w:w="0" w:type="dxa"/>
              <w:right w:w="0" w:type="dxa"/>
            </w:tcMar>
          </w:tcPr>
          <w:p w14:paraId="64085D27" w14:textId="77777777" w:rsidR="0016550C" w:rsidRDefault="00000000">
            <w:pPr>
              <w:pBdr>
                <w:top w:val="nil"/>
                <w:left w:val="nil"/>
                <w:bottom w:val="nil"/>
                <w:right w:val="nil"/>
                <w:between w:val="nil"/>
              </w:pBdr>
              <w:rPr>
                <w:b/>
                <w:bCs/>
                <w:sz w:val="20"/>
                <w:szCs w:val="20"/>
              </w:rPr>
            </w:pPr>
            <w:r>
              <w:rPr>
                <w:b/>
                <w:bCs/>
                <w:sz w:val="20"/>
                <w:szCs w:val="20"/>
              </w:rPr>
              <w:t>Ideation &amp; Capture</w:t>
            </w:r>
          </w:p>
        </w:tc>
        <w:tc>
          <w:tcPr>
            <w:tcW w:w="2340" w:type="dxa"/>
            <w:tcMar>
              <w:top w:w="0" w:type="dxa"/>
              <w:left w:w="0" w:type="dxa"/>
              <w:bottom w:w="0" w:type="dxa"/>
              <w:right w:w="0" w:type="dxa"/>
            </w:tcMar>
          </w:tcPr>
          <w:p w14:paraId="64085D28" w14:textId="77777777" w:rsidR="0016550C" w:rsidRDefault="00000000">
            <w:pPr>
              <w:pBdr>
                <w:top w:val="nil"/>
                <w:left w:val="nil"/>
                <w:bottom w:val="nil"/>
                <w:right w:val="nil"/>
                <w:between w:val="nil"/>
              </w:pBdr>
              <w:rPr>
                <w:sz w:val="20"/>
                <w:szCs w:val="20"/>
              </w:rPr>
            </w:pPr>
            <w:r>
              <w:rPr>
                <w:sz w:val="20"/>
                <w:szCs w:val="20"/>
              </w:rPr>
              <w:t>General Staff / New Hires</w:t>
            </w:r>
          </w:p>
        </w:tc>
        <w:tc>
          <w:tcPr>
            <w:tcW w:w="2340" w:type="dxa"/>
            <w:tcMar>
              <w:top w:w="0" w:type="dxa"/>
              <w:left w:w="0" w:type="dxa"/>
              <w:bottom w:w="0" w:type="dxa"/>
              <w:right w:w="0" w:type="dxa"/>
            </w:tcMar>
          </w:tcPr>
          <w:p w14:paraId="64085D29" w14:textId="77777777" w:rsidR="0016550C" w:rsidRDefault="00000000">
            <w:pPr>
              <w:pBdr>
                <w:top w:val="nil"/>
                <w:left w:val="nil"/>
                <w:bottom w:val="nil"/>
                <w:right w:val="nil"/>
                <w:between w:val="nil"/>
              </w:pBdr>
              <w:rPr>
                <w:sz w:val="20"/>
                <w:szCs w:val="20"/>
              </w:rPr>
            </w:pPr>
            <w:r>
              <w:rPr>
                <w:sz w:val="20"/>
                <w:szCs w:val="20"/>
              </w:rPr>
              <w:t>Employees submit proposed guidelines, identify missing resources, or document solutions to onboarding struggles using standardized submission templates.</w:t>
            </w:r>
          </w:p>
        </w:tc>
        <w:tc>
          <w:tcPr>
            <w:tcW w:w="2340" w:type="dxa"/>
            <w:tcMar>
              <w:top w:w="0" w:type="dxa"/>
              <w:left w:w="0" w:type="dxa"/>
              <w:bottom w:w="0" w:type="dxa"/>
              <w:right w:w="0" w:type="dxa"/>
            </w:tcMar>
          </w:tcPr>
          <w:p w14:paraId="64085D2A" w14:textId="77777777" w:rsidR="0016550C" w:rsidRDefault="00000000">
            <w:pPr>
              <w:pBdr>
                <w:top w:val="nil"/>
                <w:left w:val="nil"/>
                <w:bottom w:val="nil"/>
                <w:right w:val="nil"/>
                <w:between w:val="nil"/>
              </w:pBdr>
              <w:rPr>
                <w:sz w:val="20"/>
                <w:szCs w:val="20"/>
              </w:rPr>
            </w:pPr>
            <w:r>
              <w:rPr>
                <w:sz w:val="20"/>
                <w:szCs w:val="20"/>
              </w:rPr>
              <w:t>Draft / Pending</w:t>
            </w:r>
          </w:p>
        </w:tc>
      </w:tr>
      <w:tr w:rsidR="0016550C" w14:paraId="64085D30" w14:textId="77777777">
        <w:tc>
          <w:tcPr>
            <w:tcW w:w="2340" w:type="dxa"/>
            <w:tcMar>
              <w:top w:w="0" w:type="dxa"/>
              <w:left w:w="0" w:type="dxa"/>
              <w:bottom w:w="0" w:type="dxa"/>
              <w:right w:w="0" w:type="dxa"/>
            </w:tcMar>
          </w:tcPr>
          <w:p w14:paraId="64085D2C" w14:textId="77777777" w:rsidR="0016550C" w:rsidRDefault="00000000">
            <w:pPr>
              <w:pBdr>
                <w:top w:val="nil"/>
                <w:left w:val="nil"/>
                <w:bottom w:val="nil"/>
                <w:right w:val="nil"/>
                <w:between w:val="nil"/>
              </w:pBdr>
              <w:rPr>
                <w:b/>
                <w:bCs/>
                <w:sz w:val="20"/>
                <w:szCs w:val="20"/>
              </w:rPr>
            </w:pPr>
            <w:r>
              <w:rPr>
                <w:b/>
                <w:bCs/>
                <w:sz w:val="20"/>
                <w:szCs w:val="20"/>
              </w:rPr>
              <w:t>Subject Matter Review</w:t>
            </w:r>
          </w:p>
        </w:tc>
        <w:tc>
          <w:tcPr>
            <w:tcW w:w="2340" w:type="dxa"/>
            <w:tcMar>
              <w:top w:w="0" w:type="dxa"/>
              <w:left w:w="0" w:type="dxa"/>
              <w:bottom w:w="0" w:type="dxa"/>
              <w:right w:w="0" w:type="dxa"/>
            </w:tcMar>
          </w:tcPr>
          <w:p w14:paraId="64085D2D" w14:textId="77777777" w:rsidR="0016550C" w:rsidRDefault="00000000">
            <w:pPr>
              <w:pBdr>
                <w:top w:val="nil"/>
                <w:left w:val="nil"/>
                <w:bottom w:val="nil"/>
                <w:right w:val="nil"/>
                <w:between w:val="nil"/>
              </w:pBdr>
              <w:rPr>
                <w:sz w:val="20"/>
                <w:szCs w:val="20"/>
              </w:rPr>
            </w:pPr>
            <w:r>
              <w:rPr>
                <w:sz w:val="20"/>
                <w:szCs w:val="20"/>
              </w:rPr>
              <w:t>Departmental Leads / SMEs</w:t>
            </w:r>
          </w:p>
        </w:tc>
        <w:tc>
          <w:tcPr>
            <w:tcW w:w="2340" w:type="dxa"/>
            <w:tcMar>
              <w:top w:w="0" w:type="dxa"/>
              <w:left w:w="0" w:type="dxa"/>
              <w:bottom w:w="0" w:type="dxa"/>
              <w:right w:w="0" w:type="dxa"/>
            </w:tcMar>
          </w:tcPr>
          <w:p w14:paraId="64085D2E" w14:textId="77777777" w:rsidR="0016550C" w:rsidRDefault="00000000">
            <w:pPr>
              <w:pBdr>
                <w:top w:val="nil"/>
                <w:left w:val="nil"/>
                <w:bottom w:val="nil"/>
                <w:right w:val="nil"/>
                <w:between w:val="nil"/>
              </w:pBdr>
              <w:rPr>
                <w:sz w:val="20"/>
                <w:szCs w:val="20"/>
              </w:rPr>
            </w:pPr>
            <w:r>
              <w:rPr>
                <w:sz w:val="20"/>
                <w:szCs w:val="20"/>
              </w:rPr>
              <w:t>Designated subject matter experts (SMEs) from relevant departments (e.g., HR, Compliance) review the submission for factual accuracy, regulatory alignment, and clarity.</w:t>
            </w:r>
          </w:p>
        </w:tc>
        <w:tc>
          <w:tcPr>
            <w:tcW w:w="2340" w:type="dxa"/>
            <w:tcMar>
              <w:top w:w="0" w:type="dxa"/>
              <w:left w:w="0" w:type="dxa"/>
              <w:bottom w:w="0" w:type="dxa"/>
              <w:right w:w="0" w:type="dxa"/>
            </w:tcMar>
          </w:tcPr>
          <w:p w14:paraId="64085D2F" w14:textId="77777777" w:rsidR="0016550C" w:rsidRDefault="00000000">
            <w:pPr>
              <w:pBdr>
                <w:top w:val="nil"/>
                <w:left w:val="nil"/>
                <w:bottom w:val="nil"/>
                <w:right w:val="nil"/>
                <w:between w:val="nil"/>
              </w:pBdr>
              <w:rPr>
                <w:sz w:val="20"/>
                <w:szCs w:val="20"/>
              </w:rPr>
            </w:pPr>
            <w:r>
              <w:rPr>
                <w:sz w:val="20"/>
                <w:szCs w:val="20"/>
              </w:rPr>
              <w:t>In Review</w:t>
            </w:r>
          </w:p>
        </w:tc>
      </w:tr>
      <w:tr w:rsidR="0016550C" w14:paraId="64085D35" w14:textId="77777777">
        <w:tc>
          <w:tcPr>
            <w:tcW w:w="2340" w:type="dxa"/>
            <w:tcMar>
              <w:top w:w="0" w:type="dxa"/>
              <w:left w:w="0" w:type="dxa"/>
              <w:bottom w:w="0" w:type="dxa"/>
              <w:right w:w="0" w:type="dxa"/>
            </w:tcMar>
          </w:tcPr>
          <w:p w14:paraId="64085D31" w14:textId="77777777" w:rsidR="0016550C" w:rsidRDefault="00000000">
            <w:pPr>
              <w:pBdr>
                <w:top w:val="nil"/>
                <w:left w:val="nil"/>
                <w:bottom w:val="nil"/>
                <w:right w:val="nil"/>
                <w:between w:val="nil"/>
              </w:pBdr>
              <w:rPr>
                <w:b/>
                <w:bCs/>
                <w:sz w:val="20"/>
                <w:szCs w:val="20"/>
              </w:rPr>
            </w:pPr>
            <w:r>
              <w:rPr>
                <w:b/>
                <w:bCs/>
                <w:sz w:val="20"/>
                <w:szCs w:val="20"/>
              </w:rPr>
              <w:t>Formatting &amp; Synthesis</w:t>
            </w:r>
          </w:p>
        </w:tc>
        <w:tc>
          <w:tcPr>
            <w:tcW w:w="2340" w:type="dxa"/>
            <w:tcMar>
              <w:top w:w="0" w:type="dxa"/>
              <w:left w:w="0" w:type="dxa"/>
              <w:bottom w:w="0" w:type="dxa"/>
              <w:right w:w="0" w:type="dxa"/>
            </w:tcMar>
          </w:tcPr>
          <w:p w14:paraId="64085D32" w14:textId="77777777" w:rsidR="0016550C" w:rsidRDefault="00000000">
            <w:pPr>
              <w:pBdr>
                <w:top w:val="nil"/>
                <w:left w:val="nil"/>
                <w:bottom w:val="nil"/>
                <w:right w:val="nil"/>
                <w:between w:val="nil"/>
              </w:pBdr>
              <w:rPr>
                <w:sz w:val="20"/>
                <w:szCs w:val="20"/>
              </w:rPr>
            </w:pPr>
            <w:r>
              <w:rPr>
                <w:sz w:val="20"/>
                <w:szCs w:val="20"/>
              </w:rPr>
              <w:t>Platform Administrator</w:t>
            </w:r>
          </w:p>
        </w:tc>
        <w:tc>
          <w:tcPr>
            <w:tcW w:w="2340" w:type="dxa"/>
            <w:tcMar>
              <w:top w:w="0" w:type="dxa"/>
              <w:left w:w="0" w:type="dxa"/>
              <w:bottom w:w="0" w:type="dxa"/>
              <w:right w:w="0" w:type="dxa"/>
            </w:tcMar>
          </w:tcPr>
          <w:p w14:paraId="64085D33" w14:textId="77777777" w:rsidR="0016550C" w:rsidRDefault="00000000">
            <w:pPr>
              <w:pBdr>
                <w:top w:val="nil"/>
                <w:left w:val="nil"/>
                <w:bottom w:val="nil"/>
                <w:right w:val="nil"/>
                <w:between w:val="nil"/>
              </w:pBdr>
              <w:rPr>
                <w:sz w:val="20"/>
                <w:szCs w:val="20"/>
              </w:rPr>
            </w:pPr>
            <w:r>
              <w:rPr>
                <w:sz w:val="20"/>
                <w:szCs w:val="20"/>
              </w:rPr>
              <w:t>The administrator formats the approved content to match the platform's visual identity, ensuring consistency in tone, removing jargon, and linking to related internal documents.</w:t>
            </w:r>
          </w:p>
        </w:tc>
        <w:tc>
          <w:tcPr>
            <w:tcW w:w="2340" w:type="dxa"/>
            <w:tcMar>
              <w:top w:w="0" w:type="dxa"/>
              <w:left w:w="0" w:type="dxa"/>
              <w:bottom w:w="0" w:type="dxa"/>
              <w:right w:w="0" w:type="dxa"/>
            </w:tcMar>
          </w:tcPr>
          <w:p w14:paraId="64085D34" w14:textId="77777777" w:rsidR="0016550C" w:rsidRDefault="00000000">
            <w:pPr>
              <w:pBdr>
                <w:top w:val="nil"/>
                <w:left w:val="nil"/>
                <w:bottom w:val="nil"/>
                <w:right w:val="nil"/>
                <w:between w:val="nil"/>
              </w:pBdr>
              <w:rPr>
                <w:sz w:val="20"/>
                <w:szCs w:val="20"/>
              </w:rPr>
            </w:pPr>
            <w:r>
              <w:rPr>
                <w:sz w:val="20"/>
                <w:szCs w:val="20"/>
              </w:rPr>
              <w:t>Approved / Formatting</w:t>
            </w:r>
          </w:p>
        </w:tc>
      </w:tr>
      <w:tr w:rsidR="0016550C" w14:paraId="64085D3A" w14:textId="77777777">
        <w:tc>
          <w:tcPr>
            <w:tcW w:w="2340" w:type="dxa"/>
            <w:tcMar>
              <w:top w:w="0" w:type="dxa"/>
              <w:left w:w="0" w:type="dxa"/>
              <w:bottom w:w="0" w:type="dxa"/>
              <w:right w:w="0" w:type="dxa"/>
            </w:tcMar>
          </w:tcPr>
          <w:p w14:paraId="64085D36" w14:textId="77777777" w:rsidR="0016550C" w:rsidRDefault="00000000">
            <w:pPr>
              <w:pBdr>
                <w:top w:val="nil"/>
                <w:left w:val="nil"/>
                <w:bottom w:val="nil"/>
                <w:right w:val="nil"/>
                <w:between w:val="nil"/>
              </w:pBdr>
              <w:rPr>
                <w:b/>
                <w:bCs/>
                <w:sz w:val="20"/>
                <w:szCs w:val="20"/>
              </w:rPr>
            </w:pPr>
            <w:r>
              <w:rPr>
                <w:b/>
                <w:bCs/>
                <w:sz w:val="20"/>
                <w:szCs w:val="20"/>
              </w:rPr>
              <w:t>Publication &amp; Auditing</w:t>
            </w:r>
          </w:p>
        </w:tc>
        <w:tc>
          <w:tcPr>
            <w:tcW w:w="2340" w:type="dxa"/>
            <w:tcMar>
              <w:top w:w="0" w:type="dxa"/>
              <w:left w:w="0" w:type="dxa"/>
              <w:bottom w:w="0" w:type="dxa"/>
              <w:right w:w="0" w:type="dxa"/>
            </w:tcMar>
          </w:tcPr>
          <w:p w14:paraId="64085D37" w14:textId="77777777" w:rsidR="0016550C" w:rsidRDefault="00000000">
            <w:pPr>
              <w:pBdr>
                <w:top w:val="nil"/>
                <w:left w:val="nil"/>
                <w:bottom w:val="nil"/>
                <w:right w:val="nil"/>
                <w:between w:val="nil"/>
              </w:pBdr>
              <w:rPr>
                <w:sz w:val="20"/>
                <w:szCs w:val="20"/>
              </w:rPr>
            </w:pPr>
            <w:r>
              <w:rPr>
                <w:sz w:val="20"/>
                <w:szCs w:val="20"/>
              </w:rPr>
              <w:t>Platform Administrator</w:t>
            </w:r>
          </w:p>
        </w:tc>
        <w:tc>
          <w:tcPr>
            <w:tcW w:w="2340" w:type="dxa"/>
            <w:tcMar>
              <w:top w:w="0" w:type="dxa"/>
              <w:left w:w="0" w:type="dxa"/>
              <w:bottom w:w="0" w:type="dxa"/>
              <w:right w:w="0" w:type="dxa"/>
            </w:tcMar>
          </w:tcPr>
          <w:p w14:paraId="64085D38" w14:textId="77777777" w:rsidR="0016550C" w:rsidRDefault="00000000">
            <w:pPr>
              <w:pBdr>
                <w:top w:val="nil"/>
                <w:left w:val="nil"/>
                <w:bottom w:val="nil"/>
                <w:right w:val="nil"/>
                <w:between w:val="nil"/>
              </w:pBdr>
              <w:rPr>
                <w:sz w:val="20"/>
                <w:szCs w:val="20"/>
              </w:rPr>
            </w:pPr>
            <w:r>
              <w:rPr>
                <w:sz w:val="20"/>
                <w:szCs w:val="20"/>
              </w:rPr>
              <w:t>The document is published to the live environment. The system assigns a regular audit interval (e.g., 6 or 12 months) to ensure the knowledge does not become stale.</w:t>
            </w:r>
          </w:p>
        </w:tc>
        <w:tc>
          <w:tcPr>
            <w:tcW w:w="2340" w:type="dxa"/>
            <w:tcMar>
              <w:top w:w="0" w:type="dxa"/>
              <w:left w:w="0" w:type="dxa"/>
              <w:bottom w:w="0" w:type="dxa"/>
              <w:right w:w="0" w:type="dxa"/>
            </w:tcMar>
          </w:tcPr>
          <w:p w14:paraId="64085D39" w14:textId="77777777" w:rsidR="0016550C" w:rsidRDefault="00000000">
            <w:pPr>
              <w:pBdr>
                <w:top w:val="nil"/>
                <w:left w:val="nil"/>
                <w:bottom w:val="nil"/>
                <w:right w:val="nil"/>
                <w:between w:val="nil"/>
              </w:pBdr>
              <w:rPr>
                <w:sz w:val="20"/>
                <w:szCs w:val="20"/>
              </w:rPr>
            </w:pPr>
            <w:r>
              <w:rPr>
                <w:sz w:val="20"/>
                <w:szCs w:val="20"/>
              </w:rPr>
              <w:t>Published</w:t>
            </w:r>
          </w:p>
        </w:tc>
      </w:tr>
    </w:tbl>
    <w:p w14:paraId="64085D3B" w14:textId="77777777" w:rsidR="0016550C" w:rsidRDefault="00000000">
      <w:pPr>
        <w:pBdr>
          <w:top w:val="nil"/>
          <w:left w:val="nil"/>
          <w:bottom w:val="nil"/>
          <w:right w:val="nil"/>
          <w:between w:val="nil"/>
        </w:pBdr>
        <w:spacing w:after="225"/>
        <w:rPr>
          <w:sz w:val="20"/>
          <w:szCs w:val="20"/>
        </w:rPr>
      </w:pPr>
      <w:r>
        <w:rPr>
          <w:sz w:val="20"/>
          <w:szCs w:val="20"/>
        </w:rPr>
        <w:t>By establishing this explicit pipeline, the Athletics Department protects its operational integrity. Furthermore, the platform should employ standardized templates for different types of content, such as Standard Operating Procedures (SOPs), quick-reference checklists, and video tutorials. Structuring content systematically prevents the knowledge base from devolving into a repository of unstructured text blocks, significantly enhancing searchability and readability for new hires. The inclusion of a robust search feature, potentially augmented by semantic search capabilities, guarantees that new staff can immediately surface the specific policies or campus guides they require without navigating labyrinthine folder structures.</w:t>
      </w:r>
    </w:p>
    <w:p w14:paraId="64085D3C" w14:textId="77777777" w:rsidR="0016550C" w:rsidRDefault="00000000">
      <w:pPr>
        <w:pStyle w:val="Heading2"/>
        <w:spacing w:before="0"/>
        <w:rPr>
          <w:sz w:val="34"/>
          <w:szCs w:val="34"/>
        </w:rPr>
      </w:pPr>
      <w:r>
        <w:rPr>
          <w:sz w:val="34"/>
          <w:szCs w:val="34"/>
        </w:rPr>
        <w:t>Departmental Orientation: Leadership, Vision, and Infrastructure</w:t>
      </w:r>
    </w:p>
    <w:p w14:paraId="64085D3D" w14:textId="77777777" w:rsidR="0016550C" w:rsidRDefault="00000000">
      <w:pPr>
        <w:pBdr>
          <w:top w:val="nil"/>
          <w:left w:val="nil"/>
          <w:bottom w:val="nil"/>
          <w:right w:val="nil"/>
          <w:between w:val="nil"/>
        </w:pBdr>
        <w:rPr>
          <w:sz w:val="20"/>
          <w:szCs w:val="20"/>
        </w:rPr>
      </w:pPr>
      <w:r>
        <w:rPr>
          <w:sz w:val="20"/>
          <w:szCs w:val="20"/>
        </w:rPr>
        <w:t>The immediate priority for any new hire within the University of Toledo Athletics Department is establishing a clear understanding of the organizational hierarchy, the physical environment in which they will operate, and the strategic vision guiding the institution.</w:t>
      </w:r>
    </w:p>
    <w:p w14:paraId="64085D3E" w14:textId="77777777" w:rsidR="0016550C" w:rsidRDefault="00000000">
      <w:pPr>
        <w:pBdr>
          <w:top w:val="nil"/>
          <w:left w:val="nil"/>
          <w:bottom w:val="nil"/>
          <w:right w:val="nil"/>
          <w:between w:val="nil"/>
        </w:pBdr>
        <w:rPr>
          <w:sz w:val="20"/>
          <w:szCs w:val="20"/>
        </w:rPr>
      </w:pPr>
      <w:r>
        <w:rPr>
          <w:sz w:val="20"/>
          <w:szCs w:val="20"/>
        </w:rPr>
        <w:t xml:space="preserve">New employees must be introduced to the executive leadership structure. The department operates </w:t>
      </w:r>
      <w:r>
        <w:rPr>
          <w:sz w:val="20"/>
          <w:szCs w:val="20"/>
        </w:rPr>
        <w:lastRenderedPageBreak/>
        <w:t>under the guidance of Bryan B. Blair, Vice President and Director of Athletics, who has positioned Toledo as a national leader in student-athlete empowerment, academic achievement, and technological innovation. A critical component of the executive team is Nicole Harris, the Deputy Athletic Director, Chief Operating Officer, and Senior Woman Administrator. Harris serves as the sport administrator for multiple programs and maintains oversight over academics, student-athlete development, and strength and conditioning, making her a vital point of contact for a vast segment of the incoming staff.</w:t>
      </w:r>
    </w:p>
    <w:p w14:paraId="64085D3F" w14:textId="77777777" w:rsidR="0016550C" w:rsidRDefault="00000000">
      <w:pPr>
        <w:pBdr>
          <w:top w:val="nil"/>
          <w:left w:val="nil"/>
          <w:bottom w:val="nil"/>
          <w:right w:val="nil"/>
          <w:between w:val="nil"/>
        </w:pBdr>
        <w:rPr>
          <w:sz w:val="20"/>
          <w:szCs w:val="20"/>
        </w:rPr>
      </w:pPr>
      <w:r>
        <w:rPr>
          <w:sz w:val="20"/>
          <w:szCs w:val="20"/>
        </w:rPr>
        <w:t>Central to the department's operational ethos is the "Rise Together" strategic plan. The onboarding platform must explicitly detail this five-year roadmap to ensure that every new employee aligns their daily output with the institution's long-term objectives. The acronym R.I.S.E. stands for Resilience, Integrity, Servanthood, and Excellence, forming the cultural foundation of the department.</w:t>
      </w:r>
    </w:p>
    <w:p w14:paraId="64085D40" w14:textId="77777777" w:rsidR="0016550C" w:rsidRDefault="00000000">
      <w:pPr>
        <w:pBdr>
          <w:top w:val="nil"/>
          <w:left w:val="nil"/>
          <w:bottom w:val="nil"/>
          <w:right w:val="nil"/>
          <w:between w:val="nil"/>
        </w:pBdr>
        <w:rPr>
          <w:sz w:val="20"/>
          <w:szCs w:val="20"/>
        </w:rPr>
      </w:pPr>
      <w:r>
        <w:rPr>
          <w:sz w:val="20"/>
          <w:szCs w:val="20"/>
        </w:rPr>
        <w:t>The platform must explicitly document the six major goals outlined in the "Rise Together" framework:</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6550C" w14:paraId="64085D43" w14:textId="77777777">
        <w:trPr>
          <w:tblHeader/>
        </w:trPr>
        <w:tc>
          <w:tcPr>
            <w:tcW w:w="4680" w:type="dxa"/>
            <w:tcMar>
              <w:top w:w="0" w:type="dxa"/>
              <w:left w:w="0" w:type="dxa"/>
              <w:bottom w:w="0" w:type="dxa"/>
              <w:right w:w="0" w:type="dxa"/>
            </w:tcMar>
          </w:tcPr>
          <w:p w14:paraId="64085D41" w14:textId="77777777" w:rsidR="0016550C" w:rsidRDefault="00000000">
            <w:pPr>
              <w:pBdr>
                <w:top w:val="nil"/>
                <w:left w:val="nil"/>
                <w:bottom w:val="nil"/>
                <w:right w:val="nil"/>
                <w:between w:val="nil"/>
              </w:pBdr>
              <w:rPr>
                <w:sz w:val="20"/>
                <w:szCs w:val="20"/>
              </w:rPr>
            </w:pPr>
            <w:r>
              <w:rPr>
                <w:sz w:val="20"/>
                <w:szCs w:val="20"/>
              </w:rPr>
              <w:t>Strategic Goal</w:t>
            </w:r>
          </w:p>
        </w:tc>
        <w:tc>
          <w:tcPr>
            <w:tcW w:w="4680" w:type="dxa"/>
            <w:tcMar>
              <w:top w:w="0" w:type="dxa"/>
              <w:left w:w="0" w:type="dxa"/>
              <w:bottom w:w="0" w:type="dxa"/>
              <w:right w:w="0" w:type="dxa"/>
            </w:tcMar>
          </w:tcPr>
          <w:p w14:paraId="64085D42" w14:textId="77777777" w:rsidR="0016550C" w:rsidRDefault="00000000">
            <w:pPr>
              <w:pBdr>
                <w:top w:val="nil"/>
                <w:left w:val="nil"/>
                <w:bottom w:val="nil"/>
                <w:right w:val="nil"/>
                <w:between w:val="nil"/>
              </w:pBdr>
              <w:rPr>
                <w:sz w:val="20"/>
                <w:szCs w:val="20"/>
              </w:rPr>
            </w:pPr>
            <w:r>
              <w:rPr>
                <w:sz w:val="20"/>
                <w:szCs w:val="20"/>
              </w:rPr>
              <w:t>Implementation Focus for New Staff</w:t>
            </w:r>
          </w:p>
        </w:tc>
      </w:tr>
      <w:tr w:rsidR="0016550C" w14:paraId="64085D46" w14:textId="77777777">
        <w:tc>
          <w:tcPr>
            <w:tcW w:w="4680" w:type="dxa"/>
            <w:tcMar>
              <w:top w:w="0" w:type="dxa"/>
              <w:left w:w="0" w:type="dxa"/>
              <w:bottom w:w="0" w:type="dxa"/>
              <w:right w:w="0" w:type="dxa"/>
            </w:tcMar>
          </w:tcPr>
          <w:p w14:paraId="64085D44" w14:textId="77777777" w:rsidR="0016550C" w:rsidRDefault="00000000">
            <w:pPr>
              <w:pBdr>
                <w:top w:val="nil"/>
                <w:left w:val="nil"/>
                <w:bottom w:val="nil"/>
                <w:right w:val="nil"/>
                <w:between w:val="nil"/>
              </w:pBdr>
              <w:rPr>
                <w:b/>
                <w:bCs/>
                <w:sz w:val="20"/>
                <w:szCs w:val="20"/>
              </w:rPr>
            </w:pPr>
            <w:r>
              <w:rPr>
                <w:b/>
                <w:bCs/>
                <w:sz w:val="20"/>
                <w:szCs w:val="20"/>
              </w:rPr>
              <w:t>Recruit, Retain, and Develop Teammates</w:t>
            </w:r>
          </w:p>
        </w:tc>
        <w:tc>
          <w:tcPr>
            <w:tcW w:w="4680" w:type="dxa"/>
            <w:tcMar>
              <w:top w:w="0" w:type="dxa"/>
              <w:left w:w="0" w:type="dxa"/>
              <w:bottom w:w="0" w:type="dxa"/>
              <w:right w:w="0" w:type="dxa"/>
            </w:tcMar>
          </w:tcPr>
          <w:p w14:paraId="64085D45" w14:textId="77777777" w:rsidR="0016550C" w:rsidRDefault="00000000">
            <w:pPr>
              <w:pBdr>
                <w:top w:val="nil"/>
                <w:left w:val="nil"/>
                <w:bottom w:val="nil"/>
                <w:right w:val="nil"/>
                <w:between w:val="nil"/>
              </w:pBdr>
              <w:rPr>
                <w:sz w:val="20"/>
                <w:szCs w:val="20"/>
              </w:rPr>
            </w:pPr>
            <w:r>
              <w:rPr>
                <w:sz w:val="20"/>
                <w:szCs w:val="20"/>
              </w:rPr>
              <w:t>Emphasizes the department's commitment to professional development, inclusive hiring practices, and the retention of elite administrative and coaching talent.</w:t>
            </w:r>
          </w:p>
        </w:tc>
      </w:tr>
      <w:tr w:rsidR="0016550C" w14:paraId="64085D49" w14:textId="77777777">
        <w:tc>
          <w:tcPr>
            <w:tcW w:w="4680" w:type="dxa"/>
            <w:tcMar>
              <w:top w:w="0" w:type="dxa"/>
              <w:left w:w="0" w:type="dxa"/>
              <w:bottom w:w="0" w:type="dxa"/>
              <w:right w:w="0" w:type="dxa"/>
            </w:tcMar>
          </w:tcPr>
          <w:p w14:paraId="64085D47" w14:textId="77777777" w:rsidR="0016550C" w:rsidRDefault="00000000">
            <w:pPr>
              <w:pBdr>
                <w:top w:val="nil"/>
                <w:left w:val="nil"/>
                <w:bottom w:val="nil"/>
                <w:right w:val="nil"/>
                <w:between w:val="nil"/>
              </w:pBdr>
              <w:rPr>
                <w:b/>
                <w:bCs/>
                <w:sz w:val="20"/>
                <w:szCs w:val="20"/>
              </w:rPr>
            </w:pPr>
            <w:r>
              <w:rPr>
                <w:b/>
                <w:bCs/>
                <w:sz w:val="20"/>
                <w:szCs w:val="20"/>
              </w:rPr>
              <w:t>Generate Student-Athlete Success</w:t>
            </w:r>
          </w:p>
        </w:tc>
        <w:tc>
          <w:tcPr>
            <w:tcW w:w="4680" w:type="dxa"/>
            <w:tcMar>
              <w:top w:w="0" w:type="dxa"/>
              <w:left w:w="0" w:type="dxa"/>
              <w:bottom w:w="0" w:type="dxa"/>
              <w:right w:w="0" w:type="dxa"/>
            </w:tcMar>
          </w:tcPr>
          <w:p w14:paraId="64085D48" w14:textId="77777777" w:rsidR="0016550C" w:rsidRDefault="00000000">
            <w:pPr>
              <w:pBdr>
                <w:top w:val="nil"/>
                <w:left w:val="nil"/>
                <w:bottom w:val="nil"/>
                <w:right w:val="nil"/>
                <w:between w:val="nil"/>
              </w:pBdr>
              <w:rPr>
                <w:sz w:val="20"/>
                <w:szCs w:val="20"/>
              </w:rPr>
            </w:pPr>
            <w:r>
              <w:rPr>
                <w:sz w:val="20"/>
                <w:szCs w:val="20"/>
              </w:rPr>
              <w:t>Focuses on maintaining record-setting cumulative GPAs, securing MAC Institutional Academic Awards, and fostering holistic personal development.</w:t>
            </w:r>
          </w:p>
        </w:tc>
      </w:tr>
      <w:tr w:rsidR="0016550C" w14:paraId="64085D4C" w14:textId="77777777">
        <w:tc>
          <w:tcPr>
            <w:tcW w:w="4680" w:type="dxa"/>
            <w:tcMar>
              <w:top w:w="0" w:type="dxa"/>
              <w:left w:w="0" w:type="dxa"/>
              <w:bottom w:w="0" w:type="dxa"/>
              <w:right w:w="0" w:type="dxa"/>
            </w:tcMar>
          </w:tcPr>
          <w:p w14:paraId="64085D4A" w14:textId="77777777" w:rsidR="0016550C" w:rsidRDefault="00000000">
            <w:pPr>
              <w:pBdr>
                <w:top w:val="nil"/>
                <w:left w:val="nil"/>
                <w:bottom w:val="nil"/>
                <w:right w:val="nil"/>
                <w:between w:val="nil"/>
              </w:pBdr>
              <w:rPr>
                <w:b/>
                <w:bCs/>
                <w:sz w:val="20"/>
                <w:szCs w:val="20"/>
              </w:rPr>
            </w:pPr>
            <w:r>
              <w:rPr>
                <w:b/>
                <w:bCs/>
                <w:sz w:val="20"/>
                <w:szCs w:val="20"/>
              </w:rPr>
              <w:t>Elevate the Brand</w:t>
            </w:r>
          </w:p>
        </w:tc>
        <w:tc>
          <w:tcPr>
            <w:tcW w:w="4680" w:type="dxa"/>
            <w:tcMar>
              <w:top w:w="0" w:type="dxa"/>
              <w:left w:w="0" w:type="dxa"/>
              <w:bottom w:w="0" w:type="dxa"/>
              <w:right w:w="0" w:type="dxa"/>
            </w:tcMar>
          </w:tcPr>
          <w:p w14:paraId="64085D4B" w14:textId="77777777" w:rsidR="0016550C" w:rsidRDefault="00000000">
            <w:pPr>
              <w:pBdr>
                <w:top w:val="nil"/>
                <w:left w:val="nil"/>
                <w:bottom w:val="nil"/>
                <w:right w:val="nil"/>
                <w:between w:val="nil"/>
              </w:pBdr>
              <w:rPr>
                <w:sz w:val="20"/>
                <w:szCs w:val="20"/>
              </w:rPr>
            </w:pPr>
            <w:r>
              <w:rPr>
                <w:sz w:val="20"/>
                <w:szCs w:val="20"/>
              </w:rPr>
              <w:t>Encourages all staff to act as brand ambassadors, utilizing modern media, creative services, and social platforms to increase national prominence.</w:t>
            </w:r>
          </w:p>
        </w:tc>
      </w:tr>
      <w:tr w:rsidR="0016550C" w14:paraId="64085D4F" w14:textId="77777777">
        <w:tc>
          <w:tcPr>
            <w:tcW w:w="4680" w:type="dxa"/>
            <w:tcMar>
              <w:top w:w="0" w:type="dxa"/>
              <w:left w:w="0" w:type="dxa"/>
              <w:bottom w:w="0" w:type="dxa"/>
              <w:right w:w="0" w:type="dxa"/>
            </w:tcMar>
          </w:tcPr>
          <w:p w14:paraId="64085D4D" w14:textId="77777777" w:rsidR="0016550C" w:rsidRDefault="00000000">
            <w:pPr>
              <w:pBdr>
                <w:top w:val="nil"/>
                <w:left w:val="nil"/>
                <w:bottom w:val="nil"/>
                <w:right w:val="nil"/>
                <w:between w:val="nil"/>
              </w:pBdr>
              <w:rPr>
                <w:b/>
                <w:bCs/>
                <w:sz w:val="20"/>
                <w:szCs w:val="20"/>
              </w:rPr>
            </w:pPr>
            <w:r>
              <w:rPr>
                <w:b/>
                <w:bCs/>
                <w:sz w:val="20"/>
                <w:szCs w:val="20"/>
              </w:rPr>
              <w:t>Enhance "Team Toledo" Engagement</w:t>
            </w:r>
          </w:p>
        </w:tc>
        <w:tc>
          <w:tcPr>
            <w:tcW w:w="4680" w:type="dxa"/>
            <w:tcMar>
              <w:top w:w="0" w:type="dxa"/>
              <w:left w:w="0" w:type="dxa"/>
              <w:bottom w:w="0" w:type="dxa"/>
              <w:right w:w="0" w:type="dxa"/>
            </w:tcMar>
          </w:tcPr>
          <w:p w14:paraId="64085D4E" w14:textId="77777777" w:rsidR="0016550C" w:rsidRDefault="00000000">
            <w:pPr>
              <w:pBdr>
                <w:top w:val="nil"/>
                <w:left w:val="nil"/>
                <w:bottom w:val="nil"/>
                <w:right w:val="nil"/>
                <w:between w:val="nil"/>
              </w:pBdr>
              <w:rPr>
                <w:sz w:val="20"/>
                <w:szCs w:val="20"/>
              </w:rPr>
            </w:pPr>
            <w:r>
              <w:rPr>
                <w:sz w:val="20"/>
                <w:szCs w:val="20"/>
              </w:rPr>
              <w:t>Directs staff to prioritize community integration, fan experience, and leveraging facilities as community hubs for regional entertainment and youth sports.</w:t>
            </w:r>
          </w:p>
        </w:tc>
      </w:tr>
      <w:tr w:rsidR="0016550C" w14:paraId="64085D52" w14:textId="77777777">
        <w:tc>
          <w:tcPr>
            <w:tcW w:w="4680" w:type="dxa"/>
            <w:tcMar>
              <w:top w:w="0" w:type="dxa"/>
              <w:left w:w="0" w:type="dxa"/>
              <w:bottom w:w="0" w:type="dxa"/>
              <w:right w:w="0" w:type="dxa"/>
            </w:tcMar>
          </w:tcPr>
          <w:p w14:paraId="64085D50" w14:textId="77777777" w:rsidR="0016550C" w:rsidRDefault="00000000">
            <w:pPr>
              <w:pBdr>
                <w:top w:val="nil"/>
                <w:left w:val="nil"/>
                <w:bottom w:val="nil"/>
                <w:right w:val="nil"/>
                <w:between w:val="nil"/>
              </w:pBdr>
              <w:rPr>
                <w:b/>
                <w:bCs/>
                <w:sz w:val="20"/>
                <w:szCs w:val="20"/>
              </w:rPr>
            </w:pPr>
            <w:r>
              <w:rPr>
                <w:b/>
                <w:bCs/>
                <w:sz w:val="20"/>
                <w:szCs w:val="20"/>
              </w:rPr>
              <w:t>Grow Resources</w:t>
            </w:r>
          </w:p>
        </w:tc>
        <w:tc>
          <w:tcPr>
            <w:tcW w:w="4680" w:type="dxa"/>
            <w:tcMar>
              <w:top w:w="0" w:type="dxa"/>
              <w:left w:w="0" w:type="dxa"/>
              <w:bottom w:w="0" w:type="dxa"/>
              <w:right w:w="0" w:type="dxa"/>
            </w:tcMar>
          </w:tcPr>
          <w:p w14:paraId="64085D51" w14:textId="77777777" w:rsidR="0016550C" w:rsidRDefault="00000000">
            <w:pPr>
              <w:pBdr>
                <w:top w:val="nil"/>
                <w:left w:val="nil"/>
                <w:bottom w:val="nil"/>
                <w:right w:val="nil"/>
                <w:between w:val="nil"/>
              </w:pBdr>
              <w:rPr>
                <w:sz w:val="20"/>
                <w:szCs w:val="20"/>
              </w:rPr>
            </w:pPr>
            <w:r>
              <w:rPr>
                <w:sz w:val="20"/>
                <w:szCs w:val="20"/>
              </w:rPr>
              <w:t>Focuses on innovative revenue generation, donor relations, ticketing strategies, and the expansion of the Rocket Fund.</w:t>
            </w:r>
          </w:p>
        </w:tc>
      </w:tr>
      <w:tr w:rsidR="0016550C" w14:paraId="64085D55" w14:textId="77777777">
        <w:tc>
          <w:tcPr>
            <w:tcW w:w="4680" w:type="dxa"/>
            <w:tcMar>
              <w:top w:w="0" w:type="dxa"/>
              <w:left w:w="0" w:type="dxa"/>
              <w:bottom w:w="0" w:type="dxa"/>
              <w:right w:w="0" w:type="dxa"/>
            </w:tcMar>
          </w:tcPr>
          <w:p w14:paraId="64085D53" w14:textId="77777777" w:rsidR="0016550C" w:rsidRDefault="00000000">
            <w:pPr>
              <w:pBdr>
                <w:top w:val="nil"/>
                <w:left w:val="nil"/>
                <w:bottom w:val="nil"/>
                <w:right w:val="nil"/>
                <w:between w:val="nil"/>
              </w:pBdr>
              <w:rPr>
                <w:b/>
                <w:bCs/>
                <w:sz w:val="20"/>
                <w:szCs w:val="20"/>
              </w:rPr>
            </w:pPr>
            <w:r>
              <w:rPr>
                <w:b/>
                <w:bCs/>
                <w:sz w:val="20"/>
                <w:szCs w:val="20"/>
              </w:rPr>
              <w:t>Invest in Infrastructure</w:t>
            </w:r>
          </w:p>
        </w:tc>
        <w:tc>
          <w:tcPr>
            <w:tcW w:w="4680" w:type="dxa"/>
            <w:tcMar>
              <w:top w:w="0" w:type="dxa"/>
              <w:left w:w="0" w:type="dxa"/>
              <w:bottom w:w="0" w:type="dxa"/>
              <w:right w:w="0" w:type="dxa"/>
            </w:tcMar>
          </w:tcPr>
          <w:p w14:paraId="64085D54" w14:textId="77777777" w:rsidR="0016550C" w:rsidRDefault="00000000">
            <w:pPr>
              <w:pBdr>
                <w:top w:val="nil"/>
                <w:left w:val="nil"/>
                <w:bottom w:val="nil"/>
                <w:right w:val="nil"/>
                <w:between w:val="nil"/>
              </w:pBdr>
              <w:rPr>
                <w:sz w:val="20"/>
                <w:szCs w:val="20"/>
              </w:rPr>
            </w:pPr>
            <w:r>
              <w:rPr>
                <w:sz w:val="20"/>
                <w:szCs w:val="20"/>
              </w:rPr>
              <w:t>Highlights the ongoing enhancement of athletic facilities, technology integration, and the modernization of student-athlete environments.</w:t>
            </w:r>
          </w:p>
        </w:tc>
      </w:tr>
    </w:tbl>
    <w:p w14:paraId="64085D56" w14:textId="77777777" w:rsidR="0016550C" w:rsidRDefault="00000000">
      <w:pPr>
        <w:pBdr>
          <w:top w:val="nil"/>
          <w:left w:val="nil"/>
          <w:bottom w:val="nil"/>
          <w:right w:val="nil"/>
          <w:between w:val="nil"/>
        </w:pBdr>
        <w:rPr>
          <w:i/>
          <w:iCs/>
          <w:sz w:val="20"/>
          <w:szCs w:val="20"/>
        </w:rPr>
      </w:pPr>
      <w:r>
        <w:rPr>
          <w:i/>
          <w:iCs/>
          <w:sz w:val="20"/>
          <w:szCs w:val="20"/>
        </w:rPr>
        <w:t>(Data synthesized from UToledo Strategic Plan documentation )</w:t>
      </w:r>
    </w:p>
    <w:p w14:paraId="64085D57" w14:textId="77777777" w:rsidR="0016550C" w:rsidRDefault="00000000">
      <w:pPr>
        <w:pBdr>
          <w:top w:val="nil"/>
          <w:left w:val="nil"/>
          <w:bottom w:val="nil"/>
          <w:right w:val="nil"/>
          <w:between w:val="nil"/>
        </w:pBdr>
        <w:spacing w:after="225"/>
        <w:rPr>
          <w:sz w:val="20"/>
          <w:szCs w:val="20"/>
        </w:rPr>
      </w:pPr>
      <w:r>
        <w:rPr>
          <w:sz w:val="20"/>
          <w:szCs w:val="20"/>
        </w:rPr>
        <w:t>Equally important to understanding the strategic vision is understanding the physical footprint of the department. New hires must be rapidly familiarized with the specific purposes of various athletic facilities scattered across the campus. The onboarding tool should feature an interactive directory of these locations. Savage Arena serves as the primary hub for the Athletic Department, housing the main administrative offices, the ticket office, and the operational core for basketball and volleyball. Conversely, the Larimer Athletic Complex is specifically designated for football operations, strength and conditioning, and the Student-Athlete Support Services (SASS). The Findlay Building acts as the administrative base for the baseball and softball programs. Providing a clear mapping of these facilities, alongside introductions to the facilities operations management team, prevents the geographical confusion that often plagues new hires during their initial weeks.</w:t>
      </w:r>
    </w:p>
    <w:p w14:paraId="64085D58" w14:textId="77777777" w:rsidR="0016550C" w:rsidRDefault="00000000">
      <w:pPr>
        <w:pStyle w:val="Heading2"/>
        <w:spacing w:before="0"/>
        <w:rPr>
          <w:sz w:val="34"/>
          <w:szCs w:val="34"/>
        </w:rPr>
      </w:pPr>
      <w:r>
        <w:rPr>
          <w:sz w:val="34"/>
          <w:szCs w:val="34"/>
        </w:rPr>
        <w:t>The Uncompromising Pillar of Regulatory Compliance</w:t>
      </w:r>
    </w:p>
    <w:p w14:paraId="64085D59" w14:textId="77777777" w:rsidR="0016550C" w:rsidRDefault="00000000">
      <w:pPr>
        <w:pBdr>
          <w:top w:val="nil"/>
          <w:left w:val="nil"/>
          <w:bottom w:val="nil"/>
          <w:right w:val="nil"/>
          <w:between w:val="nil"/>
        </w:pBdr>
        <w:rPr>
          <w:sz w:val="20"/>
          <w:szCs w:val="20"/>
        </w:rPr>
      </w:pPr>
      <w:r>
        <w:rPr>
          <w:sz w:val="20"/>
          <w:szCs w:val="20"/>
        </w:rPr>
        <w:t>Intercollegiate athletics operates within one of the most rigorously regulated environments in higher education. A foundational component of the onboarding platform must be a comprehensive, interactive compliance module. Ignorance of NCAA, MAC, or institutional legislation is never an acceptable defense for an infraction, and the burden falls entirely on the institution to thoroughly educate its staff.</w:t>
      </w:r>
    </w:p>
    <w:p w14:paraId="64085D5A" w14:textId="77777777" w:rsidR="0016550C" w:rsidRDefault="00000000">
      <w:pPr>
        <w:pBdr>
          <w:top w:val="nil"/>
          <w:left w:val="nil"/>
          <w:bottom w:val="nil"/>
          <w:right w:val="nil"/>
          <w:between w:val="nil"/>
        </w:pBdr>
        <w:rPr>
          <w:sz w:val="20"/>
          <w:szCs w:val="20"/>
        </w:rPr>
      </w:pPr>
      <w:r>
        <w:rPr>
          <w:sz w:val="20"/>
          <w:szCs w:val="20"/>
        </w:rPr>
        <w:t>The Office of Athletics Compliance, led by Brian Lutz (Senior Associate AD for Compliance and Integrity) and Kenneth Schank (Assistant AD for Compliance), monitors adherence across all facets of the department. The onboarding tool must integrate the official UT Athletics Compliance Manual and mandate digital acknowledgment of the Employee Compliance Guide from all new hires, ensuring a verifiable paper trail of regulatory education.</w:t>
      </w:r>
    </w:p>
    <w:p w14:paraId="64085D5B" w14:textId="77777777" w:rsidR="0016550C" w:rsidRDefault="00000000">
      <w:pPr>
        <w:pBdr>
          <w:top w:val="nil"/>
          <w:left w:val="nil"/>
          <w:bottom w:val="nil"/>
          <w:right w:val="nil"/>
          <w:between w:val="nil"/>
        </w:pBdr>
        <w:rPr>
          <w:sz w:val="20"/>
          <w:szCs w:val="20"/>
        </w:rPr>
      </w:pPr>
      <w:r>
        <w:rPr>
          <w:sz w:val="20"/>
          <w:szCs w:val="20"/>
        </w:rPr>
        <w:lastRenderedPageBreak/>
        <w:t>The platform must explicitly detail the core NCAA operating bylaws that dictate daily operations. This includes Bylaw 11 governing personnel conduct, Bylaw 12 concerning amateurism, Bylaw 13 detailing the extensive restrictions on recruiting and campus visits, Bylaw 14 dictating academic eligibility, Bylaw 15 regulating financial aid, Bylaw 16 defining permissible benefits and expenses, and Bylaw 17 establishing the strict limitations on playing and practice seasons. New coaches and staff must be trained on the utilization of compliance tracking software, specifically the ARMS platform, which is mandated for logging Countable Athletically Related Activities (CARA), managing recruiting communications, and processing official and unofficial prospect visits.</w:t>
      </w:r>
    </w:p>
    <w:p w14:paraId="64085D5C" w14:textId="77777777" w:rsidR="0016550C" w:rsidRDefault="00000000">
      <w:pPr>
        <w:pBdr>
          <w:top w:val="nil"/>
          <w:left w:val="nil"/>
          <w:bottom w:val="nil"/>
          <w:right w:val="nil"/>
          <w:between w:val="nil"/>
        </w:pBdr>
        <w:spacing w:after="240"/>
        <w:rPr>
          <w:sz w:val="20"/>
          <w:szCs w:val="20"/>
        </w:rPr>
      </w:pPr>
      <w:r>
        <w:rPr>
          <w:sz w:val="20"/>
          <w:szCs w:val="20"/>
        </w:rPr>
        <w:t>To effectively convey this dense regulatory information, the platform should leverage the university's "Captain Integrity" training model, which utilizes accessible, scenario-based snippets to explain complex ethical dilemmas and compliance rules, making the information far more digestible than a static legal manual.</w:t>
      </w:r>
    </w:p>
    <w:p w14:paraId="64085D5D" w14:textId="77777777" w:rsidR="0016550C" w:rsidRDefault="00000000">
      <w:pPr>
        <w:pStyle w:val="Heading3"/>
        <w:spacing w:before="0"/>
        <w:rPr>
          <w:sz w:val="26"/>
          <w:szCs w:val="26"/>
        </w:rPr>
      </w:pPr>
      <w:r>
        <w:rPr>
          <w:sz w:val="26"/>
          <w:szCs w:val="26"/>
        </w:rPr>
        <w:t>Title IX and Gender Equity Protocols</w:t>
      </w:r>
    </w:p>
    <w:p w14:paraId="64085D5E" w14:textId="77777777" w:rsidR="0016550C" w:rsidRDefault="00000000">
      <w:pPr>
        <w:pBdr>
          <w:top w:val="nil"/>
          <w:left w:val="nil"/>
          <w:bottom w:val="nil"/>
          <w:right w:val="nil"/>
          <w:between w:val="nil"/>
        </w:pBdr>
        <w:rPr>
          <w:sz w:val="20"/>
          <w:szCs w:val="20"/>
        </w:rPr>
      </w:pPr>
      <w:r>
        <w:rPr>
          <w:sz w:val="20"/>
          <w:szCs w:val="20"/>
        </w:rPr>
        <w:t>Compliance extends far beyond NCAA bylaws; adherence to federal legislation, specifically Title IX, is paramount. The onboarding platform must feature a dedicated module explaining the institution's affirmative obligation to prevent sex discrimination, investigate claims of sexual misconduct, and ensure equitable opportunities across all athletic programs.</w:t>
      </w:r>
    </w:p>
    <w:p w14:paraId="64085D5F" w14:textId="77777777" w:rsidR="0016550C" w:rsidRDefault="00000000">
      <w:pPr>
        <w:pBdr>
          <w:top w:val="nil"/>
          <w:left w:val="nil"/>
          <w:bottom w:val="nil"/>
          <w:right w:val="nil"/>
          <w:between w:val="nil"/>
        </w:pBdr>
        <w:rPr>
          <w:sz w:val="20"/>
          <w:szCs w:val="20"/>
        </w:rPr>
      </w:pPr>
      <w:r>
        <w:rPr>
          <w:sz w:val="20"/>
          <w:szCs w:val="20"/>
        </w:rPr>
        <w:t>Staff must be educated on the three-part test utilized by the Office for Civil Rights to determine Title IX compliance in athletics:</w:t>
      </w:r>
    </w:p>
    <w:p w14:paraId="64085D60" w14:textId="77777777" w:rsidR="0016550C" w:rsidRDefault="00000000">
      <w:pPr>
        <w:numPr>
          <w:ilvl w:val="0"/>
          <w:numId w:val="1"/>
        </w:numPr>
        <w:pBdr>
          <w:top w:val="nil"/>
          <w:left w:val="nil"/>
          <w:bottom w:val="nil"/>
          <w:right w:val="nil"/>
          <w:between w:val="nil"/>
        </w:pBdr>
        <w:rPr>
          <w:sz w:val="20"/>
          <w:szCs w:val="20"/>
        </w:rPr>
      </w:pPr>
      <w:r>
        <w:rPr>
          <w:b/>
          <w:bCs/>
          <w:sz w:val="20"/>
          <w:szCs w:val="20"/>
        </w:rPr>
        <w:t>Equitable Participation:</w:t>
      </w:r>
      <w:r>
        <w:rPr>
          <w:sz w:val="20"/>
          <w:szCs w:val="20"/>
        </w:rPr>
        <w:t xml:space="preserve"> Providing athletic participation opportunities for men and women in numbers substantially proportionate to their respective full-time undergraduate enrollments.</w:t>
      </w:r>
    </w:p>
    <w:p w14:paraId="64085D61" w14:textId="77777777" w:rsidR="0016550C" w:rsidRDefault="00000000">
      <w:pPr>
        <w:numPr>
          <w:ilvl w:val="0"/>
          <w:numId w:val="1"/>
        </w:numPr>
        <w:pBdr>
          <w:top w:val="nil"/>
          <w:left w:val="nil"/>
          <w:bottom w:val="nil"/>
          <w:right w:val="nil"/>
          <w:between w:val="nil"/>
        </w:pBdr>
        <w:rPr>
          <w:sz w:val="20"/>
          <w:szCs w:val="20"/>
        </w:rPr>
      </w:pPr>
      <w:r>
        <w:rPr>
          <w:b/>
          <w:bCs/>
          <w:sz w:val="20"/>
          <w:szCs w:val="20"/>
        </w:rPr>
        <w:t>Equitable Financial Support:</w:t>
      </w:r>
      <w:r>
        <w:rPr>
          <w:sz w:val="20"/>
          <w:szCs w:val="20"/>
        </w:rPr>
        <w:t xml:space="preserve"> Ensuring that the total amount of athletic scholarship funding provided to male and female athletes is proportional to their participation rates.</w:t>
      </w:r>
    </w:p>
    <w:p w14:paraId="64085D62" w14:textId="77777777" w:rsidR="0016550C" w:rsidRDefault="00000000">
      <w:pPr>
        <w:numPr>
          <w:ilvl w:val="0"/>
          <w:numId w:val="1"/>
        </w:numPr>
        <w:pBdr>
          <w:top w:val="nil"/>
          <w:left w:val="nil"/>
          <w:bottom w:val="nil"/>
          <w:right w:val="nil"/>
          <w:between w:val="nil"/>
        </w:pBdr>
        <w:rPr>
          <w:sz w:val="20"/>
          <w:szCs w:val="20"/>
        </w:rPr>
      </w:pPr>
      <w:r>
        <w:rPr>
          <w:b/>
          <w:bCs/>
          <w:sz w:val="20"/>
          <w:szCs w:val="20"/>
        </w:rPr>
        <w:t>Equitable Treatment (The "Laundry List"):</w:t>
      </w:r>
      <w:r>
        <w:rPr>
          <w:sz w:val="20"/>
          <w:szCs w:val="20"/>
        </w:rPr>
        <w:t xml:space="preserve"> Mandating that male and female athletes receive equivalent treatment regarding equipment, scheduling, travel allowances, tutoring access, coaching quality, locker rooms, medical facilities, and publicity.</w:t>
      </w:r>
    </w:p>
    <w:p w14:paraId="64085D63" w14:textId="77777777" w:rsidR="0016550C" w:rsidRDefault="00000000">
      <w:pPr>
        <w:pBdr>
          <w:top w:val="nil"/>
          <w:left w:val="nil"/>
          <w:bottom w:val="nil"/>
          <w:right w:val="nil"/>
          <w:between w:val="nil"/>
        </w:pBdr>
        <w:spacing w:after="240"/>
        <w:rPr>
          <w:sz w:val="20"/>
          <w:szCs w:val="20"/>
        </w:rPr>
      </w:pPr>
      <w:r>
        <w:rPr>
          <w:sz w:val="20"/>
          <w:szCs w:val="20"/>
        </w:rPr>
        <w:t>Furthermore, the training must explicitly outline the NCAA Policy on Campus Sexual Violence. All staff, coaches, and administrators must be aware of the strict protocols requiring the immediate reporting of any suspected sexual violence to appropriate campus authorities, specifically the Title IX coordinator. The platform should also integrate best practices regarding the inclusion of transgender student-athletes, providing guidance on respecting confidentiality, utilizing preferred terminology, and ensuring safe and dignified access to facilities.</w:t>
      </w:r>
    </w:p>
    <w:p w14:paraId="64085D64" w14:textId="77777777" w:rsidR="0016550C" w:rsidRDefault="00000000">
      <w:pPr>
        <w:pStyle w:val="Heading3"/>
        <w:spacing w:before="0"/>
        <w:rPr>
          <w:sz w:val="26"/>
          <w:szCs w:val="26"/>
        </w:rPr>
      </w:pPr>
      <w:r>
        <w:rPr>
          <w:sz w:val="26"/>
          <w:szCs w:val="26"/>
        </w:rPr>
        <w:t>Booster Relations and Sports Wagering Prohibitions</w:t>
      </w:r>
    </w:p>
    <w:p w14:paraId="64085D65" w14:textId="77777777" w:rsidR="0016550C" w:rsidRDefault="00000000">
      <w:pPr>
        <w:pBdr>
          <w:top w:val="nil"/>
          <w:left w:val="nil"/>
          <w:bottom w:val="nil"/>
          <w:right w:val="nil"/>
          <w:between w:val="nil"/>
        </w:pBdr>
        <w:rPr>
          <w:sz w:val="20"/>
          <w:szCs w:val="20"/>
        </w:rPr>
      </w:pPr>
      <w:r>
        <w:rPr>
          <w:sz w:val="20"/>
          <w:szCs w:val="20"/>
        </w:rPr>
        <w:t>Two critical areas of compliance that frequently generate severe infractions are interactions with "Representatives of Athletics Interests" (boosters) and sports wagering. The onboarding tool must leave absolutely no ambiguity regarding these topics.</w:t>
      </w:r>
    </w:p>
    <w:p w14:paraId="64085D66" w14:textId="77777777" w:rsidR="0016550C" w:rsidRDefault="00000000">
      <w:pPr>
        <w:pBdr>
          <w:top w:val="nil"/>
          <w:left w:val="nil"/>
          <w:bottom w:val="nil"/>
          <w:right w:val="nil"/>
          <w:between w:val="nil"/>
        </w:pBdr>
        <w:spacing w:after="225"/>
        <w:rPr>
          <w:sz w:val="20"/>
          <w:szCs w:val="20"/>
        </w:rPr>
      </w:pPr>
      <w:r>
        <w:rPr>
          <w:sz w:val="20"/>
          <w:szCs w:val="20"/>
        </w:rPr>
        <w:t>Staff must understand the strict limitations governing booster engagement. Boosters are explicitly prohibited from engaging in off-campus recruiting activities and may not utilize established relationships to advantage the university in recruiting prospective student-athletes. Furthermore, the platform must clearly outline the absolute prohibition against any form of sports wagering. NCAA legislation unequivocally forbids all athletics department staff members, coaches, and student-athletes from wagering on any intercollegiate, amateur, or professional sporting event in which the NCAA conducts a championship. The consequences for violating this policy are severe, and the onboarding platform must reinforce this through mandatory, digitally signed attestations.</w:t>
      </w:r>
    </w:p>
    <w:p w14:paraId="64085D67" w14:textId="77777777" w:rsidR="0016550C" w:rsidRDefault="00000000">
      <w:pPr>
        <w:pStyle w:val="Heading2"/>
        <w:spacing w:before="0"/>
        <w:rPr>
          <w:sz w:val="34"/>
          <w:szCs w:val="34"/>
        </w:rPr>
      </w:pPr>
      <w:r>
        <w:rPr>
          <w:sz w:val="34"/>
          <w:szCs w:val="34"/>
        </w:rPr>
        <w:t>Name, Image, and Likeness (NIL) Navigation</w:t>
      </w:r>
    </w:p>
    <w:p w14:paraId="64085D68" w14:textId="77777777" w:rsidR="0016550C" w:rsidRDefault="00000000">
      <w:pPr>
        <w:pBdr>
          <w:top w:val="nil"/>
          <w:left w:val="nil"/>
          <w:bottom w:val="nil"/>
          <w:right w:val="nil"/>
          <w:between w:val="nil"/>
        </w:pBdr>
        <w:rPr>
          <w:sz w:val="20"/>
          <w:szCs w:val="20"/>
        </w:rPr>
      </w:pPr>
      <w:r>
        <w:rPr>
          <w:sz w:val="20"/>
          <w:szCs w:val="20"/>
        </w:rPr>
        <w:t xml:space="preserve">The advent of Name, Image, and Likeness (NIL) legislation has fundamentally altered the landscape of collegiate athletics. The University of Toledo has aggressively positioned itself at the forefront of this evolution, becoming the first MAC institution to launch an organized collective, secure exclusive apparel </w:t>
      </w:r>
      <w:r>
        <w:rPr>
          <w:sz w:val="20"/>
          <w:szCs w:val="20"/>
        </w:rPr>
        <w:lastRenderedPageBreak/>
        <w:t>partnerships through Campus Ink, and facilitate national brand deals for its athletes. Consequently, comprehensive NIL education is a mandatory component of the staff onboarding process.</w:t>
      </w:r>
    </w:p>
    <w:p w14:paraId="64085D69" w14:textId="77777777" w:rsidR="0016550C" w:rsidRDefault="00000000">
      <w:pPr>
        <w:pBdr>
          <w:top w:val="nil"/>
          <w:left w:val="nil"/>
          <w:bottom w:val="nil"/>
          <w:right w:val="nil"/>
          <w:between w:val="nil"/>
        </w:pBdr>
        <w:rPr>
          <w:sz w:val="20"/>
          <w:szCs w:val="20"/>
        </w:rPr>
      </w:pPr>
      <w:r>
        <w:rPr>
          <w:sz w:val="20"/>
          <w:szCs w:val="20"/>
        </w:rPr>
        <w:t>The onboarding portal must introduce new employees to the intricate ecosystem of NIL compliance. Staff must understand the legal boundaries governing institutional involvement in facilitating endorsements, the nuances of state laws versus NCAA interim policies, and the critical importance of disclosure requirements. The platform should direct employees to the UToledo "Liftoff" program and the dedicated NIL Resource Center, which serves as the centralized hub for connecting student-athletes with business partners.</w:t>
      </w:r>
    </w:p>
    <w:p w14:paraId="64085D6A" w14:textId="77777777" w:rsidR="0016550C" w:rsidRDefault="00000000">
      <w:pPr>
        <w:pBdr>
          <w:top w:val="nil"/>
          <w:left w:val="nil"/>
          <w:bottom w:val="nil"/>
          <w:right w:val="nil"/>
          <w:between w:val="nil"/>
        </w:pBdr>
        <w:spacing w:after="225"/>
        <w:rPr>
          <w:sz w:val="20"/>
          <w:szCs w:val="20"/>
        </w:rPr>
      </w:pPr>
      <w:r>
        <w:rPr>
          <w:sz w:val="20"/>
          <w:szCs w:val="20"/>
        </w:rPr>
        <w:t>Furthermore, staff must be educated on the operational restrictions surrounding NIL activities, such as the strict prohibition against student-athletes wearing non-compliant apparel or endorsing commercial products during official team travel or university-funded athletic events. To support this massive educational undertaking, the department utilizes external platforms like Spry and Teamworks General Manager, which provide foundational financial literacy, brand management, and compliance courses. New staff must be trained on how to navigate and administer these platforms to ensure their student-athletes remain eligible and compliant while maximizing their commercial opportunities.</w:t>
      </w:r>
    </w:p>
    <w:p w14:paraId="64085D6B" w14:textId="77777777" w:rsidR="0016550C" w:rsidRDefault="00000000">
      <w:pPr>
        <w:pStyle w:val="Heading2"/>
        <w:spacing w:before="0"/>
        <w:rPr>
          <w:sz w:val="34"/>
          <w:szCs w:val="34"/>
        </w:rPr>
      </w:pPr>
      <w:r>
        <w:rPr>
          <w:sz w:val="34"/>
          <w:szCs w:val="34"/>
        </w:rPr>
        <w:t>Holistic Student-Athlete Development and Mental Health</w:t>
      </w:r>
    </w:p>
    <w:p w14:paraId="64085D6C" w14:textId="77777777" w:rsidR="0016550C" w:rsidRDefault="00000000">
      <w:pPr>
        <w:pBdr>
          <w:top w:val="nil"/>
          <w:left w:val="nil"/>
          <w:bottom w:val="nil"/>
          <w:right w:val="nil"/>
          <w:between w:val="nil"/>
        </w:pBdr>
        <w:rPr>
          <w:sz w:val="20"/>
          <w:szCs w:val="20"/>
        </w:rPr>
      </w:pPr>
      <w:r>
        <w:rPr>
          <w:sz w:val="20"/>
          <w:szCs w:val="20"/>
        </w:rPr>
        <w:t>The intense pressures of elite athletic competition, compounded by the complexities of NIL monetization and the anxieties surrounding the transfer portal, have created a critical need for robust mental health and wellness support structures. A modern athletics onboarding platform must move beyond mere compliance and equip staff with the resources necessary to support the holistic well-being of the student-athlete.</w:t>
      </w:r>
    </w:p>
    <w:p w14:paraId="64085D6D" w14:textId="77777777" w:rsidR="0016550C" w:rsidRDefault="00000000">
      <w:pPr>
        <w:pBdr>
          <w:top w:val="nil"/>
          <w:left w:val="nil"/>
          <w:bottom w:val="nil"/>
          <w:right w:val="nil"/>
          <w:between w:val="nil"/>
        </w:pBdr>
        <w:rPr>
          <w:sz w:val="20"/>
          <w:szCs w:val="20"/>
        </w:rPr>
      </w:pPr>
      <w:r>
        <w:rPr>
          <w:sz w:val="20"/>
          <w:szCs w:val="20"/>
        </w:rPr>
        <w:t>New employees must be thoroughly acquainted with the Student-Athlete Support Services (SASS) department. Located within the Larimer Athletic Complex, SASS provides a comprehensive suite of academic and developmental resources, including course scheduling guidance, mandatory study tables, and specialized tutoring. The onboarding portal should highlight the specific personnel managing these operations, such as Jillian Lehman (Associate AD for Student-Athlete Experience) and Duane Welch (Assistant Director of SASS), ensuring that coaches and staff know exactly where to direct athletes requiring academic intervention.</w:t>
      </w:r>
    </w:p>
    <w:p w14:paraId="64085D6E" w14:textId="77777777" w:rsidR="0016550C" w:rsidRDefault="00000000">
      <w:pPr>
        <w:pBdr>
          <w:top w:val="nil"/>
          <w:left w:val="nil"/>
          <w:bottom w:val="nil"/>
          <w:right w:val="nil"/>
          <w:between w:val="nil"/>
        </w:pBdr>
        <w:rPr>
          <w:sz w:val="20"/>
          <w:szCs w:val="20"/>
        </w:rPr>
      </w:pPr>
      <w:r>
        <w:rPr>
          <w:sz w:val="20"/>
          <w:szCs w:val="20"/>
        </w:rPr>
        <w:t>Furthermore, the platform must outline the department's commitment to the N4A Student-Athlete Development framework. This includes familiarizing staff with initiatives designed to prepare athletes for life after sports, such as the "Rockets Rise: Networking &amp; NIL Night," which connects athletes with regional employers for internships and career opportunities.</w:t>
      </w:r>
    </w:p>
    <w:p w14:paraId="64085D6F" w14:textId="77777777" w:rsidR="0016550C" w:rsidRDefault="00000000">
      <w:pPr>
        <w:pBdr>
          <w:top w:val="nil"/>
          <w:left w:val="nil"/>
          <w:bottom w:val="nil"/>
          <w:right w:val="nil"/>
          <w:between w:val="nil"/>
        </w:pBdr>
        <w:spacing w:after="225"/>
        <w:rPr>
          <w:sz w:val="20"/>
          <w:szCs w:val="20"/>
        </w:rPr>
      </w:pPr>
      <w:r>
        <w:rPr>
          <w:sz w:val="20"/>
          <w:szCs w:val="20"/>
        </w:rPr>
        <w:t>Crucially, the onboarding tool must serve as a conduit for mental health crisis intervention strategies. Utilizing evidence-based guidelines from the NCAA Mental Health Best Practices and programs akin to the University of Michigan's Athletes Connected framework, the platform should train staff on identifying warning signs of psychological distress, anxiety, and depression. Coaches and administrative personnel are frequently the first line of defense; therefore, the platform must provide explicitly clear, step-by-step referral pathways connecting struggling student-athletes with licensed campus psychiatric services and the University Health Center.</w:t>
      </w:r>
    </w:p>
    <w:p w14:paraId="64085D70" w14:textId="77777777" w:rsidR="0016550C" w:rsidRDefault="00000000">
      <w:pPr>
        <w:pStyle w:val="Heading2"/>
        <w:spacing w:before="0"/>
        <w:rPr>
          <w:sz w:val="34"/>
          <w:szCs w:val="34"/>
        </w:rPr>
      </w:pPr>
      <w:r>
        <w:rPr>
          <w:sz w:val="34"/>
          <w:szCs w:val="34"/>
        </w:rPr>
        <w:t>Human Resources Integration and Pre-Employment Logistics</w:t>
      </w:r>
    </w:p>
    <w:p w14:paraId="64085D71" w14:textId="77777777" w:rsidR="0016550C" w:rsidRDefault="00000000">
      <w:pPr>
        <w:pBdr>
          <w:top w:val="nil"/>
          <w:left w:val="nil"/>
          <w:bottom w:val="nil"/>
          <w:right w:val="nil"/>
          <w:between w:val="nil"/>
        </w:pBdr>
        <w:spacing w:after="240"/>
        <w:rPr>
          <w:sz w:val="20"/>
          <w:szCs w:val="20"/>
        </w:rPr>
      </w:pPr>
      <w:r>
        <w:rPr>
          <w:sz w:val="20"/>
          <w:szCs w:val="20"/>
        </w:rPr>
        <w:t>The transition into a university system involves navigating a labyrinth of human resources requirements, benefits elections, and mandatory institutional training. A primary function of the onboarding platform is to transform this overwhelming bureaucratic process into a streamlined, interactive checklist that guides the new employee through their first 120 days.</w:t>
      </w:r>
    </w:p>
    <w:p w14:paraId="64085D72" w14:textId="77777777" w:rsidR="0016550C" w:rsidRDefault="00000000">
      <w:pPr>
        <w:pStyle w:val="Heading3"/>
        <w:spacing w:before="0"/>
        <w:rPr>
          <w:sz w:val="26"/>
          <w:szCs w:val="26"/>
        </w:rPr>
      </w:pPr>
      <w:r>
        <w:rPr>
          <w:sz w:val="26"/>
          <w:szCs w:val="26"/>
        </w:rPr>
        <w:t>The Sequential Onboarding Timeline</w:t>
      </w:r>
    </w:p>
    <w:p w14:paraId="64085D73" w14:textId="77777777" w:rsidR="0016550C" w:rsidRDefault="00000000">
      <w:pPr>
        <w:pBdr>
          <w:top w:val="nil"/>
          <w:left w:val="nil"/>
          <w:bottom w:val="nil"/>
          <w:right w:val="nil"/>
          <w:between w:val="nil"/>
        </w:pBdr>
        <w:rPr>
          <w:sz w:val="20"/>
          <w:szCs w:val="20"/>
        </w:rPr>
      </w:pPr>
      <w:r>
        <w:rPr>
          <w:sz w:val="20"/>
          <w:szCs w:val="20"/>
        </w:rPr>
        <w:t>The platform should feature a dynamic tracking mechanism, allowing both the new hire and their hiring manager to monitor the completion of critical HR milestones.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6550C" w14:paraId="64085D76" w14:textId="77777777">
        <w:trPr>
          <w:tblHeader/>
        </w:trPr>
        <w:tc>
          <w:tcPr>
            <w:tcW w:w="4680" w:type="dxa"/>
            <w:tcMar>
              <w:top w:w="0" w:type="dxa"/>
              <w:left w:w="0" w:type="dxa"/>
              <w:bottom w:w="0" w:type="dxa"/>
              <w:right w:w="0" w:type="dxa"/>
            </w:tcMar>
          </w:tcPr>
          <w:p w14:paraId="64085D74" w14:textId="77777777" w:rsidR="0016550C" w:rsidRDefault="00000000">
            <w:pPr>
              <w:pBdr>
                <w:top w:val="nil"/>
                <w:left w:val="nil"/>
                <w:bottom w:val="nil"/>
                <w:right w:val="nil"/>
                <w:between w:val="nil"/>
              </w:pBdr>
              <w:rPr>
                <w:sz w:val="20"/>
                <w:szCs w:val="20"/>
              </w:rPr>
            </w:pPr>
            <w:r>
              <w:rPr>
                <w:sz w:val="20"/>
                <w:szCs w:val="20"/>
              </w:rPr>
              <w:lastRenderedPageBreak/>
              <w:t>Onboarding Phase</w:t>
            </w:r>
          </w:p>
        </w:tc>
        <w:tc>
          <w:tcPr>
            <w:tcW w:w="4680" w:type="dxa"/>
            <w:tcMar>
              <w:top w:w="0" w:type="dxa"/>
              <w:left w:w="0" w:type="dxa"/>
              <w:bottom w:w="0" w:type="dxa"/>
              <w:right w:w="0" w:type="dxa"/>
            </w:tcMar>
          </w:tcPr>
          <w:p w14:paraId="64085D75" w14:textId="77777777" w:rsidR="0016550C" w:rsidRDefault="00000000">
            <w:pPr>
              <w:pBdr>
                <w:top w:val="nil"/>
                <w:left w:val="nil"/>
                <w:bottom w:val="nil"/>
                <w:right w:val="nil"/>
                <w:between w:val="nil"/>
              </w:pBdr>
              <w:rPr>
                <w:sz w:val="20"/>
                <w:szCs w:val="20"/>
              </w:rPr>
            </w:pPr>
            <w:r>
              <w:rPr>
                <w:sz w:val="20"/>
                <w:szCs w:val="20"/>
              </w:rPr>
              <w:t>Required Employee Actions and Documentation</w:t>
            </w:r>
          </w:p>
        </w:tc>
      </w:tr>
      <w:tr w:rsidR="0016550C" w14:paraId="64085D79" w14:textId="77777777">
        <w:tc>
          <w:tcPr>
            <w:tcW w:w="4680" w:type="dxa"/>
            <w:tcMar>
              <w:top w:w="0" w:type="dxa"/>
              <w:left w:w="0" w:type="dxa"/>
              <w:bottom w:w="0" w:type="dxa"/>
              <w:right w:w="0" w:type="dxa"/>
            </w:tcMar>
          </w:tcPr>
          <w:p w14:paraId="64085D77" w14:textId="77777777" w:rsidR="0016550C" w:rsidRDefault="00000000">
            <w:pPr>
              <w:pBdr>
                <w:top w:val="nil"/>
                <w:left w:val="nil"/>
                <w:bottom w:val="nil"/>
                <w:right w:val="nil"/>
                <w:between w:val="nil"/>
              </w:pBdr>
              <w:rPr>
                <w:b/>
                <w:bCs/>
                <w:sz w:val="20"/>
                <w:szCs w:val="20"/>
              </w:rPr>
            </w:pPr>
            <w:r>
              <w:rPr>
                <w:b/>
                <w:bCs/>
                <w:sz w:val="20"/>
                <w:szCs w:val="20"/>
              </w:rPr>
              <w:t>Pre-Employment Validation</w:t>
            </w:r>
          </w:p>
        </w:tc>
        <w:tc>
          <w:tcPr>
            <w:tcW w:w="4680" w:type="dxa"/>
            <w:tcMar>
              <w:top w:w="0" w:type="dxa"/>
              <w:left w:w="0" w:type="dxa"/>
              <w:bottom w:w="0" w:type="dxa"/>
              <w:right w:w="0" w:type="dxa"/>
            </w:tcMar>
          </w:tcPr>
          <w:p w14:paraId="64085D78" w14:textId="77777777" w:rsidR="0016550C" w:rsidRDefault="00000000">
            <w:pPr>
              <w:pBdr>
                <w:top w:val="nil"/>
                <w:left w:val="nil"/>
                <w:bottom w:val="nil"/>
                <w:right w:val="nil"/>
                <w:between w:val="nil"/>
              </w:pBdr>
              <w:rPr>
                <w:sz w:val="20"/>
                <w:szCs w:val="20"/>
              </w:rPr>
            </w:pPr>
            <w:r>
              <w:rPr>
                <w:sz w:val="20"/>
                <w:szCs w:val="20"/>
              </w:rPr>
              <w:t>Before the first day, the employee must complete Section 1 of the I-9 Employment Eligibility Verification via the IntelliCorp digital link. Official college transcripts must be mailed directly to HR in sealed envelopes. For personnel interacting with the Health Science Campus, specific health screening requirements must be finalized.</w:t>
            </w:r>
          </w:p>
        </w:tc>
      </w:tr>
      <w:tr w:rsidR="0016550C" w14:paraId="64085D7C" w14:textId="77777777">
        <w:tc>
          <w:tcPr>
            <w:tcW w:w="4680" w:type="dxa"/>
            <w:tcMar>
              <w:top w:w="0" w:type="dxa"/>
              <w:left w:w="0" w:type="dxa"/>
              <w:bottom w:w="0" w:type="dxa"/>
              <w:right w:w="0" w:type="dxa"/>
            </w:tcMar>
          </w:tcPr>
          <w:p w14:paraId="64085D7A" w14:textId="77777777" w:rsidR="0016550C" w:rsidRDefault="00000000">
            <w:pPr>
              <w:pBdr>
                <w:top w:val="nil"/>
                <w:left w:val="nil"/>
                <w:bottom w:val="nil"/>
                <w:right w:val="nil"/>
                <w:between w:val="nil"/>
              </w:pBdr>
              <w:rPr>
                <w:b/>
                <w:bCs/>
                <w:sz w:val="20"/>
                <w:szCs w:val="20"/>
              </w:rPr>
            </w:pPr>
            <w:r>
              <w:rPr>
                <w:b/>
                <w:bCs/>
                <w:sz w:val="20"/>
                <w:szCs w:val="20"/>
              </w:rPr>
              <w:t>The First Week</w:t>
            </w:r>
          </w:p>
        </w:tc>
        <w:tc>
          <w:tcPr>
            <w:tcW w:w="4680" w:type="dxa"/>
            <w:tcMar>
              <w:top w:w="0" w:type="dxa"/>
              <w:left w:w="0" w:type="dxa"/>
              <w:bottom w:w="0" w:type="dxa"/>
              <w:right w:w="0" w:type="dxa"/>
            </w:tcMar>
          </w:tcPr>
          <w:p w14:paraId="64085D7B" w14:textId="77777777" w:rsidR="0016550C" w:rsidRDefault="00000000">
            <w:pPr>
              <w:pBdr>
                <w:top w:val="nil"/>
                <w:left w:val="nil"/>
                <w:bottom w:val="nil"/>
                <w:right w:val="nil"/>
                <w:between w:val="nil"/>
              </w:pBdr>
              <w:rPr>
                <w:sz w:val="20"/>
                <w:szCs w:val="20"/>
              </w:rPr>
            </w:pPr>
            <w:r>
              <w:rPr>
                <w:sz w:val="20"/>
                <w:szCs w:val="20"/>
              </w:rPr>
              <w:t>Attendance at the mandatory New Employee Orientation, held on Mondays at 8:30 a.m., is required to assimilate staff into the university's mission and values. The employee must activate their UTAD username and password, which serves as the master credential for all university systems. Following UTAD activation, the employee must set up Direct Deposit and complete federal/state tax withholding forms via the MyUT portal.</w:t>
            </w:r>
          </w:p>
        </w:tc>
      </w:tr>
      <w:tr w:rsidR="0016550C" w14:paraId="64085D7F" w14:textId="77777777">
        <w:tc>
          <w:tcPr>
            <w:tcW w:w="4680" w:type="dxa"/>
            <w:tcMar>
              <w:top w:w="0" w:type="dxa"/>
              <w:left w:w="0" w:type="dxa"/>
              <w:bottom w:w="0" w:type="dxa"/>
              <w:right w:w="0" w:type="dxa"/>
            </w:tcMar>
          </w:tcPr>
          <w:p w14:paraId="64085D7D" w14:textId="77777777" w:rsidR="0016550C" w:rsidRDefault="00000000">
            <w:pPr>
              <w:pBdr>
                <w:top w:val="nil"/>
                <w:left w:val="nil"/>
                <w:bottom w:val="nil"/>
                <w:right w:val="nil"/>
                <w:between w:val="nil"/>
              </w:pBdr>
              <w:rPr>
                <w:b/>
                <w:bCs/>
                <w:sz w:val="20"/>
                <w:szCs w:val="20"/>
              </w:rPr>
            </w:pPr>
            <w:r>
              <w:rPr>
                <w:b/>
                <w:bCs/>
                <w:sz w:val="20"/>
                <w:szCs w:val="20"/>
              </w:rPr>
              <w:t>The First 30 Days</w:t>
            </w:r>
          </w:p>
        </w:tc>
        <w:tc>
          <w:tcPr>
            <w:tcW w:w="4680" w:type="dxa"/>
            <w:tcMar>
              <w:top w:w="0" w:type="dxa"/>
              <w:left w:w="0" w:type="dxa"/>
              <w:bottom w:w="0" w:type="dxa"/>
              <w:right w:w="0" w:type="dxa"/>
            </w:tcMar>
          </w:tcPr>
          <w:p w14:paraId="64085D7E" w14:textId="77777777" w:rsidR="0016550C" w:rsidRDefault="00000000">
            <w:pPr>
              <w:pBdr>
                <w:top w:val="nil"/>
                <w:left w:val="nil"/>
                <w:bottom w:val="nil"/>
                <w:right w:val="nil"/>
                <w:between w:val="nil"/>
              </w:pBdr>
              <w:rPr>
                <w:sz w:val="20"/>
                <w:szCs w:val="20"/>
              </w:rPr>
            </w:pPr>
            <w:r>
              <w:rPr>
                <w:b/>
                <w:bCs/>
                <w:sz w:val="20"/>
                <w:szCs w:val="20"/>
              </w:rPr>
              <w:t>Critical Deadline:</w:t>
            </w:r>
            <w:r>
              <w:rPr>
                <w:sz w:val="20"/>
                <w:szCs w:val="20"/>
              </w:rPr>
              <w:t xml:space="preserve"> Employees have exactly 30 days from their start date to elect or decline medical, dental, vision, and life insurance benefits. Failure to act results in a forfeiture of coverage until the next open enrollment period. Enrollment requires uploading supporting documentation, such as marriage certificates or birth certificates for dependents, directly into the MyUT portal. Additionally, all mandatory compliance training modules—including Ohio Ethics Law, HIPAA Basics (if applicable), and Title IX/VAWA anti-harassment training—must be completed.</w:t>
            </w:r>
          </w:p>
        </w:tc>
      </w:tr>
      <w:tr w:rsidR="0016550C" w14:paraId="64085D82" w14:textId="77777777">
        <w:tc>
          <w:tcPr>
            <w:tcW w:w="4680" w:type="dxa"/>
            <w:tcMar>
              <w:top w:w="0" w:type="dxa"/>
              <w:left w:w="0" w:type="dxa"/>
              <w:bottom w:w="0" w:type="dxa"/>
              <w:right w:w="0" w:type="dxa"/>
            </w:tcMar>
          </w:tcPr>
          <w:p w14:paraId="64085D80" w14:textId="77777777" w:rsidR="0016550C" w:rsidRDefault="00000000">
            <w:pPr>
              <w:pBdr>
                <w:top w:val="nil"/>
                <w:left w:val="nil"/>
                <w:bottom w:val="nil"/>
                <w:right w:val="nil"/>
                <w:between w:val="nil"/>
              </w:pBdr>
              <w:rPr>
                <w:b/>
                <w:bCs/>
                <w:sz w:val="20"/>
                <w:szCs w:val="20"/>
              </w:rPr>
            </w:pPr>
            <w:r>
              <w:rPr>
                <w:b/>
                <w:bCs/>
                <w:sz w:val="20"/>
                <w:szCs w:val="20"/>
              </w:rPr>
              <w:t>The First 120 Days</w:t>
            </w:r>
          </w:p>
        </w:tc>
        <w:tc>
          <w:tcPr>
            <w:tcW w:w="4680" w:type="dxa"/>
            <w:tcMar>
              <w:top w:w="0" w:type="dxa"/>
              <w:left w:w="0" w:type="dxa"/>
              <w:bottom w:w="0" w:type="dxa"/>
              <w:right w:w="0" w:type="dxa"/>
            </w:tcMar>
          </w:tcPr>
          <w:p w14:paraId="64085D81" w14:textId="77777777" w:rsidR="0016550C" w:rsidRDefault="00000000">
            <w:pPr>
              <w:pBdr>
                <w:top w:val="nil"/>
                <w:left w:val="nil"/>
                <w:bottom w:val="nil"/>
                <w:right w:val="nil"/>
                <w:between w:val="nil"/>
              </w:pBdr>
              <w:rPr>
                <w:sz w:val="20"/>
                <w:szCs w:val="20"/>
              </w:rPr>
            </w:pPr>
            <w:r>
              <w:rPr>
                <w:sz w:val="20"/>
                <w:szCs w:val="20"/>
              </w:rPr>
              <w:t>Employees must finalize their Retirement Plan Elections by creating accounts with approved vendors and submitting the requisite authorization forms within 120 days of their hire date. Managers should conduct formal 30, 60, and 90-day check-in meetings to review performance, assess goals, and gather feedback on the onboarding experience itself.</w:t>
            </w:r>
          </w:p>
        </w:tc>
      </w:tr>
    </w:tbl>
    <w:p w14:paraId="64085D83" w14:textId="77777777" w:rsidR="0016550C" w:rsidRDefault="00000000">
      <w:pPr>
        <w:pStyle w:val="Heading3"/>
        <w:rPr>
          <w:sz w:val="26"/>
          <w:szCs w:val="26"/>
        </w:rPr>
      </w:pPr>
      <w:r>
        <w:rPr>
          <w:sz w:val="26"/>
          <w:szCs w:val="26"/>
        </w:rPr>
        <w:t>Work-Life Harmony and Employee Benefits</w:t>
      </w:r>
    </w:p>
    <w:p w14:paraId="64085D84" w14:textId="77777777" w:rsidR="0016550C" w:rsidRDefault="00000000">
      <w:pPr>
        <w:pBdr>
          <w:top w:val="nil"/>
          <w:left w:val="nil"/>
          <w:bottom w:val="nil"/>
          <w:right w:val="nil"/>
          <w:between w:val="nil"/>
        </w:pBdr>
        <w:rPr>
          <w:sz w:val="20"/>
          <w:szCs w:val="20"/>
        </w:rPr>
      </w:pPr>
      <w:r>
        <w:rPr>
          <w:sz w:val="20"/>
          <w:szCs w:val="20"/>
        </w:rPr>
        <w:t>To foster long-term retention, the onboarding platform should actively promote the university's comprehensive benefits package and wellness initiatives. Beyond standard medical and dental care, the tool must highlight the "Work-Life Harmony" programs.</w:t>
      </w:r>
    </w:p>
    <w:p w14:paraId="64085D85" w14:textId="77777777" w:rsidR="0016550C" w:rsidRDefault="00000000">
      <w:pPr>
        <w:pBdr>
          <w:top w:val="nil"/>
          <w:left w:val="nil"/>
          <w:bottom w:val="nil"/>
          <w:right w:val="nil"/>
          <w:between w:val="nil"/>
        </w:pBdr>
        <w:spacing w:after="225"/>
        <w:rPr>
          <w:sz w:val="20"/>
          <w:szCs w:val="20"/>
        </w:rPr>
      </w:pPr>
      <w:r>
        <w:rPr>
          <w:sz w:val="20"/>
          <w:szCs w:val="20"/>
        </w:rPr>
        <w:t>Key features to include are the Employee Assistance Program (EAP) provided through AllOne Health, which offers confidential mental health support, stress reduction resources, and counseling for employees and their dependents. The platform should also detail the parameters of the Voluntary Summer Reduced Hours Program, various leave of absence protocols (including FMLA and ADA accommodations), and the extensive network of corporate discounts available to UToledo staff, ranging from software purchases to regional hotel rates.</w:t>
      </w:r>
    </w:p>
    <w:p w14:paraId="64085D86" w14:textId="77777777" w:rsidR="0016550C" w:rsidRDefault="00000000">
      <w:pPr>
        <w:pStyle w:val="Heading2"/>
        <w:spacing w:before="0"/>
        <w:rPr>
          <w:sz w:val="34"/>
          <w:szCs w:val="34"/>
        </w:rPr>
      </w:pPr>
      <w:r>
        <w:rPr>
          <w:sz w:val="34"/>
          <w:szCs w:val="34"/>
        </w:rPr>
        <w:t>Campus Logistics: Infrastructure, IT, and Navigation</w:t>
      </w:r>
    </w:p>
    <w:p w14:paraId="64085D87" w14:textId="77777777" w:rsidR="0016550C" w:rsidRDefault="00000000">
      <w:pPr>
        <w:pBdr>
          <w:top w:val="nil"/>
          <w:left w:val="nil"/>
          <w:bottom w:val="nil"/>
          <w:right w:val="nil"/>
          <w:between w:val="nil"/>
        </w:pBdr>
        <w:spacing w:after="240"/>
        <w:rPr>
          <w:sz w:val="20"/>
          <w:szCs w:val="20"/>
        </w:rPr>
      </w:pPr>
      <w:r>
        <w:rPr>
          <w:sz w:val="20"/>
          <w:szCs w:val="20"/>
        </w:rPr>
        <w:t>A significant source of early-tenure anxiety is the sheer physical and technological complexity of a major university campus. The onboarding platform must centralize access to essential technological tools and provide clear navigational aids.</w:t>
      </w:r>
    </w:p>
    <w:p w14:paraId="64085D88" w14:textId="77777777" w:rsidR="0016550C" w:rsidRDefault="00000000">
      <w:pPr>
        <w:pStyle w:val="Heading3"/>
        <w:spacing w:before="0"/>
        <w:rPr>
          <w:sz w:val="26"/>
          <w:szCs w:val="26"/>
        </w:rPr>
      </w:pPr>
      <w:r>
        <w:rPr>
          <w:sz w:val="26"/>
          <w:szCs w:val="26"/>
        </w:rPr>
        <w:lastRenderedPageBreak/>
        <w:t>Identity Management and IT Setup</w:t>
      </w:r>
    </w:p>
    <w:p w14:paraId="64085D89" w14:textId="77777777" w:rsidR="0016550C" w:rsidRDefault="00000000">
      <w:pPr>
        <w:pBdr>
          <w:top w:val="nil"/>
          <w:left w:val="nil"/>
          <w:bottom w:val="nil"/>
          <w:right w:val="nil"/>
          <w:between w:val="nil"/>
        </w:pBdr>
        <w:rPr>
          <w:sz w:val="20"/>
          <w:szCs w:val="20"/>
        </w:rPr>
      </w:pPr>
      <w:r>
        <w:rPr>
          <w:sz w:val="20"/>
          <w:szCs w:val="20"/>
        </w:rPr>
        <w:t>The cornerstone of physical and digital access at the University of Toledo is the Rocket Card. The onboarding tool must provide step-by-step instructions for acquiring this credential. Following the activation of their UTAD account and the establishment of Multi-Factor Authentication (MFA) via the Microsoft Authenticator app, employees must request their ID through the MyUT portal by uploading a compliant photograph.</w:t>
      </w:r>
    </w:p>
    <w:p w14:paraId="64085D8A" w14:textId="77777777" w:rsidR="0016550C" w:rsidRDefault="00000000">
      <w:pPr>
        <w:pBdr>
          <w:top w:val="nil"/>
          <w:left w:val="nil"/>
          <w:bottom w:val="nil"/>
          <w:right w:val="nil"/>
          <w:between w:val="nil"/>
        </w:pBdr>
        <w:spacing w:after="240"/>
        <w:rPr>
          <w:sz w:val="20"/>
          <w:szCs w:val="20"/>
        </w:rPr>
      </w:pPr>
      <w:r>
        <w:rPr>
          <w:sz w:val="20"/>
          <w:szCs w:val="20"/>
        </w:rPr>
        <w:t>The platform should highlight the transition to the "Rocket Mobile ID," instructing staff to download the Transact eAccounts application. This allows employees to provision their identification directly into their Apple Wallet or Google Wallet, enabling tap-to-access functionality for secured buildings, athletic facilities, and campus dining locations seamlessly from their mobile devices. Furthermore, the tool should direct staff to install other essential university applications, such as the Blackboard mobile app for internal course content and the Rave Guardian app for emergency campus safety alerts.</w:t>
      </w:r>
    </w:p>
    <w:p w14:paraId="64085D8B" w14:textId="77777777" w:rsidR="0016550C" w:rsidRDefault="00000000">
      <w:pPr>
        <w:pStyle w:val="Heading3"/>
        <w:spacing w:before="0"/>
        <w:rPr>
          <w:sz w:val="26"/>
          <w:szCs w:val="26"/>
        </w:rPr>
      </w:pPr>
      <w:r>
        <w:rPr>
          <w:sz w:val="26"/>
          <w:szCs w:val="26"/>
        </w:rPr>
        <w:t>Parking Procurement and Enforcement</w:t>
      </w:r>
    </w:p>
    <w:p w14:paraId="64085D8C" w14:textId="77777777" w:rsidR="0016550C" w:rsidRDefault="00000000">
      <w:pPr>
        <w:pBdr>
          <w:top w:val="nil"/>
          <w:left w:val="nil"/>
          <w:bottom w:val="nil"/>
          <w:right w:val="nil"/>
          <w:between w:val="nil"/>
        </w:pBdr>
        <w:rPr>
          <w:sz w:val="20"/>
          <w:szCs w:val="20"/>
        </w:rPr>
      </w:pPr>
      <w:r>
        <w:rPr>
          <w:sz w:val="20"/>
          <w:szCs w:val="20"/>
        </w:rPr>
        <w:t>Navigating the campus parking ecosystem is notoriously complex. Parking on both the Main Campus and the Health Science Campus is aggressively managed by ParkUToledo, and ignorance of the zoning rules frequently results in costly citations. The onboarding platform must explicitly detail the permit hierarchy and enforcement schedules.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6550C" w14:paraId="64085D90" w14:textId="77777777">
        <w:trPr>
          <w:tblHeader/>
        </w:trPr>
        <w:tc>
          <w:tcPr>
            <w:tcW w:w="3120" w:type="dxa"/>
            <w:tcMar>
              <w:top w:w="0" w:type="dxa"/>
              <w:left w:w="0" w:type="dxa"/>
              <w:bottom w:w="0" w:type="dxa"/>
              <w:right w:w="0" w:type="dxa"/>
            </w:tcMar>
          </w:tcPr>
          <w:p w14:paraId="64085D8D" w14:textId="77777777" w:rsidR="0016550C" w:rsidRDefault="00000000">
            <w:pPr>
              <w:pBdr>
                <w:top w:val="nil"/>
                <w:left w:val="nil"/>
                <w:bottom w:val="nil"/>
                <w:right w:val="nil"/>
                <w:between w:val="nil"/>
              </w:pBdr>
              <w:rPr>
                <w:sz w:val="20"/>
                <w:szCs w:val="20"/>
              </w:rPr>
            </w:pPr>
            <w:r>
              <w:rPr>
                <w:sz w:val="20"/>
                <w:szCs w:val="20"/>
              </w:rPr>
              <w:t>Parking Permit Category</w:t>
            </w:r>
          </w:p>
        </w:tc>
        <w:tc>
          <w:tcPr>
            <w:tcW w:w="3120" w:type="dxa"/>
            <w:tcMar>
              <w:top w:w="0" w:type="dxa"/>
              <w:left w:w="0" w:type="dxa"/>
              <w:bottom w:w="0" w:type="dxa"/>
              <w:right w:w="0" w:type="dxa"/>
            </w:tcMar>
          </w:tcPr>
          <w:p w14:paraId="64085D8E" w14:textId="77777777" w:rsidR="0016550C" w:rsidRDefault="00000000">
            <w:pPr>
              <w:pBdr>
                <w:top w:val="nil"/>
                <w:left w:val="nil"/>
                <w:bottom w:val="nil"/>
                <w:right w:val="nil"/>
                <w:between w:val="nil"/>
              </w:pBdr>
              <w:rPr>
                <w:sz w:val="20"/>
                <w:szCs w:val="20"/>
              </w:rPr>
            </w:pPr>
            <w:r>
              <w:rPr>
                <w:sz w:val="20"/>
                <w:szCs w:val="20"/>
              </w:rPr>
              <w:t>Designation and Cost</w:t>
            </w:r>
          </w:p>
        </w:tc>
        <w:tc>
          <w:tcPr>
            <w:tcW w:w="3120" w:type="dxa"/>
            <w:tcMar>
              <w:top w:w="0" w:type="dxa"/>
              <w:left w:w="0" w:type="dxa"/>
              <w:bottom w:w="0" w:type="dxa"/>
              <w:right w:w="0" w:type="dxa"/>
            </w:tcMar>
          </w:tcPr>
          <w:p w14:paraId="64085D8F" w14:textId="77777777" w:rsidR="0016550C" w:rsidRDefault="00000000">
            <w:pPr>
              <w:pBdr>
                <w:top w:val="nil"/>
                <w:left w:val="nil"/>
                <w:bottom w:val="nil"/>
                <w:right w:val="nil"/>
                <w:between w:val="nil"/>
              </w:pBdr>
              <w:rPr>
                <w:sz w:val="20"/>
                <w:szCs w:val="20"/>
              </w:rPr>
            </w:pPr>
            <w:r>
              <w:rPr>
                <w:sz w:val="20"/>
                <w:szCs w:val="20"/>
              </w:rPr>
              <w:t>Operational Guidelines</w:t>
            </w:r>
          </w:p>
        </w:tc>
      </w:tr>
      <w:tr w:rsidR="0016550C" w14:paraId="64085D94" w14:textId="77777777">
        <w:tc>
          <w:tcPr>
            <w:tcW w:w="3120" w:type="dxa"/>
            <w:tcMar>
              <w:top w:w="0" w:type="dxa"/>
              <w:left w:w="0" w:type="dxa"/>
              <w:bottom w:w="0" w:type="dxa"/>
              <w:right w:w="0" w:type="dxa"/>
            </w:tcMar>
          </w:tcPr>
          <w:p w14:paraId="64085D91" w14:textId="77777777" w:rsidR="0016550C" w:rsidRDefault="00000000">
            <w:pPr>
              <w:pBdr>
                <w:top w:val="nil"/>
                <w:left w:val="nil"/>
                <w:bottom w:val="nil"/>
                <w:right w:val="nil"/>
                <w:between w:val="nil"/>
              </w:pBdr>
              <w:rPr>
                <w:b/>
                <w:bCs/>
                <w:sz w:val="20"/>
                <w:szCs w:val="20"/>
              </w:rPr>
            </w:pPr>
            <w:r>
              <w:rPr>
                <w:b/>
                <w:bCs/>
                <w:sz w:val="20"/>
                <w:szCs w:val="20"/>
              </w:rPr>
              <w:t>"A" Permit</w:t>
            </w:r>
          </w:p>
        </w:tc>
        <w:tc>
          <w:tcPr>
            <w:tcW w:w="3120" w:type="dxa"/>
            <w:tcMar>
              <w:top w:w="0" w:type="dxa"/>
              <w:left w:w="0" w:type="dxa"/>
              <w:bottom w:w="0" w:type="dxa"/>
              <w:right w:w="0" w:type="dxa"/>
            </w:tcMar>
          </w:tcPr>
          <w:p w14:paraId="64085D92" w14:textId="77777777" w:rsidR="0016550C" w:rsidRDefault="00000000">
            <w:pPr>
              <w:pBdr>
                <w:top w:val="nil"/>
                <w:left w:val="nil"/>
                <w:bottom w:val="nil"/>
                <w:right w:val="nil"/>
                <w:between w:val="nil"/>
              </w:pBdr>
              <w:rPr>
                <w:sz w:val="20"/>
                <w:szCs w:val="20"/>
              </w:rPr>
            </w:pPr>
            <w:r>
              <w:rPr>
                <w:sz w:val="20"/>
                <w:szCs w:val="20"/>
              </w:rPr>
              <w:t>Faculty &amp; Staff ($329/Year or $110/Semester)</w:t>
            </w:r>
          </w:p>
        </w:tc>
        <w:tc>
          <w:tcPr>
            <w:tcW w:w="3120" w:type="dxa"/>
            <w:tcMar>
              <w:top w:w="0" w:type="dxa"/>
              <w:left w:w="0" w:type="dxa"/>
              <w:bottom w:w="0" w:type="dxa"/>
              <w:right w:w="0" w:type="dxa"/>
            </w:tcMar>
          </w:tcPr>
          <w:p w14:paraId="64085D93" w14:textId="77777777" w:rsidR="0016550C" w:rsidRDefault="00000000">
            <w:pPr>
              <w:pBdr>
                <w:top w:val="nil"/>
                <w:left w:val="nil"/>
                <w:bottom w:val="nil"/>
                <w:right w:val="nil"/>
                <w:between w:val="nil"/>
              </w:pBdr>
              <w:rPr>
                <w:sz w:val="20"/>
                <w:szCs w:val="20"/>
              </w:rPr>
            </w:pPr>
            <w:r>
              <w:rPr>
                <w:sz w:val="20"/>
                <w:szCs w:val="20"/>
              </w:rPr>
              <w:t>Grants access to yellow-lined spaces across campus. This is the mandatory permit for full-time athletics department employees.</w:t>
            </w:r>
          </w:p>
        </w:tc>
      </w:tr>
      <w:tr w:rsidR="0016550C" w14:paraId="64085D98" w14:textId="77777777">
        <w:tc>
          <w:tcPr>
            <w:tcW w:w="3120" w:type="dxa"/>
            <w:tcMar>
              <w:top w:w="0" w:type="dxa"/>
              <w:left w:w="0" w:type="dxa"/>
              <w:bottom w:w="0" w:type="dxa"/>
              <w:right w:w="0" w:type="dxa"/>
            </w:tcMar>
          </w:tcPr>
          <w:p w14:paraId="64085D95" w14:textId="77777777" w:rsidR="0016550C" w:rsidRDefault="00000000">
            <w:pPr>
              <w:pBdr>
                <w:top w:val="nil"/>
                <w:left w:val="nil"/>
                <w:bottom w:val="nil"/>
                <w:right w:val="nil"/>
                <w:between w:val="nil"/>
              </w:pBdr>
              <w:rPr>
                <w:b/>
                <w:bCs/>
                <w:sz w:val="20"/>
                <w:szCs w:val="20"/>
              </w:rPr>
            </w:pPr>
            <w:r>
              <w:rPr>
                <w:b/>
                <w:bCs/>
                <w:sz w:val="20"/>
                <w:szCs w:val="20"/>
              </w:rPr>
              <w:t>"E" Permit</w:t>
            </w:r>
          </w:p>
        </w:tc>
        <w:tc>
          <w:tcPr>
            <w:tcW w:w="3120" w:type="dxa"/>
            <w:tcMar>
              <w:top w:w="0" w:type="dxa"/>
              <w:left w:w="0" w:type="dxa"/>
              <w:bottom w:w="0" w:type="dxa"/>
              <w:right w:w="0" w:type="dxa"/>
            </w:tcMar>
          </w:tcPr>
          <w:p w14:paraId="64085D96" w14:textId="77777777" w:rsidR="0016550C" w:rsidRDefault="00000000">
            <w:pPr>
              <w:pBdr>
                <w:top w:val="nil"/>
                <w:left w:val="nil"/>
                <w:bottom w:val="nil"/>
                <w:right w:val="nil"/>
                <w:between w:val="nil"/>
              </w:pBdr>
              <w:rPr>
                <w:sz w:val="20"/>
                <w:szCs w:val="20"/>
              </w:rPr>
            </w:pPr>
            <w:r>
              <w:rPr>
                <w:sz w:val="20"/>
                <w:szCs w:val="20"/>
              </w:rPr>
              <w:t>Executive ($952/Year)</w:t>
            </w:r>
          </w:p>
        </w:tc>
        <w:tc>
          <w:tcPr>
            <w:tcW w:w="3120" w:type="dxa"/>
            <w:tcMar>
              <w:top w:w="0" w:type="dxa"/>
              <w:left w:w="0" w:type="dxa"/>
              <w:bottom w:w="0" w:type="dxa"/>
              <w:right w:w="0" w:type="dxa"/>
            </w:tcMar>
          </w:tcPr>
          <w:p w14:paraId="64085D97" w14:textId="77777777" w:rsidR="0016550C" w:rsidRDefault="00000000">
            <w:pPr>
              <w:pBdr>
                <w:top w:val="nil"/>
                <w:left w:val="nil"/>
                <w:bottom w:val="nil"/>
                <w:right w:val="nil"/>
                <w:between w:val="nil"/>
              </w:pBdr>
              <w:rPr>
                <w:sz w:val="20"/>
                <w:szCs w:val="20"/>
              </w:rPr>
            </w:pPr>
            <w:r>
              <w:rPr>
                <w:sz w:val="20"/>
                <w:szCs w:val="20"/>
              </w:rPr>
              <w:t>Reserved for senior leadership and specifically designated personnel.</w:t>
            </w:r>
          </w:p>
        </w:tc>
      </w:tr>
      <w:tr w:rsidR="0016550C" w14:paraId="64085D9C" w14:textId="77777777">
        <w:tc>
          <w:tcPr>
            <w:tcW w:w="3120" w:type="dxa"/>
            <w:tcMar>
              <w:top w:w="0" w:type="dxa"/>
              <w:left w:w="0" w:type="dxa"/>
              <w:bottom w:w="0" w:type="dxa"/>
              <w:right w:w="0" w:type="dxa"/>
            </w:tcMar>
          </w:tcPr>
          <w:p w14:paraId="64085D99" w14:textId="77777777" w:rsidR="0016550C" w:rsidRDefault="00000000">
            <w:pPr>
              <w:pBdr>
                <w:top w:val="nil"/>
                <w:left w:val="nil"/>
                <w:bottom w:val="nil"/>
                <w:right w:val="nil"/>
                <w:between w:val="nil"/>
              </w:pBdr>
              <w:rPr>
                <w:b/>
                <w:bCs/>
                <w:sz w:val="20"/>
                <w:szCs w:val="20"/>
              </w:rPr>
            </w:pPr>
            <w:r>
              <w:rPr>
                <w:b/>
                <w:bCs/>
                <w:sz w:val="20"/>
                <w:szCs w:val="20"/>
              </w:rPr>
              <w:t>"C" Permit</w:t>
            </w:r>
          </w:p>
        </w:tc>
        <w:tc>
          <w:tcPr>
            <w:tcW w:w="3120" w:type="dxa"/>
            <w:tcMar>
              <w:top w:w="0" w:type="dxa"/>
              <w:left w:w="0" w:type="dxa"/>
              <w:bottom w:w="0" w:type="dxa"/>
              <w:right w:w="0" w:type="dxa"/>
            </w:tcMar>
          </w:tcPr>
          <w:p w14:paraId="64085D9A" w14:textId="77777777" w:rsidR="0016550C" w:rsidRDefault="00000000">
            <w:pPr>
              <w:pBdr>
                <w:top w:val="nil"/>
                <w:left w:val="nil"/>
                <w:bottom w:val="nil"/>
                <w:right w:val="nil"/>
                <w:between w:val="nil"/>
              </w:pBdr>
              <w:rPr>
                <w:sz w:val="20"/>
                <w:szCs w:val="20"/>
              </w:rPr>
            </w:pPr>
            <w:r>
              <w:rPr>
                <w:sz w:val="20"/>
                <w:szCs w:val="20"/>
              </w:rPr>
              <w:t>Guest / Daily ($6.20/Day or $62.50/Month)</w:t>
            </w:r>
          </w:p>
        </w:tc>
        <w:tc>
          <w:tcPr>
            <w:tcW w:w="3120" w:type="dxa"/>
            <w:tcMar>
              <w:top w:w="0" w:type="dxa"/>
              <w:left w:w="0" w:type="dxa"/>
              <w:bottom w:w="0" w:type="dxa"/>
              <w:right w:w="0" w:type="dxa"/>
            </w:tcMar>
          </w:tcPr>
          <w:p w14:paraId="64085D9B" w14:textId="77777777" w:rsidR="0016550C" w:rsidRDefault="00000000">
            <w:pPr>
              <w:pBdr>
                <w:top w:val="nil"/>
                <w:left w:val="nil"/>
                <w:bottom w:val="nil"/>
                <w:right w:val="nil"/>
                <w:between w:val="nil"/>
              </w:pBdr>
              <w:rPr>
                <w:sz w:val="20"/>
                <w:szCs w:val="20"/>
              </w:rPr>
            </w:pPr>
            <w:r>
              <w:rPr>
                <w:sz w:val="20"/>
                <w:szCs w:val="20"/>
              </w:rPr>
              <w:t>Utilized by visitors, temporary contractors, or staff opting out of annual commitments. Allows parking in white-lined spaces.</w:t>
            </w:r>
          </w:p>
        </w:tc>
      </w:tr>
    </w:tbl>
    <w:p w14:paraId="64085D9D" w14:textId="77777777" w:rsidR="0016550C" w:rsidRDefault="00000000">
      <w:pPr>
        <w:pBdr>
          <w:top w:val="nil"/>
          <w:left w:val="nil"/>
          <w:bottom w:val="nil"/>
          <w:right w:val="nil"/>
          <w:between w:val="nil"/>
        </w:pBdr>
        <w:spacing w:after="225"/>
        <w:rPr>
          <w:sz w:val="20"/>
          <w:szCs w:val="20"/>
        </w:rPr>
      </w:pPr>
      <w:r>
        <w:rPr>
          <w:sz w:val="20"/>
          <w:szCs w:val="20"/>
        </w:rPr>
        <w:t>The onboarding tool must emphasize that parking permits are enforced perpetually—including between semesters, during academic breaks, and on weekends. To aid in navigation, the platform should integrate high-resolution, interactive campus maps detailing the locations of specific parking areas relative to athletic facilities, ensuring new hires know exactly where to park on their first day.</w:t>
      </w:r>
    </w:p>
    <w:p w14:paraId="64085D9E" w14:textId="77777777" w:rsidR="0016550C" w:rsidRDefault="00000000">
      <w:pPr>
        <w:pStyle w:val="Heading2"/>
        <w:spacing w:before="0"/>
        <w:rPr>
          <w:sz w:val="34"/>
          <w:szCs w:val="34"/>
        </w:rPr>
      </w:pPr>
      <w:r>
        <w:rPr>
          <w:sz w:val="34"/>
          <w:szCs w:val="34"/>
        </w:rPr>
        <w:t>Community Integration and the Relocation Concierge</w:t>
      </w:r>
    </w:p>
    <w:p w14:paraId="64085D9F" w14:textId="77777777" w:rsidR="0016550C" w:rsidRDefault="00000000">
      <w:pPr>
        <w:pBdr>
          <w:top w:val="nil"/>
          <w:left w:val="nil"/>
          <w:bottom w:val="nil"/>
          <w:right w:val="nil"/>
          <w:between w:val="nil"/>
        </w:pBdr>
        <w:rPr>
          <w:sz w:val="20"/>
          <w:szCs w:val="20"/>
        </w:rPr>
      </w:pPr>
      <w:r>
        <w:rPr>
          <w:sz w:val="20"/>
          <w:szCs w:val="20"/>
        </w:rPr>
        <w:t>For coaches and administrative staff relocating to Northwest Ohio from across the country, the onboarding process begins long before they step onto campus. The onboarding platform should serve as a digital relocation concierge, easing the personal transition to the Toledo region.</w:t>
      </w:r>
    </w:p>
    <w:p w14:paraId="64085DA0" w14:textId="77777777" w:rsidR="0016550C" w:rsidRDefault="00000000">
      <w:pPr>
        <w:pBdr>
          <w:top w:val="nil"/>
          <w:left w:val="nil"/>
          <w:bottom w:val="nil"/>
          <w:right w:val="nil"/>
          <w:between w:val="nil"/>
        </w:pBdr>
        <w:rPr>
          <w:sz w:val="20"/>
          <w:szCs w:val="20"/>
        </w:rPr>
      </w:pPr>
      <w:r>
        <w:rPr>
          <w:sz w:val="20"/>
          <w:szCs w:val="20"/>
        </w:rPr>
        <w:t>The University of Toledo recognizes the financial burden of relocation and offers a formal Relocation Allowance policy to remain competitive in attracting elite talent. Eligible full-time faculty and professional administrative staff, including coaches, may negotiate a relocation stipend not to exceed $8,500. The onboarding tool must clarify the strict IRS stipulations associated with this benefit, specifically the requirement that the new commute must be at least fifty miles greater than the employee's previous commute. Furthermore, the platform should explain the logistical requirements, such as the necessity of securing three distinct moving quotes from university-preferred vendors before the funds, which are taxed as ordinary income, are disbursed via payroll.</w:t>
      </w:r>
    </w:p>
    <w:p w14:paraId="64085DA1" w14:textId="77777777" w:rsidR="0016550C" w:rsidRDefault="00000000">
      <w:pPr>
        <w:pBdr>
          <w:top w:val="nil"/>
          <w:left w:val="nil"/>
          <w:bottom w:val="nil"/>
          <w:right w:val="nil"/>
          <w:between w:val="nil"/>
        </w:pBdr>
        <w:rPr>
          <w:sz w:val="20"/>
          <w:szCs w:val="20"/>
        </w:rPr>
      </w:pPr>
      <w:r>
        <w:rPr>
          <w:sz w:val="20"/>
          <w:szCs w:val="20"/>
        </w:rPr>
        <w:t>Beyond financial logistics, the platform should feature a curated lifestyle guide to accelerate the new employee's integration into the local culture. Toledo is a resurgent, family-oriented metropolitan hub with a highly accessible infrastructure.</w:t>
      </w:r>
    </w:p>
    <w:p w14:paraId="64085DA2" w14:textId="77777777" w:rsidR="0016550C" w:rsidRDefault="00000000">
      <w:pPr>
        <w:pBdr>
          <w:top w:val="nil"/>
          <w:left w:val="nil"/>
          <w:bottom w:val="nil"/>
          <w:right w:val="nil"/>
          <w:between w:val="nil"/>
        </w:pBdr>
        <w:rPr>
          <w:sz w:val="20"/>
          <w:szCs w:val="20"/>
        </w:rPr>
      </w:pPr>
      <w:r>
        <w:rPr>
          <w:sz w:val="20"/>
          <w:szCs w:val="20"/>
        </w:rPr>
        <w:t>The guide should highlight premier residential neighborhoods favored by university personnel, such as:</w:t>
      </w:r>
    </w:p>
    <w:p w14:paraId="64085DA3" w14:textId="77777777" w:rsidR="0016550C" w:rsidRDefault="00000000">
      <w:pPr>
        <w:numPr>
          <w:ilvl w:val="0"/>
          <w:numId w:val="2"/>
        </w:numPr>
        <w:pBdr>
          <w:top w:val="nil"/>
          <w:left w:val="nil"/>
          <w:bottom w:val="nil"/>
          <w:right w:val="nil"/>
          <w:between w:val="nil"/>
        </w:pBdr>
        <w:rPr>
          <w:sz w:val="20"/>
          <w:szCs w:val="20"/>
        </w:rPr>
      </w:pPr>
      <w:r>
        <w:rPr>
          <w:b/>
          <w:bCs/>
          <w:sz w:val="20"/>
          <w:szCs w:val="20"/>
        </w:rPr>
        <w:lastRenderedPageBreak/>
        <w:t>Old Orchard:</w:t>
      </w:r>
      <w:r>
        <w:rPr>
          <w:sz w:val="20"/>
          <w:szCs w:val="20"/>
        </w:rPr>
        <w:t xml:space="preserve"> Situated immediately north of the university, this highly coveted, walkable neighborhood is characterized by historic, tree-lined streets and is exceptionally popular among faculty and staff.</w:t>
      </w:r>
    </w:p>
    <w:p w14:paraId="64085DA4" w14:textId="77777777" w:rsidR="0016550C" w:rsidRDefault="00000000">
      <w:pPr>
        <w:numPr>
          <w:ilvl w:val="0"/>
          <w:numId w:val="2"/>
        </w:numPr>
        <w:pBdr>
          <w:top w:val="nil"/>
          <w:left w:val="nil"/>
          <w:bottom w:val="nil"/>
          <w:right w:val="nil"/>
          <w:between w:val="nil"/>
        </w:pBdr>
        <w:rPr>
          <w:sz w:val="20"/>
          <w:szCs w:val="20"/>
        </w:rPr>
      </w:pPr>
      <w:r>
        <w:rPr>
          <w:b/>
          <w:bCs/>
          <w:sz w:val="20"/>
          <w:szCs w:val="20"/>
        </w:rPr>
        <w:t>Ottawa Hills:</w:t>
      </w:r>
      <w:r>
        <w:rPr>
          <w:sz w:val="20"/>
          <w:szCs w:val="20"/>
        </w:rPr>
        <w:t xml:space="preserve"> Located near the Wildwood Preserve Metropark, this affluent suburban enclave offers prestigious housing and a tight-knit community atmosphere.</w:t>
      </w:r>
    </w:p>
    <w:p w14:paraId="64085DA5" w14:textId="77777777" w:rsidR="0016550C" w:rsidRDefault="00000000">
      <w:pPr>
        <w:numPr>
          <w:ilvl w:val="0"/>
          <w:numId w:val="2"/>
        </w:numPr>
        <w:pBdr>
          <w:top w:val="nil"/>
          <w:left w:val="nil"/>
          <w:bottom w:val="nil"/>
          <w:right w:val="nil"/>
          <w:between w:val="nil"/>
        </w:pBdr>
        <w:rPr>
          <w:sz w:val="20"/>
          <w:szCs w:val="20"/>
        </w:rPr>
      </w:pPr>
      <w:r>
        <w:rPr>
          <w:b/>
          <w:bCs/>
          <w:sz w:val="20"/>
          <w:szCs w:val="20"/>
        </w:rPr>
        <w:t>Westgate:</w:t>
      </w:r>
      <w:r>
        <w:rPr>
          <w:sz w:val="20"/>
          <w:szCs w:val="20"/>
        </w:rPr>
        <w:t xml:space="preserve"> Ideal for individuals prioritizing immediate access to high-density retail, diverse dining options, and major grocery chains.</w:t>
      </w:r>
    </w:p>
    <w:p w14:paraId="64085DA6" w14:textId="77777777" w:rsidR="0016550C" w:rsidRDefault="00000000">
      <w:pPr>
        <w:pBdr>
          <w:top w:val="nil"/>
          <w:left w:val="nil"/>
          <w:bottom w:val="nil"/>
          <w:right w:val="nil"/>
          <w:between w:val="nil"/>
        </w:pBdr>
        <w:spacing w:after="225"/>
        <w:rPr>
          <w:sz w:val="20"/>
          <w:szCs w:val="20"/>
        </w:rPr>
      </w:pPr>
      <w:r>
        <w:rPr>
          <w:sz w:val="20"/>
          <w:szCs w:val="20"/>
        </w:rPr>
        <w:t>To foster remote work flexibility and off-site meetings, the guide should catalog highly-rated local coffeehouses, such as Earth Coffeehouse inside TolHouse (offering a sophisticated, plant-rich environment designed for focused collaboration), Brew Coffee Bar located directly on campus in Gateway Plaza, and Plate 21 in the Beverly neighborhood. By providing curated insights into the local culinary scene, the Toledo Museum of Art, and the extensive Metroparks system, the onboarding platform transcends a mere corporate manual, actively investing in the employee's holistic transition to their new home.</w:t>
      </w:r>
    </w:p>
    <w:p w14:paraId="64085DA7" w14:textId="77777777" w:rsidR="0016550C" w:rsidRDefault="00000000">
      <w:pPr>
        <w:pStyle w:val="Heading2"/>
        <w:spacing w:before="0"/>
        <w:rPr>
          <w:sz w:val="34"/>
          <w:szCs w:val="34"/>
        </w:rPr>
      </w:pPr>
      <w:r>
        <w:rPr>
          <w:sz w:val="34"/>
          <w:szCs w:val="34"/>
        </w:rPr>
        <w:t>Serverless Technical Architecture Evaluation</w:t>
      </w:r>
    </w:p>
    <w:p w14:paraId="64085DA8" w14:textId="77777777" w:rsidR="0016550C" w:rsidRDefault="00000000">
      <w:pPr>
        <w:pBdr>
          <w:top w:val="nil"/>
          <w:left w:val="nil"/>
          <w:bottom w:val="nil"/>
          <w:right w:val="nil"/>
          <w:between w:val="nil"/>
        </w:pBdr>
        <w:spacing w:after="240"/>
        <w:rPr>
          <w:sz w:val="20"/>
          <w:szCs w:val="20"/>
        </w:rPr>
      </w:pPr>
      <w:r>
        <w:rPr>
          <w:sz w:val="20"/>
          <w:szCs w:val="20"/>
        </w:rPr>
        <w:t>The original proposition to host this onboarding tool on GitHub Pages as a preliminary test run, followed by a future migration to a more robust provider, is architecturally flawed and introduces unnecessary engineering friction.</w:t>
      </w:r>
    </w:p>
    <w:p w14:paraId="64085DA9" w14:textId="77777777" w:rsidR="0016550C" w:rsidRDefault="00000000">
      <w:pPr>
        <w:pStyle w:val="Heading3"/>
        <w:spacing w:before="0"/>
        <w:rPr>
          <w:sz w:val="26"/>
          <w:szCs w:val="26"/>
        </w:rPr>
      </w:pPr>
      <w:r>
        <w:rPr>
          <w:sz w:val="26"/>
          <w:szCs w:val="26"/>
        </w:rPr>
        <w:t>The Structural Limitations of GitHub Pages</w:t>
      </w:r>
    </w:p>
    <w:p w14:paraId="64085DAA" w14:textId="77777777" w:rsidR="0016550C" w:rsidRDefault="00000000">
      <w:pPr>
        <w:pBdr>
          <w:top w:val="nil"/>
          <w:left w:val="nil"/>
          <w:bottom w:val="nil"/>
          <w:right w:val="nil"/>
          <w:between w:val="nil"/>
        </w:pBdr>
        <w:rPr>
          <w:sz w:val="20"/>
          <w:szCs w:val="20"/>
        </w:rPr>
      </w:pPr>
      <w:r>
        <w:rPr>
          <w:sz w:val="20"/>
          <w:szCs w:val="20"/>
        </w:rPr>
        <w:t>GitHub Pages is a static site hosting service designed explicitly to serve pre-rendered HTML, CSS, and client-side JavaScript. It possesses absolutely no native backend compute capabilities. A static host cannot securely connect to a relational database, it cannot securely process HTTP POST requests generated by employee submission forms, and it cannot execute the server-side authentication required to manage a role-based moderation queue.</w:t>
      </w:r>
    </w:p>
    <w:p w14:paraId="64085DAB" w14:textId="77777777" w:rsidR="0016550C" w:rsidRDefault="00000000">
      <w:pPr>
        <w:pBdr>
          <w:top w:val="nil"/>
          <w:left w:val="nil"/>
          <w:bottom w:val="nil"/>
          <w:right w:val="nil"/>
          <w:between w:val="nil"/>
        </w:pBdr>
        <w:spacing w:after="240"/>
        <w:rPr>
          <w:sz w:val="20"/>
          <w:szCs w:val="20"/>
        </w:rPr>
      </w:pPr>
      <w:r>
        <w:rPr>
          <w:sz w:val="20"/>
          <w:szCs w:val="20"/>
        </w:rPr>
        <w:t>To achieve the desired functionality on GitHub Pages, the engineering team would be forced to rely on a brittle patchwork of external, third-party APIs and serverless functions hosted elsewhere. Building a "test run" on this architecture means building a fundamentally different application than the final production version, resulting in wasted development cycles and severe security vulnerabilities regarding the handling of internal university documentation.</w:t>
      </w:r>
    </w:p>
    <w:p w14:paraId="64085DAC" w14:textId="77777777" w:rsidR="0016550C" w:rsidRDefault="00000000">
      <w:pPr>
        <w:pStyle w:val="Heading3"/>
        <w:spacing w:before="0"/>
        <w:rPr>
          <w:sz w:val="26"/>
          <w:szCs w:val="26"/>
        </w:rPr>
      </w:pPr>
      <w:r>
        <w:rPr>
          <w:sz w:val="26"/>
          <w:szCs w:val="26"/>
        </w:rPr>
        <w:t>The Cloudflare Developer Platform Ecosystem</w:t>
      </w:r>
    </w:p>
    <w:p w14:paraId="64085DAD" w14:textId="77777777" w:rsidR="0016550C" w:rsidRDefault="00000000">
      <w:pPr>
        <w:pBdr>
          <w:top w:val="nil"/>
          <w:left w:val="nil"/>
          <w:bottom w:val="nil"/>
          <w:right w:val="nil"/>
          <w:between w:val="nil"/>
        </w:pBdr>
        <w:rPr>
          <w:sz w:val="20"/>
          <w:szCs w:val="20"/>
        </w:rPr>
      </w:pPr>
      <w:r>
        <w:rPr>
          <w:sz w:val="20"/>
          <w:szCs w:val="20"/>
        </w:rPr>
        <w:t>The optimal architectural strategy is to construct the application natively within the Cloudflare Developer Platform from its inception. Cloudflare provides a unified, globally distributed full-stack environment that eliminates traditional server provisioning, abstracts away complex infrastructure management, and provides a seamless, highly integrated developer experience. Furthermore, Cloudflare's generous free tiers for serverless compute and database storage make it highly cost-effective for internal departmental tools.</w:t>
      </w:r>
    </w:p>
    <w:p w14:paraId="64085DAE" w14:textId="77777777" w:rsidR="0016550C" w:rsidRDefault="00000000">
      <w:pPr>
        <w:pBdr>
          <w:top w:val="nil"/>
          <w:left w:val="nil"/>
          <w:bottom w:val="nil"/>
          <w:right w:val="nil"/>
          <w:between w:val="nil"/>
        </w:pBdr>
        <w:rPr>
          <w:sz w:val="20"/>
          <w:szCs w:val="20"/>
        </w:rPr>
      </w:pPr>
      <w:r>
        <w:rPr>
          <w:sz w:val="20"/>
          <w:szCs w:val="20"/>
        </w:rPr>
        <w:t>The proposed serverless architecture relies on the synergistic integration of three core Cloudflare primitives:</w:t>
      </w:r>
    </w:p>
    <w:p w14:paraId="64085DAF" w14:textId="77777777" w:rsidR="0016550C" w:rsidRDefault="00000000">
      <w:pPr>
        <w:numPr>
          <w:ilvl w:val="0"/>
          <w:numId w:val="3"/>
        </w:numPr>
        <w:pBdr>
          <w:top w:val="nil"/>
          <w:left w:val="nil"/>
          <w:bottom w:val="nil"/>
          <w:right w:val="nil"/>
          <w:between w:val="nil"/>
        </w:pBdr>
        <w:rPr>
          <w:sz w:val="20"/>
          <w:szCs w:val="20"/>
        </w:rPr>
      </w:pPr>
      <w:r>
        <w:rPr>
          <w:b/>
          <w:bCs/>
          <w:sz w:val="20"/>
          <w:szCs w:val="20"/>
        </w:rPr>
        <w:t>Cloudflare Pages (The Frontend Presentation Layer):</w:t>
      </w:r>
      <w:r>
        <w:rPr>
          <w:sz w:val="20"/>
          <w:szCs w:val="20"/>
        </w:rPr>
        <w:t xml:space="preserve"> Cloudflare Pages will host the static assets of the application, built utilizing a modern frontend framework such as React, Vue, or SvelteKit. Pages provides native, automated Continuous Integration and Continuous Deployment (CI/CD) directly from the source GitHub repository. Every code commit automatically triggers a build process, deploying the updated interface to Cloudflare's global edge network instantly, complete with unlimited preview environments for testing.</w:t>
      </w:r>
    </w:p>
    <w:p w14:paraId="64085DB0" w14:textId="77777777" w:rsidR="0016550C" w:rsidRDefault="00000000">
      <w:pPr>
        <w:numPr>
          <w:ilvl w:val="0"/>
          <w:numId w:val="3"/>
        </w:numPr>
        <w:pBdr>
          <w:top w:val="nil"/>
          <w:left w:val="nil"/>
          <w:bottom w:val="nil"/>
          <w:right w:val="nil"/>
          <w:between w:val="nil"/>
        </w:pBdr>
        <w:rPr>
          <w:sz w:val="20"/>
          <w:szCs w:val="20"/>
        </w:rPr>
      </w:pPr>
      <w:r>
        <w:rPr>
          <w:b/>
          <w:bCs/>
          <w:sz w:val="20"/>
          <w:szCs w:val="20"/>
        </w:rPr>
        <w:t>Cloudflare Workers (The Backend API Logic):</w:t>
      </w:r>
      <w:r>
        <w:rPr>
          <w:sz w:val="20"/>
          <w:szCs w:val="20"/>
        </w:rPr>
        <w:t xml:space="preserve"> Instead of provisioning a traditional, always-on server (like an EC2 instance), backend logic is executed via Cloudflare Workers. Workers are serverless execution environments built on V8 isolates that run directly at the network edge, incredibly close to the end-user, resulting in near-zero latency. The Worker will intercept HTTP </w:t>
      </w:r>
      <w:r>
        <w:rPr>
          <w:sz w:val="20"/>
          <w:szCs w:val="20"/>
        </w:rPr>
        <w:lastRenderedPageBreak/>
        <w:t xml:space="preserve">requests from the frontend, execute the business logic (such as validating an employee's knowledge submission or authenticating a moderator), and interface securely with the database. To streamline API development within the Worker, the engineering team should utilize the </w:t>
      </w:r>
      <w:r>
        <w:rPr>
          <w:b/>
          <w:bCs/>
          <w:sz w:val="20"/>
          <w:szCs w:val="20"/>
        </w:rPr>
        <w:t>Hono framework</w:t>
      </w:r>
      <w:r>
        <w:rPr>
          <w:sz w:val="20"/>
          <w:szCs w:val="20"/>
        </w:rPr>
        <w:t>, a lightweight, exceptionally fast web framework specifically optimized for edge runtimes.</w:t>
      </w:r>
    </w:p>
    <w:p w14:paraId="64085DB1" w14:textId="77777777" w:rsidR="0016550C" w:rsidRDefault="00000000">
      <w:pPr>
        <w:numPr>
          <w:ilvl w:val="0"/>
          <w:numId w:val="3"/>
        </w:numPr>
        <w:pBdr>
          <w:top w:val="nil"/>
          <w:left w:val="nil"/>
          <w:bottom w:val="nil"/>
          <w:right w:val="nil"/>
          <w:between w:val="nil"/>
        </w:pBdr>
        <w:rPr>
          <w:sz w:val="20"/>
          <w:szCs w:val="20"/>
        </w:rPr>
      </w:pPr>
      <w:r>
        <w:rPr>
          <w:b/>
          <w:bCs/>
          <w:sz w:val="20"/>
          <w:szCs w:val="20"/>
        </w:rPr>
        <w:t>Cloudflare D1 (The Relational Database):</w:t>
      </w:r>
      <w:r>
        <w:rPr>
          <w:sz w:val="20"/>
          <w:szCs w:val="20"/>
        </w:rPr>
        <w:t xml:space="preserve"> Cloudflare D1 is a natively serverless relational database built upon the rock-solid SQLite engine. Unlike traditional databases that require complex provisioning, connection pooling, and scaling configurations, D1 scales horizontally automatically and bills based purely on query volume and storage, rather than idle uptime.</w:t>
      </w:r>
    </w:p>
    <w:p w14:paraId="64085DB2" w14:textId="77777777" w:rsidR="0016550C" w:rsidRDefault="00000000">
      <w:pPr>
        <w:pStyle w:val="Heading3"/>
        <w:rPr>
          <w:sz w:val="26"/>
          <w:szCs w:val="26"/>
        </w:rPr>
      </w:pPr>
      <w:r>
        <w:rPr>
          <w:sz w:val="26"/>
          <w:szCs w:val="26"/>
        </w:rPr>
        <w:t>The Superiority of D1 over Workers KV for Knowledge Management</w:t>
      </w:r>
    </w:p>
    <w:p w14:paraId="64085DB3" w14:textId="77777777" w:rsidR="0016550C" w:rsidRDefault="00000000">
      <w:pPr>
        <w:pBdr>
          <w:top w:val="nil"/>
          <w:left w:val="nil"/>
          <w:bottom w:val="nil"/>
          <w:right w:val="nil"/>
          <w:between w:val="nil"/>
        </w:pBdr>
        <w:rPr>
          <w:sz w:val="20"/>
          <w:szCs w:val="20"/>
        </w:rPr>
      </w:pPr>
      <w:r>
        <w:rPr>
          <w:sz w:val="20"/>
          <w:szCs w:val="20"/>
        </w:rPr>
        <w:t>While Cloudflare offers an excellent key-value store in Workers KV, D1 is vastly superior for the specific requirements of an onboarding knowledge base. Workers KV is eventually consistent and designed primarily for simple, high-volume key lookups, such as caching static configuration metadata or routing rules. It does not support complex querying.</w:t>
      </w:r>
    </w:p>
    <w:p w14:paraId="64085DB4" w14:textId="77777777" w:rsidR="0016550C" w:rsidRDefault="00000000">
      <w:pPr>
        <w:pBdr>
          <w:top w:val="nil"/>
          <w:left w:val="nil"/>
          <w:bottom w:val="nil"/>
          <w:right w:val="nil"/>
          <w:between w:val="nil"/>
        </w:pBdr>
        <w:spacing w:after="225"/>
        <w:rPr>
          <w:sz w:val="20"/>
          <w:szCs w:val="20"/>
        </w:rPr>
      </w:pPr>
      <w:r>
        <w:rPr>
          <w:sz w:val="20"/>
          <w:szCs w:val="20"/>
        </w:rPr>
        <w:t>An onboarding platform requires relational data modeling, the ability to execute complex JOIN operations, full-text search capabilities for users seeking specific policies, and the strict ACID transactional integrity necessary to safely move content from a "pending" state to a "published" state. These requirements mandate the use of a relational SQL database, making Cloudflare D1 the definitive choice for the persistence layer.</w:t>
      </w:r>
    </w:p>
    <w:p w14:paraId="64085DB5" w14:textId="77777777" w:rsidR="0016550C" w:rsidRDefault="00000000">
      <w:pPr>
        <w:pStyle w:val="Heading2"/>
        <w:spacing w:before="0"/>
        <w:rPr>
          <w:sz w:val="34"/>
          <w:szCs w:val="34"/>
        </w:rPr>
      </w:pPr>
      <w:r>
        <w:rPr>
          <w:sz w:val="34"/>
          <w:szCs w:val="34"/>
        </w:rPr>
        <w:t>Database Design and the Hono API Implementation</w:t>
      </w:r>
    </w:p>
    <w:p w14:paraId="64085DB6" w14:textId="77777777" w:rsidR="0016550C" w:rsidRDefault="00000000">
      <w:pPr>
        <w:pBdr>
          <w:top w:val="nil"/>
          <w:left w:val="nil"/>
          <w:bottom w:val="nil"/>
          <w:right w:val="nil"/>
          <w:between w:val="nil"/>
        </w:pBdr>
        <w:spacing w:after="240"/>
        <w:rPr>
          <w:sz w:val="20"/>
          <w:szCs w:val="20"/>
        </w:rPr>
      </w:pPr>
      <w:r>
        <w:rPr>
          <w:sz w:val="20"/>
          <w:szCs w:val="20"/>
        </w:rPr>
        <w:t>To physically instantiate the Moderated Knowledge Management Workflow discussed previously, the relational schema within Cloudflare D1 must be meticulously structured to isolate live, authoritative documentation from raw, unverified employee submissions.</w:t>
      </w:r>
    </w:p>
    <w:p w14:paraId="64085DB7" w14:textId="77777777" w:rsidR="0016550C" w:rsidRDefault="00000000">
      <w:pPr>
        <w:pStyle w:val="Heading3"/>
        <w:spacing w:before="0"/>
        <w:rPr>
          <w:sz w:val="26"/>
          <w:szCs w:val="26"/>
        </w:rPr>
      </w:pPr>
      <w:r>
        <w:rPr>
          <w:sz w:val="26"/>
          <w:szCs w:val="26"/>
        </w:rPr>
        <w:t>Relational SQL Schema Architecture</w:t>
      </w:r>
    </w:p>
    <w:p w14:paraId="64085DB8" w14:textId="77777777" w:rsidR="0016550C" w:rsidRDefault="00000000">
      <w:pPr>
        <w:pBdr>
          <w:top w:val="nil"/>
          <w:left w:val="nil"/>
          <w:bottom w:val="nil"/>
          <w:right w:val="nil"/>
          <w:between w:val="nil"/>
        </w:pBdr>
        <w:rPr>
          <w:sz w:val="20"/>
          <w:szCs w:val="20"/>
        </w:rPr>
      </w:pPr>
      <w:r>
        <w:rPr>
          <w:sz w:val="20"/>
          <w:szCs w:val="20"/>
        </w:rPr>
        <w:t>The architecture requires distinct tables to manage users, the published articles, and the queue of proposed edits. The following SQL schema blueprint establishes the foundation for this secure workflow:</w:t>
      </w:r>
    </w:p>
    <w:p w14:paraId="64085DB9" w14:textId="77777777" w:rsidR="0016550C" w:rsidRDefault="00000000">
      <w:pPr>
        <w:pBdr>
          <w:top w:val="nil"/>
          <w:left w:val="nil"/>
          <w:bottom w:val="nil"/>
          <w:right w:val="nil"/>
          <w:between w:val="nil"/>
        </w:pBdr>
        <w:rPr>
          <w:rFonts w:ascii="Courier" w:eastAsia="Courier" w:hAnsi="Courier" w:cs="Courier"/>
          <w:sz w:val="20"/>
          <w:szCs w:val="20"/>
        </w:rPr>
      </w:pPr>
      <w:r>
        <w:rPr>
          <w:rFonts w:ascii="Courier" w:eastAsia="Courier" w:hAnsi="Courier" w:cs="Courier"/>
          <w:sz w:val="20"/>
          <w:szCs w:val="20"/>
        </w:rPr>
        <w:t>-- Users Table: Tracks authenticated employees and defines moderation privileges</w:t>
      </w:r>
      <w:r>
        <w:rPr>
          <w:rFonts w:ascii="Courier" w:eastAsia="Courier" w:hAnsi="Courier" w:cs="Courier"/>
          <w:sz w:val="20"/>
          <w:szCs w:val="20"/>
        </w:rPr>
        <w:br/>
        <w:t>CREATE TABLE IF NOT EXISTS Users (</w:t>
      </w:r>
      <w:r>
        <w:rPr>
          <w:rFonts w:ascii="Courier" w:eastAsia="Courier" w:hAnsi="Courier" w:cs="Courier"/>
          <w:sz w:val="20"/>
          <w:szCs w:val="20"/>
        </w:rPr>
        <w:br/>
        <w:t xml:space="preserve">    id INTEGER PRIMARY KEY AUTOINCREMENT,</w:t>
      </w:r>
      <w:r>
        <w:rPr>
          <w:rFonts w:ascii="Courier" w:eastAsia="Courier" w:hAnsi="Courier" w:cs="Courier"/>
          <w:sz w:val="20"/>
          <w:szCs w:val="20"/>
        </w:rPr>
        <w:br/>
        <w:t xml:space="preserve">    email TEXT UNIQUE NOT NULL,</w:t>
      </w:r>
      <w:r>
        <w:rPr>
          <w:rFonts w:ascii="Courier" w:eastAsia="Courier" w:hAnsi="Courier" w:cs="Courier"/>
          <w:sz w:val="20"/>
          <w:szCs w:val="20"/>
        </w:rPr>
        <w:br/>
        <w:t xml:space="preserve">    role TEXT DEFAULT 'staff', -- Roles: 'staff', 'moderator', 'admin'</w:t>
      </w:r>
      <w:r>
        <w:rPr>
          <w:rFonts w:ascii="Courier" w:eastAsia="Courier" w:hAnsi="Courier" w:cs="Courier"/>
          <w:sz w:val="20"/>
          <w:szCs w:val="20"/>
        </w:rPr>
        <w:br/>
        <w:t xml:space="preserve">    created_at DATETIME DEFAULT CURRENT_TIMESTAMP</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t>-- Categories Table: Establishes the taxonomy of the onboarding portal</w:t>
      </w:r>
      <w:r>
        <w:rPr>
          <w:rFonts w:ascii="Courier" w:eastAsia="Courier" w:hAnsi="Courier" w:cs="Courier"/>
          <w:sz w:val="20"/>
          <w:szCs w:val="20"/>
        </w:rPr>
        <w:br/>
        <w:t>CREATE TABLE IF NOT EXISTS Categories (</w:t>
      </w:r>
      <w:r>
        <w:rPr>
          <w:rFonts w:ascii="Courier" w:eastAsia="Courier" w:hAnsi="Courier" w:cs="Courier"/>
          <w:sz w:val="20"/>
          <w:szCs w:val="20"/>
        </w:rPr>
        <w:br/>
        <w:t xml:space="preserve">    id INTEGER PRIMARY KEY AUTOINCREMENT,</w:t>
      </w:r>
      <w:r>
        <w:rPr>
          <w:rFonts w:ascii="Courier" w:eastAsia="Courier" w:hAnsi="Courier" w:cs="Courier"/>
          <w:sz w:val="20"/>
          <w:szCs w:val="20"/>
        </w:rPr>
        <w:br/>
        <w:t xml:space="preserve">    name TEXT NOT NULL, -- e.g., 'HR &amp; Benefits', 'NCAA Compliance', 'Facilities'</w:t>
      </w:r>
      <w:r>
        <w:rPr>
          <w:rFonts w:ascii="Courier" w:eastAsia="Courier" w:hAnsi="Courier" w:cs="Courier"/>
          <w:sz w:val="20"/>
          <w:szCs w:val="20"/>
        </w:rPr>
        <w:br/>
        <w:t xml:space="preserve">    description TEXT</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t>-- Articles Table: The authoritative repository of published onboarding knowledge</w:t>
      </w:r>
      <w:r>
        <w:rPr>
          <w:rFonts w:ascii="Courier" w:eastAsia="Courier" w:hAnsi="Courier" w:cs="Courier"/>
          <w:sz w:val="20"/>
          <w:szCs w:val="20"/>
        </w:rPr>
        <w:br/>
        <w:t>CREATE TABLE IF NOT EXISTS Articles (</w:t>
      </w:r>
      <w:r>
        <w:rPr>
          <w:rFonts w:ascii="Courier" w:eastAsia="Courier" w:hAnsi="Courier" w:cs="Courier"/>
          <w:sz w:val="20"/>
          <w:szCs w:val="20"/>
        </w:rPr>
        <w:br/>
        <w:t xml:space="preserve">    id INTEGER PRIMARY KEY AUTOINCREMENT,</w:t>
      </w:r>
      <w:r>
        <w:rPr>
          <w:rFonts w:ascii="Courier" w:eastAsia="Courier" w:hAnsi="Courier" w:cs="Courier"/>
          <w:sz w:val="20"/>
          <w:szCs w:val="20"/>
        </w:rPr>
        <w:br/>
        <w:t xml:space="preserve">    category_id INTEGER,</w:t>
      </w:r>
      <w:r>
        <w:rPr>
          <w:rFonts w:ascii="Courier" w:eastAsia="Courier" w:hAnsi="Courier" w:cs="Courier"/>
          <w:sz w:val="20"/>
          <w:szCs w:val="20"/>
        </w:rPr>
        <w:br/>
        <w:t xml:space="preserve">    title TEXT NOT NULL,</w:t>
      </w:r>
      <w:r>
        <w:rPr>
          <w:rFonts w:ascii="Courier" w:eastAsia="Courier" w:hAnsi="Courier" w:cs="Courier"/>
          <w:sz w:val="20"/>
          <w:szCs w:val="20"/>
        </w:rPr>
        <w:br/>
      </w:r>
      <w:r>
        <w:rPr>
          <w:rFonts w:ascii="Courier" w:eastAsia="Courier" w:hAnsi="Courier" w:cs="Courier"/>
          <w:sz w:val="20"/>
          <w:szCs w:val="20"/>
        </w:rPr>
        <w:lastRenderedPageBreak/>
        <w:t xml:space="preserve">    current_content TEXT,</w:t>
      </w:r>
      <w:r>
        <w:rPr>
          <w:rFonts w:ascii="Courier" w:eastAsia="Courier" w:hAnsi="Courier" w:cs="Courier"/>
          <w:sz w:val="20"/>
          <w:szCs w:val="20"/>
        </w:rPr>
        <w:br/>
        <w:t xml:space="preserve">    last_updated DATETIME DEFAULT CURRENT_TIMESTAMP,</w:t>
      </w:r>
      <w:r>
        <w:rPr>
          <w:rFonts w:ascii="Courier" w:eastAsia="Courier" w:hAnsi="Courier" w:cs="Courier"/>
          <w:sz w:val="20"/>
          <w:szCs w:val="20"/>
        </w:rPr>
        <w:br/>
        <w:t xml:space="preserve">    FOREIGN KEY (category_id) REFERENCES Categories(id)</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t>-- Submissions Table: The moderation queue capturing crowdsourced employee input</w:t>
      </w:r>
      <w:r>
        <w:rPr>
          <w:rFonts w:ascii="Courier" w:eastAsia="Courier" w:hAnsi="Courier" w:cs="Courier"/>
          <w:sz w:val="20"/>
          <w:szCs w:val="20"/>
        </w:rPr>
        <w:br/>
        <w:t>CREATE TABLE IF NOT EXISTS Submissions (</w:t>
      </w:r>
      <w:r>
        <w:rPr>
          <w:rFonts w:ascii="Courier" w:eastAsia="Courier" w:hAnsi="Courier" w:cs="Courier"/>
          <w:sz w:val="20"/>
          <w:szCs w:val="20"/>
        </w:rPr>
        <w:br/>
        <w:t xml:space="preserve">    id INTEGER PRIMARY KEY AUTOINCREMENT,</w:t>
      </w:r>
      <w:r>
        <w:rPr>
          <w:rFonts w:ascii="Courier" w:eastAsia="Courier" w:hAnsi="Courier" w:cs="Courier"/>
          <w:sz w:val="20"/>
          <w:szCs w:val="20"/>
        </w:rPr>
        <w:br/>
        <w:t xml:space="preserve">    article_id INTEGER, -- Null implies a proposal for a brand new article</w:t>
      </w:r>
      <w:r>
        <w:rPr>
          <w:rFonts w:ascii="Courier" w:eastAsia="Courier" w:hAnsi="Courier" w:cs="Courier"/>
          <w:sz w:val="20"/>
          <w:szCs w:val="20"/>
        </w:rPr>
        <w:br/>
        <w:t xml:space="preserve">    author_id INTEGER NOT NULL,</w:t>
      </w:r>
      <w:r>
        <w:rPr>
          <w:rFonts w:ascii="Courier" w:eastAsia="Courier" w:hAnsi="Courier" w:cs="Courier"/>
          <w:sz w:val="20"/>
          <w:szCs w:val="20"/>
        </w:rPr>
        <w:br/>
        <w:t xml:space="preserve">    proposed_title TEXT,</w:t>
      </w:r>
      <w:r>
        <w:rPr>
          <w:rFonts w:ascii="Courier" w:eastAsia="Courier" w:hAnsi="Courier" w:cs="Courier"/>
          <w:sz w:val="20"/>
          <w:szCs w:val="20"/>
        </w:rPr>
        <w:br/>
        <w:t xml:space="preserve">    proposed_content TEXT NOT NULL,</w:t>
      </w:r>
      <w:r>
        <w:rPr>
          <w:rFonts w:ascii="Courier" w:eastAsia="Courier" w:hAnsi="Courier" w:cs="Courier"/>
          <w:sz w:val="20"/>
          <w:szCs w:val="20"/>
        </w:rPr>
        <w:br/>
        <w:t xml:space="preserve">    status TEXT DEFAULT 'pending', -- States: 'pending', 'approved', 'rejected'</w:t>
      </w:r>
      <w:r>
        <w:rPr>
          <w:rFonts w:ascii="Courier" w:eastAsia="Courier" w:hAnsi="Courier" w:cs="Courier"/>
          <w:sz w:val="20"/>
          <w:szCs w:val="20"/>
        </w:rPr>
        <w:br/>
        <w:t xml:space="preserve">    submitted_at DATETIME DEFAULT CURRENT_TIMESTAMP,</w:t>
      </w:r>
      <w:r>
        <w:rPr>
          <w:rFonts w:ascii="Courier" w:eastAsia="Courier" w:hAnsi="Courier" w:cs="Courier"/>
          <w:sz w:val="20"/>
          <w:szCs w:val="20"/>
        </w:rPr>
        <w:br/>
        <w:t xml:space="preserve">    reviewed_by INTEGER,</w:t>
      </w:r>
      <w:r>
        <w:rPr>
          <w:rFonts w:ascii="Courier" w:eastAsia="Courier" w:hAnsi="Courier" w:cs="Courier"/>
          <w:sz w:val="20"/>
          <w:szCs w:val="20"/>
        </w:rPr>
        <w:br/>
        <w:t xml:space="preserve">    review_notes TEXT,</w:t>
      </w:r>
      <w:r>
        <w:rPr>
          <w:rFonts w:ascii="Courier" w:eastAsia="Courier" w:hAnsi="Courier" w:cs="Courier"/>
          <w:sz w:val="20"/>
          <w:szCs w:val="20"/>
        </w:rPr>
        <w:br/>
        <w:t xml:space="preserve">    FOREIGN KEY (article_id) REFERENCES Articles(id),</w:t>
      </w:r>
      <w:r>
        <w:rPr>
          <w:rFonts w:ascii="Courier" w:eastAsia="Courier" w:hAnsi="Courier" w:cs="Courier"/>
          <w:sz w:val="20"/>
          <w:szCs w:val="20"/>
        </w:rPr>
        <w:br/>
        <w:t xml:space="preserve">    FOREIGN KEY (author_id) REFERENCES Users(id),</w:t>
      </w:r>
      <w:r>
        <w:rPr>
          <w:rFonts w:ascii="Courier" w:eastAsia="Courier" w:hAnsi="Courier" w:cs="Courier"/>
          <w:sz w:val="20"/>
          <w:szCs w:val="20"/>
        </w:rPr>
        <w:br/>
        <w:t xml:space="preserve">    FOREIGN KEY (reviewed_by) REFERENCES Users(id)</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t>-- Indexing for query optimization on heavily accessed columns</w:t>
      </w:r>
      <w:r>
        <w:rPr>
          <w:rFonts w:ascii="Courier" w:eastAsia="Courier" w:hAnsi="Courier" w:cs="Courier"/>
          <w:sz w:val="20"/>
          <w:szCs w:val="20"/>
        </w:rPr>
        <w:br/>
        <w:t>CREATE INDEX IF NOT EXISTS idx_submissions_status ON Submissions(status);</w:t>
      </w:r>
      <w:r>
        <w:rPr>
          <w:rFonts w:ascii="Courier" w:eastAsia="Courier" w:hAnsi="Courier" w:cs="Courier"/>
          <w:sz w:val="20"/>
          <w:szCs w:val="20"/>
        </w:rPr>
        <w:br/>
        <w:t>CREATE INDEX IF NOT EXISTS idx_articles_category ON Articles(category_id);</w:t>
      </w:r>
      <w:r>
        <w:rPr>
          <w:rFonts w:ascii="Courier" w:eastAsia="Courier" w:hAnsi="Courier" w:cs="Courier"/>
          <w:sz w:val="20"/>
          <w:szCs w:val="20"/>
        </w:rPr>
        <w:br/>
      </w:r>
    </w:p>
    <w:p w14:paraId="64085DBA" w14:textId="77777777" w:rsidR="0016550C" w:rsidRDefault="00000000">
      <w:pPr>
        <w:pBdr>
          <w:top w:val="nil"/>
          <w:left w:val="nil"/>
          <w:bottom w:val="nil"/>
          <w:right w:val="nil"/>
          <w:between w:val="nil"/>
        </w:pBdr>
        <w:rPr>
          <w:i/>
          <w:iCs/>
          <w:sz w:val="20"/>
          <w:szCs w:val="20"/>
        </w:rPr>
      </w:pPr>
      <w:r>
        <w:rPr>
          <w:i/>
          <w:iCs/>
          <w:sz w:val="20"/>
          <w:szCs w:val="20"/>
        </w:rPr>
        <w:t>(Architectural framework derived from optimal Cloudflare D1 SQL design patterns ).</w:t>
      </w:r>
    </w:p>
    <w:p w14:paraId="64085DBB" w14:textId="77777777" w:rsidR="0016550C" w:rsidRDefault="00000000">
      <w:pPr>
        <w:pBdr>
          <w:top w:val="nil"/>
          <w:left w:val="nil"/>
          <w:bottom w:val="nil"/>
          <w:right w:val="nil"/>
          <w:between w:val="nil"/>
        </w:pBdr>
        <w:spacing w:after="240"/>
        <w:rPr>
          <w:sz w:val="20"/>
          <w:szCs w:val="20"/>
        </w:rPr>
      </w:pPr>
      <w:r>
        <w:rPr>
          <w:sz w:val="20"/>
          <w:szCs w:val="20"/>
        </w:rPr>
        <w:t>Under this schema, the frontend React application will only ever issue SELECT queries against the Articles table for general staff viewing, ensuring that unverified information never reaches the live manual. When an employee utilizes the tool to submit a new guideline, the backend API routes that INSERT operation exclusively into the Submissions table, locking it behind the pending status flag.</w:t>
      </w:r>
    </w:p>
    <w:p w14:paraId="64085DBC" w14:textId="77777777" w:rsidR="0016550C" w:rsidRDefault="00000000">
      <w:pPr>
        <w:pStyle w:val="Heading3"/>
        <w:spacing w:before="0"/>
        <w:rPr>
          <w:sz w:val="26"/>
          <w:szCs w:val="26"/>
        </w:rPr>
      </w:pPr>
      <w:r>
        <w:rPr>
          <w:sz w:val="26"/>
          <w:szCs w:val="26"/>
        </w:rPr>
        <w:t>Engineering the Hono Backend on Cloudflare Workers</w:t>
      </w:r>
    </w:p>
    <w:p w14:paraId="64085DBD" w14:textId="77777777" w:rsidR="0016550C" w:rsidRDefault="00000000">
      <w:pPr>
        <w:pBdr>
          <w:top w:val="nil"/>
          <w:left w:val="nil"/>
          <w:bottom w:val="nil"/>
          <w:right w:val="nil"/>
          <w:between w:val="nil"/>
        </w:pBdr>
        <w:rPr>
          <w:sz w:val="20"/>
          <w:szCs w:val="20"/>
        </w:rPr>
      </w:pPr>
      <w:r>
        <w:rPr>
          <w:sz w:val="20"/>
          <w:szCs w:val="20"/>
        </w:rPr>
        <w:t>The backend API logic connecting the frontend to the D1 database will be hosted on a Cloudflare Worker utilizing the Hono framework. The local development process begins by scaffolding the project using the Wrangler CLI, Cloudflare's powerful command-line tool :</w:t>
      </w:r>
    </w:p>
    <w:p w14:paraId="64085DBE" w14:textId="77777777" w:rsidR="0016550C" w:rsidRDefault="00000000">
      <w:pPr>
        <w:pBdr>
          <w:top w:val="nil"/>
          <w:left w:val="nil"/>
          <w:bottom w:val="nil"/>
          <w:right w:val="nil"/>
          <w:between w:val="nil"/>
        </w:pBdr>
        <w:rPr>
          <w:rFonts w:ascii="Courier" w:eastAsia="Courier" w:hAnsi="Courier" w:cs="Courier"/>
          <w:sz w:val="20"/>
          <w:szCs w:val="20"/>
        </w:rPr>
      </w:pPr>
      <w:r>
        <w:rPr>
          <w:rFonts w:ascii="Courier" w:eastAsia="Courier" w:hAnsi="Courier" w:cs="Courier"/>
          <w:sz w:val="20"/>
          <w:szCs w:val="20"/>
        </w:rPr>
        <w:t># Initialize the Cloudflare Worker project</w:t>
      </w:r>
      <w:r>
        <w:rPr>
          <w:rFonts w:ascii="Courier" w:eastAsia="Courier" w:hAnsi="Courier" w:cs="Courier"/>
          <w:sz w:val="20"/>
          <w:szCs w:val="20"/>
        </w:rPr>
        <w:br/>
        <w:t>npm create cloudflare@latest toledo-athletics-onboarding --type=simple</w:t>
      </w:r>
      <w:r>
        <w:rPr>
          <w:rFonts w:ascii="Courier" w:eastAsia="Courier" w:hAnsi="Courier" w:cs="Courier"/>
          <w:sz w:val="20"/>
          <w:szCs w:val="20"/>
        </w:rPr>
        <w:br/>
        <w:t>cd toledo-athletics-onboarding</w:t>
      </w:r>
      <w:r>
        <w:rPr>
          <w:rFonts w:ascii="Courier" w:eastAsia="Courier" w:hAnsi="Courier" w:cs="Courier"/>
          <w:sz w:val="20"/>
          <w:szCs w:val="20"/>
        </w:rPr>
        <w:br/>
      </w:r>
      <w:r>
        <w:rPr>
          <w:rFonts w:ascii="Courier" w:eastAsia="Courier" w:hAnsi="Courier" w:cs="Courier"/>
          <w:sz w:val="20"/>
          <w:szCs w:val="20"/>
        </w:rPr>
        <w:br/>
        <w:t># Install the Hono web framework</w:t>
      </w:r>
      <w:r>
        <w:rPr>
          <w:rFonts w:ascii="Courier" w:eastAsia="Courier" w:hAnsi="Courier" w:cs="Courier"/>
          <w:sz w:val="20"/>
          <w:szCs w:val="20"/>
        </w:rPr>
        <w:br/>
        <w:t>npm install hono</w:t>
      </w:r>
      <w:r>
        <w:rPr>
          <w:rFonts w:ascii="Courier" w:eastAsia="Courier" w:hAnsi="Courier" w:cs="Courier"/>
          <w:sz w:val="20"/>
          <w:szCs w:val="20"/>
        </w:rPr>
        <w:br/>
      </w:r>
    </w:p>
    <w:p w14:paraId="64085DBF" w14:textId="77777777" w:rsidR="0016550C" w:rsidRDefault="00000000">
      <w:pPr>
        <w:pBdr>
          <w:top w:val="nil"/>
          <w:left w:val="nil"/>
          <w:bottom w:val="nil"/>
          <w:right w:val="nil"/>
          <w:between w:val="nil"/>
        </w:pBdr>
        <w:rPr>
          <w:sz w:val="20"/>
          <w:szCs w:val="20"/>
        </w:rPr>
      </w:pPr>
      <w:r>
        <w:rPr>
          <w:sz w:val="20"/>
          <w:szCs w:val="20"/>
        </w:rPr>
        <w:t>Within the core Worker script (e.g., src/index.ts), the Hono application is instantiated, strongly typed bindings to the D1 database are established, and the specific RESTful API endpoints required for the moderation workflow are defined :</w:t>
      </w:r>
    </w:p>
    <w:p w14:paraId="64085DC0" w14:textId="77777777" w:rsidR="0016550C" w:rsidRDefault="00000000">
      <w:pPr>
        <w:pBdr>
          <w:top w:val="nil"/>
          <w:left w:val="nil"/>
          <w:bottom w:val="nil"/>
          <w:right w:val="nil"/>
          <w:between w:val="nil"/>
        </w:pBdr>
        <w:rPr>
          <w:rFonts w:ascii="Courier" w:eastAsia="Courier" w:hAnsi="Courier" w:cs="Courier"/>
          <w:sz w:val="20"/>
          <w:szCs w:val="20"/>
        </w:rPr>
      </w:pPr>
      <w:r>
        <w:rPr>
          <w:rFonts w:ascii="Courier" w:eastAsia="Courier" w:hAnsi="Courier" w:cs="Courier"/>
          <w:sz w:val="20"/>
          <w:szCs w:val="20"/>
        </w:rPr>
        <w:t>import { Hono } from 'hono';</w:t>
      </w:r>
      <w:r>
        <w:rPr>
          <w:rFonts w:ascii="Courier" w:eastAsia="Courier" w:hAnsi="Courier" w:cs="Courier"/>
          <w:sz w:val="20"/>
          <w:szCs w:val="20"/>
        </w:rPr>
        <w:br/>
      </w:r>
      <w:r>
        <w:rPr>
          <w:rFonts w:ascii="Courier" w:eastAsia="Courier" w:hAnsi="Courier" w:cs="Courier"/>
          <w:sz w:val="20"/>
          <w:szCs w:val="20"/>
        </w:rPr>
        <w:br/>
        <w:t>// Define the Cloudflare environment bindings, ensuring strict TypeScript safety</w:t>
      </w:r>
      <w:r>
        <w:rPr>
          <w:rFonts w:ascii="Courier" w:eastAsia="Courier" w:hAnsi="Courier" w:cs="Courier"/>
          <w:sz w:val="20"/>
          <w:szCs w:val="20"/>
        </w:rPr>
        <w:br/>
        <w:t>type Bindings = {</w:t>
      </w:r>
      <w:r>
        <w:rPr>
          <w:rFonts w:ascii="Courier" w:eastAsia="Courier" w:hAnsi="Courier" w:cs="Courier"/>
          <w:sz w:val="20"/>
          <w:szCs w:val="20"/>
        </w:rPr>
        <w:br/>
        <w:t xml:space="preserve">  DB: D1Database;</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r>
      <w:r>
        <w:rPr>
          <w:rFonts w:ascii="Courier" w:eastAsia="Courier" w:hAnsi="Courier" w:cs="Courier"/>
          <w:sz w:val="20"/>
          <w:szCs w:val="20"/>
        </w:rPr>
        <w:lastRenderedPageBreak/>
        <w:t>const app = new Hono&lt;{ Bindings: Bindings }&gt;();</w:t>
      </w:r>
      <w:r>
        <w:rPr>
          <w:rFonts w:ascii="Courier" w:eastAsia="Courier" w:hAnsi="Courier" w:cs="Courier"/>
          <w:sz w:val="20"/>
          <w:szCs w:val="20"/>
        </w:rPr>
        <w:br/>
      </w:r>
      <w:r>
        <w:rPr>
          <w:rFonts w:ascii="Courier" w:eastAsia="Courier" w:hAnsi="Courier" w:cs="Courier"/>
          <w:sz w:val="20"/>
          <w:szCs w:val="20"/>
        </w:rPr>
        <w:br/>
        <w:t>// GET Endpoint: Retrieves only official, published onboarding articles</w:t>
      </w:r>
      <w:r>
        <w:rPr>
          <w:rFonts w:ascii="Courier" w:eastAsia="Courier" w:hAnsi="Courier" w:cs="Courier"/>
          <w:sz w:val="20"/>
          <w:szCs w:val="20"/>
        </w:rPr>
        <w:br/>
        <w:t>app.get('/api/articles', async (c) =&gt; {</w:t>
      </w:r>
      <w:r>
        <w:rPr>
          <w:rFonts w:ascii="Courier" w:eastAsia="Courier" w:hAnsi="Courier" w:cs="Courier"/>
          <w:sz w:val="20"/>
          <w:szCs w:val="20"/>
        </w:rPr>
        <w:br/>
        <w:t xml:space="preserve">  const { results } = await c.env.DB.prepare('SELECT * FROM Articles').all();</w:t>
      </w:r>
      <w:r>
        <w:rPr>
          <w:rFonts w:ascii="Courier" w:eastAsia="Courier" w:hAnsi="Courier" w:cs="Courier"/>
          <w:sz w:val="20"/>
          <w:szCs w:val="20"/>
        </w:rPr>
        <w:br/>
        <w:t xml:space="preserve">  return c.json({ success: true, data: results });</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t>// POST Endpoint: Captures crowdsourced submissions from employees</w:t>
      </w:r>
      <w:r>
        <w:rPr>
          <w:rFonts w:ascii="Courier" w:eastAsia="Courier" w:hAnsi="Courier" w:cs="Courier"/>
          <w:sz w:val="20"/>
          <w:szCs w:val="20"/>
        </w:rPr>
        <w:br/>
        <w:t>app.post('/api/submissions', async (c) =&gt; {</w:t>
      </w:r>
      <w:r>
        <w:rPr>
          <w:rFonts w:ascii="Courier" w:eastAsia="Courier" w:hAnsi="Courier" w:cs="Courier"/>
          <w:sz w:val="20"/>
          <w:szCs w:val="20"/>
        </w:rPr>
        <w:br/>
        <w:t xml:space="preserve">  const body = await c.req.json();</w:t>
      </w:r>
      <w:r>
        <w:rPr>
          <w:rFonts w:ascii="Courier" w:eastAsia="Courier" w:hAnsi="Courier" w:cs="Courier"/>
          <w:sz w:val="20"/>
          <w:szCs w:val="20"/>
        </w:rPr>
        <w:br/>
        <w:t xml:space="preserve">  </w:t>
      </w:r>
      <w:r>
        <w:rPr>
          <w:rFonts w:ascii="Courier" w:eastAsia="Courier" w:hAnsi="Courier" w:cs="Courier"/>
          <w:sz w:val="20"/>
          <w:szCs w:val="20"/>
        </w:rPr>
        <w:br/>
        <w:t xml:space="preserve">  // Security Best Practice: Utilizing D1's prepared statements (.bind())</w:t>
      </w:r>
      <w:r>
        <w:rPr>
          <w:rFonts w:ascii="Courier" w:eastAsia="Courier" w:hAnsi="Courier" w:cs="Courier"/>
          <w:sz w:val="20"/>
          <w:szCs w:val="20"/>
        </w:rPr>
        <w:br/>
        <w:t xml:space="preserve">  // to categorically prevent SQL injection vulnerabilities.</w:t>
      </w:r>
      <w:r>
        <w:rPr>
          <w:rFonts w:ascii="Courier" w:eastAsia="Courier" w:hAnsi="Courier" w:cs="Courier"/>
          <w:sz w:val="20"/>
          <w:szCs w:val="20"/>
        </w:rPr>
        <w:br/>
        <w:t xml:space="preserve">  const info = await c.env.DB.prepare(</w:t>
      </w:r>
      <w:r>
        <w:rPr>
          <w:rFonts w:ascii="Courier" w:eastAsia="Courier" w:hAnsi="Courier" w:cs="Courier"/>
          <w:sz w:val="20"/>
          <w:szCs w:val="20"/>
        </w:rPr>
        <w:br/>
        <w:t xml:space="preserve">    'INSERT INTO Submissions (author_id, proposed_title, proposed_content) VALUES (?,?,?)'</w:t>
      </w:r>
      <w:r>
        <w:rPr>
          <w:rFonts w:ascii="Courier" w:eastAsia="Courier" w:hAnsi="Courier" w:cs="Courier"/>
          <w:sz w:val="20"/>
          <w:szCs w:val="20"/>
        </w:rPr>
        <w:br/>
        <w:t xml:space="preserve">  )</w:t>
      </w:r>
      <w:r>
        <w:rPr>
          <w:rFonts w:ascii="Courier" w:eastAsia="Courier" w:hAnsi="Courier" w:cs="Courier"/>
          <w:sz w:val="20"/>
          <w:szCs w:val="20"/>
        </w:rPr>
        <w:br/>
        <w:t xml:space="preserve"> .bind(body.author_id, body.proposed_title, body.proposed_content)</w:t>
      </w:r>
      <w:r>
        <w:rPr>
          <w:rFonts w:ascii="Courier" w:eastAsia="Courier" w:hAnsi="Courier" w:cs="Courier"/>
          <w:sz w:val="20"/>
          <w:szCs w:val="20"/>
        </w:rPr>
        <w:br/>
        <w:t xml:space="preserve"> .run();</w:t>
      </w:r>
      <w:r>
        <w:rPr>
          <w:rFonts w:ascii="Courier" w:eastAsia="Courier" w:hAnsi="Courier" w:cs="Courier"/>
          <w:sz w:val="20"/>
          <w:szCs w:val="20"/>
        </w:rPr>
        <w:br/>
        <w:t xml:space="preserve">  </w:t>
      </w:r>
      <w:r>
        <w:rPr>
          <w:rFonts w:ascii="Courier" w:eastAsia="Courier" w:hAnsi="Courier" w:cs="Courier"/>
          <w:sz w:val="20"/>
          <w:szCs w:val="20"/>
        </w:rPr>
        <w:br/>
        <w:t xml:space="preserve">  return c.json({ success: true, message: 'Submission queued for moderation.' }, 201);</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t>// PUT Endpoint: Executed by an authorized moderator to approve and publish content</w:t>
      </w:r>
      <w:r>
        <w:rPr>
          <w:rFonts w:ascii="Courier" w:eastAsia="Courier" w:hAnsi="Courier" w:cs="Courier"/>
          <w:sz w:val="20"/>
          <w:szCs w:val="20"/>
        </w:rPr>
        <w:br/>
        <w:t>app.put('/api/submissions/:id/approve', async (c) =&gt; {</w:t>
      </w:r>
      <w:r>
        <w:rPr>
          <w:rFonts w:ascii="Courier" w:eastAsia="Courier" w:hAnsi="Courier" w:cs="Courier"/>
          <w:sz w:val="20"/>
          <w:szCs w:val="20"/>
        </w:rPr>
        <w:br/>
        <w:t xml:space="preserve">  const submissionId = c.req.param('id');</w:t>
      </w:r>
      <w:r>
        <w:rPr>
          <w:rFonts w:ascii="Courier" w:eastAsia="Courier" w:hAnsi="Courier" w:cs="Courier"/>
          <w:sz w:val="20"/>
          <w:szCs w:val="20"/>
        </w:rPr>
        <w:br/>
        <w:t xml:space="preserve">  const body = await c.req.json(); // Contains the final, edited content</w:t>
      </w:r>
      <w:r>
        <w:rPr>
          <w:rFonts w:ascii="Courier" w:eastAsia="Courier" w:hAnsi="Courier" w:cs="Courier"/>
          <w:sz w:val="20"/>
          <w:szCs w:val="20"/>
        </w:rPr>
        <w:br/>
        <w:t xml:space="preserve">  </w:t>
      </w:r>
      <w:r>
        <w:rPr>
          <w:rFonts w:ascii="Courier" w:eastAsia="Courier" w:hAnsi="Courier" w:cs="Courier"/>
          <w:sz w:val="20"/>
          <w:szCs w:val="20"/>
        </w:rPr>
        <w:br/>
        <w:t xml:space="preserve">  // Transactional Best Practice: Using DB.batch() to ensure atomic execution.</w:t>
      </w:r>
      <w:r>
        <w:rPr>
          <w:rFonts w:ascii="Courier" w:eastAsia="Courier" w:hAnsi="Courier" w:cs="Courier"/>
          <w:sz w:val="20"/>
          <w:szCs w:val="20"/>
        </w:rPr>
        <w:br/>
        <w:t xml:space="preserve">  // If the insert into Articles fails, the Submission status is not updated.</w:t>
      </w:r>
      <w:r>
        <w:rPr>
          <w:rFonts w:ascii="Courier" w:eastAsia="Courier" w:hAnsi="Courier" w:cs="Courier"/>
          <w:sz w:val="20"/>
          <w:szCs w:val="20"/>
        </w:rPr>
        <w:br/>
        <w:t xml:space="preserve">  const batchResults = await c.env.DB.batch();</w:t>
      </w:r>
      <w:r>
        <w:rPr>
          <w:rFonts w:ascii="Courier" w:eastAsia="Courier" w:hAnsi="Courier" w:cs="Courier"/>
          <w:sz w:val="20"/>
          <w:szCs w:val="20"/>
        </w:rPr>
        <w:br/>
        <w:t xml:space="preserve">  </w:t>
      </w:r>
      <w:r>
        <w:rPr>
          <w:rFonts w:ascii="Courier" w:eastAsia="Courier" w:hAnsi="Courier" w:cs="Courier"/>
          <w:sz w:val="20"/>
          <w:szCs w:val="20"/>
        </w:rPr>
        <w:br/>
        <w:t xml:space="preserve">  return c.json({ success: true, message: 'Submission officially published.' });</w:t>
      </w:r>
      <w:r>
        <w:rPr>
          <w:rFonts w:ascii="Courier" w:eastAsia="Courier" w:hAnsi="Courier" w:cs="Courier"/>
          <w:sz w:val="20"/>
          <w:szCs w:val="20"/>
        </w:rPr>
        <w:br/>
        <w:t>});</w:t>
      </w:r>
      <w:r>
        <w:rPr>
          <w:rFonts w:ascii="Courier" w:eastAsia="Courier" w:hAnsi="Courier" w:cs="Courier"/>
          <w:sz w:val="20"/>
          <w:szCs w:val="20"/>
        </w:rPr>
        <w:br/>
      </w:r>
      <w:r>
        <w:rPr>
          <w:rFonts w:ascii="Courier" w:eastAsia="Courier" w:hAnsi="Courier" w:cs="Courier"/>
          <w:sz w:val="20"/>
          <w:szCs w:val="20"/>
        </w:rPr>
        <w:br/>
        <w:t>export default app;</w:t>
      </w:r>
      <w:r>
        <w:rPr>
          <w:rFonts w:ascii="Courier" w:eastAsia="Courier" w:hAnsi="Courier" w:cs="Courier"/>
          <w:sz w:val="20"/>
          <w:szCs w:val="20"/>
        </w:rPr>
        <w:br/>
      </w:r>
    </w:p>
    <w:p w14:paraId="64085DC1" w14:textId="77777777" w:rsidR="0016550C" w:rsidRDefault="00000000">
      <w:pPr>
        <w:pBdr>
          <w:top w:val="nil"/>
          <w:left w:val="nil"/>
          <w:bottom w:val="nil"/>
          <w:right w:val="nil"/>
          <w:between w:val="nil"/>
        </w:pBdr>
        <w:rPr>
          <w:i/>
          <w:iCs/>
          <w:sz w:val="20"/>
          <w:szCs w:val="20"/>
        </w:rPr>
      </w:pPr>
      <w:r>
        <w:rPr>
          <w:i/>
          <w:iCs/>
          <w:sz w:val="20"/>
          <w:szCs w:val="20"/>
        </w:rPr>
        <w:t>(Code structure modeled heavily on D1 and Hono integration best practices, emphasizing parameterized queries and atomic batch operations ).</w:t>
      </w:r>
    </w:p>
    <w:p w14:paraId="64085DC2" w14:textId="77777777" w:rsidR="0016550C" w:rsidRDefault="00000000">
      <w:pPr>
        <w:pBdr>
          <w:top w:val="nil"/>
          <w:left w:val="nil"/>
          <w:bottom w:val="nil"/>
          <w:right w:val="nil"/>
          <w:between w:val="nil"/>
        </w:pBdr>
        <w:spacing w:after="225"/>
        <w:rPr>
          <w:sz w:val="20"/>
          <w:szCs w:val="20"/>
        </w:rPr>
      </w:pPr>
      <w:r>
        <w:rPr>
          <w:sz w:val="20"/>
          <w:szCs w:val="20"/>
        </w:rPr>
        <w:t>This architectural implementation enforces security at the foundational level. By strictly utilizing D1's prepared statements (.prepare().bind()), the API neutralizes the threat of SQL injection attacks. Furthermore, by executing the approval process via DB.batch(), the system guarantees transactional integrity; the submission is only marked as approved if the new article is successfully written to the live database, preventing data corruption or orphaned records.</w:t>
      </w:r>
    </w:p>
    <w:p w14:paraId="64085DC3" w14:textId="77777777" w:rsidR="0016550C" w:rsidRDefault="00000000">
      <w:pPr>
        <w:pStyle w:val="Heading2"/>
        <w:spacing w:before="0"/>
        <w:rPr>
          <w:sz w:val="34"/>
          <w:szCs w:val="34"/>
        </w:rPr>
      </w:pPr>
      <w:r>
        <w:rPr>
          <w:sz w:val="34"/>
          <w:szCs w:val="34"/>
        </w:rPr>
        <w:t>Deployment, Data Resilience, and Custom Domain Configuration</w:t>
      </w:r>
    </w:p>
    <w:p w14:paraId="64085DC4" w14:textId="77777777" w:rsidR="0016550C" w:rsidRDefault="00000000">
      <w:pPr>
        <w:pBdr>
          <w:top w:val="nil"/>
          <w:left w:val="nil"/>
          <w:bottom w:val="nil"/>
          <w:right w:val="nil"/>
          <w:between w:val="nil"/>
        </w:pBdr>
        <w:spacing w:after="240"/>
        <w:rPr>
          <w:sz w:val="20"/>
          <w:szCs w:val="20"/>
        </w:rPr>
      </w:pPr>
      <w:r>
        <w:rPr>
          <w:sz w:val="20"/>
          <w:szCs w:val="20"/>
        </w:rPr>
        <w:t xml:space="preserve">Transitioning the onboarding platform from a local development environment into a secure, globally accessible production state requires provisioning the remote Cloudflare resources and configuring </w:t>
      </w:r>
      <w:r>
        <w:rPr>
          <w:sz w:val="20"/>
          <w:szCs w:val="20"/>
        </w:rPr>
        <w:lastRenderedPageBreak/>
        <w:t>external DNS routing.</w:t>
      </w:r>
    </w:p>
    <w:p w14:paraId="64085DC5" w14:textId="77777777" w:rsidR="0016550C" w:rsidRDefault="00000000">
      <w:pPr>
        <w:pStyle w:val="Heading3"/>
        <w:spacing w:before="0"/>
        <w:rPr>
          <w:sz w:val="26"/>
          <w:szCs w:val="26"/>
        </w:rPr>
      </w:pPr>
      <w:r>
        <w:rPr>
          <w:sz w:val="26"/>
          <w:szCs w:val="26"/>
        </w:rPr>
        <w:t>Provisioning the Remote D1 Infrastructure</w:t>
      </w:r>
    </w:p>
    <w:p w14:paraId="64085DC6" w14:textId="77777777" w:rsidR="0016550C" w:rsidRDefault="00000000">
      <w:pPr>
        <w:pBdr>
          <w:top w:val="nil"/>
          <w:left w:val="nil"/>
          <w:bottom w:val="nil"/>
          <w:right w:val="nil"/>
          <w:between w:val="nil"/>
        </w:pBdr>
        <w:rPr>
          <w:sz w:val="20"/>
          <w:szCs w:val="20"/>
        </w:rPr>
      </w:pPr>
      <w:r>
        <w:rPr>
          <w:sz w:val="20"/>
          <w:szCs w:val="20"/>
        </w:rPr>
        <w:t>The Wrangler CLI provides a seamless deployment pipeline, eliminating the need to interact with complex web consoles.</w:t>
      </w:r>
    </w:p>
    <w:p w14:paraId="64085DC7" w14:textId="77777777" w:rsidR="0016550C" w:rsidRDefault="00000000">
      <w:pPr>
        <w:numPr>
          <w:ilvl w:val="0"/>
          <w:numId w:val="4"/>
        </w:numPr>
        <w:pBdr>
          <w:top w:val="nil"/>
          <w:left w:val="nil"/>
          <w:bottom w:val="nil"/>
          <w:right w:val="nil"/>
          <w:between w:val="nil"/>
        </w:pBdr>
        <w:rPr>
          <w:sz w:val="20"/>
          <w:szCs w:val="20"/>
        </w:rPr>
      </w:pPr>
      <w:r>
        <w:rPr>
          <w:b/>
          <w:bCs/>
          <w:sz w:val="20"/>
          <w:szCs w:val="20"/>
        </w:rPr>
        <w:t>Instantiate the Production Database:</w:t>
      </w:r>
      <w:r>
        <w:rPr>
          <w:sz w:val="20"/>
          <w:szCs w:val="20"/>
        </w:rPr>
        <w:t xml:space="preserve"> The database must first be created on Cloudflare's network:</w:t>
      </w:r>
      <w:r>
        <w:rPr>
          <w:color w:val="000000"/>
          <w:sz w:val="20"/>
          <w:szCs w:val="20"/>
        </w:rPr>
        <w:br/>
      </w:r>
      <w:r>
        <w:rPr>
          <w:rFonts w:ascii="Courier" w:eastAsia="Courier" w:hAnsi="Courier" w:cs="Courier"/>
          <w:sz w:val="20"/>
          <w:szCs w:val="20"/>
        </w:rPr>
        <w:t>npx wrangler d1 create toledo-onboarding-db-prod</w:t>
      </w:r>
      <w:r>
        <w:rPr>
          <w:rFonts w:ascii="Courier" w:eastAsia="Courier" w:hAnsi="Courier" w:cs="Courier"/>
          <w:sz w:val="20"/>
          <w:szCs w:val="20"/>
        </w:rPr>
        <w:br/>
      </w:r>
      <w:r>
        <w:rPr>
          <w:sz w:val="20"/>
          <w:szCs w:val="20"/>
        </w:rPr>
        <w:t>This command generates a unique database_name and a UUID database_id. These credentials must be hardcoded into the project's wrangler.toml file to bind the Worker securely to this specific database instance.</w:t>
      </w:r>
    </w:p>
    <w:p w14:paraId="64085DC8" w14:textId="77777777" w:rsidR="0016550C" w:rsidRDefault="00000000">
      <w:pPr>
        <w:numPr>
          <w:ilvl w:val="0"/>
          <w:numId w:val="4"/>
        </w:numPr>
        <w:pBdr>
          <w:top w:val="nil"/>
          <w:left w:val="nil"/>
          <w:bottom w:val="nil"/>
          <w:right w:val="nil"/>
          <w:between w:val="nil"/>
        </w:pBdr>
        <w:rPr>
          <w:sz w:val="20"/>
          <w:szCs w:val="20"/>
        </w:rPr>
      </w:pPr>
      <w:r>
        <w:rPr>
          <w:b/>
          <w:bCs/>
          <w:sz w:val="20"/>
          <w:szCs w:val="20"/>
        </w:rPr>
        <w:t>Apply the Relational Schema:</w:t>
      </w:r>
      <w:r>
        <w:rPr>
          <w:sz w:val="20"/>
          <w:szCs w:val="20"/>
        </w:rPr>
        <w:t xml:space="preserve"> To construct the tables in the live environment, the SQL schema file is executed against the remote database using the --remote flag:</w:t>
      </w:r>
      <w:r>
        <w:rPr>
          <w:color w:val="000000"/>
          <w:sz w:val="20"/>
          <w:szCs w:val="20"/>
        </w:rPr>
        <w:br/>
      </w:r>
      <w:r>
        <w:rPr>
          <w:rFonts w:ascii="Courier" w:eastAsia="Courier" w:hAnsi="Courier" w:cs="Courier"/>
          <w:sz w:val="20"/>
          <w:szCs w:val="20"/>
        </w:rPr>
        <w:t>npx wrangler d1 execute toledo-onboarding-db-prod --remote --file=./schema.sql</w:t>
      </w:r>
      <w:r>
        <w:rPr>
          <w:rFonts w:ascii="Courier" w:eastAsia="Courier" w:hAnsi="Courier" w:cs="Courier"/>
          <w:sz w:val="20"/>
          <w:szCs w:val="20"/>
        </w:rPr>
        <w:br/>
      </w:r>
    </w:p>
    <w:p w14:paraId="64085DC9" w14:textId="77777777" w:rsidR="0016550C" w:rsidRDefault="00000000">
      <w:pPr>
        <w:numPr>
          <w:ilvl w:val="0"/>
          <w:numId w:val="4"/>
        </w:numPr>
        <w:pBdr>
          <w:top w:val="nil"/>
          <w:left w:val="nil"/>
          <w:bottom w:val="nil"/>
          <w:right w:val="nil"/>
          <w:between w:val="nil"/>
        </w:pBdr>
        <w:rPr>
          <w:sz w:val="20"/>
          <w:szCs w:val="20"/>
        </w:rPr>
      </w:pPr>
      <w:r>
        <w:rPr>
          <w:b/>
          <w:bCs/>
          <w:sz w:val="20"/>
          <w:szCs w:val="20"/>
        </w:rPr>
        <w:t>Deploy the Full Application:</w:t>
      </w:r>
      <w:r>
        <w:rPr>
          <w:sz w:val="20"/>
          <w:szCs w:val="20"/>
        </w:rPr>
        <w:t xml:space="preserve"> Deploying the backend Worker to Cloudflare's global edge network requires a single command, which packages the code, uploads it, and provisions the V8 isolate instances globally:</w:t>
      </w:r>
      <w:r>
        <w:rPr>
          <w:color w:val="000000"/>
          <w:sz w:val="20"/>
          <w:szCs w:val="20"/>
        </w:rPr>
        <w:br/>
      </w:r>
      <w:r>
        <w:rPr>
          <w:rFonts w:ascii="Courier" w:eastAsia="Courier" w:hAnsi="Courier" w:cs="Courier"/>
          <w:sz w:val="20"/>
          <w:szCs w:val="20"/>
        </w:rPr>
        <w:t>npx wrangler deploy</w:t>
      </w:r>
      <w:r>
        <w:rPr>
          <w:rFonts w:ascii="Courier" w:eastAsia="Courier" w:hAnsi="Courier" w:cs="Courier"/>
          <w:sz w:val="20"/>
          <w:szCs w:val="20"/>
        </w:rPr>
        <w:br/>
      </w:r>
    </w:p>
    <w:p w14:paraId="64085DCA" w14:textId="77777777" w:rsidR="0016550C" w:rsidRDefault="00000000">
      <w:pPr>
        <w:pStyle w:val="Heading3"/>
        <w:rPr>
          <w:sz w:val="26"/>
          <w:szCs w:val="26"/>
        </w:rPr>
      </w:pPr>
      <w:r>
        <w:rPr>
          <w:sz w:val="26"/>
          <w:szCs w:val="26"/>
        </w:rPr>
        <w:t>Leveraging Time Travel for Unprecedented Data Resilience</w:t>
      </w:r>
    </w:p>
    <w:p w14:paraId="64085DCB" w14:textId="77777777" w:rsidR="0016550C" w:rsidRDefault="00000000">
      <w:pPr>
        <w:pBdr>
          <w:top w:val="nil"/>
          <w:left w:val="nil"/>
          <w:bottom w:val="nil"/>
          <w:right w:val="nil"/>
          <w:between w:val="nil"/>
        </w:pBdr>
        <w:rPr>
          <w:sz w:val="20"/>
          <w:szCs w:val="20"/>
        </w:rPr>
      </w:pPr>
      <w:r>
        <w:rPr>
          <w:sz w:val="20"/>
          <w:szCs w:val="20"/>
        </w:rPr>
        <w:t>A critical, native advantage of selecting Cloudflare D1 for a departmental knowledge base is the "Time Travel" feature. Time Travel is not a traditional, manual snapshot backup system; it is a continuous, always-on, point-in-time recovery mechanism embedded deeply within D1's storage architecture.</w:t>
      </w:r>
    </w:p>
    <w:p w14:paraId="64085DCC" w14:textId="77777777" w:rsidR="0016550C" w:rsidRDefault="00000000">
      <w:pPr>
        <w:pBdr>
          <w:top w:val="nil"/>
          <w:left w:val="nil"/>
          <w:bottom w:val="nil"/>
          <w:right w:val="nil"/>
          <w:between w:val="nil"/>
        </w:pBdr>
        <w:spacing w:after="240"/>
        <w:rPr>
          <w:sz w:val="20"/>
          <w:szCs w:val="20"/>
        </w:rPr>
      </w:pPr>
      <w:r>
        <w:rPr>
          <w:sz w:val="20"/>
          <w:szCs w:val="20"/>
        </w:rPr>
        <w:t>In the context of a moderated crowdsourcing tool, human error is an absolute certainty. A moderator may accidentally approve a destructive edit, a critical NCAA compliance policy may be erroneously overwritten, or a batch update might corrupt a category. Utilizing the Time Travel API, the engineering team can effortlessly roll the database state back to any specific minute within the preceding 30 days without incurring any additional recovery costs. This provides an unparalleled safety net for institutional documentation, completely eliminating the necessity to engineer, schedule, and maintain complex, customized backup scripts.</w:t>
      </w:r>
    </w:p>
    <w:p w14:paraId="64085DCD" w14:textId="77777777" w:rsidR="0016550C" w:rsidRDefault="00000000">
      <w:pPr>
        <w:pStyle w:val="Heading3"/>
        <w:spacing w:before="0"/>
        <w:rPr>
          <w:sz w:val="26"/>
          <w:szCs w:val="26"/>
        </w:rPr>
      </w:pPr>
      <w:r>
        <w:rPr>
          <w:sz w:val="26"/>
          <w:szCs w:val="26"/>
        </w:rPr>
        <w:t>Custom Domain Integration and Edge Security</w:t>
      </w:r>
    </w:p>
    <w:p w14:paraId="64085DCE" w14:textId="77777777" w:rsidR="0016550C" w:rsidRDefault="00000000">
      <w:pPr>
        <w:pBdr>
          <w:top w:val="nil"/>
          <w:left w:val="nil"/>
          <w:bottom w:val="nil"/>
          <w:right w:val="nil"/>
          <w:between w:val="nil"/>
        </w:pBdr>
        <w:rPr>
          <w:sz w:val="20"/>
          <w:szCs w:val="20"/>
        </w:rPr>
      </w:pPr>
      <w:r>
        <w:rPr>
          <w:sz w:val="20"/>
          <w:szCs w:val="20"/>
        </w:rPr>
        <w:t>The final technical requirement is serving the onboarding platform via a professional, branded domain name (e.g., onboarding.utrockets.com) rather than a generic Cloudflare staging URL. Because the application is hosted natively within the Cloudflare ecosystem, DNS configuration and SSL management are highly automated, negating the need for complex reverse proxy setups.</w:t>
      </w:r>
    </w:p>
    <w:p w14:paraId="64085DCF" w14:textId="77777777" w:rsidR="0016550C" w:rsidRDefault="00000000">
      <w:pPr>
        <w:pBdr>
          <w:top w:val="nil"/>
          <w:left w:val="nil"/>
          <w:bottom w:val="nil"/>
          <w:right w:val="nil"/>
          <w:between w:val="nil"/>
        </w:pBdr>
        <w:rPr>
          <w:sz w:val="20"/>
          <w:szCs w:val="20"/>
        </w:rPr>
      </w:pPr>
      <w:r>
        <w:rPr>
          <w:sz w:val="20"/>
          <w:szCs w:val="20"/>
        </w:rPr>
        <w:t>To securely map the Worker and Pages project to a custom domain:</w:t>
      </w:r>
    </w:p>
    <w:p w14:paraId="64085DD0" w14:textId="77777777" w:rsidR="0016550C" w:rsidRDefault="00000000">
      <w:pPr>
        <w:numPr>
          <w:ilvl w:val="0"/>
          <w:numId w:val="5"/>
        </w:numPr>
        <w:pBdr>
          <w:top w:val="nil"/>
          <w:left w:val="nil"/>
          <w:bottom w:val="nil"/>
          <w:right w:val="nil"/>
          <w:between w:val="nil"/>
        </w:pBdr>
        <w:rPr>
          <w:sz w:val="20"/>
          <w:szCs w:val="20"/>
        </w:rPr>
      </w:pPr>
      <w:r>
        <w:rPr>
          <w:sz w:val="20"/>
          <w:szCs w:val="20"/>
        </w:rPr>
        <w:t>The root domain's DNS records must be fully managed by Cloudflare.</w:t>
      </w:r>
    </w:p>
    <w:p w14:paraId="64085DD1" w14:textId="77777777" w:rsidR="0016550C" w:rsidRDefault="00000000">
      <w:pPr>
        <w:numPr>
          <w:ilvl w:val="0"/>
          <w:numId w:val="5"/>
        </w:numPr>
        <w:pBdr>
          <w:top w:val="nil"/>
          <w:left w:val="nil"/>
          <w:bottom w:val="nil"/>
          <w:right w:val="nil"/>
          <w:between w:val="nil"/>
        </w:pBdr>
        <w:rPr>
          <w:sz w:val="20"/>
          <w:szCs w:val="20"/>
        </w:rPr>
      </w:pPr>
      <w:r>
        <w:rPr>
          <w:sz w:val="20"/>
          <w:szCs w:val="20"/>
        </w:rPr>
        <w:t xml:space="preserve">Within the Cloudflare Dashboard, the administrator navigates to the </w:t>
      </w:r>
      <w:r>
        <w:rPr>
          <w:b/>
          <w:bCs/>
          <w:sz w:val="20"/>
          <w:szCs w:val="20"/>
        </w:rPr>
        <w:t>Workers &amp; Pages</w:t>
      </w:r>
      <w:r>
        <w:rPr>
          <w:sz w:val="20"/>
          <w:szCs w:val="20"/>
        </w:rPr>
        <w:t xml:space="preserve"> console and selects the deployed application.</w:t>
      </w:r>
    </w:p>
    <w:p w14:paraId="64085DD2" w14:textId="77777777" w:rsidR="0016550C" w:rsidRDefault="00000000">
      <w:pPr>
        <w:numPr>
          <w:ilvl w:val="0"/>
          <w:numId w:val="5"/>
        </w:numPr>
        <w:pBdr>
          <w:top w:val="nil"/>
          <w:left w:val="nil"/>
          <w:bottom w:val="nil"/>
          <w:right w:val="nil"/>
          <w:between w:val="nil"/>
        </w:pBdr>
        <w:rPr>
          <w:sz w:val="20"/>
          <w:szCs w:val="20"/>
        </w:rPr>
      </w:pPr>
      <w:r>
        <w:rPr>
          <w:sz w:val="20"/>
          <w:szCs w:val="20"/>
        </w:rPr>
        <w:t xml:space="preserve">Under </w:t>
      </w:r>
      <w:r>
        <w:rPr>
          <w:b/>
          <w:bCs/>
          <w:sz w:val="20"/>
          <w:szCs w:val="20"/>
        </w:rPr>
        <w:t>Settings &gt; Domains &amp; Routes</w:t>
      </w:r>
      <w:r>
        <w:rPr>
          <w:sz w:val="20"/>
          <w:szCs w:val="20"/>
        </w:rPr>
        <w:t xml:space="preserve">, select </w:t>
      </w:r>
      <w:r>
        <w:rPr>
          <w:b/>
          <w:bCs/>
          <w:sz w:val="20"/>
          <w:szCs w:val="20"/>
        </w:rPr>
        <w:t>Add Custom Domain</w:t>
      </w:r>
      <w:r>
        <w:rPr>
          <w:sz w:val="20"/>
          <w:szCs w:val="20"/>
        </w:rPr>
        <w:t>. 4. Input the desired sub-domain. Cloudflare's infrastructure will automatically provision the necessary underlying DNS CNAME records, instantly route traffic to the edge instances, and automatically issue and manage a free SSL/TLS certificate to ensure that all data transmitted by employees remains encrypted.</w:t>
      </w:r>
    </w:p>
    <w:p w14:paraId="64085DD3" w14:textId="77777777" w:rsidR="0016550C" w:rsidRDefault="00000000">
      <w:pPr>
        <w:pStyle w:val="Heading2"/>
        <w:rPr>
          <w:sz w:val="34"/>
          <w:szCs w:val="34"/>
        </w:rPr>
      </w:pPr>
      <w:r>
        <w:rPr>
          <w:sz w:val="34"/>
          <w:szCs w:val="34"/>
        </w:rPr>
        <w:t>Strategic Conclusions and Implementation Directives</w:t>
      </w:r>
    </w:p>
    <w:p w14:paraId="64085DD4" w14:textId="77777777" w:rsidR="0016550C" w:rsidRDefault="00000000">
      <w:pPr>
        <w:pBdr>
          <w:top w:val="nil"/>
          <w:left w:val="nil"/>
          <w:bottom w:val="nil"/>
          <w:right w:val="nil"/>
          <w:between w:val="nil"/>
        </w:pBdr>
        <w:rPr>
          <w:sz w:val="20"/>
          <w:szCs w:val="20"/>
        </w:rPr>
      </w:pPr>
      <w:r>
        <w:rPr>
          <w:sz w:val="20"/>
          <w:szCs w:val="20"/>
        </w:rPr>
        <w:t xml:space="preserve">The creation of an onboarding platform for the University of Toledo Athletics Department is a multifaceted </w:t>
      </w:r>
      <w:r>
        <w:rPr>
          <w:sz w:val="20"/>
          <w:szCs w:val="20"/>
        </w:rPr>
        <w:lastRenderedPageBreak/>
        <w:t>initiative that extends far beyond the mere digitization of existing human resources paperwork. It demands the careful synthesis of stringent regulatory compliance, unique departmental culture, and complex campus logistics into a highly interactive, secure, and resilient application.</w:t>
      </w:r>
    </w:p>
    <w:p w14:paraId="64085DD5" w14:textId="77777777" w:rsidR="0016550C" w:rsidRDefault="00000000">
      <w:pPr>
        <w:pBdr>
          <w:top w:val="nil"/>
          <w:left w:val="nil"/>
          <w:bottom w:val="nil"/>
          <w:right w:val="nil"/>
          <w:between w:val="nil"/>
        </w:pBdr>
        <w:rPr>
          <w:sz w:val="20"/>
          <w:szCs w:val="20"/>
        </w:rPr>
      </w:pPr>
      <w:r>
        <w:rPr>
          <w:sz w:val="20"/>
          <w:szCs w:val="20"/>
        </w:rPr>
        <w:t>The instinct to leverage the institutional knowledge of existing staff is strategically sound; however, implementing an unmoderated, open-wiki crowdsourcing model introduces unacceptable levels of regulatory and operational risk. By architecting a Moderated Knowledge Management Workflow, the department ensures that invaluable peer-to-peer operational insights are captured efficiently, while simultaneously retaining absolute administrative control over the factual accuracy and legal compliance of the final published guidelines.</w:t>
      </w:r>
    </w:p>
    <w:p w14:paraId="64085DD6" w14:textId="77777777" w:rsidR="0016550C" w:rsidRDefault="00000000">
      <w:pPr>
        <w:pBdr>
          <w:top w:val="nil"/>
          <w:left w:val="nil"/>
          <w:bottom w:val="nil"/>
          <w:right w:val="nil"/>
          <w:between w:val="nil"/>
        </w:pBdr>
        <w:rPr>
          <w:sz w:val="20"/>
          <w:szCs w:val="20"/>
        </w:rPr>
      </w:pPr>
      <w:r>
        <w:rPr>
          <w:sz w:val="20"/>
          <w:szCs w:val="20"/>
        </w:rPr>
        <w:t>Technically, the hypothesis of utilizing GitHub Pages as a preliminary testing ground must be abandoned. The Cloudflare Developer Platform—encompassing Pages, Workers, and D1—provides a unified, zero-friction pathway from local development to a globally distributed, serverless production environment. Cloudflare D1's native SQLite compatibility, robust point-in-time recovery via Time Travel, and seamless integration with the Hono web framework offer a secure, highly performant architecture perfectly tailored to handle the relational complexities of a moderated submission queue.</w:t>
      </w:r>
    </w:p>
    <w:p w14:paraId="64085DD7" w14:textId="77777777" w:rsidR="0016550C" w:rsidRDefault="00000000">
      <w:pPr>
        <w:pBdr>
          <w:top w:val="nil"/>
          <w:left w:val="nil"/>
          <w:bottom w:val="nil"/>
          <w:right w:val="nil"/>
          <w:between w:val="nil"/>
        </w:pBdr>
        <w:spacing w:after="255"/>
        <w:rPr>
          <w:sz w:val="20"/>
          <w:szCs w:val="20"/>
        </w:rPr>
      </w:pPr>
      <w:r>
        <w:rPr>
          <w:sz w:val="20"/>
          <w:szCs w:val="20"/>
        </w:rPr>
        <w:t>By executing this comprehensive architectural framework, the University of Toledo Athletics Department will deploy an enterprise-grade onboarding ecosystem that not only drastically expedites the integration and productivity of new staff but inherently protects the institution through stringent, technology-enabled compliance mechanisms.</w:t>
      </w:r>
    </w:p>
    <w:p w14:paraId="64085DD9" w14:textId="657262D3" w:rsidR="0016550C" w:rsidRDefault="0016550C">
      <w:pPr>
        <w:pBdr>
          <w:top w:val="nil"/>
          <w:left w:val="nil"/>
          <w:bottom w:val="nil"/>
          <w:right w:val="nil"/>
          <w:between w:val="nil"/>
        </w:pBdr>
        <w:rPr>
          <w:sz w:val="20"/>
          <w:szCs w:val="20"/>
        </w:rPr>
      </w:pPr>
    </w:p>
    <w:sectPr w:rsidR="0016550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6EEFAF-2DD2-4928-824D-3166FE366C2E}"/>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520BC20-78C3-4A20-B579-0997FEEB1A9E}"/>
  </w:font>
  <w:font w:name="Cambria">
    <w:panose1 w:val="02040503050406030204"/>
    <w:charset w:val="00"/>
    <w:family w:val="roman"/>
    <w:pitch w:val="variable"/>
    <w:sig w:usb0="E00006FF" w:usb1="420024FF" w:usb2="02000000" w:usb3="00000000" w:csb0="0000019F" w:csb1="00000000"/>
    <w:embedRegular r:id="rId3" w:fontKey="{7DE4748A-16FB-4763-B918-46C350FC99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A5D15"/>
    <w:multiLevelType w:val="multilevel"/>
    <w:tmpl w:val="6ECC0F7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E77CBF"/>
    <w:multiLevelType w:val="multilevel"/>
    <w:tmpl w:val="7FB00DF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6C06705"/>
    <w:multiLevelType w:val="multilevel"/>
    <w:tmpl w:val="F06886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AFA0E49"/>
    <w:multiLevelType w:val="multilevel"/>
    <w:tmpl w:val="8A763C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EBB6AC9"/>
    <w:multiLevelType w:val="multilevel"/>
    <w:tmpl w:val="C6B238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88547514">
    <w:abstractNumId w:val="1"/>
  </w:num>
  <w:num w:numId="2" w16cid:durableId="17972346">
    <w:abstractNumId w:val="2"/>
  </w:num>
  <w:num w:numId="3" w16cid:durableId="1803964586">
    <w:abstractNumId w:val="3"/>
  </w:num>
  <w:num w:numId="4" w16cid:durableId="1700010997">
    <w:abstractNumId w:val="0"/>
  </w:num>
  <w:num w:numId="5" w16cid:durableId="1738360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50C"/>
    <w:rsid w:val="000D6933"/>
    <w:rsid w:val="0016550C"/>
    <w:rsid w:val="00906C9C"/>
    <w:rsid w:val="00F33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5D18"/>
  <w15:docId w15:val="{B5EA4F39-32D2-41BC-885B-8BE9EFDE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5617</Words>
  <Characters>36465</Characters>
  <Application>Microsoft Office Word</Application>
  <DocSecurity>0</DocSecurity>
  <Lines>651</Lines>
  <Paragraphs>171</Paragraphs>
  <ScaleCrop>false</ScaleCrop>
  <Company/>
  <LinksUpToDate>false</LinksUpToDate>
  <CharactersWithSpaces>42062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Fer Rouse, Ahmad Firas Azfar</cp:lastModifiedBy>
  <cp:revision>3</cp:revision>
  <dcterms:created xsi:type="dcterms:W3CDTF">2026-03-23T19:36:00Z</dcterms:created>
  <dcterms:modified xsi:type="dcterms:W3CDTF">2026-03-23T19:37:00Z</dcterms:modified>
</cp:coreProperties>
</file>