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2E75B6" w:sz="24" w:space="8"/>
        </w:pBdr>
        <w:shd w:fill="D6E4F0" w:val="clear"/>
        <w:spacing w:before="200" w:after="0"/>
        <w:ind w:left="2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Employee Attrition Prediction</w:t>
      </w:r>
    </w:p>
    <w:p>
      <w:pPr>
        <w:pBdr>
          <w:left w:val="single" w:color="2E75B6" w:sz="24" w:space="8"/>
        </w:pBdr>
        <w:shd w:fill="D6E4F0" w:val="clear"/>
        <w:spacing w:before="0" w:after="0"/>
        <w:ind w:left="24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Binary Classification · Decision Support · HR Analytics</w:t>
      </w:r>
    </w:p>
    <w:p>
      <w:pPr>
        <w:pBdr>
          <w:left w:val="single" w:color="2E75B6" w:sz="24" w:space="8"/>
        </w:pBdr>
        <w:shd w:fill="D6E4F0" w:val="clear"/>
        <w:spacing w:before="0" w:after="200"/>
        <w:ind w:left="2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Responsible AI — Cybersecurity · Ethics · Frugality · Explainability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 MODEL OBJECTIVE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Model name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Employee Attrition Prediction v2.0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Use case / Task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Binary classification — predicting employee resignation risk from structured HR data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Inputs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Salary, satisfaction score, engagement survey, absences, late days, tenure, department, performance score, special projects count, recruitment source, married status, 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Outputs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(1) Resignation probability score [0–1]</w:t>
      </w:r>
    </w:p>
    <w:p>
      <w:pPr>
        <w:spacing w:before="20" w:after="20"/>
        <w:ind w:left="6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(2) Predicted class: Stay / Leave</w:t>
      </w:r>
    </w:p>
    <w:p>
      <w:pPr>
        <w:spacing w:before="20" w:after="20"/>
        <w:ind w:left="6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(3) Top 3 SHAP drivers in plain English</w:t>
      </w:r>
    </w:p>
    <w:p>
      <w:pPr>
        <w:spacing w:before="20" w:after="60"/>
        <w:ind w:left="6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(4) Predicted departure reason category (Voluntary / Involuntary / Retirement / Health)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Target users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HR managers, CHROs — decision support only.</w:t>
      </w:r>
    </w:p>
    <w:p>
      <w:pPr>
        <w:shd w:fill="F5F7FA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⚠️  NOT for automated hiring, firing or pay decisions.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 TRAINING DATA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Name / Source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Human Resources Data Set — Kaggle (Drs. Rich Huebner &amp; Carla Patalano)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Total samples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311 employees (after PII removal)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Class split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207 stayed (66.6%)  /  104 left (33.4%) — moderate imbalance handled with class_weight='balanced'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Diversity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Single company, US-based, mixed departments (Sales, IT, Production, Admin, Executive). Age range: 26–65, mixed seniority levels.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Features REMOVED before modelling: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Employee_Name, SSN, DOB, ManagerName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RaceDesc, HispanicLatino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EmploymentStatus, EmpStatusID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MaritalDesc, MaritalStatusID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PerformanceScore (text)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Known limits: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Single company — may not generalise across industries or geographies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Synthetic dataset — not collected from a real organisation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temporal dimension (no date of survey, etc.)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 PERFORMANCE  (20% stratified test set — 63 employees)</w:t>
      </w:r>
    </w:p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Metrics used: ROC-AUC, F1-score, Precision, Recall (minority class "Left"), plus fairness metrics.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460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(Left)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CO₂ (kg)</w:t>
            </w:r>
          </w:p>
        </w:tc>
        <w:tc>
          <w:tcPr>
            <w:tcW w:type="dxa" w:w="1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Robust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~0.82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~0.74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0.000001</w:t>
            </w:r>
          </w:p>
        </w:tc>
        <w:tc>
          <w:tcPr>
            <w:tcW w:type="dxa" w:w="1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Best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Random Forest ★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~0.88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~0.80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0.000001</w:t>
            </w:r>
          </w:p>
        </w:tc>
        <w:tc>
          <w:tcPr>
            <w:tcW w:type="dxa" w:w="1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~0.75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~0.69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0.000001</w:t>
            </w:r>
          </w:p>
        </w:tc>
        <w:tc>
          <w:tcPr>
            <w:tcW w:type="dxa" w:w="1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~0.86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~0.78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0.000002</w:t>
            </w:r>
          </w:p>
        </w:tc>
        <w:tc>
          <w:tcPr>
            <w:tcW w:type="dxa" w:w="1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SVM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~0.83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~0.75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0.000001</w:t>
            </w:r>
          </w:p>
        </w:tc>
        <w:tc>
          <w:tcPr>
            <w:tcW w:type="dxa" w:w="1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Fairness Audit (Sex — only legally permitted attribute):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2360"/>
      </w:tblGrid>
      <w:tr>
        <w:tc>
          <w:tcPr>
            <w:tcW w:type="dxa" w:w="4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Demographic Parity Difference (DPD)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0.051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✅ FAIR</w:t>
            </w:r>
          </w:p>
        </w:tc>
      </w:tr>
      <w:tr>
        <w:tc>
          <w:tcPr>
            <w:tcW w:type="dxa" w:w="4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Equalized Odds Difference (EOD)</w:t>
            </w:r>
          </w:p>
        </w:tc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0.091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✅ FAIR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5F7FA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Threshold: |value| &lt; 0.10 = fair  ·  Mitigation applied: ThresholdOptimizer (equalized_odds)</w:t>
      </w:r>
    </w:p>
    <w:p>
      <w:pPr>
        <w:shd w:fill="F5F7FA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Note: Race/ethnicity audit NOT performed — data was removed before any analysis (illegal under French law).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 LIMITATIONS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Known error risks: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May miss high-performers being headhunted externally (no market signal in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Underperforms for very short-tenure employees (&lt; 3 months) — insufficient historical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Departure reason predictions are indicative (confidence sometimes &lt; 50%) — classifier trained on only ~104 samples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Model sees a static snapshot — cannot detect sudden life events (divorce, illness, competing offer)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Out-of-scope situations: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Employees from other companies or sectors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New hires with &lt; 1 month of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Employees on long-term sick leave (insufficient signal)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Any automated decision without human review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Bias risks: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Historical HR data may encode past management biases (e.g. if certain departments had higher arbitrary termination)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RecruitmentSource is a top predictor — could proxy for demographics if certain groups use specific job 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Small dataset (311) — confidence intervals are wide; individual predictions should not be treated as certain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 RISKS &amp; MITIGATION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Misuse risks: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Over-interpreting a probability score as a definitive verdict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Using the tool to justify termination rather than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Applying the model to populations outside the training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Discriminating against employees based on model output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Controls in place: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 labelled "DECISION SUPPORT ONLY — human review mandatory before any action is taken"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Risk thresholds: Medium ≥ 40%, High ≥ 70% — not binary verdicts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Top 3 SHAP factors shown per prediction to prevent black-box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Fairness audit re-run every time the model is retrained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poisoning test: AUC drop &lt; 0.05 under 5% label corruption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Race/ethnicity columns dropped at ingestion — cannot be used even accidentally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 ENERGY &amp; FRUGALITY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Model size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&lt; 5 MB (Random Forest, 100 trees, max_depth=8)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Inference time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&lt; 1 ms per employee on CPU (negligible)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Training CO₂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  ~0.000001 kg CO₂eq (measured by CodeCarbon) — equivalent to 0.003 seconds of phone charging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Frugal choices made: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Lightweight models tested first (LR, DT) before ensembles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neural network used — unjustified for 311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SHAP TreeExplainer used (exact, fast) vs KernelExplainer (approximate, 100× slower)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LR recommended for resource-constrained servers (no ensemble overhead, single matrix multiply)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 CYBERSECURITY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Input validation: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PII removed before any processing (hash + drop pipeline)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RaceDesc / HispanicLatino removed at ingestion — cannot be re-introduced downstream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Numeric feature values clipped to [0, 99th percentile] to prevent adversarial outlier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poisoning test: model AUC degrades &lt; 0.05 under 5% random label corruption → PASSED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Secrets management: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Hash salt (HASH_SALT) stored as environment variable — never hardcoded in production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API keys or credentials present in the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OUTPUT_DIR uses relative paths — no absolute system paths exposed in logs or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Dataset loaded from local path only — no external API calls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AI Act compliance: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Classified as HIGH RISK (Annex III §4 — employment systems)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mandatory safeguards documented: transparency, human oversight, fairness audit, robustness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GDPR compliance block present in cell 2 of the notebook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6" w:space="6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Version 2.0  ·  2026-03-16  ·  ESILV Hackathon — Trusted AI × HR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4" w:space="4"/>
      </w:pBdr>
      <w:spacing w:before="80"/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ESILV Hackathon — Trusted AI × HR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06"/>
      <w:gridCol w:w="2000"/>
    </w:tblGrid>
    <w:tr>
      <w:tc>
        <w:tcPr>
          <w:tcW w:type="dxa" w:w="7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MODEL CARD — Employee Attrition Prediction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v2.0 | 2026-03-16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2026-03-16T13:51:38.401Z</dcterms:created>
  <dcterms:modified xsi:type="dcterms:W3CDTF">2026-03-16T13:51:38.402Z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