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environment.Once well-comprehended, an accurate statement of work and associated price quote is generated in support of the project.  At such time, the project can be procured through the listed catalog option.</w:t>
      </w:r>
      <w:r>
        <w:br/>
      </w:r>
      <w:r>
        <w:br/>
      </w:r>
      <w:r>
        <w:rPr>
          <w:color w:val="808080"/>
          <w:sz w:val="24"/>
          <w:szCs w:val="24"/>
        </w:rPr>
        <w:t xml:space="preserve">Documentation:  </w:t>
      </w:r>
      <w:hyperlink r:id="rId368">
        <w:r>
          <w:t>https://hdm.primaryio.com/lp/nsxvtot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2024-03-22T00:05:09Z</dcterms:created>
  <dcterms:modified xsi:type="dcterms:W3CDTF">2024-03-22T00:05:09Z</dcterms:modified>
</cp:coreProperties>
</file>