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 xml:space="preserve">Bespoken is the AI-powered solution built to reduce the time, cost, and tedium of testing, monitoring, and scaling your contact center. </w:t>
      </w:r>
      <w:r>
        <w:br/>
      </w:r>
      <w:r>
        <w:rPr>
          <w:color w:val="808080"/>
          <w:sz w:val="24"/>
          <w:szCs w:val="24"/>
        </w:rPr>
        <w:t>Our platform automates testing, monitoring, and load simulation to ensure your voice and chatbot experiences are working exactly as they should — every time.</w:t>
      </w:r>
      <w:r>
        <w:br/>
      </w:r>
      <w:r>
        <w:br/>
      </w:r>
      <w:r>
        <w:rPr>
          <w:color w:val="808080"/>
          <w:sz w:val="24"/>
          <w:szCs w:val="24"/>
        </w:rPr>
        <w:t>Bespoken helps your contact center deliver flawless customer interactions, reduce costs, and scale with confidence.  Our suite of tools ensures better customer experiences and better business outcomes.</w:t>
      </w:r>
      <w:r>
        <w:br/>
      </w:r>
      <w:r>
        <w:br/>
      </w:r>
      <w:r>
        <w:rPr>
          <w:color w:val="808080"/>
          <w:sz w:val="24"/>
          <w:szCs w:val="24"/>
        </w:rPr>
        <w:t>The Bespoken platform consists of five products: Exploratory Testing, Functional Testing, Continuous Monitoring, Model/LLM Testing, and Load Testing.</w:t>
      </w:r>
      <w:r>
        <w:br/>
      </w:r>
      <w:r>
        <w:br/>
      </w:r>
      <w:r>
        <w:rPr>
          <w:color w:val="808080"/>
          <w:sz w:val="24"/>
          <w:szCs w:val="24"/>
        </w:rPr>
        <w:t xml:space="preserve">Exploratory Testing, Functional Testing, and Continuous Monitoring are included in all Bespoken subscriptions (Self-Serve Professional, Guided Professional, and Enterprise).  Model/LLM Testing is available with Guided Professional and higher, and Load Testing is a separate product priced on the load test parameters. </w:t>
      </w:r>
      <w:r>
        <w:br/>
      </w:r>
      <w:r>
        <w:br/>
      </w:r>
      <w:r>
        <w:br/>
      </w:r>
      <w:r>
        <w:rPr>
          <w:color w:val="808080"/>
          <w:sz w:val="24"/>
          <w:szCs w:val="24"/>
        </w:rPr>
        <w:t xml:space="preserve">Documentation:  </w:t>
      </w:r>
      <w:hyperlink r:id="rId34">
        <w:r>
          <w:t>https://read.bespoken.ai/</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Celerity CopyAssure for PowerVS</w:t>
      </w:r>
      <w:r>
        <w:br/>
      </w:r>
      <w:r>
        <w:br/>
      </w:r>
      <w:r>
        <w:rPr>
          <w:color w:val="808080"/>
          <w:sz w:val="24"/>
          <w:szCs w:val="24"/>
        </w:rPr>
        <w:t># CopyAssure – Clean, Fast, and Secure Cyber Recovery for IBM PowerVS</w:t>
      </w:r>
      <w:r>
        <w:br/>
      </w:r>
      <w:r>
        <w:br/>
      </w:r>
      <w:r>
        <w:rPr>
          <w:color w:val="808080"/>
          <w:sz w:val="24"/>
          <w:szCs w:val="24"/>
        </w:rPr>
        <w:t xml:space="preserve">**CopyAssure** is Celerity’s advanced cyber recovery and data resilience solution for **IBM Power Virtual Server (PowerVS)** environments, supporting **IBM i, AIX, and Linux**.  </w:t>
      </w:r>
      <w:r>
        <w:br/>
      </w:r>
      <w:r>
        <w:rPr>
          <w:color w:val="808080"/>
          <w:sz w:val="24"/>
          <w:szCs w:val="24"/>
        </w:rPr>
        <w:t>Built for mission-critical workloads, CopyAssure delivers automated, verified recovery using continuously tested backup copies. Based on IBM’s **Cyber Vault blueprint**, it combines frequent data copies, immutable storage, cleanroom validation, and end-to-end orchestration—helping organisations recover with confidence from even the most disruptive cyberattacks and more.</w:t>
      </w:r>
      <w:r>
        <w:br/>
      </w:r>
      <w:r>
        <w:br/>
      </w:r>
      <w:r>
        <w:rPr>
          <w:color w:val="808080"/>
          <w:sz w:val="24"/>
          <w:szCs w:val="24"/>
        </w:rPr>
        <w:t>CopyAssure can also be leveraged to spin up clean, digital twin system copies for testing, development, or even **AI training**—without risking the integrity of the core environment.</w:t>
      </w:r>
      <w:r>
        <w:br/>
      </w:r>
      <w:r>
        <w:br/>
      </w:r>
      <w:r>
        <w:rPr>
          <w:color w:val="808080"/>
          <w:sz w:val="24"/>
          <w:szCs w:val="24"/>
        </w:rPr>
        <w:t>---</w:t>
      </w:r>
      <w:r>
        <w:br/>
      </w:r>
      <w:r>
        <w:br/>
      </w:r>
      <w:r>
        <w:rPr>
          <w:color w:val="808080"/>
          <w:sz w:val="24"/>
          <w:szCs w:val="24"/>
        </w:rPr>
        <w:t>### Key Features</w:t>
      </w:r>
      <w:r>
        <w:br/>
      </w:r>
      <w:r>
        <w:br/>
      </w:r>
      <w:r>
        <w:rPr>
          <w:color w:val="808080"/>
          <w:sz w:val="24"/>
          <w:szCs w:val="24"/>
        </w:rPr>
        <w:t>---</w:t>
      </w:r>
      <w:r>
        <w:br/>
      </w:r>
      <w:r>
        <w:br/>
      </w:r>
      <w:r>
        <w:rPr>
          <w:color w:val="808080"/>
          <w:sz w:val="24"/>
          <w:szCs w:val="24"/>
        </w:rPr>
        <w:t>### Scheduled Snapshots, Cloning &amp; Exports with Continuous Testing</w:t>
      </w:r>
      <w:r>
        <w:br/>
      </w:r>
      <w:r>
        <w:br/>
      </w:r>
      <w:r>
        <w:rPr>
          <w:color w:val="808080"/>
          <w:sz w:val="24"/>
          <w:szCs w:val="24"/>
        </w:rPr>
        <w:t>CopyAssure orchestrates scheduled snapshots, volume clones, and optional image export to IBM Cloud Object Storage (COS) to provide layered, resilient recovery points with immutability. These are continuously tested to demonstrate recoverability within defined RPO and RTO thresholds.</w:t>
      </w:r>
      <w:r>
        <w:br/>
      </w:r>
      <w:r>
        <w:br/>
      </w:r>
      <w:r>
        <w:rPr>
          <w:color w:val="808080"/>
          <w:sz w:val="24"/>
          <w:szCs w:val="24"/>
        </w:rPr>
        <w:t>To extend assurance further, the service includes automated system validation through a proprietary virtual operator. This technology emulates real user interactions—such as 5250 terminal sessions for IBM i, and interactive workloads for AIX and Linux—to verify that systems are fully operational post-recovery.</w:t>
      </w:r>
      <w:r>
        <w:br/>
      </w:r>
      <w:r>
        <w:br/>
      </w:r>
      <w:r>
        <w:rPr>
          <w:color w:val="808080"/>
          <w:sz w:val="24"/>
          <w:szCs w:val="24"/>
        </w:rPr>
        <w:t>---</w:t>
      </w:r>
      <w:r>
        <w:br/>
      </w:r>
      <w:r>
        <w:br/>
      </w:r>
      <w:r>
        <w:rPr>
          <w:color w:val="808080"/>
          <w:sz w:val="24"/>
          <w:szCs w:val="24"/>
        </w:rPr>
        <w:t>### Proactive Air-Gapped Copies</w:t>
      </w:r>
      <w:r>
        <w:br/>
      </w:r>
      <w:r>
        <w:br/>
      </w:r>
      <w:r>
        <w:rPr>
          <w:color w:val="808080"/>
          <w:sz w:val="24"/>
          <w:szCs w:val="24"/>
        </w:rPr>
        <w:t>CopyAssure leverages PowerVS volume clone technology to create logically air-gapped snapshots. This approach provides an additional layer of defence against ransomware and insider threats by ensuring backup copies are inaccessible from compromised systems.</w:t>
      </w:r>
      <w:r>
        <w:br/>
      </w:r>
      <w:r>
        <w:br/>
      </w:r>
      <w:r>
        <w:rPr>
          <w:color w:val="808080"/>
          <w:sz w:val="24"/>
          <w:szCs w:val="24"/>
        </w:rPr>
        <w:t>---</w:t>
      </w:r>
      <w:r>
        <w:br/>
      </w:r>
      <w:r>
        <w:br/>
      </w:r>
      <w:r>
        <w:rPr>
          <w:color w:val="808080"/>
          <w:sz w:val="24"/>
          <w:szCs w:val="24"/>
        </w:rPr>
        <w:t>### Immutable Data Protection</w:t>
      </w:r>
      <w:r>
        <w:br/>
      </w:r>
      <w:r>
        <w:br/>
      </w:r>
      <w:r>
        <w:rPr>
          <w:color w:val="808080"/>
          <w:sz w:val="24"/>
          <w:szCs w:val="24"/>
        </w:rPr>
        <w:t>CopyAssure supports image export to IBM Cloud Object Storage (COS) using write-once, read-many (WORM) storage, providing immutable backup copies protected against tampering, deletion, or ransomware encryption. This capability supports long-term data integrity and aligns with regulatory and audit-readiness requirements.</w:t>
      </w:r>
      <w:r>
        <w:br/>
      </w:r>
      <w:r>
        <w:br/>
      </w:r>
      <w:r>
        <w:rPr>
          <w:color w:val="808080"/>
          <w:sz w:val="24"/>
          <w:szCs w:val="24"/>
        </w:rPr>
        <w:t>---</w:t>
      </w:r>
      <w:r>
        <w:br/>
      </w:r>
      <w:r>
        <w:br/>
      </w:r>
      <w:r>
        <w:rPr>
          <w:color w:val="808080"/>
          <w:sz w:val="24"/>
          <w:szCs w:val="24"/>
        </w:rPr>
        <w:t>### Continuous Recoverability Validation</w:t>
      </w:r>
      <w:r>
        <w:br/>
      </w:r>
      <w:r>
        <w:br/>
      </w:r>
      <w:r>
        <w:rPr>
          <w:color w:val="808080"/>
          <w:sz w:val="24"/>
          <w:szCs w:val="24"/>
        </w:rPr>
        <w:t>Aligned with IBM’s Cyber Vault methodology, CopyAssure provisions secure cleanroom environments to validate cloned backups prior to restoration. This process proves that a system is fully recoverable through controlled boot procedures, OS-level checks, and bespoke validation of user activity and application services.</w:t>
      </w:r>
      <w:r>
        <w:br/>
      </w:r>
      <w:r>
        <w:br/>
      </w:r>
      <w:r>
        <w:rPr>
          <w:color w:val="808080"/>
          <w:sz w:val="24"/>
          <w:szCs w:val="24"/>
        </w:rPr>
        <w:t>**The validation framework includes multiple stages:**</w:t>
      </w:r>
      <w:r>
        <w:br/>
      </w:r>
      <w:r>
        <w:br/>
      </w:r>
      <w:r>
        <w:rPr>
          <w:color w:val="808080"/>
          <w:sz w:val="24"/>
          <w:szCs w:val="24"/>
        </w:rPr>
        <w:t xml:space="preserve">- **T1 – System Validation**: Confirms successful boot and core OS integrity  </w:t>
      </w:r>
      <w:r>
        <w:br/>
      </w:r>
      <w:r>
        <w:rPr>
          <w:color w:val="808080"/>
          <w:sz w:val="24"/>
          <w:szCs w:val="24"/>
        </w:rPr>
        <w:t xml:space="preserve">- **T2 – Application Validation**: Verifies application availability and service responsiveness  </w:t>
      </w:r>
      <w:r>
        <w:br/>
      </w:r>
      <w:r>
        <w:rPr>
          <w:color w:val="808080"/>
          <w:sz w:val="24"/>
          <w:szCs w:val="24"/>
        </w:rPr>
        <w:t>- **T3 – Data Validation**: Confirms access to critical data and consistency within key datasets</w:t>
      </w:r>
      <w:r>
        <w:br/>
      </w:r>
      <w:r>
        <w:br/>
      </w:r>
      <w:r>
        <w:rPr>
          <w:color w:val="808080"/>
          <w:sz w:val="24"/>
          <w:szCs w:val="24"/>
        </w:rPr>
        <w:t>This multi-layered approach ensures only clean, operational recovery points are promoted for restoration.</w:t>
      </w:r>
      <w:r>
        <w:br/>
      </w:r>
      <w:r>
        <w:br/>
      </w:r>
      <w:r>
        <w:rPr>
          <w:color w:val="808080"/>
          <w:sz w:val="24"/>
          <w:szCs w:val="24"/>
        </w:rPr>
        <w:t>---</w:t>
      </w:r>
      <w:r>
        <w:br/>
      </w:r>
      <w:r>
        <w:br/>
      </w:r>
      <w:r>
        <w:rPr>
          <w:color w:val="808080"/>
          <w:sz w:val="24"/>
          <w:szCs w:val="24"/>
        </w:rPr>
        <w:t>### Fully Automated Workflow</w:t>
      </w:r>
      <w:r>
        <w:br/>
      </w:r>
      <w:r>
        <w:br/>
      </w:r>
      <w:r>
        <w:rPr>
          <w:color w:val="808080"/>
          <w:sz w:val="24"/>
          <w:szCs w:val="24"/>
        </w:rPr>
        <w:t>CopyAssure delivers end-to-end automation across backup validation and recovery orchestration. By removing manual steps, the service improves consistency, reduces human error, and accelerates recovery across complex environments—enabling repeatable, policy-driven execution at scale.</w:t>
      </w:r>
      <w:r>
        <w:br/>
      </w:r>
      <w:r>
        <w:br/>
      </w:r>
      <w:r>
        <w:rPr>
          <w:color w:val="808080"/>
          <w:sz w:val="24"/>
          <w:szCs w:val="24"/>
        </w:rPr>
        <w:t>---</w:t>
      </w:r>
      <w:r>
        <w:br/>
      </w:r>
      <w:r>
        <w:br/>
      </w:r>
      <w:r>
        <w:rPr>
          <w:color w:val="808080"/>
          <w:sz w:val="24"/>
          <w:szCs w:val="24"/>
        </w:rPr>
        <w:t>### NIST-Aligned Architecture</w:t>
      </w:r>
      <w:r>
        <w:br/>
      </w:r>
      <w:r>
        <w:br/>
      </w:r>
      <w:r>
        <w:rPr>
          <w:color w:val="808080"/>
          <w:sz w:val="24"/>
          <w:szCs w:val="24"/>
        </w:rPr>
        <w:t>CopyAssure is aligned with the NIST Cybersecurity Framework, supporting the core functions of Identify, Protect, Detect, Respond, and Recover. This alignment helps organisations strengthen their cyber resilience strategy, meet regulatory expectations, and streamline audit readiness.</w:t>
      </w:r>
      <w:r>
        <w:br/>
      </w:r>
      <w:r>
        <w:br/>
      </w:r>
      <w:r>
        <w:rPr>
          <w:color w:val="808080"/>
          <w:sz w:val="24"/>
          <w:szCs w:val="24"/>
        </w:rPr>
        <w:t>---</w:t>
      </w:r>
      <w:r>
        <w:br/>
      </w:r>
      <w:r>
        <w:br/>
      </w:r>
      <w:r>
        <w:rPr>
          <w:color w:val="808080"/>
          <w:sz w:val="24"/>
          <w:szCs w:val="24"/>
        </w:rPr>
        <w:t>### Operational Continuity</w:t>
      </w:r>
      <w:r>
        <w:br/>
      </w:r>
      <w:r>
        <w:br/>
      </w:r>
      <w:r>
        <w:rPr>
          <w:color w:val="808080"/>
          <w:sz w:val="24"/>
          <w:szCs w:val="24"/>
        </w:rPr>
        <w:t>CopyAssure enables secure, verified recovery without interrupting production systems. All validation and testing occur in isolated cleanroom environments, ensuring non-disruptive assurance for high-availability workloads and regulated operations. This supports continuous business operations, even during threat response or audit preparation.</w:t>
      </w:r>
      <w:r>
        <w:br/>
      </w:r>
      <w:r>
        <w:br/>
      </w:r>
      <w:r>
        <w:rPr>
          <w:color w:val="808080"/>
          <w:sz w:val="24"/>
          <w:szCs w:val="24"/>
        </w:rPr>
        <w:t>---</w:t>
      </w:r>
      <w:r>
        <w:br/>
      </w:r>
      <w:r>
        <w:br/>
      </w:r>
      <w:r>
        <w:rPr>
          <w:color w:val="808080"/>
          <w:sz w:val="24"/>
          <w:szCs w:val="24"/>
        </w:rPr>
        <w:t>### Cost Efficiency</w:t>
      </w:r>
      <w:r>
        <w:br/>
      </w:r>
      <w:r>
        <w:br/>
      </w:r>
      <w:r>
        <w:rPr>
          <w:color w:val="808080"/>
          <w:sz w:val="24"/>
          <w:szCs w:val="24"/>
        </w:rPr>
        <w:t>CopyAssure helps reduce both direct and hidden costs associated with cyber recovery—including unplanned downtime, manual recovery labour, extended investigation cycles, and potential ransomware-related losses. Automated processes and cleanroom validation reduce operational burden while accelerating time-to-recovery.</w:t>
      </w:r>
      <w:r>
        <w:br/>
      </w:r>
      <w:r>
        <w:br/>
      </w:r>
      <w:r>
        <w:rPr>
          <w:color w:val="808080"/>
          <w:sz w:val="24"/>
          <w:szCs w:val="24"/>
        </w:rPr>
        <w:t>---</w:t>
      </w:r>
      <w:r>
        <w:br/>
      </w:r>
      <w:r>
        <w:br/>
      </w:r>
      <w:r>
        <w:rPr>
          <w:color w:val="808080"/>
          <w:sz w:val="24"/>
          <w:szCs w:val="24"/>
        </w:rPr>
        <w:t>### Peace of Mind</w:t>
      </w:r>
      <w:r>
        <w:br/>
      </w:r>
      <w:r>
        <w:br/>
      </w:r>
      <w:r>
        <w:rPr>
          <w:color w:val="808080"/>
          <w:sz w:val="24"/>
          <w:szCs w:val="24"/>
        </w:rPr>
        <w:t>With immutable storage, automated cleanroom validation, and proven recovery workflows, CopyAssure gives organisations confidence that every restore point is secure, tested, and reliable. This assurance supports both operational resilience and regulatory compliance.</w:t>
      </w:r>
      <w:r>
        <w:br/>
      </w:r>
      <w:r>
        <w:br/>
      </w:r>
      <w:r>
        <w:rPr>
          <w:color w:val="808080"/>
          <w:sz w:val="24"/>
          <w:szCs w:val="24"/>
        </w:rPr>
        <w:t xml:space="preserve">Documentation:  </w:t>
      </w:r>
      <w:hyperlink r:id="rId46">
        <w:r>
          <w:t>https://celerity-uk.com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Celerity Professional Services for PowerVS</w:t>
      </w:r>
      <w:r>
        <w:br/>
      </w:r>
      <w:r>
        <w:br/>
      </w:r>
      <w:r>
        <w:rPr>
          <w:color w:val="808080"/>
          <w:sz w:val="24"/>
          <w:szCs w:val="24"/>
        </w:rPr>
        <w:t># Expert Power Systems Services for PowerVS and Hybrid Cloud</w:t>
      </w:r>
      <w:r>
        <w:br/>
      </w:r>
      <w:r>
        <w:br/>
      </w:r>
      <w:r>
        <w:rPr>
          <w:color w:val="808080"/>
          <w:sz w:val="24"/>
          <w:szCs w:val="24"/>
        </w:rPr>
        <w:t>### Ensure Resilience, Security, and Performance</w:t>
      </w:r>
      <w:r>
        <w:br/>
      </w:r>
      <w:r>
        <w:br/>
      </w:r>
      <w:r>
        <w:rPr>
          <w:color w:val="808080"/>
          <w:sz w:val="24"/>
          <w:szCs w:val="24"/>
        </w:rPr>
        <w:t>Expert services for IBM i, AIX, and Linux on Power to ensure critical workloads in PowerVS and hybrid cloud remain resilient, secure, and performant.</w:t>
      </w:r>
      <w:r>
        <w:br/>
      </w:r>
      <w:r>
        <w:br/>
      </w:r>
      <w:r>
        <w:rPr>
          <w:color w:val="808080"/>
          <w:sz w:val="24"/>
          <w:szCs w:val="24"/>
        </w:rPr>
        <w:t>---</w:t>
      </w:r>
      <w:r>
        <w:br/>
      </w:r>
      <w:r>
        <w:br/>
      </w:r>
      <w:r>
        <w:rPr>
          <w:color w:val="808080"/>
          <w:sz w:val="24"/>
          <w:szCs w:val="24"/>
        </w:rPr>
        <w:t>### Migration to PowerVS</w:t>
      </w:r>
      <w:r>
        <w:br/>
      </w:r>
      <w:r>
        <w:br/>
      </w:r>
      <w:r>
        <w:rPr>
          <w:color w:val="808080"/>
          <w:sz w:val="24"/>
          <w:szCs w:val="24"/>
        </w:rPr>
        <w:t>- Full end-to-end workload migrations for IBM i, AIX, and Linux on Power—with minimal downtime.</w:t>
      </w:r>
      <w:r>
        <w:br/>
      </w:r>
      <w:r>
        <w:rPr>
          <w:color w:val="808080"/>
          <w:sz w:val="24"/>
          <w:szCs w:val="24"/>
        </w:rPr>
        <w:t>- Industry-leading replication tools ensure data integrity and seamless cutover without disrupting operations.</w:t>
      </w:r>
      <w:r>
        <w:br/>
      </w:r>
      <w:r>
        <w:rPr>
          <w:color w:val="808080"/>
          <w:sz w:val="24"/>
          <w:szCs w:val="24"/>
        </w:rPr>
        <w:t>- Support for deploying cloud-native applications and AI to IBM i and AIX VMs in PowerVS.</w:t>
      </w:r>
      <w:r>
        <w:br/>
      </w:r>
      <w:r>
        <w:rPr>
          <w:color w:val="808080"/>
          <w:sz w:val="24"/>
          <w:szCs w:val="24"/>
        </w:rPr>
        <w:t>- Modernise data management by moving away from traditional tape and multiple VTL instances.</w:t>
      </w:r>
      <w:r>
        <w:br/>
      </w:r>
      <w:r>
        <w:br/>
      </w:r>
      <w:r>
        <w:rPr>
          <w:color w:val="808080"/>
          <w:sz w:val="24"/>
          <w:szCs w:val="24"/>
        </w:rPr>
        <w:t>---</w:t>
      </w:r>
      <w:r>
        <w:br/>
      </w:r>
      <w:r>
        <w:br/>
      </w:r>
      <w:r>
        <w:rPr>
          <w:color w:val="808080"/>
          <w:sz w:val="24"/>
          <w:szCs w:val="24"/>
        </w:rPr>
        <w:t>### Disaster Recovery (DR) in the Cloud</w:t>
      </w:r>
      <w:r>
        <w:br/>
      </w:r>
      <w:r>
        <w:br/>
      </w:r>
      <w:r>
        <w:rPr>
          <w:color w:val="808080"/>
          <w:sz w:val="24"/>
          <w:szCs w:val="24"/>
        </w:rPr>
        <w:t>- Proven DR strategies for IBM i, AIX, and Linux on Power, tailored to environments of any size.</w:t>
      </w:r>
      <w:r>
        <w:br/>
      </w:r>
      <w:r>
        <w:rPr>
          <w:color w:val="808080"/>
          <w:sz w:val="24"/>
          <w:szCs w:val="24"/>
        </w:rPr>
        <w:t>- DR designs that dynamically scale to match production capacity.</w:t>
      </w:r>
      <w:r>
        <w:br/>
      </w:r>
      <w:r>
        <w:rPr>
          <w:color w:val="808080"/>
          <w:sz w:val="24"/>
          <w:szCs w:val="24"/>
        </w:rPr>
        <w:t>- Testing and validation to ensure DR readiness and reliability.</w:t>
      </w:r>
      <w:r>
        <w:br/>
      </w:r>
      <w:r>
        <w:br/>
      </w:r>
      <w:r>
        <w:rPr>
          <w:color w:val="808080"/>
          <w:sz w:val="24"/>
          <w:szCs w:val="24"/>
        </w:rPr>
        <w:t>---</w:t>
      </w:r>
      <w:r>
        <w:br/>
      </w:r>
      <w:r>
        <w:br/>
      </w:r>
      <w:r>
        <w:rPr>
          <w:color w:val="808080"/>
          <w:sz w:val="24"/>
          <w:szCs w:val="24"/>
        </w:rPr>
        <w:t>### System Design and Sizing in PowerVS</w:t>
      </w:r>
      <w:r>
        <w:br/>
      </w:r>
      <w:r>
        <w:br/>
      </w:r>
      <w:r>
        <w:rPr>
          <w:color w:val="808080"/>
          <w:sz w:val="24"/>
          <w:szCs w:val="24"/>
        </w:rPr>
        <w:t>- Expert resource planning for compute, storage, and network requirements.</w:t>
      </w:r>
      <w:r>
        <w:br/>
      </w:r>
      <w:r>
        <w:rPr>
          <w:color w:val="808080"/>
          <w:sz w:val="24"/>
          <w:szCs w:val="24"/>
        </w:rPr>
        <w:t>- Design includes secure routing, workload optimization, and hybrid or multi-cloud integration.</w:t>
      </w:r>
      <w:r>
        <w:br/>
      </w:r>
      <w:r>
        <w:br/>
      </w:r>
      <w:r>
        <w:rPr>
          <w:color w:val="808080"/>
          <w:sz w:val="24"/>
          <w:szCs w:val="24"/>
        </w:rPr>
        <w:t>---</w:t>
      </w:r>
      <w:r>
        <w:br/>
      </w:r>
      <w:r>
        <w:br/>
      </w:r>
      <w:r>
        <w:rPr>
          <w:color w:val="808080"/>
          <w:sz w:val="24"/>
          <w:szCs w:val="24"/>
        </w:rPr>
        <w:t>### Data Resilience in the Cloud</w:t>
      </w:r>
      <w:r>
        <w:br/>
      </w:r>
      <w:r>
        <w:br/>
      </w:r>
      <w:r>
        <w:rPr>
          <w:color w:val="808080"/>
          <w:sz w:val="24"/>
          <w:szCs w:val="24"/>
        </w:rPr>
        <w:t>- Cloud-based VTL solutions and native storage backups.</w:t>
      </w:r>
      <w:r>
        <w:br/>
      </w:r>
      <w:r>
        <w:rPr>
          <w:color w:val="808080"/>
          <w:sz w:val="24"/>
          <w:szCs w:val="24"/>
        </w:rPr>
        <w:t>- Use of software replication and snapshot technology for layered protection.</w:t>
      </w:r>
      <w:r>
        <w:br/>
      </w:r>
      <w:r>
        <w:rPr>
          <w:color w:val="808080"/>
          <w:sz w:val="24"/>
          <w:szCs w:val="24"/>
        </w:rPr>
        <w:t>- Cross-cloud and hybrid replication options for added resilience.</w:t>
      </w:r>
      <w:r>
        <w:br/>
      </w:r>
      <w:r>
        <w:br/>
      </w:r>
      <w:r>
        <w:rPr>
          <w:color w:val="808080"/>
          <w:sz w:val="24"/>
          <w:szCs w:val="24"/>
        </w:rPr>
        <w:t>---</w:t>
      </w:r>
      <w:r>
        <w:br/>
      </w:r>
      <w:r>
        <w:br/>
      </w:r>
      <w:r>
        <w:rPr>
          <w:color w:val="808080"/>
          <w:sz w:val="24"/>
          <w:szCs w:val="24"/>
        </w:rPr>
        <w:t>### Ongoing Support and Monitoring</w:t>
      </w:r>
      <w:r>
        <w:br/>
      </w:r>
      <w:r>
        <w:br/>
      </w:r>
      <w:r>
        <w:rPr>
          <w:color w:val="808080"/>
          <w:sz w:val="24"/>
          <w:szCs w:val="24"/>
        </w:rPr>
        <w:t>- Proactive monitoring and support for IBM i, AIX, and Linux workloads in PowerVS.</w:t>
      </w:r>
      <w:r>
        <w:br/>
      </w:r>
      <w:r>
        <w:rPr>
          <w:color w:val="808080"/>
          <w:sz w:val="24"/>
          <w:szCs w:val="24"/>
        </w:rPr>
        <w:t>- Ensure continuous system health, performance, and compliance.</w:t>
      </w:r>
      <w:r>
        <w:br/>
      </w:r>
      <w:r>
        <w:br/>
      </w:r>
      <w:r>
        <w:rPr>
          <w:color w:val="808080"/>
          <w:sz w:val="24"/>
          <w:szCs w:val="24"/>
        </w:rPr>
        <w:t>---</w:t>
      </w:r>
      <w:r>
        <w:br/>
      </w:r>
      <w:r>
        <w:br/>
      </w:r>
      <w:r>
        <w:rPr>
          <w:color w:val="808080"/>
          <w:sz w:val="24"/>
          <w:szCs w:val="24"/>
        </w:rPr>
        <w:t>### Security for IBM Power Workloads in PowerVS</w:t>
      </w:r>
      <w:r>
        <w:br/>
      </w:r>
      <w:r>
        <w:br/>
      </w:r>
      <w:r>
        <w:rPr>
          <w:color w:val="808080"/>
          <w:sz w:val="24"/>
          <w:szCs w:val="24"/>
        </w:rPr>
        <w:t>- TLS and certificate management across platforms.</w:t>
      </w:r>
      <w:r>
        <w:br/>
      </w:r>
      <w:r>
        <w:rPr>
          <w:color w:val="808080"/>
          <w:sz w:val="24"/>
          <w:szCs w:val="24"/>
        </w:rPr>
        <w:t>- IBM i exit point controls and hardened remote access.</w:t>
      </w:r>
      <w:r>
        <w:br/>
      </w:r>
      <w:r>
        <w:rPr>
          <w:color w:val="808080"/>
          <w:sz w:val="24"/>
          <w:szCs w:val="24"/>
        </w:rPr>
        <w:t>- OS-level lockdowns and configuration reviews for AIX and Linux.</w:t>
      </w:r>
      <w:r>
        <w:br/>
      </w:r>
      <w:r>
        <w:rPr>
          <w:color w:val="808080"/>
          <w:sz w:val="24"/>
          <w:szCs w:val="24"/>
        </w:rPr>
        <w:t>- Continuous compliance assessments.</w:t>
      </w:r>
      <w:r>
        <w:br/>
      </w:r>
      <w:r>
        <w:br/>
      </w:r>
      <w:r>
        <w:rPr>
          <w:color w:val="808080"/>
          <w:sz w:val="24"/>
          <w:szCs w:val="24"/>
        </w:rPr>
        <w:t>---</w:t>
      </w:r>
      <w:r>
        <w:br/>
      </w:r>
      <w:r>
        <w:br/>
      </w:r>
      <w:r>
        <w:rPr>
          <w:color w:val="808080"/>
          <w:sz w:val="24"/>
          <w:szCs w:val="24"/>
        </w:rPr>
        <w:t>### SIEM Integration</w:t>
      </w:r>
      <w:r>
        <w:br/>
      </w:r>
      <w:r>
        <w:br/>
      </w:r>
      <w:r>
        <w:rPr>
          <w:color w:val="808080"/>
          <w:sz w:val="24"/>
          <w:szCs w:val="24"/>
        </w:rPr>
        <w:t>- Centralised log and event forwarding to your SIEM platform.</w:t>
      </w:r>
      <w:r>
        <w:br/>
      </w:r>
      <w:r>
        <w:rPr>
          <w:color w:val="808080"/>
          <w:sz w:val="24"/>
          <w:szCs w:val="24"/>
        </w:rPr>
        <w:t>- Support for IBM i logs, AIX syslogs, and Linux event streams.</w:t>
      </w:r>
      <w:r>
        <w:br/>
      </w:r>
      <w:r>
        <w:rPr>
          <w:color w:val="808080"/>
          <w:sz w:val="24"/>
          <w:szCs w:val="24"/>
        </w:rPr>
        <w:t>- Integration with cloud or on-prem SIEM, configured and tuned by our SOC experts.</w:t>
      </w:r>
      <w:r>
        <w:br/>
      </w:r>
      <w:r>
        <w:br/>
      </w:r>
      <w:r>
        <w:rPr>
          <w:color w:val="808080"/>
          <w:sz w:val="24"/>
          <w:szCs w:val="24"/>
        </w:rPr>
        <w:t>---</w:t>
      </w:r>
      <w:r>
        <w:br/>
      </w:r>
      <w:r>
        <w:br/>
      </w:r>
      <w:r>
        <w:rPr>
          <w:color w:val="808080"/>
          <w:sz w:val="24"/>
          <w:szCs w:val="24"/>
        </w:rPr>
        <w:t>### Scoping Our Professional Services</w:t>
      </w:r>
      <w:r>
        <w:br/>
      </w:r>
      <w:r>
        <w:br/>
      </w:r>
      <w:r>
        <w:rPr>
          <w:color w:val="808080"/>
          <w:sz w:val="24"/>
          <w:szCs w:val="24"/>
        </w:rPr>
        <w:t>- Engagements begin with a structured discovery phase to define scope and objectives.</w:t>
      </w:r>
      <w:r>
        <w:br/>
      </w:r>
      <w:r>
        <w:rPr>
          <w:color w:val="808080"/>
          <w:sz w:val="24"/>
          <w:szCs w:val="24"/>
        </w:rPr>
        <w:t>- All services are delivered remotely via secure connections.</w:t>
      </w:r>
      <w:r>
        <w:br/>
      </w:r>
      <w:r>
        <w:rPr>
          <w:color w:val="808080"/>
          <w:sz w:val="24"/>
          <w:szCs w:val="24"/>
        </w:rPr>
        <w:t>- Regular communication and reporting ensure project visibility and success.</w:t>
      </w:r>
      <w:r>
        <w:br/>
      </w:r>
      <w:r>
        <w:br/>
      </w:r>
      <w:r>
        <w:rPr>
          <w:color w:val="808080"/>
          <w:sz w:val="24"/>
          <w:szCs w:val="24"/>
        </w:rPr>
        <w:t xml:space="preserve">Documentation:  </w:t>
      </w:r>
      <w:hyperlink r:id="rId48">
        <w:r>
          <w:t>https://celerity-uk.com</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50">
        <w:r>
          <w:t>https://www.blockpliance.com/</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5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6">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8">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6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4">
        <w:r>
          <w:t>https://cloud.ibm.com/docs/cloud-logs</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8">
        <w:r>
          <w:t>https://docs.robin.io/storage/latest/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7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4">
        <w:r>
          <w:t>https://www.lyticly.com</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6">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8">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80">
        <w:r>
          <w:t>https://cloud.ibm.com/docs/Cloudant</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2">
        <w:r>
          <w:t>https://en.wangsu.com/document/cdnpro/ibmcloud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4">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 and more!</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 (coming soon)</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6">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9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4">
        <w:r>
          <w:t>https://cloud.ibm.com/docs</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(EASeJ) is a fully managed application platform that simplifies how enterprises build, deploy, and run Java applications in the cloud. EASeJ optimizes the entire Java application lifecycle, enabling users to deliver faster, and focus on innovation and value creation.</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for Power On-Premises</w:t>
      </w:r>
      <w:r>
        <w:br/>
      </w:r>
      <w:r>
        <w:br/>
      </w:r>
      <w:r>
        <w:rPr>
          <w:color w:val="808080"/>
          <w:sz w:val="24"/>
          <w:szCs w:val="24"/>
        </w:rPr>
        <w:t>FalconStor StorSafe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can be used with all leading backup solutions, and enables both hybrid and native-cloud backup, as well as both workload and tape migration to the cloud, including IBM PowerVS.</w:t>
      </w:r>
      <w:r>
        <w:br/>
      </w:r>
      <w:r>
        <w:rPr>
          <w:color w:val="808080"/>
          <w:sz w:val="24"/>
          <w:szCs w:val="24"/>
        </w:rPr>
        <w:t>This solution is applicable to hybrid cloud deployments where you can have a backup of data on your on-premises deployment in the cloud. You can also use this solution for your on-premises workload migration to the cloud.</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IBMi KTLO (Keep The Lights On) provides 24x7 comprehensive managed services for OS/400 and selected applications -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rPr>
          <w:color w:val="808080"/>
          <w:sz w:val="24"/>
          <w:szCs w:val="24"/>
        </w:rPr>
        <w:t xml:space="preserve"> </w:t>
      </w:r>
      <w:r>
        <w:br/>
      </w:r>
      <w:r>
        <w:rPr>
          <w:color w:val="808080"/>
          <w:sz w:val="24"/>
          <w:szCs w:val="24"/>
        </w:rPr>
        <w:t>Our application teams provide on-going support and management for selected applications, including profile management, application message responses, batch job management, application patching and upgrades, report creation,</w:t>
      </w:r>
      <w:r>
        <w:br/>
      </w:r>
      <w:r>
        <w:rPr>
          <w:color w:val="808080"/>
          <w:sz w:val="24"/>
          <w:szCs w:val="24"/>
        </w:rPr>
        <w:t xml:space="preserve"> </w:t>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rPr>
          <w:color w:val="808080"/>
          <w:sz w:val="24"/>
          <w:szCs w:val="24"/>
        </w:rPr>
        <w:t xml:space="preserve"> </w:t>
      </w:r>
      <w:r>
        <w:br/>
      </w:r>
      <w:r>
        <w:rPr>
          <w:color w:val="808080"/>
          <w:sz w:val="24"/>
          <w:szCs w:val="24"/>
        </w:rPr>
        <w:t>Fresche KTLO enables your team to focus on innovation while we handle the operations."</w:t>
      </w:r>
      <w:r>
        <w:br/>
      </w:r>
      <w:r>
        <w:rPr>
          <w:color w:val="808080"/>
          <w:sz w:val="24"/>
          <w:szCs w:val="24"/>
        </w:rPr>
        <w:t xml:space="preserve">Documentation:  </w:t>
      </w:r>
      <w:hyperlink r:id="rId192">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rPr>
          <w:color w:val="808080"/>
          <w:sz w:val="24"/>
          <w:szCs w:val="24"/>
        </w:rPr>
        <w:t xml:space="preserve"> </w:t>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rPr>
          <w:color w:val="808080"/>
          <w:sz w:val="24"/>
          <w:szCs w:val="24"/>
        </w:rPr>
        <w:t xml:space="preserve"> </w:t>
      </w:r>
      <w:r>
        <w:br/>
      </w:r>
      <w:r>
        <w:rPr>
          <w:color w:val="808080"/>
          <w:sz w:val="24"/>
          <w:szCs w:val="24"/>
        </w:rPr>
        <w:t>Fresche includes our Security Audit tool at no additional charge as part of this solution.</w:t>
      </w:r>
      <w:r>
        <w:br/>
      </w:r>
      <w:r>
        <w:rPr>
          <w:color w:val="808080"/>
          <w:sz w:val="24"/>
          <w:szCs w:val="24"/>
        </w:rPr>
        <w:t xml:space="preserve"> </w:t>
      </w:r>
      <w:r>
        <w:br/>
      </w:r>
      <w:r>
        <w:rPr>
          <w:color w:val="808080"/>
          <w:sz w:val="24"/>
          <w:szCs w:val="24"/>
        </w:rPr>
        <w:t>Our services enable your team to focus on innovation while we handle the technical operations."</w:t>
      </w:r>
      <w:r>
        <w:br/>
      </w:r>
      <w:r>
        <w:rPr>
          <w:color w:val="808080"/>
          <w:sz w:val="24"/>
          <w:szCs w:val="24"/>
        </w:rPr>
        <w:t xml:space="preserve">Documentation:  </w:t>
      </w:r>
      <w:hyperlink r:id="rId194">
        <w:r>
          <w:t>https://freschesolutions.com/products/ktlo-managed-services/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Fresche Presto</w:t>
      </w:r>
      <w:r>
        <w:br/>
      </w:r>
      <w:r>
        <w:br/>
      </w:r>
      <w:r>
        <w:rPr>
          <w:color w:val="808080"/>
          <w:sz w:val="24"/>
          <w:szCs w:val="24"/>
        </w:rPr>
        <w:t>Presto is a comprehensive IBM i green screen modernization solution that transforms traditional 5250 interfaces into modern, responsive web and mobile applications without modifying your underlying RPG or COBOL source code.</w:t>
      </w:r>
      <w:r>
        <w:br/>
      </w:r>
      <w:r>
        <w:rPr>
          <w:color w:val="808080"/>
          <w:sz w:val="24"/>
          <w:szCs w:val="24"/>
        </w:rPr>
        <w:t xml:space="preserve">Documentation:  </w:t>
      </w:r>
      <w:hyperlink r:id="rId196">
        <w:r>
          <w:t>https://www.freschesolutions.com</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Fresche Security Suite</w:t>
      </w:r>
      <w:r>
        <w:br/>
      </w:r>
      <w:r>
        <w:br/>
      </w:r>
      <w:r>
        <w:rPr>
          <w:color w:val="808080"/>
          <w:sz w:val="24"/>
          <w:szCs w:val="24"/>
        </w:rPr>
        <w:t xml:space="preserve">The IBM i Security Suite by Fresche Solutions offers a comprehensive approach to safeguarding your critical business data. This suite addresses key areas of vulnerability, including unauthorized remote access through third-party applications, ODBC connections, file shares, and web servers. It also protects against Integrated File System (IFS) exposures and allows continuous monitoring to ensure system integrity is retained and ransomware attacks are minimized. This solution also monitors real-time system access and escalates critical security events to a Security Information and Event Management (SIEM) system or email server. The suite not only enhances security but also simplifies compliance with industry standards such as PCI and HIPAA through built-in content. </w:t>
      </w:r>
      <w:r>
        <w:br/>
      </w:r>
      <w:r>
        <w:rPr>
          <w:color w:val="808080"/>
          <w:sz w:val="24"/>
          <w:szCs w:val="24"/>
        </w:rPr>
        <w:t xml:space="preserve">Documentation:  </w:t>
      </w:r>
      <w:hyperlink r:id="rId198">
        <w:r>
          <w:t>https://fresche.atlassian.net/wiki/spaces/TGW/overview</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Fresche X-Analysis Suite</w:t>
      </w:r>
      <w:r>
        <w:br/>
      </w:r>
      <w:r>
        <w:br/>
      </w:r>
      <w:r>
        <w:rPr>
          <w:color w:val="808080"/>
          <w:sz w:val="24"/>
          <w:szCs w:val="24"/>
        </w:rPr>
        <w:t xml:space="preserve">X-Analysis is an AI Powered Application Discovery and Understanding tool that is used to understand and manage applications that run on IBM i.  X-Analyis extracts metadata from application objects and the source code used to create those objects in order to provide a detailed, comprehensive view of how an application interacts with the objects/components that are part of the application.  The tool automates the generation of documentation, performs impact analysis, extracts business rules, maps applications, visualizes data models, and assesses code quality. These features collectively empower development teams to gain a profound understanding of existing applications, thereby accelerating informed decision-making during modernization initiatives. </w:t>
      </w:r>
      <w:r>
        <w:br/>
      </w:r>
      <w:r>
        <w:rPr>
          <w:color w:val="808080"/>
          <w:sz w:val="24"/>
          <w:szCs w:val="24"/>
        </w:rPr>
        <w:t xml:space="preserve">Documentation:  </w:t>
      </w:r>
      <w:hyperlink r:id="rId200">
        <w:r>
          <w:t>https://www.myfreschesolutions.com/nexus/ui/docs?root=0&amp;amp;docId=568</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20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20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6">
        <w:r>
          <w:t>https://hdm.primaryio.com/lp/docs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10">
        <w:r>
          <w:t>https://cloud.ibm.com/docs</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12">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14">
        <w:r>
          <w:t>https://cloud.ibm.com/docs/hp-virtual-servers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6">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8">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20">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 Managed on Power Virtual Server</w:t>
      </w:r>
      <w:r>
        <w:br/>
      </w:r>
      <w:r>
        <w:br/>
      </w:r>
      <w:r>
        <w:rPr>
          <w:color w:val="808080"/>
          <w:sz w:val="24"/>
          <w:szCs w:val="24"/>
        </w:rPr>
        <w:t>IBM i Managed on Power Virtual Server (PowerVS) is a cloud offering where IBM hosts and manages IBM i LPARs (Virtual Servers) on IBM Cloud. This offering extends the existing IaaS based PowerVS on IBM Cloud offering, to one where IBM Cloud will monitor and manage IBM i LPARs and associated infrastructure (network, memory, storage), apply fixes and updates to the IBM i operating system, and manage the applicable security and private controls.</w:t>
      </w:r>
      <w:r>
        <w:br/>
      </w:r>
      <w:r>
        <w:rPr>
          <w:color w:val="808080"/>
          <w:sz w:val="24"/>
          <w:szCs w:val="24"/>
        </w:rPr>
        <w:t xml:space="preserve">Documentation:  </w:t>
      </w:r>
      <w:hyperlink r:id="rId222">
        <w:r>
          <w:t>https://cloud.ibm.com/docs/ibmi-managed-powervs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2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2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3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3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40">
        <w:r>
          <w:t>https://www.komprise.com/support/</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42">
        <w:r>
          <w:t>https://www.komprise.com/support/</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4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8">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5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5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4">
        <w:r>
          <w:t>https://cloud.ibm.com/docs</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8">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6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2">
        <w:r>
          <w:t>https://docs.min.io</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4">
        <w:r>
          <w:t>https://one.mono-x.com/one</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 xml:space="preserve">Documentation:  </w:t>
      </w:r>
      <w:hyperlink r:id="rId266">
        <w:r>
          <w:t>https://cloud.ibm.com/docs/mqcloud/index.html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70">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72">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4">
        <w:r>
          <w:t>https://cloud.ibm.com/docs/netezza</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6">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8">
        <w:r>
          <w:t>https://neuralseek.com/documentation</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NeuralSeek Professional Services</w:t>
      </w:r>
      <w:r>
        <w:br/>
      </w:r>
      <w:r>
        <w:br/>
      </w:r>
      <w:r>
        <w:rPr>
          <w:color w:val="808080"/>
          <w:sz w:val="24"/>
          <w:szCs w:val="24"/>
        </w:rPr>
        <w:t>At NeuralSeek, we understand that implementing AI-powered solutions requires expert guidance and support to achieve optimal results. Our comprehensive professional services team partners with you throughout your journey, providing end-to-end support for implementation, seamless integration with your existing systems, thorough team training, and ongoing technical assistance. Whether you're just getting started with NeuralSeek or looking to optimize your current deployment, our experienced consultants ensure you maximize the value of your investment while maintaining the highest standards of accuracy and performance. We're committed to helping your organization harness the full potential of AI-driven customer support solutions.</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280">
        <w:r>
          <w:t>https://neuralseek.com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82">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9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9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94">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6">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300">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6">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2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6">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8">
        <w:r>
          <w:t>https://cloud.ibm.com/docs/private-path</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30">
        <w:r>
          <w:t>https://cloud.ibm.com/docs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PROFI PowerVS Service</w:t>
      </w:r>
      <w:r>
        <w:br/>
      </w:r>
      <w:r>
        <w:br/>
      </w:r>
      <w:r>
        <w:rPr>
          <w:color w:val="808080"/>
          <w:sz w:val="24"/>
          <w:szCs w:val="24"/>
        </w:rPr>
        <w:t>PROFI Engineering Systems AG offers the PowerVS services to enable a smooth transition from on-prem LPARs to the IBM Cloud, empowering your business to leverage the reliability and scalability of IBM PowerVS.</w:t>
      </w:r>
      <w:r>
        <w:br/>
      </w:r>
      <w:r>
        <w:br/>
      </w:r>
      <w:r>
        <w:rPr>
          <w:color w:val="808080"/>
          <w:sz w:val="24"/>
          <w:szCs w:val="24"/>
        </w:rPr>
        <w:t>All services offered are designed to make your transition to the IBM Cloud risk-free and as smooth as possible.</w:t>
      </w:r>
      <w:r>
        <w:br/>
      </w:r>
      <w:r>
        <w:br/>
      </w:r>
      <w:r>
        <w:rPr>
          <w:color w:val="808080"/>
          <w:sz w:val="24"/>
          <w:szCs w:val="24"/>
        </w:rPr>
        <w:t>Benefits:</w:t>
      </w:r>
      <w:r>
        <w:br/>
      </w:r>
      <w:r>
        <w:rPr>
          <w:color w:val="808080"/>
          <w:sz w:val="24"/>
          <w:szCs w:val="24"/>
        </w:rPr>
        <w:t xml:space="preserve">•	Migration Support: </w:t>
      </w:r>
      <w:r>
        <w:br/>
      </w:r>
      <w:r>
        <w:rPr>
          <w:color w:val="808080"/>
          <w:sz w:val="24"/>
          <w:szCs w:val="24"/>
        </w:rPr>
        <w:t>Use the service to easily migrate your environment to the IBM Cloud</w:t>
      </w:r>
      <w:r>
        <w:br/>
      </w:r>
      <w:r>
        <w:rPr>
          <w:color w:val="808080"/>
          <w:sz w:val="24"/>
          <w:szCs w:val="24"/>
        </w:rPr>
        <w:t>•	Enhanced Scalability and Reliability:</w:t>
      </w:r>
      <w:r>
        <w:br/>
      </w:r>
      <w:r>
        <w:rPr>
          <w:color w:val="808080"/>
          <w:sz w:val="24"/>
          <w:szCs w:val="24"/>
        </w:rPr>
        <w:t>Leverage the benefits of IBM PowerVS to achieve enhanced scalability and reliability for your workloads.</w:t>
      </w:r>
      <w:r>
        <w:br/>
      </w:r>
      <w:r>
        <w:rPr>
          <w:color w:val="808080"/>
          <w:sz w:val="24"/>
          <w:szCs w:val="24"/>
        </w:rPr>
        <w:t>•	Future-Proof Infrastructure:</w:t>
      </w:r>
      <w:r>
        <w:br/>
      </w:r>
      <w:r>
        <w:rPr>
          <w:color w:val="808080"/>
          <w:sz w:val="24"/>
          <w:szCs w:val="24"/>
        </w:rPr>
        <w:t>Focus on your business instead of on your IT infrastructure by unsing IBM PowerVS.</w:t>
      </w:r>
      <w:r>
        <w:br/>
      </w:r>
      <w:r>
        <w:rPr>
          <w:color w:val="808080"/>
          <w:sz w:val="24"/>
          <w:szCs w:val="24"/>
        </w:rPr>
        <w:t>•	Cost-Efficiency:</w:t>
      </w:r>
      <w:r>
        <w:br/>
      </w:r>
      <w:r>
        <w:rPr>
          <w:color w:val="808080"/>
          <w:sz w:val="24"/>
          <w:szCs w:val="24"/>
        </w:rPr>
        <w:t>Optimize costs by the advantages of moving your workloads to IBM PowerVS.</w:t>
      </w:r>
      <w:r>
        <w:br/>
      </w:r>
      <w:r>
        <w:br/>
      </w:r>
      <w:r>
        <w:rPr>
          <w:color w:val="808080"/>
          <w:sz w:val="24"/>
          <w:szCs w:val="24"/>
        </w:rPr>
        <w:t>All services offered can of course also be called up individually.</w:t>
      </w:r>
      <w:r>
        <w:br/>
      </w:r>
      <w:r>
        <w:rPr>
          <w:color w:val="808080"/>
          <w:sz w:val="24"/>
          <w:szCs w:val="24"/>
        </w:rPr>
        <w:t>Do you need certain services that are not included in this description? Then write to us at PowerVS@profi-ag.de and we will find a solution together.</w:t>
      </w:r>
      <w:r>
        <w:br/>
      </w:r>
      <w:r>
        <w:br/>
      </w:r>
      <w:r>
        <w:rPr>
          <w:color w:val="808080"/>
          <w:sz w:val="24"/>
          <w:szCs w:val="24"/>
        </w:rPr>
        <w:t>Please contact us before ordering: PowerVS@profi-ag.de</w:t>
      </w:r>
      <w:r>
        <w:br/>
      </w:r>
      <w:r>
        <w:br/>
      </w:r>
      <w:r>
        <w:rPr>
          <w:color w:val="808080"/>
          <w:sz w:val="24"/>
          <w:szCs w:val="24"/>
        </w:rPr>
        <w:t xml:space="preserve">Documentation:  </w:t>
      </w:r>
      <w:hyperlink r:id="rId332">
        <w:r>
          <w:t>https://www.profi-ag.de/loesungen/multi-cloud/</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34">
        <w:r>
          <w:t>https://docs.primaryio.com/protectio</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3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8">
        <w:r>
          <w:t>https://mono-x.com/pvsone/index.html</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40">
        <w:r>
          <w:t>https://backup.docs.portworx.com/</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br/>
      </w:r>
      <w:r>
        <w:rPr>
          <w:color w:val="808080"/>
          <w:sz w:val="24"/>
          <w:szCs w:val="24"/>
        </w:rPr>
        <w:t xml:space="preserve">Documentation:  </w:t>
      </w:r>
      <w:hyperlink r:id="rId342">
        <w:r>
          <w:t>https://quantum.cloud.ibm.com/docs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44">
        <w:r>
          <w:t>https://www.cloudraxak.com</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Red Hat AI InstructLab</w:t>
      </w:r>
      <w:r>
        <w:br/>
      </w:r>
      <w:r>
        <w:br/>
      </w:r>
      <w:r>
        <w:rPr>
          <w:color w:val="808080"/>
          <w:sz w:val="24"/>
          <w:szCs w:val="24"/>
        </w:rPr>
        <w:t>Red Hat AI InstructLab deployed as a service on IBM Cloud is designed to simplify, scale, and secure the training and deployment of AI models. By simplifying InstructLab model creation, organizations can build highly accurate and efficient models while retaining ownership of their data.</w:t>
      </w:r>
      <w:r>
        <w:br/>
      </w:r>
      <w:r>
        <w:rPr>
          <w:color w:val="808080"/>
          <w:sz w:val="24"/>
          <w:szCs w:val="24"/>
        </w:rPr>
        <w:t xml:space="preserve">Documentation:  </w:t>
      </w:r>
      <w:hyperlink r:id="rId346">
        <w:r>
          <w:t>https://cloud.ibm.com/docs/instructlab?topic=instructlab-getting-started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4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5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5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54">
        <w:r>
          <w:t>https://cloud.ibm.com/docs/subnets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5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58">
        <w:r>
          <w:t>https://cloud.ibm.com/docs/SecureGateway</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This service functionality is now available in Security and Compliance Center Workload Protection along with expanded capabilities for security risk and compliance management. For more information, see the &lt;a href="https://cloud.ibm.com/docs/workload-protection"&gt;documentation&lt;/a&gt;.</w:t>
      </w:r>
      <w:r>
        <w:br/>
      </w:r>
      <w:r>
        <w:rPr>
          <w:color w:val="808080"/>
          <w:sz w:val="24"/>
          <w:szCs w:val="24"/>
        </w:rPr>
        <w:t xml:space="preserve">Documentation:  </w:t>
      </w:r>
      <w:hyperlink r:id="rId36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62">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6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6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7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7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7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76">
        <w:r>
          <w:t>https://cloud.ibm.com/docs/ssl-certificates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Standard Live Payment HSM Service</w:t>
      </w:r>
      <w:r>
        <w:br/>
      </w:r>
      <w:r>
        <w:br/>
      </w:r>
      <w:r>
        <w:rPr>
          <w:color w:val="808080"/>
          <w:sz w:val="24"/>
          <w:szCs w:val="24"/>
        </w:rPr>
        <w:t>Utimaco’s Payment HSM as a Service provides access to a fully managed PCI-certified Payment HSM service through IBM Cloud, with the highest availability in the industry at 99.999%, and the lowest latency.</w:t>
      </w:r>
      <w:r>
        <w:br/>
      </w:r>
      <w:r>
        <w:br/>
      </w:r>
      <w:r>
        <w:rPr>
          <w:color w:val="808080"/>
          <w:sz w:val="24"/>
          <w:szCs w:val="24"/>
        </w:rPr>
        <w:t>The Payment HSM as a Service is a true alternative to operating your own Payment HSMs and removes the investments tied to hardware, secure facilities, and management resources while reducing the burden of PCI compliance, audit, and support.</w:t>
      </w:r>
      <w:r>
        <w:br/>
      </w:r>
      <w:r>
        <w:br/>
      </w:r>
      <w:r>
        <w:rPr>
          <w:color w:val="808080"/>
          <w:sz w:val="24"/>
          <w:szCs w:val="24"/>
        </w:rPr>
        <w:t>Besides reducing total cost of ownership, it provides flexible deployment and scalability and enables most robust security for organizations’ digital infrastructure.</w:t>
      </w:r>
      <w:r>
        <w:br/>
      </w:r>
      <w:r>
        <w:br/>
      </w:r>
      <w:r>
        <w:rPr>
          <w:color w:val="808080"/>
          <w:sz w:val="24"/>
          <w:szCs w:val="24"/>
        </w:rPr>
        <w:t>This Catalog tile covers subscription to the Live service. For connection to the service, instances of the PHI load balancer should be deployed within your IBM infrastructure, using the PHI Deployable Architecture tile.</w:t>
      </w:r>
      <w:r>
        <w:br/>
      </w:r>
      <w:r>
        <w:br/>
      </w:r>
      <w:r>
        <w:rPr>
          <w:color w:val="808080"/>
          <w:sz w:val="24"/>
          <w:szCs w:val="24"/>
        </w:rPr>
        <w:t>For full details please follow the Docs link and sign up to the Service Portal.</w:t>
      </w:r>
      <w:r>
        <w:br/>
      </w:r>
      <w:r>
        <w:rPr>
          <w:color w:val="808080"/>
          <w:sz w:val="24"/>
          <w:szCs w:val="24"/>
        </w:rPr>
        <w:t xml:space="preserve">Documentation:  </w:t>
      </w:r>
      <w:hyperlink r:id="rId378">
        <w:r>
          <w:t>https://portal.myhsm.com/s-payhsm/documents/general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STAR Virtual Learning Platform (VLP)</w:t>
      </w:r>
      <w:r>
        <w:br/>
      </w:r>
      <w:r>
        <w:br/>
      </w:r>
      <w:r>
        <w:rPr>
          <w:color w:val="808080"/>
          <w:sz w:val="24"/>
          <w:szCs w:val="24"/>
        </w:rPr>
        <w:t>VMware Lab Platform (VLP)</w:t>
      </w:r>
      <w:r>
        <w:br/>
      </w:r>
      <w:r>
        <w:br/>
      </w:r>
      <w:r>
        <w:rPr>
          <w:color w:val="808080"/>
          <w:sz w:val="24"/>
          <w:szCs w:val="24"/>
        </w:rPr>
        <w:t>-------------------------------------------------------------------</w:t>
      </w:r>
      <w:r>
        <w:br/>
      </w:r>
      <w:r>
        <w:rPr>
          <w:color w:val="808080"/>
          <w:sz w:val="24"/>
          <w:szCs w:val="24"/>
        </w:rPr>
        <w:t xml:space="preserve"> is a SaaS platform that gives organizations the ability to deliver their own customized hands-on virtual training labs to anyone on the planet at cloud scale.  </w:t>
      </w:r>
      <w:r>
        <w:br/>
      </w:r>
      <w:r>
        <w:br/>
      </w:r>
      <w:r>
        <w:rPr>
          <w:color w:val="808080"/>
          <w:sz w:val="24"/>
          <w:szCs w:val="24"/>
        </w:rPr>
        <w:t>-------------------------------------------------------------------</w:t>
      </w:r>
      <w:r>
        <w:br/>
      </w:r>
      <w:r>
        <w:br/>
      </w:r>
      <w:r>
        <w:rPr>
          <w:color w:val="808080"/>
          <w:sz w:val="24"/>
          <w:szCs w:val="24"/>
        </w:rPr>
        <w:t>Instructor Led Training: Training platform that allows students to have their own individual lab environment while allowing the instructor to proctor, shadow, assist and interact with students virtually from anywhere.</w:t>
      </w:r>
      <w:r>
        <w:br/>
      </w:r>
      <w:r>
        <w:br/>
      </w:r>
      <w:r>
        <w:rPr>
          <w:color w:val="808080"/>
          <w:sz w:val="24"/>
          <w:szCs w:val="24"/>
        </w:rPr>
        <w:t>-------------------------------------------------------------------</w:t>
      </w:r>
      <w:r>
        <w:br/>
      </w:r>
      <w:r>
        <w:br/>
      </w:r>
      <w:r>
        <w:rPr>
          <w:color w:val="808080"/>
          <w:sz w:val="24"/>
          <w:szCs w:val="24"/>
        </w:rPr>
        <w:t>Sales Demo: Easily expand your ability to give effect sales demos of your software solutions. Provisioning a known good template with a demo environment pre-staged for you demo allows for a quick and easy demo without any of the pre-configuration or cleanup between customers.</w:t>
      </w:r>
      <w:r>
        <w:br/>
      </w:r>
      <w:r>
        <w:br/>
      </w:r>
      <w:r>
        <w:rPr>
          <w:color w:val="808080"/>
          <w:sz w:val="24"/>
          <w:szCs w:val="24"/>
        </w:rPr>
        <w:t>-------------------------------------------------------------------</w:t>
      </w:r>
      <w:r>
        <w:br/>
      </w:r>
      <w:r>
        <w:br/>
      </w:r>
      <w:r>
        <w:rPr>
          <w:color w:val="808080"/>
          <w:sz w:val="24"/>
          <w:szCs w:val="24"/>
        </w:rPr>
        <w:t>Customer Proof of Concept: Moving from Sales Demo into Proof of Concept is extremely easy when you can entitle a customer to a time bound copy of their own demo environment.  Provide access to a POC environment for the customer to evaluate your software, and even provide remote assistance and monitor their progress.</w:t>
      </w:r>
      <w:r>
        <w:br/>
      </w:r>
      <w:r>
        <w:br/>
      </w:r>
      <w:r>
        <w:rPr>
          <w:color w:val="808080"/>
          <w:sz w:val="24"/>
          <w:szCs w:val="24"/>
        </w:rPr>
        <w:t>-------------------------------------------------------------------</w:t>
      </w:r>
      <w:r>
        <w:br/>
      </w:r>
      <w:r>
        <w:br/>
      </w:r>
      <w:r>
        <w:rPr>
          <w:color w:val="808080"/>
          <w:sz w:val="24"/>
          <w:szCs w:val="24"/>
        </w:rPr>
        <w:t xml:space="preserve">Cyber Security Training:  Security operations training is essential to preparing the cybersecurity workforce of tomorrow, and for keeping current cybersecurity workers up-to-date on skills and evolving threats.  VLP provides a safe environment to develop training scenarios and build their capabilities. </w:t>
      </w:r>
      <w:r>
        <w:br/>
      </w:r>
      <w:r>
        <w:br/>
      </w:r>
      <w:r>
        <w:rPr>
          <w:color w:val="808080"/>
          <w:sz w:val="24"/>
          <w:szCs w:val="24"/>
        </w:rPr>
        <w:t>-------------------------------------------------------------------</w:t>
      </w:r>
      <w:r>
        <w:br/>
      </w:r>
      <w:r>
        <w:br/>
      </w:r>
      <w:r>
        <w:rPr>
          <w:color w:val="808080"/>
          <w:sz w:val="24"/>
          <w:szCs w:val="24"/>
        </w:rPr>
        <w:t>We are complementary to most leading Learning Management Systems (LMS) and support Learning Tools Interoperability (LTI) allowing you to leverage your existing education platform.</w:t>
      </w:r>
      <w:r>
        <w:br/>
      </w:r>
      <w:r>
        <w:br/>
      </w:r>
      <w:r>
        <w:br/>
      </w:r>
      <w:r>
        <w:rPr>
          <w:color w:val="808080"/>
          <w:sz w:val="24"/>
          <w:szCs w:val="24"/>
        </w:rPr>
        <w:t>VLP has a rich set of API’s making it easy to create any kind of user experience you can imagine.</w:t>
      </w:r>
      <w:r>
        <w:br/>
      </w:r>
      <w:r>
        <w:br/>
      </w:r>
      <w:r>
        <w:br/>
      </w:r>
      <w:r>
        <w:rPr>
          <w:color w:val="808080"/>
          <w:sz w:val="24"/>
          <w:szCs w:val="24"/>
        </w:rPr>
        <w:t>Extend your own cloud infrastructure or use a hybrid model to support your most complex lab use cases.</w:t>
      </w:r>
      <w:r>
        <w:br/>
      </w:r>
      <w:r>
        <w:br/>
      </w:r>
      <w:r>
        <w:br/>
      </w:r>
      <w:r>
        <w:rPr>
          <w:color w:val="808080"/>
          <w:sz w:val="24"/>
          <w:szCs w:val="24"/>
        </w:rPr>
        <w:t xml:space="preserve">VMware Lab Platform integrates instructional materials, labs, video, social media, and more. It is specifically designed to deliver hands-on lab content to students/clients.  There are a standard set of APIs that allow it to easily integrate with most Learning Management Systems on the market.  It is a SaaS solution that is a cloud-based multi-tenant solution owned, maintained, and updated by Partner STAR Systems. </w:t>
      </w:r>
      <w:r>
        <w:br/>
      </w:r>
      <w:r>
        <w:br/>
      </w:r>
      <w:r>
        <w:rPr>
          <w:color w:val="808080"/>
          <w:sz w:val="24"/>
          <w:szCs w:val="24"/>
        </w:rPr>
        <w:t>-------------------------------------------------------------------</w:t>
      </w:r>
      <w:r>
        <w:br/>
      </w:r>
      <w:r>
        <w:br/>
      </w:r>
      <w:r>
        <w:rPr>
          <w:color w:val="808080"/>
          <w:sz w:val="24"/>
          <w:szCs w:val="24"/>
        </w:rPr>
        <w:t xml:space="preserve">- SaaS platform delivering hands-on virtual IT Training labs to anyone on the planet at cloud scale </w:t>
      </w:r>
      <w:r>
        <w:br/>
      </w:r>
      <w:r>
        <w:br/>
      </w:r>
      <w:r>
        <w:rPr>
          <w:color w:val="808080"/>
          <w:sz w:val="24"/>
          <w:szCs w:val="24"/>
        </w:rPr>
        <w:t xml:space="preserve">- Access from Anywhere - Training content is accessible university, at any time, on most devices with a browser. </w:t>
      </w:r>
      <w:r>
        <w:br/>
      </w:r>
      <w:r>
        <w:br/>
      </w:r>
      <w:r>
        <w:rPr>
          <w:color w:val="808080"/>
          <w:sz w:val="24"/>
          <w:szCs w:val="24"/>
        </w:rPr>
        <w:t>- A powerful virtual lab supports complex multi-vM configurations and almost all guest operating systems</w:t>
      </w:r>
      <w:r>
        <w:br/>
      </w:r>
      <w:r>
        <w:br/>
      </w:r>
      <w:r>
        <w:rPr>
          <w:color w:val="808080"/>
          <w:sz w:val="24"/>
          <w:szCs w:val="24"/>
        </w:rPr>
        <w:t>- Hybrid Cloud Scale from one lab to thousands of labs. Trust that the platform will scale with you.</w:t>
      </w:r>
      <w:r>
        <w:br/>
      </w:r>
      <w:r>
        <w:br/>
      </w:r>
      <w:r>
        <w:rPr>
          <w:color w:val="808080"/>
          <w:sz w:val="24"/>
          <w:szCs w:val="24"/>
        </w:rPr>
        <w:t xml:space="preserve">- supports labaccess directly from the the console </w:t>
      </w:r>
      <w:r>
        <w:br/>
      </w:r>
      <w:r>
        <w:br/>
      </w:r>
      <w:r>
        <w:rPr>
          <w:color w:val="808080"/>
          <w:sz w:val="24"/>
          <w:szCs w:val="24"/>
        </w:rPr>
        <w:t xml:space="preserve">- Set it and forget it administration </w:t>
      </w:r>
      <w:r>
        <w:br/>
      </w:r>
      <w:r>
        <w:br/>
      </w:r>
      <w:r>
        <w:rPr>
          <w:color w:val="808080"/>
          <w:sz w:val="24"/>
          <w:szCs w:val="24"/>
        </w:rPr>
        <w:t>- Learning management Systems support through standard LTI and API integrations</w:t>
      </w:r>
      <w:r>
        <w:br/>
      </w:r>
      <w:r>
        <w:rPr>
          <w:color w:val="808080"/>
          <w:sz w:val="24"/>
          <w:szCs w:val="24"/>
        </w:rPr>
        <w:t xml:space="preserve">Documentation:  </w:t>
      </w:r>
      <w:hyperlink r:id="rId380">
        <w:r>
          <w:t>https://starsystems.in/vmware-vlp/</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82">
        <w:r>
          <w:t>https://cloud.ibm.com/docs/cephaas</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84">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86">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TechD Professional Services</w:t>
      </w:r>
      <w:r>
        <w:br/>
      </w:r>
      <w:r>
        <w:br/>
      </w:r>
      <w:r>
        <w:rPr>
          <w:color w:val="808080"/>
          <w:sz w:val="24"/>
          <w:szCs w:val="24"/>
        </w:rPr>
        <w:t>TechD stands at the forefront of data and artificial intelligence solutions, serving as IBM's premier strategic partner for over 14 years. With a proven track record of excellence and innovation, we have established ourselves as the trusted leader in implementing and optimizing IBM's comprehensive suite of technologies. Our deep expertise spans the entire IBM ecosystem, including Watson's AI capabilities, Cognos analytics, Information Server's data integration platform, Master Data Management (MDM) solutions, and the latest CloudPak offerings. By combining our technical prowess with a thorough understanding of business challenges, TechD helps organizations transform their data into actionable insights, enabling them to make smarter decisions and drive digital transformation in an increasingly complex technological landscape.</w:t>
      </w:r>
      <w:r>
        <w:br/>
      </w:r>
      <w:r>
        <w:br/>
      </w:r>
      <w:r>
        <w:br/>
      </w:r>
      <w:r>
        <w:rPr>
          <w:color w:val="808080"/>
          <w:sz w:val="24"/>
          <w:szCs w:val="24"/>
        </w:rPr>
        <w:t>Once you provision an instance of our professional services, you will then be able to pre-purchase blocks of hours which are valid to be consumed for 1 year after purchase.</w:t>
      </w:r>
      <w:r>
        <w:br/>
      </w:r>
      <w:r>
        <w:rPr>
          <w:color w:val="808080"/>
          <w:sz w:val="24"/>
          <w:szCs w:val="24"/>
        </w:rPr>
        <w:t xml:space="preserve">Documentation:  </w:t>
      </w:r>
      <w:hyperlink r:id="rId388">
        <w:r>
          <w:t>https://techd.com</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9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TradeScreen</w:t>
      </w:r>
      <w:r>
        <w:br/>
      </w:r>
      <w:r>
        <w:br/>
      </w:r>
      <w:r>
        <w:rPr>
          <w:color w:val="808080"/>
          <w:sz w:val="24"/>
          <w:szCs w:val="24"/>
        </w:rPr>
        <w:t xml:space="preserve">Trademo TradeScreen is an advanced AI-powered platform that revolutionizes how key stakeholders in global trade, i.e., Trade Finance, Insurance, Logistics, Ports, and Customs authorities, manage trade transaction processing, operations, compliance, and risk. </w:t>
      </w:r>
      <w:r>
        <w:br/>
      </w:r>
      <w:r>
        <w:br/>
      </w:r>
      <w:r>
        <w:rPr>
          <w:color w:val="808080"/>
          <w:sz w:val="24"/>
          <w:szCs w:val="24"/>
        </w:rPr>
        <w:t>By leveraging Trademo's proprietary fine-tuned vision models and global supply chain knowledge graph (TrademoKG) powered by open-source intelligence from thousands of authoritative data sources and billions of data points, TradeScreen provides real-time trade digitization, compliance automation, and risk management capabilities.</w:t>
      </w:r>
      <w:r>
        <w:br/>
      </w:r>
      <w:r>
        <w:br/>
      </w:r>
      <w:r>
        <w:rPr>
          <w:color w:val="808080"/>
          <w:sz w:val="24"/>
          <w:szCs w:val="24"/>
        </w:rPr>
        <w:t>Key Features</w:t>
      </w:r>
      <w:r>
        <w:br/>
      </w:r>
      <w:r>
        <w:br/>
      </w:r>
      <w:r>
        <w:rPr>
          <w:color w:val="808080"/>
          <w:sz w:val="24"/>
          <w:szCs w:val="24"/>
        </w:rPr>
        <w:t>Document Digitization &amp; Classification</w:t>
      </w:r>
      <w:r>
        <w:br/>
      </w:r>
      <w:r>
        <w:br/>
      </w:r>
      <w:r>
        <w:rPr>
          <w:color w:val="808080"/>
          <w:sz w:val="24"/>
          <w:szCs w:val="24"/>
        </w:rPr>
        <w:t>Our system uses advanced machine learning algorithms to automatically classify trade documents into specific categories, completely eliminating the need for manual sorting. Whether it's a Bill of Lading (BoL), Letter of Credit (LC), Commercial Invoice, Packing List, Certificate of Origin, or any other trade document, our intelligent classification engine instantly recognizes and organizes them into the correct buckets. This not only speeds up processing times but also enhances accuracy and reduces operational overhead.</w:t>
      </w:r>
      <w:r>
        <w:br/>
      </w:r>
      <w:r>
        <w:br/>
      </w:r>
      <w:r>
        <w:rPr>
          <w:color w:val="808080"/>
          <w:sz w:val="24"/>
          <w:szCs w:val="24"/>
        </w:rPr>
        <w:t>Document Extraction</w:t>
      </w:r>
      <w:r>
        <w:br/>
      </w:r>
      <w:r>
        <w:br/>
      </w:r>
      <w:r>
        <w:rPr>
          <w:color w:val="808080"/>
          <w:sz w:val="24"/>
          <w:szCs w:val="24"/>
        </w:rPr>
        <w:t>Powered by an advanced vision model combined with Optical Character Recognition (OCR), our system precisely extracts all the key attributes from your trade documents regardless of inconsistent formats and data structures. From shipment details and payment terms to product specifications and consignee information, the platform automates data extraction at scale, removing hours of manual effort and reducing the risk of human error. The result is faster workflows, more accurate data, and a significant boost in operational efficiency.</w:t>
      </w:r>
      <w:r>
        <w:br/>
      </w:r>
      <w:r>
        <w:br/>
      </w:r>
      <w:r>
        <w:rPr>
          <w:color w:val="808080"/>
          <w:sz w:val="24"/>
          <w:szCs w:val="24"/>
        </w:rPr>
        <w:t>Maritime</w:t>
      </w:r>
      <w:r>
        <w:br/>
      </w:r>
      <w:r>
        <w:br/>
      </w:r>
      <w:r>
        <w:rPr>
          <w:color w:val="808080"/>
          <w:sz w:val="24"/>
          <w:szCs w:val="24"/>
        </w:rPr>
        <w:t>Validate master bill of lading data and get details on transhipment ports, vessel location, and previous port calls of the vessel with the right information from shipping lines. Identify and mitigate risk by screening vessels and shipping entities flagged for maritime sanctions violations.</w:t>
      </w:r>
      <w:r>
        <w:br/>
      </w:r>
      <w:r>
        <w:br/>
      </w:r>
      <w:r>
        <w:rPr>
          <w:color w:val="808080"/>
          <w:sz w:val="24"/>
          <w:szCs w:val="24"/>
        </w:rPr>
        <w:t>Compliance &amp; Risk Checks</w:t>
      </w:r>
      <w:r>
        <w:br/>
      </w:r>
      <w:r>
        <w:br/>
      </w:r>
      <w:r>
        <w:rPr>
          <w:color w:val="808080"/>
          <w:sz w:val="24"/>
          <w:szCs w:val="24"/>
        </w:rPr>
        <w:t>TBML (Trade-Based Money Laundering) Checks</w:t>
      </w:r>
      <w:r>
        <w:br/>
      </w:r>
      <w:r>
        <w:br/>
      </w:r>
      <w:r>
        <w:rPr>
          <w:color w:val="808080"/>
          <w:sz w:val="24"/>
          <w:szCs w:val="24"/>
        </w:rPr>
        <w:t>Leverage real-time trade transactional data to identify risk from supply chain networks, such as limited trade partners, new product trade, multiple addresses, and more. Identify patterns in trade data that could indicate fraudulent activity, such as huge shipments, frequent changes in trading partners, unusual payment patterns, or inconsistent documentation.</w:t>
      </w:r>
      <w:r>
        <w:br/>
      </w:r>
      <w:r>
        <w:br/>
      </w:r>
      <w:r>
        <w:rPr>
          <w:color w:val="808080"/>
          <w:sz w:val="24"/>
          <w:szCs w:val="24"/>
        </w:rPr>
        <w:t>Goods Screening</w:t>
      </w:r>
      <w:r>
        <w:br/>
      </w:r>
      <w:r>
        <w:br/>
      </w:r>
      <w:r>
        <w:rPr>
          <w:color w:val="808080"/>
          <w:sz w:val="24"/>
          <w:szCs w:val="24"/>
        </w:rPr>
        <w:t>Ensure compliant financing by thoroughly screening for dual-use, hazardous, restricted/prohibited goods across different trade lanes. Trademo empowers trade finance institutions by offering real-time insights into country-specific trade restrictions, OGA/PGA regulations, and controls to mitigate risks, accelerate due diligence, and facilitate secure, compliant cross-border transactions.</w:t>
      </w:r>
      <w:r>
        <w:br/>
      </w:r>
      <w:r>
        <w:br/>
      </w:r>
      <w:r>
        <w:rPr>
          <w:color w:val="808080"/>
          <w:sz w:val="24"/>
          <w:szCs w:val="24"/>
        </w:rPr>
        <w:t>Sanctions &amp; AML Screening</w:t>
      </w:r>
      <w:r>
        <w:br/>
      </w:r>
      <w:r>
        <w:br/>
      </w:r>
      <w:r>
        <w:rPr>
          <w:color w:val="808080"/>
          <w:sz w:val="24"/>
          <w:szCs w:val="24"/>
        </w:rPr>
        <w:t>Conduct enhanced due diligence on parties with links to sanctioned countries, entities, individuals, politically exposed persons, and forced labor entities.</w:t>
      </w:r>
      <w:r>
        <w:br/>
      </w:r>
      <w:r>
        <w:br/>
      </w:r>
      <w:r>
        <w:rPr>
          <w:color w:val="808080"/>
          <w:sz w:val="24"/>
          <w:szCs w:val="24"/>
        </w:rPr>
        <w:t>UCP 600 Checks</w:t>
      </w:r>
      <w:r>
        <w:br/>
      </w:r>
      <w:r>
        <w:br/>
      </w:r>
      <w:r>
        <w:rPr>
          <w:color w:val="808080"/>
          <w:sz w:val="24"/>
          <w:szCs w:val="24"/>
        </w:rPr>
        <w:t>Ensure trade documents meet the standards outlined under UCP 600 rules for seamless processing.</w:t>
      </w:r>
      <w:r>
        <w:br/>
      </w:r>
      <w:r>
        <w:br/>
      </w:r>
      <w:r>
        <w:rPr>
          <w:color w:val="808080"/>
          <w:sz w:val="24"/>
          <w:szCs w:val="24"/>
        </w:rPr>
        <w:t>Entity Resolution</w:t>
      </w:r>
      <w:r>
        <w:br/>
      </w:r>
      <w:r>
        <w:br/>
      </w:r>
      <w:r>
        <w:rPr>
          <w:color w:val="808080"/>
          <w:sz w:val="24"/>
          <w:szCs w:val="24"/>
        </w:rPr>
        <w:t>Trademo’s Entity Resolution helps trade finance institutions uncover hidden risks by mapping ownership structures, identifying linked entities, and automatically screening them against global sanctions and watchlists. This end-to-end visibility strengthens due diligence, enhances compliance, and ensures safer financing decisions.</w:t>
      </w:r>
      <w:r>
        <w:br/>
      </w:r>
      <w:r>
        <w:br/>
      </w:r>
      <w:r>
        <w:rPr>
          <w:color w:val="808080"/>
          <w:sz w:val="24"/>
          <w:szCs w:val="24"/>
        </w:rPr>
        <w:t>Document Verification as per ICC Rules (UCP, ISBP, URC)</w:t>
      </w:r>
      <w:r>
        <w:br/>
      </w:r>
      <w:r>
        <w:br/>
      </w:r>
      <w:r>
        <w:rPr>
          <w:color w:val="808080"/>
          <w:sz w:val="24"/>
          <w:szCs w:val="24"/>
        </w:rPr>
        <w:t>Trademo’s Document Check automates verification against UCP, URDG, URC, and ISBP rules as applicable, helping trade finance institutions quickly validate trade documents for compliance and accuracy. By reducing manual errors and speeding up document review, it ensures smoother letter of credit processing, lowers operational risk, and accelerates transaction approval.</w:t>
      </w:r>
      <w:r>
        <w:br/>
      </w:r>
      <w:r>
        <w:br/>
      </w:r>
      <w:r>
        <w:rPr>
          <w:color w:val="808080"/>
          <w:sz w:val="24"/>
          <w:szCs w:val="24"/>
        </w:rPr>
        <w:t>Benefits:</w:t>
      </w:r>
      <w:r>
        <w:br/>
      </w:r>
      <w:r>
        <w:br/>
      </w:r>
      <w:r>
        <w:rPr>
          <w:color w:val="808080"/>
          <w:sz w:val="24"/>
          <w:szCs w:val="24"/>
        </w:rPr>
        <w:t>Cost Efficiency Through Automation</w:t>
      </w:r>
      <w:r>
        <w:br/>
      </w:r>
      <w:r>
        <w:br/>
      </w:r>
      <w:r>
        <w:rPr>
          <w:color w:val="808080"/>
          <w:sz w:val="24"/>
          <w:szCs w:val="24"/>
        </w:rPr>
        <w:t>By reducing manual tasks by up to 75%, TradeScreen lowers the cost of transaction processing and fraud detection. This reduction leads to decreased overhead for organizations as they streamline their operations.</w:t>
      </w:r>
      <w:r>
        <w:br/>
      </w:r>
      <w:r>
        <w:br/>
      </w:r>
      <w:r>
        <w:rPr>
          <w:color w:val="808080"/>
          <w:sz w:val="24"/>
          <w:szCs w:val="24"/>
        </w:rPr>
        <w:t>Fraud Prevention</w:t>
      </w:r>
      <w:r>
        <w:br/>
      </w:r>
      <w:r>
        <w:br/>
      </w:r>
      <w:r>
        <w:rPr>
          <w:color w:val="808080"/>
          <w:sz w:val="24"/>
          <w:szCs w:val="24"/>
        </w:rPr>
        <w:t>TradeScreen uses AI models to identify suspicious patterns before transactions are processed, enabling early intervention. This helps mitigate losses and prevent financial fraud, which is projected to cost the industry billions by 2027.</w:t>
      </w:r>
      <w:r>
        <w:br/>
      </w:r>
      <w:r>
        <w:br/>
      </w:r>
      <w:r>
        <w:rPr>
          <w:color w:val="808080"/>
          <w:sz w:val="24"/>
          <w:szCs w:val="24"/>
        </w:rPr>
        <w:t>Improved Accuracy &amp; Fewer False Positives</w:t>
      </w:r>
      <w:r>
        <w:br/>
      </w:r>
      <w:r>
        <w:br/>
      </w:r>
      <w:r>
        <w:rPr>
          <w:color w:val="808080"/>
          <w:sz w:val="24"/>
          <w:szCs w:val="24"/>
        </w:rPr>
        <w:t>By reducing false positives by up to 40%, TradeScreen ensures compliance teams spend less time investigating non-issues and more time focusing on actual risks, making institutions more efficient and productive.</w:t>
      </w:r>
      <w:r>
        <w:br/>
      </w:r>
      <w:r>
        <w:br/>
      </w:r>
      <w:r>
        <w:rPr>
          <w:color w:val="808080"/>
          <w:sz w:val="24"/>
          <w:szCs w:val="24"/>
        </w:rPr>
        <w:t>Enhanced Regulatory Compliance</w:t>
      </w:r>
      <w:r>
        <w:br/>
      </w:r>
      <w:r>
        <w:br/>
      </w:r>
      <w:r>
        <w:rPr>
          <w:color w:val="808080"/>
          <w:sz w:val="24"/>
          <w:szCs w:val="24"/>
        </w:rPr>
        <w:t>With integrated tools for sanctions screening, goods checks, and supply chain transparency, TradeScreen helps financial institutions comply with AML, CTF, and sanctions laws, reducing the risk of regulatory penalties.</w:t>
      </w:r>
      <w:r>
        <w:br/>
      </w:r>
      <w:r>
        <w:br/>
      </w:r>
      <w:r>
        <w:rPr>
          <w:color w:val="808080"/>
          <w:sz w:val="24"/>
          <w:szCs w:val="24"/>
        </w:rPr>
        <w:t>Increased Visibility Across Ecosystems</w:t>
      </w:r>
      <w:r>
        <w:br/>
      </w:r>
      <w:r>
        <w:br/>
      </w:r>
      <w:r>
        <w:rPr>
          <w:color w:val="808080"/>
          <w:sz w:val="24"/>
          <w:szCs w:val="24"/>
        </w:rPr>
        <w:t>TradeScreen merges data from multiple sources to provide a transparent view of the entire trade and financial ecosystem. This visibility helps institutions better understand their clients, suppliers, and third-party risks.</w:t>
      </w:r>
      <w:r>
        <w:br/>
      </w:r>
      <w:r>
        <w:br/>
      </w:r>
      <w:r>
        <w:rPr>
          <w:color w:val="808080"/>
          <w:sz w:val="24"/>
          <w:szCs w:val="24"/>
        </w:rPr>
        <w:t>Seamless Integration With Existing Infrastructure</w:t>
      </w:r>
      <w:r>
        <w:br/>
      </w:r>
      <w:r>
        <w:br/>
      </w:r>
      <w:r>
        <w:rPr>
          <w:color w:val="808080"/>
          <w:sz w:val="24"/>
          <w:szCs w:val="24"/>
        </w:rPr>
        <w:t>TradeScreen is an open, scalable platform that easily integrates with existing banking infrastructure, enabling institutions to leverage its capabilities without extensive system overhauls.'</w:t>
      </w:r>
      <w:r>
        <w:br/>
      </w:r>
      <w:r>
        <w:br/>
      </w:r>
      <w:r>
        <w:rPr>
          <w:color w:val="808080"/>
          <w:sz w:val="24"/>
          <w:szCs w:val="24"/>
        </w:rPr>
        <w:t>Enhanced Decision-Making</w:t>
      </w:r>
      <w:r>
        <w:br/>
      </w:r>
      <w:r>
        <w:br/>
      </w:r>
      <w:r>
        <w:rPr>
          <w:color w:val="808080"/>
          <w:sz w:val="24"/>
          <w:szCs w:val="24"/>
        </w:rPr>
        <w:t>The platform delivers actionable insights and transparency into the participants in each transaction, empowering financial institutions to make informed decisions about trade transactions and client relationships.</w:t>
      </w:r>
      <w:r>
        <w:br/>
      </w:r>
      <w:r>
        <w:br/>
      </w:r>
      <w:r>
        <w:br/>
      </w:r>
      <w:r>
        <w:rPr>
          <w:color w:val="808080"/>
          <w:sz w:val="24"/>
          <w:szCs w:val="24"/>
        </w:rPr>
        <w:t>Capabilities</w:t>
      </w:r>
      <w:r>
        <w:br/>
      </w:r>
      <w:r>
        <w:br/>
      </w:r>
      <w:r>
        <w:rPr>
          <w:color w:val="808080"/>
          <w:sz w:val="24"/>
          <w:szCs w:val="24"/>
        </w:rPr>
        <w:t>Global Trade Risk Mitigation</w:t>
      </w:r>
      <w:r>
        <w:br/>
      </w:r>
      <w:r>
        <w:br/>
      </w:r>
      <w:r>
        <w:rPr>
          <w:color w:val="808080"/>
          <w:sz w:val="24"/>
          <w:szCs w:val="24"/>
        </w:rPr>
        <w:t>Detects and prevents risks in trade transactions using a comprehensive database of international regulations and risk checks.</w:t>
      </w:r>
      <w:r>
        <w:br/>
      </w:r>
      <w:r>
        <w:br/>
      </w:r>
      <w:r>
        <w:rPr>
          <w:color w:val="808080"/>
          <w:sz w:val="24"/>
          <w:szCs w:val="24"/>
        </w:rPr>
        <w:t>500+ Real-Time Compliance Checks</w:t>
      </w:r>
      <w:r>
        <w:br/>
      </w:r>
      <w:r>
        <w:br/>
      </w:r>
      <w:r>
        <w:rPr>
          <w:color w:val="808080"/>
          <w:sz w:val="24"/>
          <w:szCs w:val="24"/>
        </w:rPr>
        <w:t>Perform 500+ real-time checks to ensure trade transactions comply with global regulations, reducing risks and non-compliance.</w:t>
      </w:r>
      <w:r>
        <w:br/>
      </w:r>
      <w:r>
        <w:br/>
      </w:r>
      <w:r>
        <w:rPr>
          <w:color w:val="808080"/>
          <w:sz w:val="24"/>
          <w:szCs w:val="24"/>
        </w:rPr>
        <w:t>AI-Driven Knowledge Graph</w:t>
      </w:r>
      <w:r>
        <w:br/>
      </w:r>
      <w:r>
        <w:br/>
      </w:r>
      <w:r>
        <w:rPr>
          <w:color w:val="808080"/>
          <w:sz w:val="24"/>
          <w:szCs w:val="24"/>
        </w:rPr>
        <w:t>Unlock insights with an AI-powered graph integrating billions of data points on trade, supply chains, risks, and ownership.</w:t>
      </w:r>
      <w:r>
        <w:br/>
      </w:r>
      <w:r>
        <w:br/>
      </w:r>
      <w:r>
        <w:rPr>
          <w:color w:val="808080"/>
          <w:sz w:val="24"/>
          <w:szCs w:val="24"/>
        </w:rPr>
        <w:t>End-to-End Transaction Validation</w:t>
      </w:r>
      <w:r>
        <w:br/>
      </w:r>
      <w:r>
        <w:br/>
      </w:r>
      <w:r>
        <w:rPr>
          <w:color w:val="808080"/>
          <w:sz w:val="24"/>
          <w:szCs w:val="24"/>
        </w:rPr>
        <w:t>Validate every aspect of trade transactions, ensuring full transparency and compliance from start to finish.</w:t>
      </w:r>
      <w:r>
        <w:br/>
      </w:r>
      <w:r>
        <w:br/>
      </w:r>
      <w:r>
        <w:rPr>
          <w:color w:val="808080"/>
          <w:sz w:val="24"/>
          <w:szCs w:val="24"/>
        </w:rPr>
        <w:t>Continuous Risk Updates</w:t>
      </w:r>
      <w:r>
        <w:br/>
      </w:r>
      <w:r>
        <w:br/>
      </w:r>
      <w:r>
        <w:rPr>
          <w:color w:val="808080"/>
          <w:sz w:val="24"/>
          <w:szCs w:val="24"/>
        </w:rPr>
        <w:t>Stay compliant with evolving regulations, as TradeScreen continuously updates its risk assessment framework in real time.</w:t>
      </w:r>
      <w:r>
        <w:br/>
      </w:r>
      <w:r>
        <w:br/>
      </w:r>
      <w:r>
        <w:rPr>
          <w:color w:val="808080"/>
          <w:sz w:val="24"/>
          <w:szCs w:val="24"/>
        </w:rPr>
        <w:t>User Management Capabilities</w:t>
      </w:r>
      <w:r>
        <w:br/>
      </w:r>
      <w:r>
        <w:br/>
      </w:r>
      <w:r>
        <w:rPr>
          <w:color w:val="808080"/>
          <w:sz w:val="24"/>
          <w:szCs w:val="24"/>
        </w:rPr>
        <w:t>Enable role-based access controls to tailor access and permissions across your teams, ensuring data security and governance compliance across workflows.</w:t>
      </w:r>
      <w:r>
        <w:br/>
      </w:r>
      <w:r>
        <w:br/>
      </w:r>
      <w:r>
        <w:br/>
      </w:r>
      <w:r>
        <w:rPr>
          <w:color w:val="808080"/>
          <w:sz w:val="24"/>
          <w:szCs w:val="24"/>
        </w:rPr>
        <w:t>Workflow Capabilities</w:t>
      </w:r>
      <w:r>
        <w:br/>
      </w:r>
      <w:r>
        <w:br/>
      </w:r>
      <w:r>
        <w:rPr>
          <w:color w:val="808080"/>
          <w:sz w:val="24"/>
          <w:szCs w:val="24"/>
        </w:rPr>
        <w:t>Support for maker-checker workflows, allowing teams to create, review, and approve trade transactions collaboratively. These workflows increase accountability and auditability across departments.</w:t>
      </w:r>
      <w:r>
        <w:br/>
      </w:r>
      <w:r>
        <w:br/>
      </w:r>
      <w:r>
        <w:rPr>
          <w:color w:val="808080"/>
          <w:sz w:val="24"/>
          <w:szCs w:val="24"/>
        </w:rPr>
        <w:t>Configuration &amp; Integration</w:t>
      </w:r>
      <w:r>
        <w:br/>
      </w:r>
      <w:r>
        <w:br/>
      </w:r>
      <w:r>
        <w:rPr>
          <w:color w:val="808080"/>
          <w:sz w:val="24"/>
          <w:szCs w:val="24"/>
        </w:rPr>
        <w:t>Flexible Configuration</w:t>
      </w:r>
      <w:r>
        <w:br/>
      </w:r>
      <w:r>
        <w:br/>
      </w:r>
      <w:r>
        <w:rPr>
          <w:color w:val="808080"/>
          <w:sz w:val="24"/>
          <w:szCs w:val="24"/>
        </w:rPr>
        <w:t>Customize workflows, compliance checks, and validation logic based on your internal policies and risk appetite.</w:t>
      </w:r>
      <w:r>
        <w:br/>
      </w:r>
      <w:r>
        <w:br/>
      </w:r>
      <w:r>
        <w:br/>
      </w:r>
      <w:r>
        <w:rPr>
          <w:color w:val="808080"/>
          <w:sz w:val="24"/>
          <w:szCs w:val="24"/>
        </w:rPr>
        <w:t>Available via API</w:t>
      </w:r>
      <w:r>
        <w:br/>
      </w:r>
      <w:r>
        <w:br/>
      </w:r>
      <w:r>
        <w:rPr>
          <w:color w:val="808080"/>
          <w:sz w:val="24"/>
          <w:szCs w:val="24"/>
        </w:rPr>
        <w:t>All core TradeScreen features are available through well-documented APIs, enabling seamless integration into existing banking, logistics, or compliance systems.</w:t>
      </w:r>
      <w:r>
        <w:br/>
      </w:r>
      <w:r>
        <w:br/>
      </w:r>
      <w:r>
        <w:br/>
      </w:r>
      <w:r>
        <w:rPr>
          <w:color w:val="808080"/>
          <w:sz w:val="24"/>
          <w:szCs w:val="24"/>
        </w:rPr>
        <w:t>Workflow Capabilities</w:t>
      </w:r>
      <w:r>
        <w:br/>
      </w:r>
      <w:r>
        <w:br/>
      </w:r>
      <w:r>
        <w:rPr>
          <w:color w:val="808080"/>
          <w:sz w:val="24"/>
          <w:szCs w:val="24"/>
        </w:rPr>
        <w:t>The platform supports maker-checker workflows, allowing multiple teams to collaborate, review, and approve documents efficiently. This enhances accountability and strengthens the overall due diligence process.</w:t>
      </w:r>
      <w:r>
        <w:br/>
      </w:r>
      <w:r>
        <w:br/>
      </w:r>
      <w:r>
        <w:rPr>
          <w:color w:val="808080"/>
          <w:sz w:val="24"/>
          <w:szCs w:val="24"/>
        </w:rPr>
        <w:t xml:space="preserve">Documentation:  </w:t>
      </w:r>
      <w:hyperlink r:id="rId394">
        <w:r>
          <w:t>https://sitemaps-files-trademo-public-latest.s3.us.cloud-object-storage.appdomain.cloud/TradeScreen%20IBM%20catalog_Documentation%20URL.pdf</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9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40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404">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406">
        <w:r>
          <w:t>https://docs.verify.ibm.com/verify</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408">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41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412">
        <w:r>
          <w:t>https://cloud.ibm.com/docs/vpc?topic=vpc-about-vpe</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414">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16">
        <w:r>
          <w:t>https://cloud.ibm.com/docs/vsi</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18">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20">
        <w:r>
          <w:t>https://cloud.ibm.com/docs</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22">
        <w:r>
          <w:t>https://hdm.primaryio.com/lp/vmwaas</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2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2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28">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30">
        <w:r>
          <w:t>https://docs.wanclouds.net/ibm</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32">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34">
        <w:r>
          <w:t>https://docs.wanclouds.net/ibm/vpc-draas/</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36">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3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4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42">
        <w:r>
          <w:t>https://ibm.com</w:t>
        </w:r>
      </w:hyperlink>
      <w:r>
        <w:br/>
      </w:r>
      <w:r>
        <w:br/>
      </w:r>
    </w:p>
    <w:p w:rsidR="00A77427" w:rsidRDefault="007F1D13">
      <w:pPr>
        <w:ind/>
      </w:pPr>
      <w:r>
        <w:rPr>
          <w:noProof/>
        </w:rPr>
        <w:drawing>
          <wp:inline distT="0" distB="0" distL="0" distR="0">
            <wp:extent cx="476250" cy="476250"/>
            <wp:effectExtent l="19050" t="0" r="9525" b="0"/>
            <wp:docPr id="219" name="Picture 218" descr="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pic:nvPicPr>
                  <pic:blipFill>
                    <a:blip r:embed="rId443"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44">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20" name="Picture 219" descr="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pic:nvPicPr>
                  <pic:blipFill>
                    <a:blip r:embed="rId445"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br/>
      </w:r>
      <w:r>
        <w:rPr>
          <w:color w:val="808080"/>
          <w:sz w:val="24"/>
          <w:szCs w:val="24"/>
        </w:rPr>
        <w:t xml:space="preserve">Documentation:  </w:t>
      </w:r>
      <w:hyperlink r:id="rId446">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21" name="Picture 220" descr="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pic:nvPicPr>
                  <pic:blipFill>
                    <a:blip r:embed="rId447"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48">
        <w:r>
          <w:t>https://www.ibm.com/docs/en/watson-orchestrate</w:t>
        </w:r>
      </w:hyperlink>
      <w:r>
        <w:br/>
      </w:r>
      <w:r>
        <w:br/>
      </w:r>
    </w:p>
    <w:p w:rsidR="00A77427" w:rsidRDefault="007F1D13">
      <w:pPr>
        <w:ind/>
      </w:pPr>
      <w:r>
        <w:rPr>
          <w:noProof/>
        </w:rPr>
        <w:drawing>
          <wp:inline distT="0" distB="0" distL="0" distR="0">
            <wp:extent cx="476250" cy="476250"/>
            <wp:effectExtent l="19050" t="0" r="9525" b="0"/>
            <wp:docPr id="222" name="Picture 221" descr="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pic:nvPicPr>
                  <pic:blipFill>
                    <a:blip r:embed="rId449"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5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23" name="Picture 222" descr="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pic:nvPicPr>
                  <pic:blipFill>
                    <a:blip r:embed="rId451"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52">
        <w:r>
          <w:t>https://dataplatform.cloud.ibm.com/docs</w:t>
        </w:r>
      </w:hyperlink>
      <w:r>
        <w:br/>
      </w:r>
      <w:r>
        <w:br/>
      </w:r>
    </w:p>
    <w:p w:rsidR="00A77427" w:rsidRDefault="007F1D13">
      <w:pPr>
        <w:ind/>
      </w:pPr>
      <w:r>
        <w:rPr>
          <w:noProof/>
        </w:rPr>
        <w:drawing>
          <wp:inline distT="0" distB="0" distL="0" distR="0">
            <wp:extent cx="476250" cy="476250"/>
            <wp:effectExtent l="19050" t="0" r="9525" b="0"/>
            <wp:docPr id="224" name="Picture 223" descr="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pic:nvPicPr>
                  <pic:blipFill>
                    <a:blip r:embed="rId45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54">
        <w:r>
          <w:t>https://cloud.ibm.com/docs/watsonxdata</w:t>
        </w:r>
      </w:hyperlink>
      <w:r>
        <w:br/>
      </w:r>
      <w:r>
        <w:br/>
      </w:r>
    </w:p>
    <w:p w:rsidR="00A77427" w:rsidRDefault="007F1D13">
      <w:pPr>
        <w:ind/>
      </w:pPr>
      <w:r>
        <w:rPr>
          <w:noProof/>
        </w:rPr>
        <w:drawing>
          <wp:inline distT="0" distB="0" distL="0" distR="0">
            <wp:extent cx="476250" cy="476250"/>
            <wp:effectExtent l="19050" t="0" r="9525" b="0"/>
            <wp:docPr id="225" name="Picture 224" descr="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pic:nvPicPr>
                  <pic:blipFill>
                    <a:blip r:embed="rId455"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integration</w:t>
      </w:r>
      <w:r>
        <w:br/>
      </w:r>
      <w:r>
        <w:br/>
      </w:r>
      <w:r>
        <w:rPr>
          <w:color w:val="808080"/>
          <w:sz w:val="24"/>
          <w:szCs w:val="24"/>
        </w:rPr>
        <w:t>watsonx.data integration is a data integration tool that offers a unified experience for data teams to seamlessly handle real-time streaming, replication and bulk/batch integration patterns, without having to switch context or preselect the integration style. Modernize your data flows with a SaaS-based architecture that promotes reusability of data flows, enhances security and cost effectiveness, leveraging deployment flexibility across hybrid cloud environments. Boost data reliability with continuous monitoring of data quality issues with data observability.</w:t>
      </w:r>
      <w:r>
        <w:br/>
      </w:r>
      <w:r>
        <w:rPr>
          <w:color w:val="808080"/>
          <w:sz w:val="24"/>
          <w:szCs w:val="24"/>
        </w:rPr>
        <w:t xml:space="preserve">Documentation:  </w:t>
      </w:r>
      <w:hyperlink r:id="rId456">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6" name="Picture 225" descr="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pic:nvPicPr>
                  <pic:blipFill>
                    <a:blip r:embed="rId457" cstate="print"/>
                    <a:stretch>
                      <a:fillRect/>
                    </a:stretch>
                  </pic:blipFill>
                  <pic:spPr>
                    <a:xfrm>
                      <a:off x="0" y="0"/>
                      <a:ext cx="476250" cy="476250"/>
                    </a:xfrm>
                    <a:prstGeom prst="rect">
                      <a:avLst/>
                    </a:prstGeom>
                  </pic:spPr>
                </pic:pic>
              </a:graphicData>
            </a:graphic>
          </wp:inline>
        </w:drawing>
      </w:r>
      <w:r>
        <w:rPr>
          <w:b/>
          <w:bCs/>
          <w:sz w:val="28"/>
          <w:szCs w:val="28"/>
        </w:rPr>
        <w:t xml:space="preserve">     watsonx.data intelligence</w:t>
      </w:r>
      <w:r>
        <w:br/>
      </w:r>
      <w:r>
        <w:br/>
      </w:r>
      <w:r>
        <w:rPr>
          <w:color w:val="808080"/>
          <w:sz w:val="24"/>
          <w:szCs w:val="24"/>
        </w:rPr>
        <w:t>IBM watsonx.data intelligence revolutionizes the way organizations curate, manage, and utilize data by leveraging the power of AI to simplify data delivery across hybrid ecosystems. It empowers organizations to discover, trust, and access meaningful data by unifying governance, lineage, quality, and sharing, providing consumers with reliable data products.</w:t>
      </w:r>
      <w:r>
        <w:br/>
      </w:r>
      <w:r>
        <w:rPr>
          <w:color w:val="808080"/>
          <w:sz w:val="24"/>
          <w:szCs w:val="24"/>
        </w:rPr>
        <w:t xml:space="preserve">Documentation:  </w:t>
      </w:r>
      <w:hyperlink r:id="rId458">
        <w:r>
          <w:t>https://dataplatform.cloud.ibm.com/docs/content/wsj/getting-started/welcome-main.html?context=df&amp;amp;audience=wdp</w:t>
        </w:r>
      </w:hyperlink>
      <w:r>
        <w:br/>
      </w:r>
      <w:r>
        <w:br/>
      </w:r>
    </w:p>
    <w:p w:rsidR="00A77427" w:rsidRDefault="007F1D13">
      <w:pPr>
        <w:ind/>
      </w:pPr>
      <w:r>
        <w:rPr>
          <w:noProof/>
        </w:rPr>
        <w:drawing>
          <wp:inline distT="0" distB="0" distL="0" distR="0">
            <wp:extent cx="476250" cy="476250"/>
            <wp:effectExtent l="19050" t="0" r="9525" b="0"/>
            <wp:docPr id="227" name="Picture 226" descr="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pic:nvPicPr>
                  <pic:blipFill>
                    <a:blip r:embed="rId45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6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28" name="Picture 227" descr="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pic:nvPicPr>
                  <pic:blipFill>
                    <a:blip r:embed="rId461" cstate="print"/>
                    <a:stretch>
                      <a:fillRect/>
                    </a:stretch>
                  </pic:blipFill>
                  <pic:spPr>
                    <a:xfrm>
                      <a:off x="0" y="0"/>
                      <a:ext cx="476250" cy="476250"/>
                    </a:xfrm>
                    <a:prstGeom prst="rect">
                      <a:avLst/>
                    </a:prstGeom>
                  </pic:spPr>
                </pic:pic>
              </a:graphicData>
            </a:graphic>
          </wp:inline>
        </w:drawing>
      </w:r>
      <w:r>
        <w:rPr>
          <w:b/>
          <w:bCs/>
          <w:sz w:val="28"/>
          <w:szCs w:val="28"/>
        </w:rPr>
        <w:t xml:space="preserve">     WealthGrowth.AI</w:t>
      </w:r>
      <w:r>
        <w:br/>
      </w:r>
      <w:r>
        <w:br/>
      </w:r>
      <w:r>
        <w:rPr>
          <w:color w:val="808080"/>
          <w:sz w:val="24"/>
          <w:szCs w:val="24"/>
        </w:rPr>
        <w:t>WealthGrowth.ai: Transforming Wealth Management with AI</w:t>
      </w:r>
      <w:r>
        <w:br/>
      </w:r>
      <w:r>
        <w:br/>
      </w:r>
      <w:r>
        <w:rPr>
          <w:color w:val="808080"/>
          <w:sz w:val="24"/>
          <w:szCs w:val="24"/>
        </w:rPr>
        <w:t>WealthGrowth.ai is an Agentic AI workflow designed to enhance financial advisory services by leveraging 64 AI models, multiple AI agents, over 250 APIs, and six digital applications. By automating up to 95% of advisors' tasks, it helps boost asset growth and expand client outreach.</w:t>
      </w:r>
      <w:r>
        <w:br/>
      </w:r>
      <w:r>
        <w:br/>
      </w:r>
      <w:r>
        <w:rPr>
          <w:color w:val="808080"/>
          <w:sz w:val="24"/>
          <w:szCs w:val="24"/>
        </w:rPr>
        <w:t>Key Benefits:</w:t>
      </w:r>
      <w:r>
        <w:br/>
      </w:r>
      <w:r>
        <w:br/>
      </w:r>
      <w:r>
        <w:rPr>
          <w:color w:val="808080"/>
          <w:sz w:val="24"/>
          <w:szCs w:val="24"/>
        </w:rPr>
        <w:t>1. Growing with Current Clients</w:t>
      </w:r>
      <w:r>
        <w:br/>
      </w:r>
      <w:r>
        <w:rPr>
          <w:color w:val="808080"/>
          <w:sz w:val="24"/>
          <w:szCs w:val="24"/>
        </w:rPr>
        <w:t>Increases product utilization by 3 to 4 times.</w:t>
      </w:r>
      <w:r>
        <w:br/>
      </w:r>
      <w:r>
        <w:rPr>
          <w:color w:val="808080"/>
          <w:sz w:val="24"/>
          <w:szCs w:val="24"/>
        </w:rPr>
        <w:t>Expands wallet share by up to 40%.</w:t>
      </w:r>
      <w:r>
        <w:br/>
      </w:r>
      <w:r>
        <w:rPr>
          <w:color w:val="808080"/>
          <w:sz w:val="24"/>
          <w:szCs w:val="24"/>
        </w:rPr>
        <w:t xml:space="preserve">   </w:t>
      </w:r>
      <w:r>
        <w:br/>
      </w:r>
      <w:r>
        <w:rPr>
          <w:color w:val="808080"/>
          <w:sz w:val="24"/>
          <w:szCs w:val="24"/>
        </w:rPr>
        <w:t>2. Transitioning Bank Clients &amp; Acquiring New Prospects</w:t>
      </w:r>
      <w:r>
        <w:br/>
      </w:r>
      <w:r>
        <w:rPr>
          <w:color w:val="808080"/>
          <w:sz w:val="24"/>
          <w:szCs w:val="24"/>
        </w:rPr>
        <w:t>Enables advisors to manage 6 to 10 times more clients.</w:t>
      </w:r>
      <w:r>
        <w:br/>
      </w:r>
      <w:r>
        <w:rPr>
          <w:color w:val="808080"/>
          <w:sz w:val="24"/>
          <w:szCs w:val="24"/>
        </w:rPr>
        <w:t>Boosts assets under management (AUM) by up to 6 times.</w:t>
      </w:r>
      <w:r>
        <w:br/>
      </w:r>
      <w:r>
        <w:br/>
      </w:r>
      <w:r>
        <w:rPr>
          <w:color w:val="808080"/>
          <w:sz w:val="24"/>
          <w:szCs w:val="24"/>
        </w:rPr>
        <w:t>3. Enabling a Centralized/Remote/Digital Advisor Strategy</w:t>
      </w:r>
      <w:r>
        <w:br/>
      </w:r>
      <w:r>
        <w:rPr>
          <w:color w:val="808080"/>
          <w:sz w:val="24"/>
          <w:szCs w:val="24"/>
        </w:rPr>
        <w:t>Expands reach to new channels, regions, and products.</w:t>
      </w:r>
      <w:r>
        <w:br/>
      </w:r>
      <w:r>
        <w:rPr>
          <w:color w:val="808080"/>
          <w:sz w:val="24"/>
          <w:szCs w:val="24"/>
        </w:rPr>
        <w:t>Reduces advisor workload while maximizing efficiency.</w:t>
      </w:r>
      <w:r>
        <w:br/>
      </w:r>
      <w:r>
        <w:br/>
      </w:r>
      <w:r>
        <w:rPr>
          <w:color w:val="808080"/>
          <w:sz w:val="24"/>
          <w:szCs w:val="24"/>
        </w:rPr>
        <w:t>Powered by Cognerium, WealthGrowth.ai is shaping the future of wealth management by integrating AI-driven strategies to optimize client engagement and financial growth.</w:t>
      </w:r>
      <w:r>
        <w:br/>
      </w:r>
      <w:r>
        <w:rPr>
          <w:color w:val="808080"/>
          <w:sz w:val="24"/>
          <w:szCs w:val="24"/>
        </w:rPr>
        <w:t xml:space="preserve">Documentation:  </w:t>
      </w:r>
      <w:hyperlink r:id="rId462">
        <w:r>
          <w:t>https://apiwealthgrowth.cognerium.com/api/v1/app_documentation/</w:t>
        </w:r>
      </w:hyperlink>
      <w:r>
        <w:br/>
      </w:r>
      <w:r>
        <w:br/>
      </w:r>
    </w:p>
    <w:p w:rsidR="00A77427" w:rsidRDefault="007F1D13">
      <w:pPr>
        <w:ind/>
      </w:pPr>
      <w:r>
        <w:rPr>
          <w:noProof/>
        </w:rPr>
        <w:drawing>
          <wp:inline distT="0" distB="0" distL="0" distR="0">
            <wp:extent cx="476250" cy="476250"/>
            <wp:effectExtent l="19050" t="0" r="9525" b="0"/>
            <wp:docPr id="229" name="Picture 228" descr="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pic:nvPicPr>
                  <pic:blipFill>
                    <a:blip r:embed="rId46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6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ai/"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celerity-uk.com" TargetMode="External"/><Relationship Id="rId47" Type="http://schemas.openxmlformats.org/officeDocument/2006/relationships/image" Target="media/image21.png"/><Relationship Id="rId48" Type="http://schemas.openxmlformats.org/officeDocument/2006/relationships/hyperlink" Target="https://celerity-uk.com" TargetMode="External"/><Relationship Id="rId49" Type="http://schemas.openxmlformats.org/officeDocument/2006/relationships/image" Target="media/image22.png"/><Relationship Id="rId50" Type="http://schemas.openxmlformats.org/officeDocument/2006/relationships/hyperlink" Target="https://www.blockpliance.com/" TargetMode="External"/><Relationship Id="rId51" Type="http://schemas.openxmlformats.org/officeDocument/2006/relationships/image" Target="media/image23.png"/><Relationship Id="rId52" Type="http://schemas.openxmlformats.org/officeDocument/2006/relationships/hyperlink" Target="https://cloud.ibm.com/docs/citrix-netscaler-vpx/getting-started.html" TargetMode="External"/><Relationship Id="rId53" Type="http://schemas.openxmlformats.org/officeDocument/2006/relationships/image" Target="media/image24.png"/><Relationship Id="rId54" Type="http://schemas.openxmlformats.org/officeDocument/2006/relationships/hyperlink" Target="https://cloud.ibm.com/docs/vpc?topic=vpc-vpn-client-to-site-overview" TargetMode="External"/><Relationship Id="rId55" Type="http://schemas.openxmlformats.org/officeDocument/2006/relationships/image" Target="media/image25.png"/><Relationship Id="rId56" Type="http://schemas.openxmlformats.org/officeDocument/2006/relationships/hyperlink" Target="https://cloud.ibm.com/docs/infrastructure/Backup?topic=Backup-getting-started#getting-started" TargetMode="External"/><Relationship Id="rId57" Type="http://schemas.openxmlformats.org/officeDocument/2006/relationships/image" Target="media/image26.png"/><Relationship Id="rId58" Type="http://schemas.openxmlformats.org/officeDocument/2006/relationships/hyperlink" Target="https://cloud.ibm.com/docs/vpc?topic=vpc-backup-service-about" TargetMode="External"/><Relationship Id="rId59" Type="http://schemas.openxmlformats.org/officeDocument/2006/relationships/image" Target="media/image27.png"/><Relationship Id="rId60" Type="http://schemas.openxmlformats.org/officeDocument/2006/relationships/hyperlink" Target="https://cloud.ibm.com/docs/hardware-security-modules?topic=hardware-security-modules-getting-started" TargetMode="External"/><Relationship Id="rId61" Type="http://schemas.openxmlformats.org/officeDocument/2006/relationships/image" Target="media/image28.png"/><Relationship Id="rId62" Type="http://schemas.openxmlformats.org/officeDocument/2006/relationships/hyperlink" Target="https://cloud.ibm.com/docs/loadbalancer-service/getting-started.html" TargetMode="External"/><Relationship Id="rId63" Type="http://schemas.openxmlformats.org/officeDocument/2006/relationships/image" Target="media/image29.png"/><Relationship Id="rId64" Type="http://schemas.openxmlformats.org/officeDocument/2006/relationships/hyperlink" Target="https://cloud.ibm.com/docs/cloud-logs" TargetMode="External"/><Relationship Id="rId65" Type="http://schemas.openxmlformats.org/officeDocument/2006/relationships/image" Target="media/image30.png"/><Relationship Id="rId66" Type="http://schemas.openxmlformats.org/officeDocument/2006/relationships/hyperlink" Target="https://cloud.ibm.com/docs/monitoring?topic=monitoring-getting-started#getting-started" TargetMode="External"/><Relationship Id="rId67" Type="http://schemas.openxmlformats.org/officeDocument/2006/relationships/image" Target="media/image31.png"/><Relationship Id="rId68" Type="http://schemas.openxmlformats.org/officeDocument/2006/relationships/hyperlink" Target="https://docs.robin.io/storage/latest/" TargetMode="External"/><Relationship Id="rId69" Type="http://schemas.openxmlformats.org/officeDocument/2006/relationships/image" Target="media/image32.png"/><Relationship Id="rId70" Type="http://schemas.openxmlformats.org/officeDocument/2006/relationships/hyperlink" Target="https://cloud.ibm.com/docs/cloud-object-storage?topic=cloud-object-storage-getting-started-cloud-object-storage" TargetMode="External"/><Relationship Id="rId71" Type="http://schemas.openxmlformats.org/officeDocument/2006/relationships/image" Target="media/image33.png"/><Relationship Id="rId72" Type="http://schemas.openxmlformats.org/officeDocument/2006/relationships/hyperlink" Target="https://console.bluemix.net/docs/infrastructure/cloud-object-storage-infrastructure/about-cos.html" TargetMode="External"/><Relationship Id="rId73" Type="http://schemas.openxmlformats.org/officeDocument/2006/relationships/image" Target="media/image34.png"/><Relationship Id="rId74" Type="http://schemas.openxmlformats.org/officeDocument/2006/relationships/hyperlink" Target="https://www.lyticly.com" TargetMode="External"/><Relationship Id="rId75" Type="http://schemas.openxmlformats.org/officeDocument/2006/relationships/image" Target="media/image35.png"/><Relationship Id="rId76" Type="http://schemas.openxmlformats.org/officeDocument/2006/relationships/hyperlink" Target="https://test.cloud.ibm.com/docs/vpc?topic=vpc-about-reserved-virtual-servers-vpc" TargetMode="External"/><Relationship Id="rId77" Type="http://schemas.openxmlformats.org/officeDocument/2006/relationships/image" Target="media/image36.png"/><Relationship Id="rId78" Type="http://schemas.openxmlformats.org/officeDocument/2006/relationships/hyperlink" Target="https://cloud.ibm.com/services/vmwaresolutions/index.html" TargetMode="External"/><Relationship Id="rId79" Type="http://schemas.openxmlformats.org/officeDocument/2006/relationships/image" Target="media/image37.png"/><Relationship Id="rId80" Type="http://schemas.openxmlformats.org/officeDocument/2006/relationships/hyperlink" Target="https://cloud.ibm.com/docs/Cloudant" TargetMode="External"/><Relationship Id="rId81" Type="http://schemas.openxmlformats.org/officeDocument/2006/relationships/image" Target="media/image38.png"/><Relationship Id="rId82" Type="http://schemas.openxmlformats.org/officeDocument/2006/relationships/hyperlink" Target="https://en.wangsu.com/document/cdnpro/ibmcloud" TargetMode="External"/><Relationship Id="rId83" Type="http://schemas.openxmlformats.org/officeDocument/2006/relationships/image" Target="media/image39.png"/><Relationship Id="rId84" Type="http://schemas.openxmlformats.org/officeDocument/2006/relationships/hyperlink" Target="https://test.cloud.ibm.com/docs/vpc?topic=vpc-about-cluster-network#cluster-network-getting-started" TargetMode="External"/><Relationship Id="rId85" Type="http://schemas.openxmlformats.org/officeDocument/2006/relationships/image" Target="media/image40.png"/><Relationship Id="rId86" Type="http://schemas.openxmlformats.org/officeDocument/2006/relationships/hyperlink" Target="https://cloud.ibm.com/docs/power-iaas?topic=power-iaas-backup-strategies#baas" TargetMode="External"/><Relationship Id="rId87" Type="http://schemas.openxmlformats.org/officeDocument/2006/relationships/image" Target="media/image41.png"/><Relationship Id="rId88" Type="http://schemas.openxmlformats.org/officeDocument/2006/relationships/hyperlink" Target="https://cloud.ibm.com/docs/codeengine?topic=codeengine-getting-started" TargetMode="External"/><Relationship Id="rId89" Type="http://schemas.openxmlformats.org/officeDocument/2006/relationships/image" Target="media/image42.png"/><Relationship Id="rId90" Type="http://schemas.openxmlformats.org/officeDocument/2006/relationships/hyperlink" Target="https://help.cognitiveview.com/hc/en-us/categories/360003768493-Cognitive-View-Platform-Documentation" TargetMode="External"/><Relationship Id="rId91" Type="http://schemas.openxmlformats.org/officeDocument/2006/relationships/image" Target="media/image43.png"/><Relationship Id="rId92" Type="http://schemas.openxmlformats.org/officeDocument/2006/relationships/hyperlink" Target="https://cloud.ibm.com/docs/Registry?topic=Registry-getting-started" TargetMode="External"/><Relationship Id="rId93" Type="http://schemas.openxmlformats.org/officeDocument/2006/relationships/image" Target="media/image44.png"/><Relationship Id="rId94" Type="http://schemas.openxmlformats.org/officeDocument/2006/relationships/hyperlink" Target="https://cloud.ibm.com/docs"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freschesolutions.com/products/ktlo-managed-services/" TargetMode="External"/><Relationship Id="rId193" Type="http://schemas.openxmlformats.org/officeDocument/2006/relationships/image" Target="media/image94.png"/><Relationship Id="rId194" Type="http://schemas.openxmlformats.org/officeDocument/2006/relationships/hyperlink" Target="https://freschesolutions.com/products/ktlo-managed-services/" TargetMode="External"/><Relationship Id="rId195" Type="http://schemas.openxmlformats.org/officeDocument/2006/relationships/image" Target="media/image95.png"/><Relationship Id="rId196" Type="http://schemas.openxmlformats.org/officeDocument/2006/relationships/hyperlink" Target="https://www.freschesolutions.com" TargetMode="External"/><Relationship Id="rId197" Type="http://schemas.openxmlformats.org/officeDocument/2006/relationships/image" Target="media/image96.png"/><Relationship Id="rId198" Type="http://schemas.openxmlformats.org/officeDocument/2006/relationships/hyperlink" Target="https://fresche.atlassian.net/wiki/spaces/TGW/overview" TargetMode="External"/><Relationship Id="rId199" Type="http://schemas.openxmlformats.org/officeDocument/2006/relationships/image" Target="media/image97.png"/><Relationship Id="rId200" Type="http://schemas.openxmlformats.org/officeDocument/2006/relationships/hyperlink" Target="https://www.myfreschesolutions.com/nexus/ui/docs?root=0&amp;docId=568" TargetMode="External"/><Relationship Id="rId201" Type="http://schemas.openxmlformats.org/officeDocument/2006/relationships/image" Target="media/image98.png"/><Relationship Id="rId202" Type="http://schemas.openxmlformats.org/officeDocument/2006/relationships/hyperlink" Target="https://cloud.ibm.com/docs/infrastructure/hardware-firewall-shared" TargetMode="External"/><Relationship Id="rId203" Type="http://schemas.openxmlformats.org/officeDocument/2006/relationships/image" Target="media/image99.png"/><Relationship Id="rId204" Type="http://schemas.openxmlformats.org/officeDocument/2006/relationships/hyperlink" Target="https://cloud.ibm.com/services/vmwaresolutions/services/f5_considerations.html" TargetMode="External"/><Relationship Id="rId205" Type="http://schemas.openxmlformats.org/officeDocument/2006/relationships/image" Target="media/image100.png"/><Relationship Id="rId206" Type="http://schemas.openxmlformats.org/officeDocument/2006/relationships/hyperlink" Target="https://hdm.primaryio.com/lp/docs"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f5_considerations.html" TargetMode="External"/><Relationship Id="rId209" Type="http://schemas.openxmlformats.org/officeDocument/2006/relationships/image" Target="media/image102.png"/><Relationship Id="rId210" Type="http://schemas.openxmlformats.org/officeDocument/2006/relationships/hyperlink" Target="https://cloud.ibm.com/docs" TargetMode="External"/><Relationship Id="rId211" Type="http://schemas.openxmlformats.org/officeDocument/2006/relationships/image" Target="media/image103.png"/><Relationship Id="rId212" Type="http://schemas.openxmlformats.org/officeDocument/2006/relationships/hyperlink" Target="https://cloud.ibm.com/docs/hs-crypto?topic=hs-crypto-get-started" TargetMode="External"/><Relationship Id="rId213" Type="http://schemas.openxmlformats.org/officeDocument/2006/relationships/image" Target="media/image104.png"/><Relationship Id="rId214" Type="http://schemas.openxmlformats.org/officeDocument/2006/relationships/hyperlink" Target="https://cloud.ibm.com/docs/hp-virtual-servers" TargetMode="External"/><Relationship Id="rId215" Type="http://schemas.openxmlformats.org/officeDocument/2006/relationships/image" Target="media/image105.png"/><Relationship Id="rId216" Type="http://schemas.openxmlformats.org/officeDocument/2006/relationships/hyperlink" Target="https://cloud.ibm.com/services/vmwaresolutions/services/htcc_considerations.html" TargetMode="External"/><Relationship Id="rId217" Type="http://schemas.openxmlformats.org/officeDocument/2006/relationships/image" Target="media/image106.png"/><Relationship Id="rId218" Type="http://schemas.openxmlformats.org/officeDocument/2006/relationships/hyperlink" Target="https://cloud.ibm.com/services/vmwaresolutions/services/htdc_considerations.html" TargetMode="External"/><Relationship Id="rId219" Type="http://schemas.openxmlformats.org/officeDocument/2006/relationships/image" Target="media/image107.png"/><Relationship Id="rId220" Type="http://schemas.openxmlformats.org/officeDocument/2006/relationships/hyperlink" Target="https://cloud.ibm.com/services/vmwaresolutions/services/htkc_considerations.html" TargetMode="External"/><Relationship Id="rId221" Type="http://schemas.openxmlformats.org/officeDocument/2006/relationships/image" Target="media/image108.png"/><Relationship Id="rId222" Type="http://schemas.openxmlformats.org/officeDocument/2006/relationships/hyperlink" Target="https://cloud.ibm.com/docs/ibmi-managed-powervs" TargetMode="External"/><Relationship Id="rId223" Type="http://schemas.openxmlformats.org/officeDocument/2006/relationships/image" Target="media/image109.png"/><Relationship Id="rId224" Type="http://schemas.openxmlformats.org/officeDocument/2006/relationships/hyperlink" Target="https://cloud.ibm.com/docs/vpc?topic=vpc-about-images" TargetMode="External"/><Relationship Id="rId225" Type="http://schemas.openxmlformats.org/officeDocument/2006/relationships/image" Target="media/image110.png"/><Relationship Id="rId226" Type="http://schemas.openxmlformats.org/officeDocument/2006/relationships/hyperlink" Target="https://cloud.ibm.com/docs/vpc?topic=vpc-getting-started" TargetMode="External"/><Relationship Id="rId227" Type="http://schemas.openxmlformats.org/officeDocument/2006/relationships/image" Target="media/image111.png"/><Relationship Id="rId228" Type="http://schemas.openxmlformats.org/officeDocument/2006/relationships/hyperlink" Target="https://cloud.ibm.com/docs/cis?topic=cis-getting-started" TargetMode="External"/><Relationship Id="rId229" Type="http://schemas.openxmlformats.org/officeDocument/2006/relationships/image" Target="media/image112.png"/><Relationship Id="rId230" Type="http://schemas.openxmlformats.org/officeDocument/2006/relationships/hyperlink" Target="https://console.bluemix.net/docs/infrastructure/iaas-vpn/set-up-ipsec-vpn.html" TargetMode="External"/><Relationship Id="rId231" Type="http://schemas.openxmlformats.org/officeDocument/2006/relationships/image" Target="media/image113.png"/><Relationship Id="rId232" Type="http://schemas.openxmlformats.org/officeDocument/2006/relationships/hyperlink" Target="https://cloud.ibm.com/docs/infrastructure/vsrx?topic=vsrx-getting-started" TargetMode="External"/><Relationship Id="rId233" Type="http://schemas.openxmlformats.org/officeDocument/2006/relationships/image" Target="media/image114.png"/><Relationship Id="rId234" Type="http://schemas.openxmlformats.org/officeDocument/2006/relationships/hyperlink" Target="https://console.bluemix.net/docs/services/key-protect/index.html" TargetMode="External"/><Relationship Id="rId235" Type="http://schemas.openxmlformats.org/officeDocument/2006/relationships/image" Target="media/image115.png"/><Relationship Id="rId236" Type="http://schemas.openxmlformats.org/officeDocument/2006/relationships/hyperlink" Target="https://cloud.ibm.com/services/vmwaresolutions/services/kmip_considerations.html" TargetMode="External"/><Relationship Id="rId237" Type="http://schemas.openxmlformats.org/officeDocument/2006/relationships/image" Target="media/image116.png"/><Relationship Id="rId238" Type="http://schemas.openxmlformats.org/officeDocument/2006/relationships/hyperlink" Target="https://cloud.ibm.com/docs/services/watson-knowledge-studio/index.html" TargetMode="External"/><Relationship Id="rId239" Type="http://schemas.openxmlformats.org/officeDocument/2006/relationships/image" Target="media/image117.png"/><Relationship Id="rId240" Type="http://schemas.openxmlformats.org/officeDocument/2006/relationships/hyperlink" Target="https://www.komprise.com/support/" TargetMode="External"/><Relationship Id="rId241" Type="http://schemas.openxmlformats.org/officeDocument/2006/relationships/image" Target="media/image118.png"/><Relationship Id="rId242" Type="http://schemas.openxmlformats.org/officeDocument/2006/relationships/hyperlink" Target="https://www.komprise.com/support/" TargetMode="External"/><Relationship Id="rId243" Type="http://schemas.openxmlformats.org/officeDocument/2006/relationships/image" Target="media/image119.png"/><Relationship Id="rId244" Type="http://schemas.openxmlformats.org/officeDocument/2006/relationships/hyperlink" Target="https://cloud.ibm.com/docs/containers?topic=containers-getting-started#getting-started" TargetMode="External"/><Relationship Id="rId245" Type="http://schemas.openxmlformats.org/officeDocument/2006/relationships/image" Target="media/image120.png"/><Relationship Id="rId246" Type="http://schemas.openxmlformats.org/officeDocument/2006/relationships/hyperlink" Target="https://cloud.ibm.com/docs/vpc?topic=vpc-nlb-vs-elb" TargetMode="External"/><Relationship Id="rId247" Type="http://schemas.openxmlformats.org/officeDocument/2006/relationships/image" Target="media/image121.png"/><Relationship Id="rId248" Type="http://schemas.openxmlformats.org/officeDocument/2006/relationships/hyperlink" Target="https://www.seagate.com/manuals/lyve-management-portal/" TargetMode="External"/><Relationship Id="rId249" Type="http://schemas.openxmlformats.org/officeDocument/2006/relationships/image" Target="media/image122.png"/><Relationship Id="rId250" Type="http://schemas.openxmlformats.org/officeDocument/2006/relationships/hyperlink" Target="https://cloud.ibm.com/services/vmwaresolutions/services/managing_veeam_services.html"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zerto_services.html" TargetMode="External"/><Relationship Id="rId253" Type="http://schemas.openxmlformats.org/officeDocument/2006/relationships/image" Target="media/image124.png"/><Relationship Id="rId254" Type="http://schemas.openxmlformats.org/officeDocument/2006/relationships/hyperlink" Target="https://cloud.ibm.com/docs" TargetMode="External"/><Relationship Id="rId255" Type="http://schemas.openxmlformats.org/officeDocument/2006/relationships/image" Target="media/image125.png"/><Relationship Id="rId256" Type="http://schemas.openxmlformats.org/officeDocument/2006/relationships/hyperlink" Target="https://cloud.ibm.com/services/vmwaresolutions/services/managing_imi.html" TargetMode="External"/><Relationship Id="rId257" Type="http://schemas.openxmlformats.org/officeDocument/2006/relationships/image" Target="media/image126.png"/><Relationship Id="rId258" Type="http://schemas.openxmlformats.org/officeDocument/2006/relationships/hyperlink" Target="https://dataplatform.test.cloud.ibm.com/docs/content/svc-welcome/mdm.html" TargetMode="External"/><Relationship Id="rId259" Type="http://schemas.openxmlformats.org/officeDocument/2006/relationships/image" Target="media/image127.png"/><Relationship Id="rId260" Type="http://schemas.openxmlformats.org/officeDocument/2006/relationships/hyperlink" Target="https://cloud.ibm.com/docs/messages-for-rabbitmq" TargetMode="External"/><Relationship Id="rId261" Type="http://schemas.openxmlformats.org/officeDocument/2006/relationships/image" Target="media/image128.png"/><Relationship Id="rId262" Type="http://schemas.openxmlformats.org/officeDocument/2006/relationships/hyperlink" Target="https://docs.min.io" TargetMode="External"/><Relationship Id="rId263" Type="http://schemas.openxmlformats.org/officeDocument/2006/relationships/image" Target="media/image129.png"/><Relationship Id="rId264" Type="http://schemas.openxmlformats.org/officeDocument/2006/relationships/hyperlink" Target="https://one.mono-x.com/one" TargetMode="External"/><Relationship Id="rId265" Type="http://schemas.openxmlformats.org/officeDocument/2006/relationships/image" Target="media/image130.png"/><Relationship Id="rId266" Type="http://schemas.openxmlformats.org/officeDocument/2006/relationships/hyperlink" Target="https://cloud.ibm.com/docs/mqcloud/index.html" TargetMode="External"/><Relationship Id="rId267" Type="http://schemas.openxmlformats.org/officeDocument/2006/relationships/image" Target="media/image131.png"/><Relationship Id="rId268" Type="http://schemas.openxmlformats.org/officeDocument/2006/relationships/hyperlink" Target="https://cloud.ibm.com/docs/vpc/getting-started.html" TargetMode="External"/><Relationship Id="rId269" Type="http://schemas.openxmlformats.org/officeDocument/2006/relationships/image" Target="media/image132.png"/><Relationship Id="rId270" Type="http://schemas.openxmlformats.org/officeDocument/2006/relationships/hyperlink" Target="https://cloud.ibm.com/docs/services/natural-language-understanding/getting-started.html" TargetMode="External"/><Relationship Id="rId271" Type="http://schemas.openxmlformats.org/officeDocument/2006/relationships/image" Target="media/image133.png"/><Relationship Id="rId272" Type="http://schemas.openxmlformats.org/officeDocument/2006/relationships/hyperlink" Target="https://cloud.ibm.com/services/vmwaresolutions/netapp/np_netappoverview.html" TargetMode="External"/><Relationship Id="rId273" Type="http://schemas.openxmlformats.org/officeDocument/2006/relationships/image" Target="media/image134.png"/><Relationship Id="rId274" Type="http://schemas.openxmlformats.org/officeDocument/2006/relationships/hyperlink" Target="https://cloud.ibm.com/docs/netezza" TargetMode="External"/><Relationship Id="rId275" Type="http://schemas.openxmlformats.org/officeDocument/2006/relationships/image" Target="media/image135.png"/><Relationship Id="rId276" Type="http://schemas.openxmlformats.org/officeDocument/2006/relationships/hyperlink" Target="https://cloud.ibm.com/docs/vpc?topic=vpc-using-acls" TargetMode="External"/><Relationship Id="rId277" Type="http://schemas.openxmlformats.org/officeDocument/2006/relationships/image" Target="media/image136.png"/><Relationship Id="rId278" Type="http://schemas.openxmlformats.org/officeDocument/2006/relationships/hyperlink" Target="https://neuralseek.com/documentation" TargetMode="External"/><Relationship Id="rId279" Type="http://schemas.openxmlformats.org/officeDocument/2006/relationships/image" Target="media/image137.png"/><Relationship Id="rId280" Type="http://schemas.openxmlformats.org/officeDocument/2006/relationships/hyperlink" Target="https://neuralseek.com" TargetMode="External"/><Relationship Id="rId281" Type="http://schemas.openxmlformats.org/officeDocument/2006/relationships/image" Target="media/image138.png"/><Relationship Id="rId282" Type="http://schemas.openxmlformats.org/officeDocument/2006/relationships/hyperlink" Target="https://cloud.ibm.com/docs/openpages?topic=openpages-gettingstartedtutorial"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onsole.cloud.ibm.com/docs/services/consult-with-icg-wes/" TargetMode="External"/><Relationship Id="rId287" Type="http://schemas.openxmlformats.org/officeDocument/2006/relationships/image" Target="media/image141.png"/><Relationship Id="rId288" Type="http://schemas.openxmlformats.org/officeDocument/2006/relationships/hyperlink" Target="https://console.cloud.ibm.com/docs/services/consult-with-icg-wes/" TargetMode="External"/><Relationship Id="rId289" Type="http://schemas.openxmlformats.org/officeDocument/2006/relationships/image" Target="media/image142.png"/><Relationship Id="rId290" Type="http://schemas.openxmlformats.org/officeDocument/2006/relationships/hyperlink" Target="https://console.cloud.ibm.com/docs/services/consult-with-icg-wes/" TargetMode="External"/><Relationship Id="rId291" Type="http://schemas.openxmlformats.org/officeDocument/2006/relationships/image" Target="media/image143.png"/><Relationship Id="rId292" Type="http://schemas.openxmlformats.org/officeDocument/2006/relationships/hyperlink" Target="https://cloud.ibm.com/docs/vpc?topic=vpc-getting-started" TargetMode="External"/><Relationship Id="rId293" Type="http://schemas.openxmlformats.org/officeDocument/2006/relationships/image" Target="media/image144.png"/><Relationship Id="rId294" Type="http://schemas.openxmlformats.org/officeDocument/2006/relationships/hyperlink" Target="https://www.ibm.com/docs/en/planning-analytics/2.0.0?topic=service-get-started-planning-analytics-as" TargetMode="External"/><Relationship Id="rId295" Type="http://schemas.openxmlformats.org/officeDocument/2006/relationships/image" Target="media/image145.png"/><Relationship Id="rId296" Type="http://schemas.openxmlformats.org/officeDocument/2006/relationships/hyperlink" Target="https://docs.portworx.com/portworx-enterprise/install-portworx/kubernetes/ibm" TargetMode="External"/><Relationship Id="rId297" Type="http://schemas.openxmlformats.org/officeDocument/2006/relationships/image" Target="media/image146.png"/><Relationship Id="rId298" Type="http://schemas.openxmlformats.org/officeDocument/2006/relationships/hyperlink" Target="https://wiki.bus4i.com/bin/view/Main/BUS4i/BUS4i%20Service%20Information" TargetMode="External"/><Relationship Id="rId299" Type="http://schemas.openxmlformats.org/officeDocument/2006/relationships/image" Target="media/image147.png"/><Relationship Id="rId300" Type="http://schemas.openxmlformats.org/officeDocument/2006/relationships/hyperlink" Target="https://wiki.bus4i.com/bin/view/Main/BUS4i/BUS4i%20Service%20Information" TargetMode="External"/><Relationship Id="rId301" Type="http://schemas.openxmlformats.org/officeDocument/2006/relationships/image" Target="media/image148.png"/><Relationship Id="rId302" Type="http://schemas.openxmlformats.org/officeDocument/2006/relationships/hyperlink" Target="https://cloud.ibm.com/docs/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dr-automation-powervs"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cloud.ibm.com/docs/infrastructure/power-iaas?topic=power-iaas-getting-started" TargetMode="External"/><Relationship Id="rId321" Type="http://schemas.openxmlformats.org/officeDocument/2006/relationships/image" Target="media/image158.png"/><Relationship Id="rId322" Type="http://schemas.openxmlformats.org/officeDocument/2006/relationships/hyperlink" Target="https://cloud.ibm.com/docs/infrastructure/power-iaas?topic=power-iaas-getting-started" TargetMode="External"/><Relationship Id="rId323" Type="http://schemas.openxmlformats.org/officeDocument/2006/relationships/image" Target="media/image159.png"/><Relationship Id="rId324" Type="http://schemas.openxmlformats.org/officeDocument/2006/relationships/hyperlink" Target="https://cloud.ibm.com/docs/infrastructure/power-iaas?topic=power-iaas-getting-started" TargetMode="External"/><Relationship Id="rId325" Type="http://schemas.openxmlformats.org/officeDocument/2006/relationships/image" Target="media/image160.png"/><Relationship Id="rId326" Type="http://schemas.openxmlformats.org/officeDocument/2006/relationships/hyperlink" Target="https://docs.wanclouds.net/ibm/ibmpowervs-get-started" TargetMode="External"/><Relationship Id="rId327" Type="http://schemas.openxmlformats.org/officeDocument/2006/relationships/image" Target="media/image161.png"/><Relationship Id="rId328" Type="http://schemas.openxmlformats.org/officeDocument/2006/relationships/hyperlink" Target="https://cloud.ibm.com/docs/private-path" TargetMode="External"/><Relationship Id="rId329" Type="http://schemas.openxmlformats.org/officeDocument/2006/relationships/image" Target="media/image162.png"/><Relationship Id="rId330" Type="http://schemas.openxmlformats.org/officeDocument/2006/relationships/hyperlink" Target="https://cloud.ibm.com/docs" TargetMode="External"/><Relationship Id="rId331" Type="http://schemas.openxmlformats.org/officeDocument/2006/relationships/image" Target="media/image163.png"/><Relationship Id="rId332" Type="http://schemas.openxmlformats.org/officeDocument/2006/relationships/hyperlink" Target="https://www.profi-ag.de/loesungen/multi-cloud/" TargetMode="External"/><Relationship Id="rId333" Type="http://schemas.openxmlformats.org/officeDocument/2006/relationships/image" Target="media/image164.png"/><Relationship Id="rId334" Type="http://schemas.openxmlformats.org/officeDocument/2006/relationships/hyperlink" Target="https://docs.primaryio.com/protectio" TargetMode="External"/><Relationship Id="rId335" Type="http://schemas.openxmlformats.org/officeDocument/2006/relationships/image" Target="media/image165.png"/><Relationship Id="rId336" Type="http://schemas.openxmlformats.org/officeDocument/2006/relationships/hyperlink" Target="https://cloud.ibm.com/docs/infrastructure/vpc?topic=vpc-getting-started-with-ibm-cloud-virtual-private-cloud-infrastructure" TargetMode="External"/><Relationship Id="rId337" Type="http://schemas.openxmlformats.org/officeDocument/2006/relationships/image" Target="media/image166.png"/><Relationship Id="rId338" Type="http://schemas.openxmlformats.org/officeDocument/2006/relationships/hyperlink" Target="https://mono-x.com/pvsone/index.html" TargetMode="External"/><Relationship Id="rId339" Type="http://schemas.openxmlformats.org/officeDocument/2006/relationships/image" Target="media/image167.png"/><Relationship Id="rId340" Type="http://schemas.openxmlformats.org/officeDocument/2006/relationships/hyperlink" Target="https://backup.docs.portworx.com/" TargetMode="External"/><Relationship Id="rId341" Type="http://schemas.openxmlformats.org/officeDocument/2006/relationships/image" Target="media/image168.png"/><Relationship Id="rId342" Type="http://schemas.openxmlformats.org/officeDocument/2006/relationships/hyperlink" Target="https://quantum.cloud.ibm.com/docs" TargetMode="External"/><Relationship Id="rId343" Type="http://schemas.openxmlformats.org/officeDocument/2006/relationships/image" Target="media/image169.png"/><Relationship Id="rId344" Type="http://schemas.openxmlformats.org/officeDocument/2006/relationships/hyperlink" Target="https://www.cloudraxak.com" TargetMode="External"/><Relationship Id="rId345" Type="http://schemas.openxmlformats.org/officeDocument/2006/relationships/image" Target="media/image170.png"/><Relationship Id="rId346" Type="http://schemas.openxmlformats.org/officeDocument/2006/relationships/hyperlink" Target="https://cloud.ibm.com/docs/instructlab?topic=instructlab-getting-started" TargetMode="External"/><Relationship Id="rId347" Type="http://schemas.openxmlformats.org/officeDocument/2006/relationships/image" Target="media/image171.png"/><Relationship Id="rId348" Type="http://schemas.openxmlformats.org/officeDocument/2006/relationships/hyperlink" Target="https://cloud.ibm.com/docs/openshift?topic=openshift-getting-started" TargetMode="External"/><Relationship Id="rId349" Type="http://schemas.openxmlformats.org/officeDocument/2006/relationships/image" Target="media/image172.png"/><Relationship Id="rId350" Type="http://schemas.openxmlformats.org/officeDocument/2006/relationships/hyperlink" Target="https://cloud.ibm.com/docs/satellite?topic=satellite-getting-started" TargetMode="External"/><Relationship Id="rId351" Type="http://schemas.openxmlformats.org/officeDocument/2006/relationships/image" Target="media/image173.png"/><Relationship Id="rId352" Type="http://schemas.openxmlformats.org/officeDocument/2006/relationships/hyperlink" Target="https://cloud.ibm.com/docs/schematics?topic=schematics-getting-started" TargetMode="External"/><Relationship Id="rId353" Type="http://schemas.openxmlformats.org/officeDocument/2006/relationships/image" Target="media/image174.png"/><Relationship Id="rId354" Type="http://schemas.openxmlformats.org/officeDocument/2006/relationships/hyperlink" Target="https://cloud.ibm.com/docs/subnets" TargetMode="External"/><Relationship Id="rId355" Type="http://schemas.openxmlformats.org/officeDocument/2006/relationships/image" Target="media/image175.png"/><Relationship Id="rId356" Type="http://schemas.openxmlformats.org/officeDocument/2006/relationships/hyperlink" Target="https://cloud.ibm.com/docs/secrets-manager?topic=secrets-manager-getting-started#getting-started" TargetMode="External"/><Relationship Id="rId357" Type="http://schemas.openxmlformats.org/officeDocument/2006/relationships/image" Target="media/image176.png"/><Relationship Id="rId358" Type="http://schemas.openxmlformats.org/officeDocument/2006/relationships/hyperlink" Target="https://cloud.ibm.com/docs/SecureGateway" TargetMode="External"/><Relationship Id="rId359" Type="http://schemas.openxmlformats.org/officeDocument/2006/relationships/image" Target="media/image177.png"/><Relationship Id="rId360" Type="http://schemas.openxmlformats.org/officeDocument/2006/relationships/hyperlink" Target="https://cloud.ibm.com/docs/security-compliance?topic=security-compliance-getting-started" TargetMode="External"/><Relationship Id="rId361" Type="http://schemas.openxmlformats.org/officeDocument/2006/relationships/image" Target="media/image178.png"/><Relationship Id="rId362" Type="http://schemas.openxmlformats.org/officeDocument/2006/relationships/hyperlink" Target="https://cloud.ibm.com/docs/workload-protection?topic=workload-protection-getting-started" TargetMode="External"/><Relationship Id="rId363" Type="http://schemas.openxmlformats.org/officeDocument/2006/relationships/image" Target="media/image179.png"/><Relationship Id="rId364" Type="http://schemas.openxmlformats.org/officeDocument/2006/relationships/hyperlink" Target="https://cloud.ibm.com/docs/vpc?topic=vpc-using-security-groups" TargetMode="External"/><Relationship Id="rId365" Type="http://schemas.openxmlformats.org/officeDocument/2006/relationships/image" Target="media/image180.png"/><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81.png"/><Relationship Id="rId368" Type="http://schemas.openxmlformats.org/officeDocument/2006/relationships/hyperlink" Target="https://cloud.ibm.com/services/vmwaresolutions/vcstrial" TargetMode="External"/><Relationship Id="rId369" Type="http://schemas.openxmlformats.org/officeDocument/2006/relationships/image" Target="media/image182.png"/><Relationship Id="rId370" Type="http://schemas.openxmlformats.org/officeDocument/2006/relationships/hyperlink" Target="https://cloud.ibm.com/services/vmwaresolutions/services/spp_considerations.html" TargetMode="External"/><Relationship Id="rId371" Type="http://schemas.openxmlformats.org/officeDocument/2006/relationships/image" Target="media/image183.png"/><Relationship Id="rId372" Type="http://schemas.openxmlformats.org/officeDocument/2006/relationships/hyperlink" Target="https://cloud.ibm.com/docs/speech-to-text?topic=speech-to-text-gettingStarted" TargetMode="External"/><Relationship Id="rId373" Type="http://schemas.openxmlformats.org/officeDocument/2006/relationships/image" Target="media/image184.png"/><Relationship Id="rId374" Type="http://schemas.openxmlformats.org/officeDocument/2006/relationships/hyperlink" Target="https://console.bluemix.net/docs/infrastructure/vpc/getting-started.html" TargetMode="External"/><Relationship Id="rId375" Type="http://schemas.openxmlformats.org/officeDocument/2006/relationships/image" Target="media/image185.png"/><Relationship Id="rId376" Type="http://schemas.openxmlformats.org/officeDocument/2006/relationships/hyperlink" Target="https://cloud.ibm.com/docs/ssl-certificates" TargetMode="External"/><Relationship Id="rId377" Type="http://schemas.openxmlformats.org/officeDocument/2006/relationships/image" Target="media/image186.png"/><Relationship Id="rId378" Type="http://schemas.openxmlformats.org/officeDocument/2006/relationships/hyperlink" Target="https://portal.myhsm.com/s-payhsm/documents/general" TargetMode="External"/><Relationship Id="rId379" Type="http://schemas.openxmlformats.org/officeDocument/2006/relationships/image" Target="media/image187.png"/><Relationship Id="rId380" Type="http://schemas.openxmlformats.org/officeDocument/2006/relationships/hyperlink" Target="https://starsystems.in/vmware-vlp/" TargetMode="External"/><Relationship Id="rId381" Type="http://schemas.openxmlformats.org/officeDocument/2006/relationships/image" Target="media/image188.png"/><Relationship Id="rId382" Type="http://schemas.openxmlformats.org/officeDocument/2006/relationships/hyperlink" Target="https://cloud.ibm.com/docs/cephaas" TargetMode="External"/><Relationship Id="rId383" Type="http://schemas.openxmlformats.org/officeDocument/2006/relationships/image" Target="media/image189.png"/><Relationship Id="rId384" Type="http://schemas.openxmlformats.org/officeDocument/2006/relationships/hyperlink" Target="https://cloud.ibm.com/docs/services/StreamingAnalytics?topic=StreamingAnalytics-gettingstarted#gettingstarted" TargetMode="External"/><Relationship Id="rId385" Type="http://schemas.openxmlformats.org/officeDocument/2006/relationships/image" Target="media/image190.png"/><Relationship Id="rId386" Type="http://schemas.openxmlformats.org/officeDocument/2006/relationships/hyperlink" Target="https://cloud.ibm.com/docs/vpc?topic=vpc-about-subnets-vpc" TargetMode="External"/><Relationship Id="rId387" Type="http://schemas.openxmlformats.org/officeDocument/2006/relationships/image" Target="media/image191.png"/><Relationship Id="rId388" Type="http://schemas.openxmlformats.org/officeDocument/2006/relationships/hyperlink" Target="https://techd.com" TargetMode="External"/><Relationship Id="rId389" Type="http://schemas.openxmlformats.org/officeDocument/2006/relationships/image" Target="media/image192.png"/><Relationship Id="rId390" Type="http://schemas.openxmlformats.org/officeDocument/2006/relationships/hyperlink" Target="https://cloud.ibm.com/docs/text-to-speech?topic=text-to-speech-gettingStarted" TargetMode="External"/><Relationship Id="rId391" Type="http://schemas.openxmlformats.org/officeDocument/2006/relationships/image" Target="media/image193.png"/><Relationship Id="rId392" Type="http://schemas.openxmlformats.org/officeDocument/2006/relationships/hyperlink" Target="https://cloud.ibm.com/docs/services/ContinuousDelivery?topic=ContinuousDelivery-getting-started" TargetMode="External"/><Relationship Id="rId393" Type="http://schemas.openxmlformats.org/officeDocument/2006/relationships/image" Target="media/image194.png"/><Relationship Id="rId394" Type="http://schemas.openxmlformats.org/officeDocument/2006/relationships/hyperlink" Target="https://sitemaps-files-trademo-public-latest.s3.us.cloud-object-storage.appdomain.cloud/TradeScreen%20IBM%20catalog_Documentation%20URL.pdf" TargetMode="External"/><Relationship Id="rId395" Type="http://schemas.openxmlformats.org/officeDocument/2006/relationships/image" Target="media/image195.png"/><Relationship Id="rId396" Type="http://schemas.openxmlformats.org/officeDocument/2006/relationships/hyperlink" Target="https://console.bluemix.net/docs/infrastructure/transit-gateway/getting-started.html" TargetMode="External"/><Relationship Id="rId397" Type="http://schemas.openxmlformats.org/officeDocument/2006/relationships/image" Target="media/image196.png"/><Relationship Id="rId398" Type="http://schemas.openxmlformats.org/officeDocument/2006/relationships/hyperlink" Target="https://cloud.ibm.com/docs/vmware-service?topic=vmware-service-getting-started" TargetMode="External"/><Relationship Id="rId399" Type="http://schemas.openxmlformats.org/officeDocument/2006/relationships/image" Target="media/image197.png"/><Relationship Id="rId400" Type="http://schemas.openxmlformats.org/officeDocument/2006/relationships/hyperlink" Target="https://cloud.ibm.com/docs/vmware-service?topic=vmware-service-getting-started" TargetMode="External"/><Relationship Id="rId401" Type="http://schemas.openxmlformats.org/officeDocument/2006/relationships/image" Target="media/image198.png"/><Relationship Id="rId402" Type="http://schemas.openxmlformats.org/officeDocument/2006/relationships/hyperlink" Target="https://cloud.ibm.com/docs/vmware-service?topic=vmware-service-getting-started" TargetMode="External"/><Relationship Id="rId403" Type="http://schemas.openxmlformats.org/officeDocument/2006/relationships/image" Target="media/image199.png"/><Relationship Id="rId404" Type="http://schemas.openxmlformats.org/officeDocument/2006/relationships/hyperlink" Target="https://cloud.ibm.com/services/vmwaresolutions/services/veeam_considerations.html" TargetMode="External"/><Relationship Id="rId405" Type="http://schemas.openxmlformats.org/officeDocument/2006/relationships/image" Target="media/image200.png"/><Relationship Id="rId406" Type="http://schemas.openxmlformats.org/officeDocument/2006/relationships/hyperlink" Target="https://docs.verify.ibm.com/verify" TargetMode="External"/><Relationship Id="rId407" Type="http://schemas.openxmlformats.org/officeDocument/2006/relationships/image" Target="media/image201.png"/><Relationship Id="rId408" Type="http://schemas.openxmlformats.org/officeDocument/2006/relationships/hyperlink" Target="https://test.cloud.ibm.com/docs/vpc?topic=vpc-getting-started" TargetMode="External"/><Relationship Id="rId409" Type="http://schemas.openxmlformats.org/officeDocument/2006/relationships/image" Target="media/image202.png"/><Relationship Id="rId410" Type="http://schemas.openxmlformats.org/officeDocument/2006/relationships/hyperlink" Target="https://cloud.ibm.com/docs/vpc/getting-started.html" TargetMode="External"/><Relationship Id="rId411" Type="http://schemas.openxmlformats.org/officeDocument/2006/relationships/image" Target="media/image203.png"/><Relationship Id="rId412" Type="http://schemas.openxmlformats.org/officeDocument/2006/relationships/hyperlink" Target="https://cloud.ibm.com/docs/vpc?topic=vpc-about-vpe" TargetMode="External"/><Relationship Id="rId413" Type="http://schemas.openxmlformats.org/officeDocument/2006/relationships/image" Target="media/image204.png"/><Relationship Id="rId414" Type="http://schemas.openxmlformats.org/officeDocument/2006/relationships/hyperlink" Target="https://cloud.ibm.com/docs/virtual-router-appliance?topic=virtual-router-appliance-getting-started-vra" TargetMode="External"/><Relationship Id="rId415" Type="http://schemas.openxmlformats.org/officeDocument/2006/relationships/image" Target="media/image205.png"/><Relationship Id="rId416" Type="http://schemas.openxmlformats.org/officeDocument/2006/relationships/hyperlink" Target="https://cloud.ibm.com/docs/vsi" TargetMode="External"/><Relationship Id="rId417" Type="http://schemas.openxmlformats.org/officeDocument/2006/relationships/image" Target="media/image206.png"/><Relationship Id="rId418" Type="http://schemas.openxmlformats.org/officeDocument/2006/relationships/hyperlink" Target="https://cloud.ibm.com/docs/vpc?topic=vpc-creating-virtual-servers" TargetMode="External"/><Relationship Id="rId419" Type="http://schemas.openxmlformats.org/officeDocument/2006/relationships/image" Target="media/image207.png"/><Relationship Id="rId420" Type="http://schemas.openxmlformats.org/officeDocument/2006/relationships/hyperlink" Target="https://cloud.ibm.com/docs" TargetMode="External"/><Relationship Id="rId421" Type="http://schemas.openxmlformats.org/officeDocument/2006/relationships/image" Target="media/image208.png"/><Relationship Id="rId422" Type="http://schemas.openxmlformats.org/officeDocument/2006/relationships/hyperlink" Target="https://hdm.primaryio.com/lp/vmwaas" TargetMode="External"/><Relationship Id="rId423" Type="http://schemas.openxmlformats.org/officeDocument/2006/relationships/image" Target="media/image209.png"/><Relationship Id="rId424" Type="http://schemas.openxmlformats.org/officeDocument/2006/relationships/hyperlink" Target="https://cloud.ibm.com/docs/vmware-service?topic=vmware-service-getting-started" TargetMode="External"/><Relationship Id="rId425" Type="http://schemas.openxmlformats.org/officeDocument/2006/relationships/image" Target="media/image210.png"/><Relationship Id="rId426" Type="http://schemas.openxmlformats.org/officeDocument/2006/relationships/hyperlink" Target="https://cloud.ibm.com/services/vmwaresolutions/vcenter/vc_vcenterserveroverview.html" TargetMode="External"/><Relationship Id="rId427" Type="http://schemas.openxmlformats.org/officeDocument/2006/relationships/image" Target="media/image211.png"/><Relationship Id="rId428" Type="http://schemas.openxmlformats.org/officeDocument/2006/relationships/hyperlink" Target="https://cloud.ibm.com/services/vmwaresolutions/vsphere/vs_vsphereclusteroverview.html" TargetMode="External"/><Relationship Id="rId429" Type="http://schemas.openxmlformats.org/officeDocument/2006/relationships/image" Target="media/image212.png"/><Relationship Id="rId430" Type="http://schemas.openxmlformats.org/officeDocument/2006/relationships/hyperlink" Target="https://docs.wanclouds.net/ibm" TargetMode="External"/><Relationship Id="rId431" Type="http://schemas.openxmlformats.org/officeDocument/2006/relationships/image" Target="media/image213.png"/><Relationship Id="rId432" Type="http://schemas.openxmlformats.org/officeDocument/2006/relationships/hyperlink" Target="https://cloud.ibm.com/docs/wanclouds-vpc-plus/getting-started.html" TargetMode="External"/><Relationship Id="rId433" Type="http://schemas.openxmlformats.org/officeDocument/2006/relationships/image" Target="media/image214.png"/><Relationship Id="rId434" Type="http://schemas.openxmlformats.org/officeDocument/2006/relationships/hyperlink" Target="https://docs.wanclouds.net/ibm/vpc-draas/" TargetMode="External"/><Relationship Id="rId435" Type="http://schemas.openxmlformats.org/officeDocument/2006/relationships/image" Target="media/image215.png"/><Relationship Id="rId436" Type="http://schemas.openxmlformats.org/officeDocument/2006/relationships/hyperlink" Target="https://test.cloud.ibm.com/docs/vpc?topic=vpc-using-vpn" TargetMode="External"/><Relationship Id="rId437" Type="http://schemas.openxmlformats.org/officeDocument/2006/relationships/image" Target="media/image216.png"/><Relationship Id="rId438" Type="http://schemas.openxmlformats.org/officeDocument/2006/relationships/hyperlink" Target="https://cloud.ibm.com/services/vmwaresolutions/services/f5_considerations.html" TargetMode="External"/><Relationship Id="rId439" Type="http://schemas.openxmlformats.org/officeDocument/2006/relationships/image" Target="media/image217.png"/><Relationship Id="rId440" Type="http://schemas.openxmlformats.org/officeDocument/2006/relationships/hyperlink" Target="https://cloud.ibm.com/docs/discovery-data?topic=discovery-data-getting-started" TargetMode="External"/><Relationship Id="rId441" Type="http://schemas.openxmlformats.org/officeDocument/2006/relationships/image" Target="media/image218.png"/><Relationship Id="rId442" Type="http://schemas.openxmlformats.org/officeDocument/2006/relationships/hyperlink" Target="https://ibm.com" TargetMode="External"/><Relationship Id="rId443" Type="http://schemas.openxmlformats.org/officeDocument/2006/relationships/image" Target="media/image219.png"/><Relationship Id="rId444" Type="http://schemas.openxmlformats.org/officeDocument/2006/relationships/hyperlink" Target="https://cloud.ibm.com/docs/watson-assistant?topic=watson-assistant-welcome-new-assistant" TargetMode="External"/><Relationship Id="rId445" Type="http://schemas.openxmlformats.org/officeDocument/2006/relationships/image" Target="media/image220.png"/><Relationship Id="rId446" Type="http://schemas.openxmlformats.org/officeDocument/2006/relationships/hyperlink" Target="https://cloud.ibm.com/docs/watsonx-code-assistant" TargetMode="External"/><Relationship Id="rId447" Type="http://schemas.openxmlformats.org/officeDocument/2006/relationships/image" Target="media/image221.png"/><Relationship Id="rId448" Type="http://schemas.openxmlformats.org/officeDocument/2006/relationships/hyperlink" Target="https://www.ibm.com/docs/en/watson-orchestrate" TargetMode="External"/><Relationship Id="rId449" Type="http://schemas.openxmlformats.org/officeDocument/2006/relationships/image" Target="media/image222.png"/><Relationship Id="rId450" Type="http://schemas.openxmlformats.org/officeDocument/2006/relationships/hyperlink" Target="https://dataplatform.cloud.ibm.com/docs/content/wsj/analyze-data/ml-overview.html" TargetMode="External"/><Relationship Id="rId451" Type="http://schemas.openxmlformats.org/officeDocument/2006/relationships/image" Target="media/image223.png"/><Relationship Id="rId452" Type="http://schemas.openxmlformats.org/officeDocument/2006/relationships/hyperlink" Target="https://dataplatform.cloud.ibm.com/docs" TargetMode="External"/><Relationship Id="rId453" Type="http://schemas.openxmlformats.org/officeDocument/2006/relationships/image" Target="media/image224.png"/><Relationship Id="rId454" Type="http://schemas.openxmlformats.org/officeDocument/2006/relationships/hyperlink" Target="https://cloud.ibm.com/docs/watsonxdata" TargetMode="External"/><Relationship Id="rId455" Type="http://schemas.openxmlformats.org/officeDocument/2006/relationships/image" Target="media/image225.png"/><Relationship Id="rId456" Type="http://schemas.openxmlformats.org/officeDocument/2006/relationships/hyperlink" Target="https://dataplatform.cloud.ibm.com/docs/content/wsj/getting-started/welcome-main.html?context=df&amp;audience=wdp" TargetMode="External"/><Relationship Id="rId457" Type="http://schemas.openxmlformats.org/officeDocument/2006/relationships/image" Target="media/image226.png"/><Relationship Id="rId458" Type="http://schemas.openxmlformats.org/officeDocument/2006/relationships/hyperlink" Target="https://dataplatform.cloud.ibm.com/docs/content/wsj/getting-started/welcome-main.html?context=df&amp;audience=wdp" TargetMode="External"/><Relationship Id="rId459" Type="http://schemas.openxmlformats.org/officeDocument/2006/relationships/image" Target="media/image227.png"/><Relationship Id="rId460" Type="http://schemas.openxmlformats.org/officeDocument/2006/relationships/hyperlink" Target="https://dataplatform.cloud.ibm.com/docs/content/wsj/analyze-data/xgov-overview.html?context=wx&amp;audience=wdp" TargetMode="External"/><Relationship Id="rId461" Type="http://schemas.openxmlformats.org/officeDocument/2006/relationships/image" Target="media/image228.png"/><Relationship Id="rId462" Type="http://schemas.openxmlformats.org/officeDocument/2006/relationships/hyperlink" Target="https://apiwealthgrowth.cognerium.com/api/v1/app_documentation/" TargetMode="External"/><Relationship Id="rId463" Type="http://schemas.openxmlformats.org/officeDocument/2006/relationships/image" Target="media/image229.png"/><Relationship Id="rId46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2025-07-13T12:07:00Z</dcterms:created>
  <dcterms:modified xsi:type="dcterms:W3CDTF">2025-07-13T12:07:00Z</dcterms:modified>
</cp:coreProperties>
</file>