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EF47" w14:textId="77777777" w:rsidR="00362D75" w:rsidRDefault="00573E0D">
      <w:pPr>
        <w:pStyle w:val="Heading1"/>
      </w:pPr>
      <w:r>
        <w:t>Soil Nitrogen Pipeline v3.1 — Model Report</w:t>
      </w:r>
    </w:p>
    <w:p w14:paraId="59BCEF48" w14:textId="11C4FFE4" w:rsidR="00362D75" w:rsidRDefault="00573E0D">
      <w:r>
        <w:t>Sep 21, 2026 · @</w:t>
      </w:r>
      <w:r w:rsidR="001F437B">
        <w:t>Aldi Airori</w:t>
      </w:r>
    </w:p>
    <w:p w14:paraId="59BCEF49" w14:textId="77777777" w:rsidR="00362D75" w:rsidRDefault="00573E0D">
      <w:pPr>
        <w:pStyle w:val="Heading2"/>
      </w:pPr>
      <w:r>
        <w:t>Summary</w:t>
      </w:r>
    </w:p>
    <w:p w14:paraId="59BCEF4A" w14:textId="77777777" w:rsidR="00362D75" w:rsidRDefault="00573E0D">
      <w:r>
        <w:t>v3.1 establishes that a five-year record supports description and association, not prediction — and that the study's only significant management effect belongs to the covariate every importance method ranked last.</w:t>
      </w:r>
    </w:p>
    <w:p w14:paraId="59BCEF4B" w14:textId="77777777" w:rsidR="00362D75" w:rsidRDefault="00573E0D">
      <w:r>
        <w:t>The pipeline fuses soil inorganic nitrogen (NH₄⁺, NO₃⁻) with Google Earth Engine covariates, a per-window water-balance index, and chamber GHG flux. It ranks covariates three independent ways, fits one global Gaussian Process, and validates it against a held-out season.</w:t>
      </w:r>
    </w:p>
    <w:p w14:paraId="59BCEF4C" w14:textId="77777777" w:rsidR="00362D75" w:rsidRDefault="00573E0D">
      <w:r>
        <w:t>What the model supports:</w:t>
      </w:r>
    </w:p>
    <w:p w14:paraId="59BCEF4D" w14:textId="77777777" w:rsidR="00362D75" w:rsidRDefault="00573E0D">
      <w:pPr>
        <w:pStyle w:val="ListParagraph"/>
        <w:numPr>
          <w:ilvl w:val="0"/>
          <w:numId w:val="2"/>
        </w:numPr>
      </w:pPr>
      <w:r>
        <w:rPr>
          <w:b/>
        </w:rPr>
        <w:t>Grazing depletes soil N only where no input replaces it.</w:t>
      </w:r>
      <w:r>
        <w:t xml:space="preserve"> Unfertilized plots lost 11.48 mg kg⁻¹ NH₄⁺ and 14.99 mg kg⁻¹ NO₃⁻ under grazing by 2023 (Holm-corrected p = 0.036 and 0.030 within the 2023 endpoint family). Fertilized and legume plots showed no significant effect.</w:t>
      </w:r>
    </w:p>
    <w:p w14:paraId="59BCEF4E" w14:textId="77777777" w:rsidR="00362D75" w:rsidRDefault="00573E0D">
      <w:pPr>
        <w:pStyle w:val="ListParagraph"/>
        <w:numPr>
          <w:ilvl w:val="0"/>
          <w:numId w:val="2"/>
        </w:numPr>
      </w:pPr>
      <w:r>
        <w:rPr>
          <w:b/>
        </w:rPr>
        <w:t>Grazing ranked last or near-last under every importance method</w:t>
      </w:r>
      <w:r>
        <w:t xml:space="preserve"> — 11th of 11 under impurity importance, in the negative-importance group under permutation. A variable can carry a real, conditional effect without being a useful global predictor.</w:t>
      </w:r>
    </w:p>
    <w:p w14:paraId="59BCEF4F" w14:textId="693CB148" w:rsidR="00362D75" w:rsidRDefault="00573E0D">
      <w:pPr>
        <w:pStyle w:val="ListParagraph"/>
        <w:numPr>
          <w:ilvl w:val="0"/>
          <w:numId w:val="2"/>
        </w:numPr>
      </w:pPr>
      <w:r>
        <w:rPr>
          <w:b/>
        </w:rPr>
        <w:t>Year and water balance lead the rankings.</w:t>
      </w:r>
      <w:r>
        <w:t xml:space="preserve"> Both methods agree on year and SPEI f</w:t>
      </w:r>
      <w:r>
        <w:t>or NH₄⁺ and NO₃⁻. Drier sampling windows coincided with higher inorganic N.</w:t>
      </w:r>
    </w:p>
    <w:p w14:paraId="59BCEF50" w14:textId="77777777" w:rsidR="00362D75" w:rsidRDefault="00573E0D">
      <w:r>
        <w:t>What the model cannot support:</w:t>
      </w:r>
    </w:p>
    <w:p w14:paraId="59BCEF51" w14:textId="77777777" w:rsidR="00362D75" w:rsidRDefault="00573E0D">
      <w:pPr>
        <w:pStyle w:val="ListParagraph"/>
        <w:numPr>
          <w:ilvl w:val="0"/>
          <w:numId w:val="3"/>
        </w:numPr>
      </w:pPr>
      <w:r>
        <w:rPr>
          <w:b/>
        </w:rPr>
        <w:t>Forward prediction.</w:t>
      </w:r>
      <w:r>
        <w:t xml:space="preserve"> Trained on 2019–2022 and tested on 2023, R² was −3.26 (NH₄⁺) and −1.83 (NO₃⁻). Credible intervals averaged 53 and 88 mg kg⁻¹ wide — wider than the observed range.</w:t>
      </w:r>
    </w:p>
    <w:p w14:paraId="59BCEF52" w14:textId="77777777" w:rsidR="00362D75" w:rsidRDefault="00573E0D">
      <w:pPr>
        <w:pStyle w:val="ListParagraph"/>
        <w:numPr>
          <w:ilvl w:val="0"/>
          <w:numId w:val="3"/>
        </w:numPr>
      </w:pPr>
      <w:r>
        <w:rPr>
          <w:b/>
        </w:rPr>
        <w:t>Treatment rankings.</w:t>
      </w:r>
      <w:r>
        <w:t xml:space="preserve"> Treatment carried little global importance, and the model has no validated skill to rank systems.</w:t>
      </w:r>
    </w:p>
    <w:p w14:paraId="59BCEF53" w14:textId="77777777" w:rsidR="00362D75" w:rsidRDefault="00573E0D">
      <w:pPr>
        <w:pStyle w:val="Heading2"/>
      </w:pPr>
      <w:r>
        <w:t>Study design and data</w:t>
      </w:r>
    </w:p>
    <w:p w14:paraId="59BCEF54" w14:textId="77777777" w:rsidR="00362D75" w:rsidRDefault="00573E0D">
      <w:r>
        <w:t>Nine one-acre plots under three randomized treatments, each split into grazed and ungrazed strips, sampled at two depths from 2019 to 2023.</w:t>
      </w:r>
    </w:p>
    <w:tbl>
      <w:tblPr>
        <w:tblStyle w:val="TableGrid"/>
        <w:tblW w:w="0" w:type="auto"/>
        <w:tblLayout w:type="fixed"/>
        <w:tblLook w:val="0420" w:firstRow="1" w:lastRow="0" w:firstColumn="0" w:lastColumn="0" w:noHBand="0" w:noVBand="1"/>
      </w:tblPr>
      <w:tblGrid>
        <w:gridCol w:w="3120"/>
        <w:gridCol w:w="3120"/>
        <w:gridCol w:w="3120"/>
      </w:tblGrid>
      <w:tr w:rsidR="00362D75" w14:paraId="59BCEF58" w14:textId="77777777">
        <w:trPr>
          <w:tblHeader/>
        </w:trPr>
        <w:tc>
          <w:tcPr>
            <w:tcW w:w="3120" w:type="dxa"/>
            <w:shd w:val="clear" w:color="auto" w:fill="F2F2F2"/>
          </w:tcPr>
          <w:p w14:paraId="59BCEF55" w14:textId="77777777" w:rsidR="00362D75" w:rsidRDefault="00573E0D">
            <w:r>
              <w:t>Treatment</w:t>
            </w:r>
          </w:p>
        </w:tc>
        <w:tc>
          <w:tcPr>
            <w:tcW w:w="3120" w:type="dxa"/>
            <w:shd w:val="clear" w:color="auto" w:fill="F2F2F2"/>
          </w:tcPr>
          <w:p w14:paraId="59BCEF56" w14:textId="77777777" w:rsidR="00362D75" w:rsidRDefault="00573E0D">
            <w:r>
              <w:t>Code</w:t>
            </w:r>
          </w:p>
        </w:tc>
        <w:tc>
          <w:tcPr>
            <w:tcW w:w="3120" w:type="dxa"/>
            <w:shd w:val="clear" w:color="auto" w:fill="F2F2F2"/>
          </w:tcPr>
          <w:p w14:paraId="59BCEF57" w14:textId="77777777" w:rsidR="00362D75" w:rsidRDefault="00573E0D">
            <w:r>
              <w:t>Plots</w:t>
            </w:r>
          </w:p>
        </w:tc>
      </w:tr>
      <w:tr w:rsidR="00362D75" w14:paraId="59BCEF5C" w14:textId="77777777">
        <w:tc>
          <w:tcPr>
            <w:tcW w:w="3120" w:type="dxa"/>
          </w:tcPr>
          <w:p w14:paraId="59BCEF59" w14:textId="77777777" w:rsidR="00362D75" w:rsidRDefault="00573E0D">
            <w:r>
              <w:t>Unfertilized Triticale</w:t>
            </w:r>
          </w:p>
        </w:tc>
        <w:tc>
          <w:tcPr>
            <w:tcW w:w="3120" w:type="dxa"/>
          </w:tcPr>
          <w:p w14:paraId="59BCEF5A" w14:textId="77777777" w:rsidR="00362D75" w:rsidRDefault="00573E0D">
            <w:r>
              <w:t>1</w:t>
            </w:r>
          </w:p>
        </w:tc>
        <w:tc>
          <w:tcPr>
            <w:tcW w:w="3120" w:type="dxa"/>
          </w:tcPr>
          <w:p w14:paraId="59BCEF5B" w14:textId="77777777" w:rsidR="00362D75" w:rsidRDefault="00573E0D">
            <w:r>
              <w:t>102, 202, 302</w:t>
            </w:r>
          </w:p>
        </w:tc>
      </w:tr>
      <w:tr w:rsidR="00362D75" w14:paraId="59BCEF60" w14:textId="77777777">
        <w:tc>
          <w:tcPr>
            <w:tcW w:w="3120" w:type="dxa"/>
          </w:tcPr>
          <w:p w14:paraId="59BCEF5D" w14:textId="77777777" w:rsidR="00362D75" w:rsidRDefault="00573E0D">
            <w:r>
              <w:t>Fertilized Triticale</w:t>
            </w:r>
          </w:p>
        </w:tc>
        <w:tc>
          <w:tcPr>
            <w:tcW w:w="3120" w:type="dxa"/>
          </w:tcPr>
          <w:p w14:paraId="59BCEF5E" w14:textId="77777777" w:rsidR="00362D75" w:rsidRDefault="00573E0D">
            <w:r>
              <w:t>2</w:t>
            </w:r>
          </w:p>
        </w:tc>
        <w:tc>
          <w:tcPr>
            <w:tcW w:w="3120" w:type="dxa"/>
          </w:tcPr>
          <w:p w14:paraId="59BCEF5F" w14:textId="77777777" w:rsidR="00362D75" w:rsidRDefault="00573E0D">
            <w:r>
              <w:t>101, 203, 301</w:t>
            </w:r>
          </w:p>
        </w:tc>
      </w:tr>
      <w:tr w:rsidR="00362D75" w14:paraId="59BCEF64" w14:textId="77777777">
        <w:tc>
          <w:tcPr>
            <w:tcW w:w="3120" w:type="dxa"/>
          </w:tcPr>
          <w:p w14:paraId="59BCEF61" w14:textId="77777777" w:rsidR="00362D75" w:rsidRDefault="00573E0D">
            <w:r>
              <w:t xml:space="preserve">Triticale </w:t>
            </w:r>
            <w:proofErr w:type="spellStart"/>
            <w:r>
              <w:t>interseeded</w:t>
            </w:r>
            <w:proofErr w:type="spellEnd"/>
            <w:r>
              <w:t xml:space="preserve"> with Legume</w:t>
            </w:r>
          </w:p>
        </w:tc>
        <w:tc>
          <w:tcPr>
            <w:tcW w:w="3120" w:type="dxa"/>
          </w:tcPr>
          <w:p w14:paraId="59BCEF62" w14:textId="77777777" w:rsidR="00362D75" w:rsidRDefault="00573E0D">
            <w:r>
              <w:t>3</w:t>
            </w:r>
          </w:p>
        </w:tc>
        <w:tc>
          <w:tcPr>
            <w:tcW w:w="3120" w:type="dxa"/>
          </w:tcPr>
          <w:p w14:paraId="59BCEF63" w14:textId="77777777" w:rsidR="00362D75" w:rsidRDefault="00573E0D">
            <w:r>
              <w:t>103, 201, 303</w:t>
            </w:r>
          </w:p>
        </w:tc>
      </w:tr>
    </w:tbl>
    <w:p w14:paraId="59BCEF65" w14:textId="77777777" w:rsidR="00362D75" w:rsidRDefault="00573E0D">
      <w:r>
        <w:t xml:space="preserve">Sampling ran at three </w:t>
      </w:r>
      <w:proofErr w:type="gramStart"/>
      <w:r>
        <w:t>time points</w:t>
      </w:r>
      <w:proofErr w:type="gramEnd"/>
      <w:r>
        <w:t>: Time 0 (2019 baseline, before grazing), Time 1 (July), and Time 2 (September). Depths were 0–10 and 10–20 cm. The response dataset (</w:t>
      </w:r>
      <w:r>
        <w:rPr>
          <w:rStyle w:val="CodeChar"/>
        </w:rPr>
        <w:t>NH4_NO3_master</w:t>
      </w:r>
      <w:r>
        <w:t>) holds 1,363 samples with unique IDs encoding year, plot, time point, depth, grazing condition, and replicate.</w:t>
      </w:r>
    </w:p>
    <w:p w14:paraId="59BCEF66" w14:textId="77777777" w:rsidR="00362D75" w:rsidRDefault="00573E0D">
      <w:r>
        <w:lastRenderedPageBreak/>
        <w:t>After aggregation to plot × year × time point × depth × grazing, the modelling table has 282 rows. Rows lacking GHG covariates (2019, before flux sampling began) drop from the fitted models, leaving 264.</w:t>
      </w:r>
    </w:p>
    <w:p w14:paraId="59BCEF67" w14:textId="77777777" w:rsidR="00362D75" w:rsidRDefault="00573E0D">
      <w:r>
        <w:t>Sample counts are unbalanced by grazing: grazed samples outnumber ungrazed roughly 2:1 in 2021–2022 and about 3.5:1 in 2020. Legume strips were not sampled in 2020.</w:t>
      </w:r>
    </w:p>
    <w:p w14:paraId="59BCEF68" w14:textId="77777777" w:rsidR="00362D75" w:rsidRDefault="00573E0D">
      <w:pPr>
        <w:pStyle w:val="Heading2"/>
      </w:pPr>
      <w:r>
        <w:t>Data audit and coverage triage</w:t>
      </w:r>
    </w:p>
    <w:p w14:paraId="59BCEF69" w14:textId="77777777" w:rsidR="00362D75" w:rsidRDefault="00573E0D">
      <w:r>
        <w:t>Soil inorganic nitrogen is the only variable measured in all five years, across all treatments, at every time point — so it anchors the model by coverage, not by choice.</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362D75" w14:paraId="59BCEF71" w14:textId="77777777">
        <w:trPr>
          <w:tblHeader/>
        </w:trPr>
        <w:tc>
          <w:tcPr>
            <w:tcW w:w="1337" w:type="dxa"/>
            <w:shd w:val="clear" w:color="auto" w:fill="F2F2F2"/>
          </w:tcPr>
          <w:p w14:paraId="59BCEF6A" w14:textId="77777777" w:rsidR="00362D75" w:rsidRDefault="00573E0D">
            <w:r>
              <w:t>Variable</w:t>
            </w:r>
          </w:p>
        </w:tc>
        <w:tc>
          <w:tcPr>
            <w:tcW w:w="1337" w:type="dxa"/>
            <w:shd w:val="clear" w:color="auto" w:fill="F2F2F2"/>
          </w:tcPr>
          <w:p w14:paraId="59BCEF6B" w14:textId="77777777" w:rsidR="00362D75" w:rsidRDefault="00573E0D">
            <w:r>
              <w:t>2019</w:t>
            </w:r>
          </w:p>
        </w:tc>
        <w:tc>
          <w:tcPr>
            <w:tcW w:w="1337" w:type="dxa"/>
            <w:shd w:val="clear" w:color="auto" w:fill="F2F2F2"/>
          </w:tcPr>
          <w:p w14:paraId="59BCEF6C" w14:textId="77777777" w:rsidR="00362D75" w:rsidRDefault="00573E0D">
            <w:r>
              <w:t>2020</w:t>
            </w:r>
          </w:p>
        </w:tc>
        <w:tc>
          <w:tcPr>
            <w:tcW w:w="1337" w:type="dxa"/>
            <w:shd w:val="clear" w:color="auto" w:fill="F2F2F2"/>
          </w:tcPr>
          <w:p w14:paraId="59BCEF6D" w14:textId="77777777" w:rsidR="00362D75" w:rsidRDefault="00573E0D">
            <w:r>
              <w:t>2021</w:t>
            </w:r>
          </w:p>
        </w:tc>
        <w:tc>
          <w:tcPr>
            <w:tcW w:w="1337" w:type="dxa"/>
            <w:shd w:val="clear" w:color="auto" w:fill="F2F2F2"/>
          </w:tcPr>
          <w:p w14:paraId="59BCEF6E" w14:textId="77777777" w:rsidR="00362D75" w:rsidRDefault="00573E0D">
            <w:r>
              <w:t>2022</w:t>
            </w:r>
          </w:p>
        </w:tc>
        <w:tc>
          <w:tcPr>
            <w:tcW w:w="1337" w:type="dxa"/>
            <w:shd w:val="clear" w:color="auto" w:fill="F2F2F2"/>
          </w:tcPr>
          <w:p w14:paraId="59BCEF6F" w14:textId="77777777" w:rsidR="00362D75" w:rsidRDefault="00573E0D">
            <w:r>
              <w:t>2023</w:t>
            </w:r>
          </w:p>
        </w:tc>
        <w:tc>
          <w:tcPr>
            <w:tcW w:w="1337" w:type="dxa"/>
            <w:shd w:val="clear" w:color="auto" w:fill="F2F2F2"/>
          </w:tcPr>
          <w:p w14:paraId="59BCEF70" w14:textId="77777777" w:rsidR="00362D75" w:rsidRDefault="00573E0D">
            <w:r>
              <w:t>Role</w:t>
            </w:r>
          </w:p>
        </w:tc>
      </w:tr>
      <w:tr w:rsidR="00362D75" w14:paraId="59BCEF79" w14:textId="77777777">
        <w:tc>
          <w:tcPr>
            <w:tcW w:w="1337" w:type="dxa"/>
          </w:tcPr>
          <w:p w14:paraId="59BCEF72" w14:textId="77777777" w:rsidR="00362D75" w:rsidRDefault="00573E0D">
            <w:r>
              <w:t>NH₄⁺ / NO₃⁻</w:t>
            </w:r>
          </w:p>
        </w:tc>
        <w:tc>
          <w:tcPr>
            <w:tcW w:w="1337" w:type="dxa"/>
          </w:tcPr>
          <w:p w14:paraId="59BCEF73" w14:textId="77777777" w:rsidR="00362D75" w:rsidRDefault="00573E0D">
            <w:r>
              <w:t>All</w:t>
            </w:r>
          </w:p>
        </w:tc>
        <w:tc>
          <w:tcPr>
            <w:tcW w:w="1337" w:type="dxa"/>
          </w:tcPr>
          <w:p w14:paraId="59BCEF74" w14:textId="77777777" w:rsidR="00362D75" w:rsidRDefault="00573E0D">
            <w:r>
              <w:t>All</w:t>
            </w:r>
          </w:p>
        </w:tc>
        <w:tc>
          <w:tcPr>
            <w:tcW w:w="1337" w:type="dxa"/>
          </w:tcPr>
          <w:p w14:paraId="59BCEF75" w14:textId="77777777" w:rsidR="00362D75" w:rsidRDefault="00573E0D">
            <w:r>
              <w:t>All</w:t>
            </w:r>
          </w:p>
        </w:tc>
        <w:tc>
          <w:tcPr>
            <w:tcW w:w="1337" w:type="dxa"/>
          </w:tcPr>
          <w:p w14:paraId="59BCEF76" w14:textId="77777777" w:rsidR="00362D75" w:rsidRDefault="00573E0D">
            <w:r>
              <w:t>All</w:t>
            </w:r>
          </w:p>
        </w:tc>
        <w:tc>
          <w:tcPr>
            <w:tcW w:w="1337" w:type="dxa"/>
          </w:tcPr>
          <w:p w14:paraId="59BCEF77" w14:textId="77777777" w:rsidR="00362D75" w:rsidRDefault="00573E0D">
            <w:r>
              <w:t>All</w:t>
            </w:r>
          </w:p>
        </w:tc>
        <w:tc>
          <w:tcPr>
            <w:tcW w:w="1337" w:type="dxa"/>
          </w:tcPr>
          <w:p w14:paraId="59BCEF78" w14:textId="77777777" w:rsidR="00362D75" w:rsidRDefault="00573E0D">
            <w:r>
              <w:t>Response</w:t>
            </w:r>
          </w:p>
        </w:tc>
      </w:tr>
      <w:tr w:rsidR="00362D75" w14:paraId="59BCEF81" w14:textId="77777777">
        <w:tc>
          <w:tcPr>
            <w:tcW w:w="1337" w:type="dxa"/>
          </w:tcPr>
          <w:p w14:paraId="59BCEF7A" w14:textId="77777777" w:rsidR="00362D75" w:rsidRDefault="00573E0D">
            <w:r>
              <w:t>GHG flux (CO₂, N₂O, CH₄)</w:t>
            </w:r>
          </w:p>
        </w:tc>
        <w:tc>
          <w:tcPr>
            <w:tcW w:w="1337" w:type="dxa"/>
          </w:tcPr>
          <w:p w14:paraId="59BCEF7B" w14:textId="77777777" w:rsidR="00362D75" w:rsidRDefault="00573E0D">
            <w:r>
              <w:t>—</w:t>
            </w:r>
          </w:p>
        </w:tc>
        <w:tc>
          <w:tcPr>
            <w:tcW w:w="1337" w:type="dxa"/>
          </w:tcPr>
          <w:p w14:paraId="59BCEF7C" w14:textId="77777777" w:rsidR="00362D75" w:rsidRDefault="00573E0D">
            <w:r>
              <w:t>All</w:t>
            </w:r>
          </w:p>
        </w:tc>
        <w:tc>
          <w:tcPr>
            <w:tcW w:w="1337" w:type="dxa"/>
          </w:tcPr>
          <w:p w14:paraId="59BCEF7D" w14:textId="77777777" w:rsidR="00362D75" w:rsidRDefault="00573E0D">
            <w:r>
              <w:t>All</w:t>
            </w:r>
          </w:p>
        </w:tc>
        <w:tc>
          <w:tcPr>
            <w:tcW w:w="1337" w:type="dxa"/>
          </w:tcPr>
          <w:p w14:paraId="59BCEF7E" w14:textId="77777777" w:rsidR="00362D75" w:rsidRDefault="00573E0D">
            <w:r>
              <w:t>All</w:t>
            </w:r>
          </w:p>
        </w:tc>
        <w:tc>
          <w:tcPr>
            <w:tcW w:w="1337" w:type="dxa"/>
          </w:tcPr>
          <w:p w14:paraId="59BCEF7F" w14:textId="77777777" w:rsidR="00362D75" w:rsidRDefault="00573E0D">
            <w:r>
              <w:t>All</w:t>
            </w:r>
          </w:p>
        </w:tc>
        <w:tc>
          <w:tcPr>
            <w:tcW w:w="1337" w:type="dxa"/>
          </w:tcPr>
          <w:p w14:paraId="59BCEF80" w14:textId="77777777" w:rsidR="00362D75" w:rsidRDefault="00573E0D">
            <w:r>
              <w:t>Covariate</w:t>
            </w:r>
          </w:p>
        </w:tc>
      </w:tr>
      <w:tr w:rsidR="00362D75" w14:paraId="59BCEF89" w14:textId="77777777">
        <w:tc>
          <w:tcPr>
            <w:tcW w:w="1337" w:type="dxa"/>
          </w:tcPr>
          <w:p w14:paraId="59BCEF82" w14:textId="77777777" w:rsidR="00362D75" w:rsidRDefault="00573E0D">
            <w:r>
              <w:t>pH / EC / bulk density</w:t>
            </w:r>
          </w:p>
        </w:tc>
        <w:tc>
          <w:tcPr>
            <w:tcW w:w="1337" w:type="dxa"/>
          </w:tcPr>
          <w:p w14:paraId="59BCEF83" w14:textId="77777777" w:rsidR="00362D75" w:rsidRDefault="00573E0D">
            <w:r>
              <w:t>All</w:t>
            </w:r>
          </w:p>
        </w:tc>
        <w:tc>
          <w:tcPr>
            <w:tcW w:w="1337" w:type="dxa"/>
          </w:tcPr>
          <w:p w14:paraId="59BCEF84" w14:textId="77777777" w:rsidR="00362D75" w:rsidRDefault="00573E0D">
            <w:r>
              <w:t>Plot IDs lost</w:t>
            </w:r>
          </w:p>
        </w:tc>
        <w:tc>
          <w:tcPr>
            <w:tcW w:w="1337" w:type="dxa"/>
          </w:tcPr>
          <w:p w14:paraId="59BCEF85" w14:textId="77777777" w:rsidR="00362D75" w:rsidRDefault="00573E0D">
            <w:r>
              <w:t>—</w:t>
            </w:r>
          </w:p>
        </w:tc>
        <w:tc>
          <w:tcPr>
            <w:tcW w:w="1337" w:type="dxa"/>
          </w:tcPr>
          <w:p w14:paraId="59BCEF86" w14:textId="77777777" w:rsidR="00362D75" w:rsidRDefault="00573E0D">
            <w:r>
              <w:t>Time 2 only</w:t>
            </w:r>
          </w:p>
        </w:tc>
        <w:tc>
          <w:tcPr>
            <w:tcW w:w="1337" w:type="dxa"/>
          </w:tcPr>
          <w:p w14:paraId="59BCEF87" w14:textId="77777777" w:rsidR="00362D75" w:rsidRDefault="00573E0D">
            <w:r>
              <w:t>Time 2 only</w:t>
            </w:r>
          </w:p>
        </w:tc>
        <w:tc>
          <w:tcPr>
            <w:tcW w:w="1337" w:type="dxa"/>
          </w:tcPr>
          <w:p w14:paraId="59BCEF88" w14:textId="77777777" w:rsidR="00362D75" w:rsidRDefault="00573E0D">
            <w:r>
              <w:t>Baseline</w:t>
            </w:r>
          </w:p>
        </w:tc>
      </w:tr>
      <w:tr w:rsidR="00362D75" w14:paraId="59BCEF91" w14:textId="77777777">
        <w:tc>
          <w:tcPr>
            <w:tcW w:w="1337" w:type="dxa"/>
          </w:tcPr>
          <w:p w14:paraId="59BCEF8A" w14:textId="77777777" w:rsidR="00362D75" w:rsidRDefault="00573E0D">
            <w:r>
              <w:t>Carbon fractions (MAOM, FPOM, DOC)</w:t>
            </w:r>
          </w:p>
        </w:tc>
        <w:tc>
          <w:tcPr>
            <w:tcW w:w="1337" w:type="dxa"/>
          </w:tcPr>
          <w:p w14:paraId="59BCEF8B" w14:textId="77777777" w:rsidR="00362D75" w:rsidRDefault="00573E0D">
            <w:r>
              <w:t>LOI only</w:t>
            </w:r>
          </w:p>
        </w:tc>
        <w:tc>
          <w:tcPr>
            <w:tcW w:w="1337" w:type="dxa"/>
          </w:tcPr>
          <w:p w14:paraId="59BCEF8C" w14:textId="77777777" w:rsidR="00362D75" w:rsidRDefault="00573E0D">
            <w:r>
              <w:t>—</w:t>
            </w:r>
          </w:p>
        </w:tc>
        <w:tc>
          <w:tcPr>
            <w:tcW w:w="1337" w:type="dxa"/>
          </w:tcPr>
          <w:p w14:paraId="59BCEF8D" w14:textId="77777777" w:rsidR="00362D75" w:rsidRDefault="00573E0D">
            <w:r>
              <w:t>—</w:t>
            </w:r>
          </w:p>
        </w:tc>
        <w:tc>
          <w:tcPr>
            <w:tcW w:w="1337" w:type="dxa"/>
          </w:tcPr>
          <w:p w14:paraId="59BCEF8E" w14:textId="0F410DBC" w:rsidR="00362D75" w:rsidRDefault="00573E0D">
            <w:r>
              <w:t>Time</w:t>
            </w:r>
            <w:r w:rsidR="005E1791">
              <w:t xml:space="preserve"> 1 only</w:t>
            </w:r>
          </w:p>
        </w:tc>
        <w:tc>
          <w:tcPr>
            <w:tcW w:w="1337" w:type="dxa"/>
          </w:tcPr>
          <w:p w14:paraId="59BCEF8F" w14:textId="77777777" w:rsidR="00362D75" w:rsidRDefault="00573E0D">
            <w:r>
              <w:t>Time 2 only</w:t>
            </w:r>
          </w:p>
        </w:tc>
        <w:tc>
          <w:tcPr>
            <w:tcW w:w="1337" w:type="dxa"/>
          </w:tcPr>
          <w:p w14:paraId="59BCEF90" w14:textId="77777777" w:rsidR="00362D75" w:rsidRDefault="00573E0D">
            <w:r>
              <w:t>Snapshot</w:t>
            </w:r>
          </w:p>
        </w:tc>
      </w:tr>
      <w:tr w:rsidR="00362D75" w14:paraId="59BCEF99" w14:textId="77777777">
        <w:tc>
          <w:tcPr>
            <w:tcW w:w="1337" w:type="dxa"/>
          </w:tcPr>
          <w:p w14:paraId="59BCEF92" w14:textId="77777777" w:rsidR="00362D75" w:rsidRDefault="00573E0D">
            <w:r>
              <w:t>FAME biomarkers</w:t>
            </w:r>
          </w:p>
        </w:tc>
        <w:tc>
          <w:tcPr>
            <w:tcW w:w="1337" w:type="dxa"/>
          </w:tcPr>
          <w:p w14:paraId="59BCEF93" w14:textId="77777777" w:rsidR="00362D75" w:rsidRDefault="00573E0D">
            <w:r>
              <w:t>All</w:t>
            </w:r>
          </w:p>
        </w:tc>
        <w:tc>
          <w:tcPr>
            <w:tcW w:w="1337" w:type="dxa"/>
          </w:tcPr>
          <w:p w14:paraId="59BCEF94" w14:textId="77777777" w:rsidR="00362D75" w:rsidRDefault="00573E0D">
            <w:r>
              <w:t>—</w:t>
            </w:r>
          </w:p>
        </w:tc>
        <w:tc>
          <w:tcPr>
            <w:tcW w:w="1337" w:type="dxa"/>
          </w:tcPr>
          <w:p w14:paraId="59BCEF95" w14:textId="77777777" w:rsidR="00362D75" w:rsidRDefault="00573E0D">
            <w:r>
              <w:t>—</w:t>
            </w:r>
          </w:p>
        </w:tc>
        <w:tc>
          <w:tcPr>
            <w:tcW w:w="1337" w:type="dxa"/>
          </w:tcPr>
          <w:p w14:paraId="59BCEF96" w14:textId="77777777" w:rsidR="00362D75" w:rsidRDefault="00573E0D">
            <w:r>
              <w:t>Time 2 only</w:t>
            </w:r>
          </w:p>
        </w:tc>
        <w:tc>
          <w:tcPr>
            <w:tcW w:w="1337" w:type="dxa"/>
          </w:tcPr>
          <w:p w14:paraId="59BCEF97" w14:textId="77777777" w:rsidR="00362D75" w:rsidRDefault="00573E0D">
            <w:r>
              <w:t>Time 2 only</w:t>
            </w:r>
          </w:p>
        </w:tc>
        <w:tc>
          <w:tcPr>
            <w:tcW w:w="1337" w:type="dxa"/>
          </w:tcPr>
          <w:p w14:paraId="59BCEF98" w14:textId="77777777" w:rsidR="00362D75" w:rsidRDefault="00573E0D">
            <w:r>
              <w:t>Snapshot</w:t>
            </w:r>
          </w:p>
        </w:tc>
      </w:tr>
    </w:tbl>
    <w:p w14:paraId="59BCEF9A" w14:textId="77777777" w:rsidR="00362D75" w:rsidRDefault="00573E0D">
      <w:r>
        <w:t>"Time 2 only" means all three treatments, second sampling only. Those variables support a treatment comparison within 2022–2023 but cannot form a trajectory.</w:t>
      </w:r>
    </w:p>
    <w:p w14:paraId="59BCEF9B" w14:textId="77777777" w:rsidR="00362D75" w:rsidRDefault="00573E0D">
      <w:r>
        <w:t>The 2020 pH and EC records are complete measurements whose plot identifiers were lost. They cannot be assigned to treatments and are excluded entirely — the one case in the dataset that supports nothing.</w:t>
      </w:r>
    </w:p>
    <w:p w14:paraId="59BCEF9C" w14:textId="77777777" w:rsidR="00362D75" w:rsidRDefault="00573E0D">
      <w:r>
        <w:t>The carbon fraction and FAME treatment comparison is available but out of scope for this report.</w:t>
      </w:r>
    </w:p>
    <w:p w14:paraId="59BCEF9D" w14:textId="77777777" w:rsidR="00362D75" w:rsidRDefault="00573E0D">
      <w:pPr>
        <w:pStyle w:val="Heading2"/>
      </w:pPr>
      <w:r>
        <w:t>Covariates and data fusion</w:t>
      </w:r>
    </w:p>
    <w:p w14:paraId="59BCEF9E" w14:textId="77777777" w:rsidR="00362D75" w:rsidRDefault="00573E0D">
      <w:r>
        <w:t>Four covariate streams join the nitrogen data, each keyed to the finest resolution it genuinely supports.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62D75" w14:paraId="59BCEFA4" w14:textId="77777777">
        <w:trPr>
          <w:tblHeader/>
        </w:trPr>
        <w:tc>
          <w:tcPr>
            <w:tcW w:w="1872" w:type="dxa"/>
            <w:shd w:val="clear" w:color="auto" w:fill="F2F2F2"/>
          </w:tcPr>
          <w:p w14:paraId="59BCEF9F" w14:textId="77777777" w:rsidR="00362D75" w:rsidRDefault="00573E0D">
            <w:r>
              <w:t>Stream</w:t>
            </w:r>
          </w:p>
        </w:tc>
        <w:tc>
          <w:tcPr>
            <w:tcW w:w="1872" w:type="dxa"/>
            <w:shd w:val="clear" w:color="auto" w:fill="F2F2F2"/>
          </w:tcPr>
          <w:p w14:paraId="59BCEFA0" w14:textId="77777777" w:rsidR="00362D75" w:rsidRDefault="00573E0D">
            <w:r>
              <w:t>Variables</w:t>
            </w:r>
          </w:p>
        </w:tc>
        <w:tc>
          <w:tcPr>
            <w:tcW w:w="1872" w:type="dxa"/>
            <w:shd w:val="clear" w:color="auto" w:fill="F2F2F2"/>
          </w:tcPr>
          <w:p w14:paraId="59BCEFA1" w14:textId="77777777" w:rsidR="00362D75" w:rsidRDefault="00573E0D">
            <w:r>
              <w:t>Source</w:t>
            </w:r>
          </w:p>
        </w:tc>
        <w:tc>
          <w:tcPr>
            <w:tcW w:w="1872" w:type="dxa"/>
            <w:shd w:val="clear" w:color="auto" w:fill="F2F2F2"/>
          </w:tcPr>
          <w:p w14:paraId="59BCEFA2" w14:textId="77777777" w:rsidR="00362D75" w:rsidRDefault="00573E0D">
            <w:r>
              <w:t>Resolution</w:t>
            </w:r>
          </w:p>
        </w:tc>
        <w:tc>
          <w:tcPr>
            <w:tcW w:w="1872" w:type="dxa"/>
            <w:shd w:val="clear" w:color="auto" w:fill="F2F2F2"/>
          </w:tcPr>
          <w:p w14:paraId="59BCEFA3" w14:textId="77777777" w:rsidR="00362D75" w:rsidRDefault="00573E0D">
            <w:r>
              <w:t>Merge key</w:t>
            </w:r>
          </w:p>
        </w:tc>
      </w:tr>
      <w:tr w:rsidR="00362D75" w14:paraId="59BCEFAA" w14:textId="77777777">
        <w:tc>
          <w:tcPr>
            <w:tcW w:w="1872" w:type="dxa"/>
          </w:tcPr>
          <w:p w14:paraId="59BCEFA5" w14:textId="77777777" w:rsidR="00362D75" w:rsidRDefault="00573E0D">
            <w:r>
              <w:t>Vegetation</w:t>
            </w:r>
          </w:p>
        </w:tc>
        <w:tc>
          <w:tcPr>
            <w:tcW w:w="1872" w:type="dxa"/>
          </w:tcPr>
          <w:p w14:paraId="59BCEFA6" w14:textId="77777777" w:rsidR="00362D75" w:rsidRDefault="00573E0D">
            <w:r>
              <w:t>NDVI, EVI</w:t>
            </w:r>
          </w:p>
        </w:tc>
        <w:tc>
          <w:tcPr>
            <w:tcW w:w="1872" w:type="dxa"/>
          </w:tcPr>
          <w:p w14:paraId="59BCEFA7" w14:textId="77777777" w:rsidR="00362D75" w:rsidRDefault="00573E0D">
            <w:r>
              <w:t>Sentinel-2 SR via Google Earth Engine</w:t>
            </w:r>
          </w:p>
        </w:tc>
        <w:tc>
          <w:tcPr>
            <w:tcW w:w="1872" w:type="dxa"/>
          </w:tcPr>
          <w:p w14:paraId="59BCEFA8" w14:textId="77777777" w:rsidR="00362D75" w:rsidRDefault="00573E0D">
            <w:r>
              <w:t>10 m, 15 m buffer per plot</w:t>
            </w:r>
          </w:p>
        </w:tc>
        <w:tc>
          <w:tcPr>
            <w:tcW w:w="1872" w:type="dxa"/>
          </w:tcPr>
          <w:p w14:paraId="59BCEFA9" w14:textId="77777777" w:rsidR="00362D75" w:rsidRDefault="00573E0D">
            <w:r>
              <w:t>plot × year × time point</w:t>
            </w:r>
          </w:p>
        </w:tc>
      </w:tr>
      <w:tr w:rsidR="00362D75" w14:paraId="59BCEFB0" w14:textId="77777777">
        <w:tc>
          <w:tcPr>
            <w:tcW w:w="1872" w:type="dxa"/>
          </w:tcPr>
          <w:p w14:paraId="59BCEFAB" w14:textId="77777777" w:rsidR="00362D75" w:rsidRDefault="00573E0D">
            <w:r>
              <w:t xml:space="preserve">Soil moisture </w:t>
            </w:r>
            <w:r>
              <w:lastRenderedPageBreak/>
              <w:t>proxy</w:t>
            </w:r>
          </w:p>
        </w:tc>
        <w:tc>
          <w:tcPr>
            <w:tcW w:w="1872" w:type="dxa"/>
          </w:tcPr>
          <w:p w14:paraId="59BCEFAC" w14:textId="77777777" w:rsidR="00362D75" w:rsidRDefault="00573E0D">
            <w:r>
              <w:lastRenderedPageBreak/>
              <w:t xml:space="preserve">SAR VV </w:t>
            </w:r>
            <w:r>
              <w:lastRenderedPageBreak/>
              <w:t>backscatter</w:t>
            </w:r>
          </w:p>
        </w:tc>
        <w:tc>
          <w:tcPr>
            <w:tcW w:w="1872" w:type="dxa"/>
          </w:tcPr>
          <w:p w14:paraId="59BCEFAD" w14:textId="77777777" w:rsidR="00362D75" w:rsidRDefault="00573E0D">
            <w:r>
              <w:lastRenderedPageBreak/>
              <w:t xml:space="preserve">Sentinel-1 GRD via Google Earth </w:t>
            </w:r>
            <w:r>
              <w:lastRenderedPageBreak/>
              <w:t>Engine</w:t>
            </w:r>
          </w:p>
        </w:tc>
        <w:tc>
          <w:tcPr>
            <w:tcW w:w="1872" w:type="dxa"/>
          </w:tcPr>
          <w:p w14:paraId="59BCEFAE" w14:textId="77777777" w:rsidR="00362D75" w:rsidRDefault="00573E0D">
            <w:r>
              <w:lastRenderedPageBreak/>
              <w:t>10 m</w:t>
            </w:r>
          </w:p>
        </w:tc>
        <w:tc>
          <w:tcPr>
            <w:tcW w:w="1872" w:type="dxa"/>
          </w:tcPr>
          <w:p w14:paraId="59BCEFAF" w14:textId="77777777" w:rsidR="00362D75" w:rsidRDefault="00573E0D">
            <w:r>
              <w:t xml:space="preserve">plot × year × time </w:t>
            </w:r>
            <w:r>
              <w:lastRenderedPageBreak/>
              <w:t>point</w:t>
            </w:r>
          </w:p>
        </w:tc>
      </w:tr>
      <w:tr w:rsidR="00362D75" w14:paraId="59BCEFB6" w14:textId="77777777">
        <w:tc>
          <w:tcPr>
            <w:tcW w:w="1872" w:type="dxa"/>
          </w:tcPr>
          <w:p w14:paraId="59BCEFB1" w14:textId="77777777" w:rsidR="00362D75" w:rsidRDefault="00573E0D">
            <w:r>
              <w:lastRenderedPageBreak/>
              <w:t>Water balance</w:t>
            </w:r>
          </w:p>
        </w:tc>
        <w:tc>
          <w:tcPr>
            <w:tcW w:w="1872" w:type="dxa"/>
          </w:tcPr>
          <w:p w14:paraId="59BCEFB2" w14:textId="77777777" w:rsidR="00362D75" w:rsidRDefault="00573E0D">
            <w:r>
              <w:t>SPEI-90d</w:t>
            </w:r>
          </w:p>
        </w:tc>
        <w:tc>
          <w:tcPr>
            <w:tcW w:w="1872" w:type="dxa"/>
          </w:tcPr>
          <w:p w14:paraId="59BCEFB3" w14:textId="77777777" w:rsidR="00362D75" w:rsidRDefault="00573E0D">
            <w:r>
              <w:t>GRIDMET/DROUGHT</w:t>
            </w:r>
          </w:p>
        </w:tc>
        <w:tc>
          <w:tcPr>
            <w:tcW w:w="1872" w:type="dxa"/>
          </w:tcPr>
          <w:p w14:paraId="59BCEFB4" w14:textId="77777777" w:rsidR="00362D75" w:rsidRDefault="00573E0D">
            <w:r>
              <w:t>~4.6 km (site-level)</w:t>
            </w:r>
          </w:p>
        </w:tc>
        <w:tc>
          <w:tcPr>
            <w:tcW w:w="1872" w:type="dxa"/>
          </w:tcPr>
          <w:p w14:paraId="59BCEFB5" w14:textId="77777777" w:rsidR="00362D75" w:rsidRDefault="00573E0D">
            <w:r>
              <w:t>year × time point</w:t>
            </w:r>
          </w:p>
        </w:tc>
      </w:tr>
      <w:tr w:rsidR="00362D75" w14:paraId="59BCEFBC" w14:textId="77777777">
        <w:tc>
          <w:tcPr>
            <w:tcW w:w="1872" w:type="dxa"/>
          </w:tcPr>
          <w:p w14:paraId="59BCEFB7" w14:textId="77777777" w:rsidR="00362D75" w:rsidRDefault="00573E0D">
            <w:r>
              <w:t>Greenhouse gas flux</w:t>
            </w:r>
          </w:p>
        </w:tc>
        <w:tc>
          <w:tcPr>
            <w:tcW w:w="1872" w:type="dxa"/>
          </w:tcPr>
          <w:p w14:paraId="59BCEFB8" w14:textId="77777777" w:rsidR="00362D75" w:rsidRDefault="00573E0D">
            <w:r>
              <w:t>CO₂, N₂O, CH₄</w:t>
            </w:r>
          </w:p>
        </w:tc>
        <w:tc>
          <w:tcPr>
            <w:tcW w:w="1872" w:type="dxa"/>
          </w:tcPr>
          <w:p w14:paraId="59BCEFB9" w14:textId="77777777" w:rsidR="00362D75" w:rsidRDefault="00573E0D">
            <w:r>
              <w:t>Chamber measurements, Hutchinson–Mosier</w:t>
            </w:r>
          </w:p>
        </w:tc>
        <w:tc>
          <w:tcPr>
            <w:tcW w:w="1872" w:type="dxa"/>
          </w:tcPr>
          <w:p w14:paraId="59BCEFBA" w14:textId="77777777" w:rsidR="00362D75" w:rsidRDefault="00573E0D">
            <w:r>
              <w:t>Per plot, per grazing strip</w:t>
            </w:r>
          </w:p>
        </w:tc>
        <w:tc>
          <w:tcPr>
            <w:tcW w:w="1872" w:type="dxa"/>
          </w:tcPr>
          <w:p w14:paraId="59BCEFBB" w14:textId="77777777" w:rsidR="00362D75" w:rsidRDefault="00573E0D">
            <w:r>
              <w:t>plot × year × grazing</w:t>
            </w:r>
          </w:p>
        </w:tc>
      </w:tr>
    </w:tbl>
    <w:p w14:paraId="59BCEFBD" w14:textId="77777777" w:rsidR="00362D75" w:rsidRDefault="00573E0D">
      <w:r>
        <w:rPr>
          <w:b/>
        </w:rPr>
        <w:t>SPEI.</w:t>
      </w:r>
      <w:r>
        <w:t xml:space="preserve"> Extracted per sampling window rather than as one annual value. This breaks SPEI's collinearity with year: correlation with year fell to r = −0.24 (spei90d), and the index now varies between Time 1 and Time 2. The 4.6 km grid covers the whole field in one pixel, so SPEI cannot vary between plots. GEE values agree in direction with the annual values pulled manually from the SPEI Global Drought Monitor: 2019 is the only wet year in both.</w:t>
      </w:r>
    </w:p>
    <w:p w14:paraId="59BCEFBE" w14:textId="77777777" w:rsidR="00362D75" w:rsidRDefault="00573E0D">
      <w:r>
        <w:rPr>
          <w:b/>
        </w:rPr>
        <w:t>GHG.</w:t>
      </w:r>
      <w:r>
        <w:t xml:space="preserve"> Chamber fluxes (4–15 dates per year) average to a seasonal mean per plot, year, and grazing strip. Grazing is part of the merge key because flux was measured separately on grazed and ungrazed strips. Outlier CH₄ values above ~50 g ha⁻¹ d⁻¹ (5 rows) and two values near −71 were blanked as physiologically implausible for upland soils; large CO₂ values were kept as plausible peak-season respiration.</w:t>
      </w:r>
    </w:p>
    <w:p w14:paraId="59BCEFBF" w14:textId="77777777" w:rsidR="00362D75" w:rsidRDefault="00573E0D">
      <w:r>
        <w:rPr>
          <w:b/>
        </w:rPr>
        <w:t>Structural covariates.</w:t>
      </w:r>
      <w:r>
        <w:t xml:space="preserve"> Treatment (one-hot in GPR), grazing (binary), and depth (numeric midpoint) enter as model inputs, not as filters.</w:t>
      </w:r>
    </w:p>
    <w:p w14:paraId="59BCEFC0" w14:textId="77777777" w:rsidR="00362D75" w:rsidRDefault="00573E0D">
      <w:pPr>
        <w:pStyle w:val="Heading2"/>
      </w:pPr>
      <w:r>
        <w:t>Model architecture</w:t>
      </w:r>
    </w:p>
    <w:p w14:paraId="59BCEFC1" w14:textId="77777777" w:rsidR="00362D75" w:rsidRDefault="00573E0D">
      <w:r>
        <w:t xml:space="preserve">Three </w:t>
      </w:r>
      <w:proofErr w:type="gramStart"/>
      <w:r>
        <w:t>independent importance</w:t>
      </w:r>
      <w:proofErr w:type="gramEnd"/>
      <w:r>
        <w:t xml:space="preserve"> methods rank the covariates; one global Gaussian Process fits the trajectory; a temporal holdout tests whether any of it generalizes.</w:t>
      </w:r>
    </w:p>
    <w:p w14:paraId="59BCEFC2" w14:textId="77777777" w:rsidR="00362D75" w:rsidRDefault="00573E0D">
      <w:pPr>
        <w:pStyle w:val="Code"/>
      </w:pPr>
      <w:bookmarkStart w:id="0" w:name="bongo_lang_mermaid_1"/>
      <w:bookmarkEnd w:id="0"/>
      <w:r>
        <w:t>flowchart LR</w:t>
      </w:r>
      <w:r>
        <w:br/>
        <w:t xml:space="preserve">  A[Soil N + covariates&lt;</w:t>
      </w:r>
      <w:proofErr w:type="spellStart"/>
      <w:r>
        <w:t>br</w:t>
      </w:r>
      <w:proofErr w:type="spellEnd"/>
      <w:r>
        <w:t xml:space="preserve">/&gt;282 rows] --&gt; </w:t>
      </w:r>
      <w:proofErr w:type="gramStart"/>
      <w:r>
        <w:t>B[</w:t>
      </w:r>
      <w:proofErr w:type="gramEnd"/>
      <w:r>
        <w:t>RF impurity&lt;</w:t>
      </w:r>
      <w:proofErr w:type="spellStart"/>
      <w:r>
        <w:t>br</w:t>
      </w:r>
      <w:proofErr w:type="spellEnd"/>
      <w:r>
        <w:t>/&gt;importance]</w:t>
      </w:r>
      <w:r>
        <w:br/>
        <w:t xml:space="preserve">  A --&gt; C[Permutation&lt;</w:t>
      </w:r>
      <w:proofErr w:type="spellStart"/>
      <w:r>
        <w:t>br</w:t>
      </w:r>
      <w:proofErr w:type="spellEnd"/>
      <w:r>
        <w:t>/&gt;importance]</w:t>
      </w:r>
      <w:r>
        <w:br/>
        <w:t xml:space="preserve">  B --&gt; </w:t>
      </w:r>
      <w:proofErr w:type="gramStart"/>
      <w:r>
        <w:t>D[</w:t>
      </w:r>
      <w:proofErr w:type="gramEnd"/>
      <w:r>
        <w:t>Top covariates]</w:t>
      </w:r>
      <w:r>
        <w:br/>
        <w:t xml:space="preserve">  D --&gt; </w:t>
      </w:r>
      <w:proofErr w:type="gramStart"/>
      <w:r>
        <w:t>E[</w:t>
      </w:r>
      <w:proofErr w:type="gramEnd"/>
      <w:r>
        <w:t>Global GPR&lt;</w:t>
      </w:r>
      <w:proofErr w:type="spellStart"/>
      <w:r>
        <w:t>br</w:t>
      </w:r>
      <w:proofErr w:type="spellEnd"/>
      <w:r>
        <w:t>/&gt;ARD kernel]</w:t>
      </w:r>
      <w:r>
        <w:br/>
      </w:r>
      <w:r>
        <w:t xml:space="preserve">  E --&gt; </w:t>
      </w:r>
      <w:proofErr w:type="gramStart"/>
      <w:r>
        <w:t>F[</w:t>
      </w:r>
      <w:proofErr w:type="gramEnd"/>
      <w:r>
        <w:t>ARD length-scale&lt;</w:t>
      </w:r>
      <w:proofErr w:type="spellStart"/>
      <w:r>
        <w:t>br</w:t>
      </w:r>
      <w:proofErr w:type="spellEnd"/>
      <w:r>
        <w:t>/&gt;relevance]</w:t>
      </w:r>
      <w:r>
        <w:br/>
        <w:t xml:space="preserve">  E --&gt; </w:t>
      </w:r>
      <w:proofErr w:type="gramStart"/>
      <w:r>
        <w:t>G[</w:t>
      </w:r>
      <w:proofErr w:type="gramEnd"/>
      <w:r>
        <w:t>Temporal holdout&lt;</w:t>
      </w:r>
      <w:proofErr w:type="spellStart"/>
      <w:r>
        <w:t>br</w:t>
      </w:r>
      <w:proofErr w:type="spellEnd"/>
      <w:r>
        <w:t>/&gt;train 2019–22, test 2023]</w:t>
      </w:r>
      <w:r>
        <w:br/>
        <w:t xml:space="preserve">  A --&gt; </w:t>
      </w:r>
      <w:proofErr w:type="gramStart"/>
      <w:r>
        <w:t>H[</w:t>
      </w:r>
      <w:proofErr w:type="gramEnd"/>
      <w:r>
        <w:t>Mann–Whitney U&lt;</w:t>
      </w:r>
      <w:proofErr w:type="spellStart"/>
      <w:r>
        <w:t>br</w:t>
      </w:r>
      <w:proofErr w:type="spellEnd"/>
      <w:r>
        <w:t>/&gt;grazed vs ungrazed]</w:t>
      </w:r>
    </w:p>
    <w:p w14:paraId="59BCEFC3" w14:textId="77777777" w:rsidR="00362D75" w:rsidRDefault="00573E0D">
      <w:r>
        <w:t>The Mann–Whitney branch runs on raw measurements, independent of every model.</w:t>
      </w:r>
    </w:p>
    <w:p w14:paraId="59BCEFC4" w14:textId="77777777" w:rsidR="00362D75" w:rsidRDefault="00573E0D">
      <w:r>
        <w:rPr>
          <w:b/>
        </w:rPr>
        <w:t>Random Forest impurity importance (MDI).</w:t>
      </w:r>
      <w:r>
        <w:t xml:space="preserve"> 500 trees, </w:t>
      </w:r>
      <w:proofErr w:type="spellStart"/>
      <w:r>
        <w:rPr>
          <w:rStyle w:val="CodeChar"/>
        </w:rPr>
        <w:t>max_features</w:t>
      </w:r>
      <w:proofErr w:type="spellEnd"/>
      <w:r>
        <w:rPr>
          <w:rStyle w:val="CodeChar"/>
        </w:rPr>
        <w:t>='sqrt'</w:t>
      </w:r>
      <w:r>
        <w:t xml:space="preserve">, </w:t>
      </w:r>
      <w:proofErr w:type="spellStart"/>
      <w:r>
        <w:rPr>
          <w:rStyle w:val="CodeChar"/>
        </w:rPr>
        <w:t>min_samples_leaf</w:t>
      </w:r>
      <w:proofErr w:type="spellEnd"/>
      <w:r>
        <w:rPr>
          <w:rStyle w:val="CodeChar"/>
        </w:rPr>
        <w:t>=3</w:t>
      </w:r>
      <w:r>
        <w:t>. Importance = total variance reduction credited to each covariate, normalized to sum to 1. Evaluated with leave-one-year-out cross-validation.</w:t>
      </w:r>
    </w:p>
    <w:p w14:paraId="59BCEFC5" w14:textId="77777777" w:rsidR="00362D75" w:rsidRDefault="00573E0D">
      <w:r>
        <w:rPr>
          <w:b/>
        </w:rPr>
        <w:t>Permutation importance.</w:t>
      </w:r>
      <w:r>
        <w:t xml:space="preserve"> One year held out via </w:t>
      </w:r>
      <w:r>
        <w:rPr>
          <w:rStyle w:val="CodeChar"/>
        </w:rPr>
        <w:t>GroupShuffleSplit</w:t>
      </w:r>
      <w:r>
        <w:t xml:space="preserve"> (grouped by year). Each covariate is shuffled 50 times; importance = the resulting increase in held-out MSE. Negative values mean shuffling improved prediction.</w:t>
      </w:r>
    </w:p>
    <w:p w14:paraId="59BCEFC6" w14:textId="77777777" w:rsidR="00362D75" w:rsidRDefault="00573E0D">
      <w:r>
        <w:rPr>
          <w:b/>
        </w:rPr>
        <w:t>Global GPR.</w:t>
      </w:r>
      <w:r>
        <w:t xml:space="preserve"> One model over all rows — replacing v3.0's 18 per-subset fits, in which treatment, grazing, and depth were </w:t>
      </w:r>
      <w:proofErr w:type="gramStart"/>
      <w:r>
        <w:t>constants</w:t>
      </w:r>
      <w:proofErr w:type="gramEnd"/>
      <w:r>
        <w:t xml:space="preserve"> and could carry no effect. Target is </w:t>
      </w:r>
      <w:proofErr w:type="gramStart"/>
      <w:r>
        <w:t>log(</w:t>
      </w:r>
      <w:proofErr w:type="gramEnd"/>
      <w:r>
        <w:t>1 + N). Kernel:</w:t>
      </w:r>
    </w:p>
    <w:p w14:paraId="59BCEFC7" w14:textId="77777777" w:rsidR="00362D75" w:rsidRDefault="00573E0D">
      <w:pPr>
        <w:pStyle w:val="Code"/>
      </w:pPr>
      <w:bookmarkStart w:id="1" w:name="bongo_lang_latex_2"/>
      <w:bookmarkEnd w:id="1"/>
      <w:proofErr w:type="gramStart"/>
      <w:r>
        <w:lastRenderedPageBreak/>
        <w:t>k(</w:t>
      </w:r>
      <w:proofErr w:type="gramEnd"/>
      <w:r>
        <w:t>x, x') = \sigma^2 \</w:t>
      </w:r>
      <w:proofErr w:type="spellStart"/>
      <w:r>
        <w:t>cdot</w:t>
      </w:r>
      <w:proofErr w:type="spellEnd"/>
      <w:r>
        <w:t xml:space="preserve"> \</w:t>
      </w:r>
      <w:proofErr w:type="spellStart"/>
      <w:proofErr w:type="gramStart"/>
      <w:r>
        <w:t>mathrm</w:t>
      </w:r>
      <w:proofErr w:type="spellEnd"/>
      <w:r>
        <w:t>{</w:t>
      </w:r>
      <w:proofErr w:type="spellStart"/>
      <w:proofErr w:type="gramEnd"/>
      <w:r>
        <w:t>Matérn</w:t>
      </w:r>
      <w:proofErr w:type="spellEnd"/>
      <w:r>
        <w:t>}_{\nu=1.</w:t>
      </w:r>
      <w:proofErr w:type="gramStart"/>
      <w:r>
        <w:t>5}(</w:t>
      </w:r>
      <w:proofErr w:type="gramEnd"/>
      <w:r>
        <w:t>x, x</w:t>
      </w:r>
      <w:proofErr w:type="gramStart"/>
      <w:r>
        <w:t>';\</w:t>
      </w:r>
      <w:proofErr w:type="gramEnd"/>
      <w:r>
        <w:t>, \ell_1, \dots, \</w:t>
      </w:r>
      <w:proofErr w:type="spellStart"/>
      <w:r>
        <w:t>ell_d</w:t>
      </w:r>
      <w:proofErr w:type="spellEnd"/>
      <w:r>
        <w:t>) + \sigma_n^2 \, \delta_{xx'}</w:t>
      </w:r>
    </w:p>
    <w:p w14:paraId="59BCEFC8" w14:textId="77777777" w:rsidR="00362D75" w:rsidRDefault="00573E0D">
      <w:r>
        <w:t xml:space="preserve">The </w:t>
      </w:r>
      <w:proofErr w:type="spellStart"/>
      <w:r>
        <w:t>Matérn</w:t>
      </w:r>
      <w:proofErr w:type="spellEnd"/>
      <w:r>
        <w:t xml:space="preserve"> term carries one length-scale per input dimension (ARD). Relevance is taken as the inverse length-scale, normalized to sum to 1. Inputs: RF-selected continuous covariates, one-hot treatment, grazing, depth. NH₄⁺ used 10 dimensions, NO₃⁻ 9, both on n = 264.</w:t>
      </w:r>
    </w:p>
    <w:p w14:paraId="59BCEFC9" w14:textId="77777777" w:rsidR="00362D75" w:rsidRDefault="00573E0D">
      <w:r>
        <w:rPr>
          <w:b/>
        </w:rPr>
        <w:t>Temporal holdout.</w:t>
      </w:r>
      <w:r>
        <w:t xml:space="preserve"> Fit </w:t>
      </w:r>
      <w:proofErr w:type="gramStart"/>
      <w:r>
        <w:t>on</w:t>
      </w:r>
      <w:proofErr w:type="gramEnd"/>
      <w:r>
        <w:t xml:space="preserve"> 2019–2022 (n = 192), predict 2023 (n = 72). Report RMSE, MAE, bias, R², 95% credible-interval coverage, and mean interval width.</w:t>
      </w:r>
    </w:p>
    <w:p w14:paraId="59BCEFCA" w14:textId="77777777" w:rsidR="00362D75" w:rsidRDefault="00573E0D">
      <w:r>
        <w:rPr>
          <w:b/>
        </w:rPr>
        <w:t>Projection assumptions (2024–2028).</w:t>
      </w:r>
      <w:r>
        <w:t xml:space="preserve"> Treatments continue unchanged. SPEI held at its observed </w:t>
      </w:r>
      <w:proofErr w:type="gramStart"/>
      <w:r>
        <w:t>mean</w:t>
      </w:r>
      <w:proofErr w:type="gramEnd"/>
      <w:r>
        <w:t xml:space="preserve"> (about −0.6). GHG held </w:t>
      </w:r>
      <w:proofErr w:type="gramStart"/>
      <w:r>
        <w:t>at</w:t>
      </w:r>
      <w:proofErr w:type="gramEnd"/>
      <w:r>
        <w:t xml:space="preserve"> 2023 means. NDVI, EVI, and SAR held at training means.</w:t>
      </w:r>
    </w:p>
    <w:p w14:paraId="59BCEFCB" w14:textId="77777777" w:rsidR="00362D75" w:rsidRDefault="00573E0D">
      <w:pPr>
        <w:pStyle w:val="Heading2"/>
      </w:pPr>
      <w:r>
        <w:t>Results: covariate rankings</w:t>
      </w:r>
    </w:p>
    <w:p w14:paraId="59BCEFCC" w14:textId="77777777" w:rsidR="00362D75" w:rsidRDefault="00573E0D">
      <w:r>
        <w:t>Year and water balance rank highest under both impurity importance and ARD; grazing ranks at or near the bottom under all three methods.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362D75" w14:paraId="59BCEFD3" w14:textId="77777777">
        <w:trPr>
          <w:tblHeader/>
        </w:trPr>
        <w:tc>
          <w:tcPr>
            <w:tcW w:w="1560" w:type="dxa"/>
            <w:shd w:val="clear" w:color="auto" w:fill="F2F2F2"/>
          </w:tcPr>
          <w:p w14:paraId="59BCEFCD" w14:textId="77777777" w:rsidR="00362D75" w:rsidRDefault="00573E0D">
            <w:r>
              <w:t>Covariate</w:t>
            </w:r>
          </w:p>
        </w:tc>
        <w:tc>
          <w:tcPr>
            <w:tcW w:w="1560" w:type="dxa"/>
            <w:shd w:val="clear" w:color="auto" w:fill="F2F2F2"/>
          </w:tcPr>
          <w:p w14:paraId="59BCEFCE" w14:textId="77777777" w:rsidR="00362D75" w:rsidRDefault="00573E0D">
            <w:r>
              <w:t>NH₄⁺ MDI</w:t>
            </w:r>
          </w:p>
        </w:tc>
        <w:tc>
          <w:tcPr>
            <w:tcW w:w="1560" w:type="dxa"/>
            <w:shd w:val="clear" w:color="auto" w:fill="F2F2F2"/>
          </w:tcPr>
          <w:p w14:paraId="59BCEFCF" w14:textId="77777777" w:rsidR="00362D75" w:rsidRDefault="00573E0D">
            <w:r>
              <w:t>NH₄⁺ permutation (ΔMSE)</w:t>
            </w:r>
          </w:p>
        </w:tc>
        <w:tc>
          <w:tcPr>
            <w:tcW w:w="1560" w:type="dxa"/>
            <w:shd w:val="clear" w:color="auto" w:fill="F2F2F2"/>
          </w:tcPr>
          <w:p w14:paraId="59BCEFD0" w14:textId="77777777" w:rsidR="00362D75" w:rsidRDefault="00573E0D">
            <w:r>
              <w:t>NO₃⁻ MDI</w:t>
            </w:r>
          </w:p>
        </w:tc>
        <w:tc>
          <w:tcPr>
            <w:tcW w:w="1560" w:type="dxa"/>
            <w:shd w:val="clear" w:color="auto" w:fill="F2F2F2"/>
          </w:tcPr>
          <w:p w14:paraId="59BCEFD1" w14:textId="77777777" w:rsidR="00362D75" w:rsidRDefault="00573E0D">
            <w:r>
              <w:t>NO₃⁻ permutation (ΔMSE)</w:t>
            </w:r>
          </w:p>
        </w:tc>
        <w:tc>
          <w:tcPr>
            <w:tcW w:w="1560" w:type="dxa"/>
            <w:shd w:val="clear" w:color="auto" w:fill="F2F2F2"/>
          </w:tcPr>
          <w:p w14:paraId="59BCEFD2" w14:textId="77777777" w:rsidR="00362D75" w:rsidRDefault="00573E0D">
            <w:r>
              <w:t>NO₃⁻ ARD</w:t>
            </w:r>
          </w:p>
        </w:tc>
      </w:tr>
      <w:tr w:rsidR="00362D75" w14:paraId="59BCEFDA" w14:textId="77777777">
        <w:tc>
          <w:tcPr>
            <w:tcW w:w="1560" w:type="dxa"/>
          </w:tcPr>
          <w:p w14:paraId="59BCEFD4" w14:textId="77777777" w:rsidR="00362D75" w:rsidRDefault="00573E0D">
            <w:r>
              <w:t>Year</w:t>
            </w:r>
          </w:p>
        </w:tc>
        <w:tc>
          <w:tcPr>
            <w:tcW w:w="1560" w:type="dxa"/>
          </w:tcPr>
          <w:p w14:paraId="59BCEFD5" w14:textId="77777777" w:rsidR="00362D75" w:rsidRDefault="00573E0D">
            <w:r>
              <w:t>0.239</w:t>
            </w:r>
          </w:p>
        </w:tc>
        <w:tc>
          <w:tcPr>
            <w:tcW w:w="1560" w:type="dxa"/>
          </w:tcPr>
          <w:p w14:paraId="59BCEFD6" w14:textId="77777777" w:rsidR="00362D75" w:rsidRDefault="00573E0D">
            <w:r>
              <w:t>0.0</w:t>
            </w:r>
          </w:p>
        </w:tc>
        <w:tc>
          <w:tcPr>
            <w:tcW w:w="1560" w:type="dxa"/>
          </w:tcPr>
          <w:p w14:paraId="59BCEFD7" w14:textId="77777777" w:rsidR="00362D75" w:rsidRDefault="00573E0D">
            <w:r>
              <w:t>0.133</w:t>
            </w:r>
          </w:p>
        </w:tc>
        <w:tc>
          <w:tcPr>
            <w:tcW w:w="1560" w:type="dxa"/>
          </w:tcPr>
          <w:p w14:paraId="59BCEFD8" w14:textId="77777777" w:rsidR="00362D75" w:rsidRDefault="00573E0D">
            <w:r>
              <w:t>0.0</w:t>
            </w:r>
          </w:p>
        </w:tc>
        <w:tc>
          <w:tcPr>
            <w:tcW w:w="1560" w:type="dxa"/>
          </w:tcPr>
          <w:p w14:paraId="59BCEFD9" w14:textId="77777777" w:rsidR="00362D75" w:rsidRDefault="00573E0D">
            <w:r>
              <w:t>0.152</w:t>
            </w:r>
          </w:p>
        </w:tc>
      </w:tr>
      <w:tr w:rsidR="00362D75" w14:paraId="59BCEFE1" w14:textId="77777777">
        <w:tc>
          <w:tcPr>
            <w:tcW w:w="1560" w:type="dxa"/>
          </w:tcPr>
          <w:p w14:paraId="59BCEFDB" w14:textId="77777777" w:rsidR="00362D75" w:rsidRDefault="00573E0D">
            <w:r>
              <w:t>SPEI-90d</w:t>
            </w:r>
          </w:p>
        </w:tc>
        <w:tc>
          <w:tcPr>
            <w:tcW w:w="1560" w:type="dxa"/>
          </w:tcPr>
          <w:p w14:paraId="59BCEFDC" w14:textId="77777777" w:rsidR="00362D75" w:rsidRDefault="00573E0D">
            <w:r>
              <w:t>0.159</w:t>
            </w:r>
          </w:p>
        </w:tc>
        <w:tc>
          <w:tcPr>
            <w:tcW w:w="1560" w:type="dxa"/>
          </w:tcPr>
          <w:p w14:paraId="59BCEFDD" w14:textId="77777777" w:rsidR="00362D75" w:rsidRDefault="00573E0D">
            <w:r>
              <w:t>0.0</w:t>
            </w:r>
          </w:p>
        </w:tc>
        <w:tc>
          <w:tcPr>
            <w:tcW w:w="1560" w:type="dxa"/>
          </w:tcPr>
          <w:p w14:paraId="59BCEFDE" w14:textId="77777777" w:rsidR="00362D75" w:rsidRDefault="00573E0D">
            <w:r>
              <w:t>0.174</w:t>
            </w:r>
          </w:p>
        </w:tc>
        <w:tc>
          <w:tcPr>
            <w:tcW w:w="1560" w:type="dxa"/>
          </w:tcPr>
          <w:p w14:paraId="59BCEFDF" w14:textId="77777777" w:rsidR="00362D75" w:rsidRDefault="00573E0D">
            <w:r>
              <w:t>0.0</w:t>
            </w:r>
          </w:p>
        </w:tc>
        <w:tc>
          <w:tcPr>
            <w:tcW w:w="1560" w:type="dxa"/>
          </w:tcPr>
          <w:p w14:paraId="59BCEFE0" w14:textId="77777777" w:rsidR="00362D75" w:rsidRDefault="00573E0D">
            <w:r>
              <w:t>0.198</w:t>
            </w:r>
          </w:p>
        </w:tc>
      </w:tr>
      <w:tr w:rsidR="00362D75" w14:paraId="59BCEFE8" w14:textId="77777777">
        <w:tc>
          <w:tcPr>
            <w:tcW w:w="1560" w:type="dxa"/>
          </w:tcPr>
          <w:p w14:paraId="59BCEFE2" w14:textId="77777777" w:rsidR="00362D75" w:rsidRDefault="00573E0D">
            <w:r>
              <w:t>NDVI</w:t>
            </w:r>
          </w:p>
        </w:tc>
        <w:tc>
          <w:tcPr>
            <w:tcW w:w="1560" w:type="dxa"/>
          </w:tcPr>
          <w:p w14:paraId="59BCEFE3" w14:textId="77777777" w:rsidR="00362D75" w:rsidRDefault="00573E0D">
            <w:r>
              <w:t>0.138</w:t>
            </w:r>
          </w:p>
        </w:tc>
        <w:tc>
          <w:tcPr>
            <w:tcW w:w="1560" w:type="dxa"/>
          </w:tcPr>
          <w:p w14:paraId="59BCEFE4" w14:textId="77777777" w:rsidR="00362D75" w:rsidRDefault="00573E0D">
            <w:r>
              <w:t>+1.4</w:t>
            </w:r>
          </w:p>
        </w:tc>
        <w:tc>
          <w:tcPr>
            <w:tcW w:w="1560" w:type="dxa"/>
          </w:tcPr>
          <w:p w14:paraId="59BCEFE5" w14:textId="77777777" w:rsidR="00362D75" w:rsidRDefault="00573E0D">
            <w:r>
              <w:t>0.104</w:t>
            </w:r>
          </w:p>
        </w:tc>
        <w:tc>
          <w:tcPr>
            <w:tcW w:w="1560" w:type="dxa"/>
          </w:tcPr>
          <w:p w14:paraId="59BCEFE6" w14:textId="77777777" w:rsidR="00362D75" w:rsidRDefault="00573E0D">
            <w:r>
              <w:t>+0.3</w:t>
            </w:r>
          </w:p>
        </w:tc>
        <w:tc>
          <w:tcPr>
            <w:tcW w:w="1560" w:type="dxa"/>
          </w:tcPr>
          <w:p w14:paraId="59BCEFE7" w14:textId="77777777" w:rsidR="00362D75" w:rsidRDefault="00573E0D">
            <w:r>
              <w:t>0.320</w:t>
            </w:r>
          </w:p>
        </w:tc>
      </w:tr>
      <w:tr w:rsidR="00362D75" w14:paraId="59BCEFEF" w14:textId="77777777">
        <w:tc>
          <w:tcPr>
            <w:tcW w:w="1560" w:type="dxa"/>
          </w:tcPr>
          <w:p w14:paraId="59BCEFE9" w14:textId="77777777" w:rsidR="00362D75" w:rsidRDefault="00573E0D">
            <w:r>
              <w:t>CO₂ flux</w:t>
            </w:r>
          </w:p>
        </w:tc>
        <w:tc>
          <w:tcPr>
            <w:tcW w:w="1560" w:type="dxa"/>
          </w:tcPr>
          <w:p w14:paraId="59BCEFEA" w14:textId="77777777" w:rsidR="00362D75" w:rsidRDefault="00573E0D">
            <w:r>
              <w:t>0.155</w:t>
            </w:r>
          </w:p>
        </w:tc>
        <w:tc>
          <w:tcPr>
            <w:tcW w:w="1560" w:type="dxa"/>
          </w:tcPr>
          <w:p w14:paraId="59BCEFEB" w14:textId="77777777" w:rsidR="00362D75" w:rsidRDefault="00573E0D">
            <w:r>
              <w:t>−</w:t>
            </w:r>
            <w:r>
              <w:t>7.0</w:t>
            </w:r>
          </w:p>
        </w:tc>
        <w:tc>
          <w:tcPr>
            <w:tcW w:w="1560" w:type="dxa"/>
          </w:tcPr>
          <w:p w14:paraId="59BCEFEC" w14:textId="77777777" w:rsidR="00362D75" w:rsidRDefault="00573E0D">
            <w:r>
              <w:t>0.109</w:t>
            </w:r>
          </w:p>
        </w:tc>
        <w:tc>
          <w:tcPr>
            <w:tcW w:w="1560" w:type="dxa"/>
          </w:tcPr>
          <w:p w14:paraId="59BCEFED" w14:textId="77777777" w:rsidR="00362D75" w:rsidRDefault="00573E0D">
            <w:r>
              <w:t>−</w:t>
            </w:r>
            <w:r>
              <w:t>2.5</w:t>
            </w:r>
          </w:p>
        </w:tc>
        <w:tc>
          <w:tcPr>
            <w:tcW w:w="1560" w:type="dxa"/>
          </w:tcPr>
          <w:p w14:paraId="59BCEFEE" w14:textId="77777777" w:rsidR="00362D75" w:rsidRDefault="00573E0D">
            <w:r>
              <w:t>0.149</w:t>
            </w:r>
          </w:p>
        </w:tc>
      </w:tr>
      <w:tr w:rsidR="00362D75" w14:paraId="59BCEFF6" w14:textId="77777777">
        <w:tc>
          <w:tcPr>
            <w:tcW w:w="1560" w:type="dxa"/>
          </w:tcPr>
          <w:p w14:paraId="59BCEFF0" w14:textId="77777777" w:rsidR="00362D75" w:rsidRDefault="00573E0D">
            <w:r>
              <w:t>Depth</w:t>
            </w:r>
          </w:p>
        </w:tc>
        <w:tc>
          <w:tcPr>
            <w:tcW w:w="1560" w:type="dxa"/>
          </w:tcPr>
          <w:p w14:paraId="59BCEFF1" w14:textId="77777777" w:rsidR="00362D75" w:rsidRDefault="00573E0D">
            <w:r>
              <w:t>0.019</w:t>
            </w:r>
          </w:p>
        </w:tc>
        <w:tc>
          <w:tcPr>
            <w:tcW w:w="1560" w:type="dxa"/>
          </w:tcPr>
          <w:p w14:paraId="59BCEFF2" w14:textId="77777777" w:rsidR="00362D75" w:rsidRDefault="00573E0D">
            <w:r>
              <w:t>+3.3</w:t>
            </w:r>
          </w:p>
        </w:tc>
        <w:tc>
          <w:tcPr>
            <w:tcW w:w="1560" w:type="dxa"/>
          </w:tcPr>
          <w:p w14:paraId="59BCEFF3" w14:textId="77777777" w:rsidR="00362D75" w:rsidRDefault="00573E0D">
            <w:r>
              <w:t>0.108</w:t>
            </w:r>
          </w:p>
        </w:tc>
        <w:tc>
          <w:tcPr>
            <w:tcW w:w="1560" w:type="dxa"/>
          </w:tcPr>
          <w:p w14:paraId="59BCEFF4" w14:textId="77777777" w:rsidR="00362D75" w:rsidRDefault="00573E0D">
            <w:r>
              <w:t>+37.6</w:t>
            </w:r>
          </w:p>
        </w:tc>
        <w:tc>
          <w:tcPr>
            <w:tcW w:w="1560" w:type="dxa"/>
          </w:tcPr>
          <w:p w14:paraId="59BCEFF5" w14:textId="77777777" w:rsidR="00362D75" w:rsidRDefault="00573E0D">
            <w:r>
              <w:t>0.040</w:t>
            </w:r>
          </w:p>
        </w:tc>
      </w:tr>
      <w:tr w:rsidR="00362D75" w14:paraId="59BCEFFD" w14:textId="77777777">
        <w:tc>
          <w:tcPr>
            <w:tcW w:w="1560" w:type="dxa"/>
          </w:tcPr>
          <w:p w14:paraId="59BCEFF7" w14:textId="77777777" w:rsidR="00362D75" w:rsidRDefault="00573E0D">
            <w:r>
              <w:t>Treatment</w:t>
            </w:r>
          </w:p>
        </w:tc>
        <w:tc>
          <w:tcPr>
            <w:tcW w:w="1560" w:type="dxa"/>
          </w:tcPr>
          <w:p w14:paraId="59BCEFF8" w14:textId="77777777" w:rsidR="00362D75" w:rsidRDefault="00573E0D">
            <w:r>
              <w:t>0.020</w:t>
            </w:r>
          </w:p>
        </w:tc>
        <w:tc>
          <w:tcPr>
            <w:tcW w:w="1560" w:type="dxa"/>
          </w:tcPr>
          <w:p w14:paraId="59BCEFF9" w14:textId="77777777" w:rsidR="00362D75" w:rsidRDefault="00573E0D">
            <w:r>
              <w:t>+2.9</w:t>
            </w:r>
          </w:p>
        </w:tc>
        <w:tc>
          <w:tcPr>
            <w:tcW w:w="1560" w:type="dxa"/>
          </w:tcPr>
          <w:p w14:paraId="59BCEFFA" w14:textId="77777777" w:rsidR="00362D75" w:rsidRDefault="00573E0D">
            <w:r>
              <w:t>0.027</w:t>
            </w:r>
          </w:p>
        </w:tc>
        <w:tc>
          <w:tcPr>
            <w:tcW w:w="1560" w:type="dxa"/>
          </w:tcPr>
          <w:p w14:paraId="59BCEFFB" w14:textId="77777777" w:rsidR="00362D75" w:rsidRDefault="00573E0D">
            <w:r>
              <w:t>≈ 0</w:t>
            </w:r>
          </w:p>
        </w:tc>
        <w:tc>
          <w:tcPr>
            <w:tcW w:w="1560" w:type="dxa"/>
          </w:tcPr>
          <w:p w14:paraId="59BCEFFC" w14:textId="77777777" w:rsidR="00362D75" w:rsidRDefault="00573E0D">
            <w:r>
              <w:t>0.061</w:t>
            </w:r>
          </w:p>
        </w:tc>
      </w:tr>
      <w:tr w:rsidR="00362D75" w14:paraId="59BCF004" w14:textId="77777777">
        <w:tc>
          <w:tcPr>
            <w:tcW w:w="1560" w:type="dxa"/>
          </w:tcPr>
          <w:p w14:paraId="59BCEFFE" w14:textId="77777777" w:rsidR="00362D75" w:rsidRDefault="00573E0D">
            <w:r>
              <w:t>Grazing</w:t>
            </w:r>
          </w:p>
        </w:tc>
        <w:tc>
          <w:tcPr>
            <w:tcW w:w="1560" w:type="dxa"/>
          </w:tcPr>
          <w:p w14:paraId="59BCEFFF" w14:textId="77777777" w:rsidR="00362D75" w:rsidRDefault="00573E0D">
            <w:r>
              <w:t>0.004</w:t>
            </w:r>
          </w:p>
        </w:tc>
        <w:tc>
          <w:tcPr>
            <w:tcW w:w="1560" w:type="dxa"/>
          </w:tcPr>
          <w:p w14:paraId="59BCF000" w14:textId="77777777" w:rsidR="00362D75" w:rsidRDefault="00573E0D">
            <w:r>
              <w:t>−</w:t>
            </w:r>
            <w:r>
              <w:t>0.3</w:t>
            </w:r>
          </w:p>
        </w:tc>
        <w:tc>
          <w:tcPr>
            <w:tcW w:w="1560" w:type="dxa"/>
          </w:tcPr>
          <w:p w14:paraId="59BCF001" w14:textId="77777777" w:rsidR="00362D75" w:rsidRDefault="00573E0D">
            <w:r>
              <w:t>0.008</w:t>
            </w:r>
          </w:p>
        </w:tc>
        <w:tc>
          <w:tcPr>
            <w:tcW w:w="1560" w:type="dxa"/>
          </w:tcPr>
          <w:p w14:paraId="59BCF002" w14:textId="77777777" w:rsidR="00362D75" w:rsidRDefault="00573E0D">
            <w:r>
              <w:t>&lt; 0</w:t>
            </w:r>
          </w:p>
        </w:tc>
        <w:tc>
          <w:tcPr>
            <w:tcW w:w="1560" w:type="dxa"/>
          </w:tcPr>
          <w:p w14:paraId="59BCF003" w14:textId="77777777" w:rsidR="00362D75" w:rsidRDefault="00573E0D">
            <w:r>
              <w:t>0.035</w:t>
            </w:r>
          </w:p>
        </w:tc>
      </w:tr>
    </w:tbl>
    <w:p w14:paraId="59BCF005" w14:textId="77777777" w:rsidR="00362D75" w:rsidRDefault="00573E0D">
      <w:r>
        <w:t xml:space="preserve">MDI and ARD </w:t>
      </w:r>
      <w:proofErr w:type="gramStart"/>
      <w:r>
        <w:t>are shares</w:t>
      </w:r>
      <w:proofErr w:type="gramEnd"/>
      <w:r>
        <w:t xml:space="preserve"> summing to 1. Permutation is the rise in held-out MSE when a covariate is shuffled. ARD treatment is its largest one-hot term. For NH₄⁺, ARD ranks NDVI, SPEI, and year highest.</w:t>
      </w:r>
    </w:p>
    <w:p w14:paraId="59BCF006" w14:textId="77777777" w:rsidR="00362D75" w:rsidRDefault="00573E0D">
      <w:r>
        <w:rPr>
          <w:b/>
        </w:rPr>
        <w:t>Where the methods agree.</w:t>
      </w:r>
      <w:r>
        <w:t xml:space="preserve"> Covariates in the top four under both MDI and ARD: year, SPEI, and NDVI for NH₄⁺; SPEI, year, and CO₂ for NO₃⁻.</w:t>
      </w:r>
    </w:p>
    <w:p w14:paraId="59BCF007" w14:textId="77777777" w:rsidR="00362D75" w:rsidRDefault="00573E0D">
      <w:r>
        <w:rPr>
          <w:b/>
        </w:rPr>
        <w:t>Where they disagree, and why.</w:t>
      </w:r>
    </w:p>
    <w:p w14:paraId="59BCF008" w14:textId="77777777" w:rsidR="00362D75" w:rsidRDefault="00573E0D">
      <w:pPr>
        <w:pStyle w:val="ListParagraph"/>
        <w:numPr>
          <w:ilvl w:val="0"/>
          <w:numId w:val="4"/>
        </w:numPr>
      </w:pPr>
      <w:r>
        <w:rPr>
          <w:b/>
        </w:rPr>
        <w:t>Year and SPEI score zero under permutation.</w:t>
      </w:r>
      <w:r>
        <w:t xml:space="preserve"> With one year held out, year is constant in the test set and SPEI takes only two values. Permutation cannot test them — this is a design limit, not evidence of irrelevance.</w:t>
      </w:r>
    </w:p>
    <w:p w14:paraId="59BCF009" w14:textId="77777777" w:rsidR="00362D75" w:rsidRDefault="00573E0D">
      <w:pPr>
        <w:pStyle w:val="ListParagraph"/>
        <w:numPr>
          <w:ilvl w:val="0"/>
          <w:numId w:val="4"/>
        </w:numPr>
      </w:pPr>
      <w:r>
        <w:rPr>
          <w:b/>
        </w:rPr>
        <w:t>CO₂ flux degrades held-out prediction.</w:t>
      </w:r>
      <w:r>
        <w:t xml:space="preserve"> It ranks 3rd under MDI for both analytes, yet shuffling it improves prediction (−7.0 for NH₄⁺). The forest learned a CO₂–nitrogen pattern that does not transfer across years.</w:t>
      </w:r>
    </w:p>
    <w:p w14:paraId="59BCF00A" w14:textId="77777777" w:rsidR="00362D75" w:rsidRDefault="00573E0D">
      <w:pPr>
        <w:pStyle w:val="ListParagraph"/>
        <w:numPr>
          <w:ilvl w:val="0"/>
          <w:numId w:val="4"/>
        </w:numPr>
      </w:pPr>
      <w:r>
        <w:rPr>
          <w:b/>
        </w:rPr>
        <w:t>Depth is the one covariate both methods rank highly for NO₃⁻</w:t>
      </w:r>
      <w:r>
        <w:t xml:space="preserve"> (MDI 4th, permutation 1st at +37.6). Consistent with nitrate leaching and ammonium binding to exchange sites.</w:t>
      </w:r>
    </w:p>
    <w:p w14:paraId="59BCF00B" w14:textId="77777777" w:rsidR="00362D75" w:rsidRDefault="00573E0D">
      <w:pPr>
        <w:pStyle w:val="ListParagraph"/>
        <w:numPr>
          <w:ilvl w:val="0"/>
          <w:numId w:val="4"/>
        </w:numPr>
      </w:pPr>
      <w:r>
        <w:rPr>
          <w:b/>
        </w:rPr>
        <w:lastRenderedPageBreak/>
        <w:t>NDVI dominates ARD while EVI nearly vanishes.</w:t>
      </w:r>
      <w:r>
        <w:t xml:space="preserve"> The two measure nearly the same thing; ARD concentrates weight on one of a correlated pair where RF splits it.</w:t>
      </w:r>
    </w:p>
    <w:p w14:paraId="59BCF00C" w14:textId="77777777" w:rsidR="00362D75" w:rsidRDefault="00573E0D">
      <w:r>
        <w:rPr>
          <w:b/>
        </w:rPr>
        <w:t>Direction of the SPEI effect.</w:t>
      </w:r>
      <w:r>
        <w:t xml:space="preserve"> Importance is unsigned. Lining values up against observed N shows the relationship is inverse: 2019 was the only wet window and had low N; the driest window (2022, Time 2, spei90d = −1.81) coincided with rising N. SPEI still correlates with year at r = −0.24, so drought and elapsed time are not fully separable.</w:t>
      </w:r>
    </w:p>
    <w:p w14:paraId="59BCF00D" w14:textId="77777777" w:rsidR="00362D75" w:rsidRDefault="00573E0D">
      <w:pPr>
        <w:pStyle w:val="Heading2"/>
      </w:pPr>
      <w:r>
        <w:t>Results: the grazing conditional effect</w:t>
      </w:r>
    </w:p>
    <w:p w14:paraId="59BCF00E" w14:textId="77777777" w:rsidR="00362D75" w:rsidRDefault="00573E0D">
      <w:r>
        <w:t>By 2023, grazing depleted both nitrogen forms in unfertilized plots and had no significant effect where fertilizer or legume nitrogen was present.</w:t>
      </w:r>
    </w:p>
    <w:p w14:paraId="59BCF00F" w14:textId="77777777" w:rsidR="00362D75" w:rsidRDefault="00573E0D">
      <w:r>
        <w:t>Grazed minus ungrazed, mg kg⁻¹. Mann–Whitney U, two-sided. * p &lt; 0.05, ** p &lt; 0.01.</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362D75" w14:paraId="59BCF015" w14:textId="77777777">
        <w:trPr>
          <w:tblHeader/>
        </w:trPr>
        <w:tc>
          <w:tcPr>
            <w:tcW w:w="1872" w:type="dxa"/>
            <w:shd w:val="clear" w:color="auto" w:fill="F2F2F2"/>
          </w:tcPr>
          <w:p w14:paraId="59BCF010" w14:textId="77777777" w:rsidR="00362D75" w:rsidRDefault="00573E0D">
            <w:r>
              <w:t>Treatment · analyte</w:t>
            </w:r>
          </w:p>
        </w:tc>
        <w:tc>
          <w:tcPr>
            <w:tcW w:w="1872" w:type="dxa"/>
            <w:shd w:val="clear" w:color="auto" w:fill="F2F2F2"/>
          </w:tcPr>
          <w:p w14:paraId="59BCF011" w14:textId="77777777" w:rsidR="00362D75" w:rsidRDefault="00573E0D">
            <w:r>
              <w:t>2020</w:t>
            </w:r>
          </w:p>
        </w:tc>
        <w:tc>
          <w:tcPr>
            <w:tcW w:w="1872" w:type="dxa"/>
            <w:shd w:val="clear" w:color="auto" w:fill="F2F2F2"/>
          </w:tcPr>
          <w:p w14:paraId="59BCF012" w14:textId="77777777" w:rsidR="00362D75" w:rsidRDefault="00573E0D">
            <w:r>
              <w:t>2021</w:t>
            </w:r>
          </w:p>
        </w:tc>
        <w:tc>
          <w:tcPr>
            <w:tcW w:w="1872" w:type="dxa"/>
            <w:shd w:val="clear" w:color="auto" w:fill="F2F2F2"/>
          </w:tcPr>
          <w:p w14:paraId="59BCF013" w14:textId="77777777" w:rsidR="00362D75" w:rsidRDefault="00573E0D">
            <w:r>
              <w:t>2022</w:t>
            </w:r>
          </w:p>
        </w:tc>
        <w:tc>
          <w:tcPr>
            <w:tcW w:w="1872" w:type="dxa"/>
            <w:shd w:val="clear" w:color="auto" w:fill="F2F2F2"/>
          </w:tcPr>
          <w:p w14:paraId="59BCF014" w14:textId="77777777" w:rsidR="00362D75" w:rsidRDefault="00573E0D">
            <w:r>
              <w:t>2023</w:t>
            </w:r>
          </w:p>
        </w:tc>
      </w:tr>
      <w:tr w:rsidR="00362D75" w14:paraId="59BCF01B" w14:textId="77777777">
        <w:tc>
          <w:tcPr>
            <w:tcW w:w="1872" w:type="dxa"/>
          </w:tcPr>
          <w:p w14:paraId="59BCF016" w14:textId="77777777" w:rsidR="00362D75" w:rsidRDefault="00573E0D">
            <w:r>
              <w:t>Unfertilized · NH₄⁺</w:t>
            </w:r>
          </w:p>
        </w:tc>
        <w:tc>
          <w:tcPr>
            <w:tcW w:w="1872" w:type="dxa"/>
          </w:tcPr>
          <w:p w14:paraId="59BCF017" w14:textId="77777777" w:rsidR="00362D75" w:rsidRDefault="00573E0D">
            <w:r>
              <w:t>+1.06</w:t>
            </w:r>
          </w:p>
        </w:tc>
        <w:tc>
          <w:tcPr>
            <w:tcW w:w="1872" w:type="dxa"/>
          </w:tcPr>
          <w:p w14:paraId="59BCF018" w14:textId="77777777" w:rsidR="00362D75" w:rsidRDefault="00573E0D">
            <w:r>
              <w:t>−</w:t>
            </w:r>
            <w:r>
              <w:t>0.17</w:t>
            </w:r>
          </w:p>
        </w:tc>
        <w:tc>
          <w:tcPr>
            <w:tcW w:w="1872" w:type="dxa"/>
          </w:tcPr>
          <w:p w14:paraId="59BCF019" w14:textId="77777777" w:rsidR="00362D75" w:rsidRDefault="00573E0D">
            <w:r>
              <w:t>−</w:t>
            </w:r>
            <w:r>
              <w:t>2.63</w:t>
            </w:r>
          </w:p>
        </w:tc>
        <w:tc>
          <w:tcPr>
            <w:tcW w:w="1872" w:type="dxa"/>
          </w:tcPr>
          <w:p w14:paraId="59BCF01A" w14:textId="77777777" w:rsidR="00362D75" w:rsidRDefault="00573E0D">
            <w:r>
              <w:rPr>
                <w:b/>
              </w:rPr>
              <w:t>−</w:t>
            </w:r>
            <w:r>
              <w:rPr>
                <w:b/>
              </w:rPr>
              <w:t>11.48**</w:t>
            </w:r>
          </w:p>
        </w:tc>
      </w:tr>
      <w:tr w:rsidR="00362D75" w14:paraId="59BCF021" w14:textId="77777777">
        <w:tc>
          <w:tcPr>
            <w:tcW w:w="1872" w:type="dxa"/>
          </w:tcPr>
          <w:p w14:paraId="59BCF01C" w14:textId="77777777" w:rsidR="00362D75" w:rsidRDefault="00573E0D">
            <w:r>
              <w:t>Unfertilized · NO₃⁻</w:t>
            </w:r>
          </w:p>
        </w:tc>
        <w:tc>
          <w:tcPr>
            <w:tcW w:w="1872" w:type="dxa"/>
          </w:tcPr>
          <w:p w14:paraId="59BCF01D" w14:textId="77777777" w:rsidR="00362D75" w:rsidRDefault="00573E0D">
            <w:r>
              <w:t>+4.05</w:t>
            </w:r>
          </w:p>
        </w:tc>
        <w:tc>
          <w:tcPr>
            <w:tcW w:w="1872" w:type="dxa"/>
          </w:tcPr>
          <w:p w14:paraId="59BCF01E" w14:textId="77777777" w:rsidR="00362D75" w:rsidRDefault="00573E0D">
            <w:r>
              <w:t>+2.94*</w:t>
            </w:r>
          </w:p>
        </w:tc>
        <w:tc>
          <w:tcPr>
            <w:tcW w:w="1872" w:type="dxa"/>
          </w:tcPr>
          <w:p w14:paraId="59BCF01F" w14:textId="77777777" w:rsidR="00362D75" w:rsidRDefault="00573E0D">
            <w:r>
              <w:t>−</w:t>
            </w:r>
            <w:r>
              <w:t>2.86</w:t>
            </w:r>
          </w:p>
        </w:tc>
        <w:tc>
          <w:tcPr>
            <w:tcW w:w="1872" w:type="dxa"/>
          </w:tcPr>
          <w:p w14:paraId="59BCF020" w14:textId="77777777" w:rsidR="00362D75" w:rsidRDefault="00573E0D">
            <w:r>
              <w:rPr>
                <w:b/>
              </w:rPr>
              <w:t>−</w:t>
            </w:r>
            <w:r>
              <w:rPr>
                <w:b/>
              </w:rPr>
              <w:t>14.99**</w:t>
            </w:r>
          </w:p>
        </w:tc>
      </w:tr>
      <w:tr w:rsidR="00362D75" w14:paraId="59BCF027" w14:textId="77777777">
        <w:tc>
          <w:tcPr>
            <w:tcW w:w="1872" w:type="dxa"/>
          </w:tcPr>
          <w:p w14:paraId="59BCF022" w14:textId="77777777" w:rsidR="00362D75" w:rsidRDefault="00573E0D">
            <w:r>
              <w:t>Fertilized · NH₄⁺</w:t>
            </w:r>
          </w:p>
        </w:tc>
        <w:tc>
          <w:tcPr>
            <w:tcW w:w="1872" w:type="dxa"/>
          </w:tcPr>
          <w:p w14:paraId="59BCF023" w14:textId="77777777" w:rsidR="00362D75" w:rsidRDefault="00573E0D">
            <w:r>
              <w:t>−</w:t>
            </w:r>
            <w:r>
              <w:t>1.85*</w:t>
            </w:r>
          </w:p>
        </w:tc>
        <w:tc>
          <w:tcPr>
            <w:tcW w:w="1872" w:type="dxa"/>
          </w:tcPr>
          <w:p w14:paraId="59BCF024" w14:textId="77777777" w:rsidR="00362D75" w:rsidRDefault="00573E0D">
            <w:r>
              <w:t>−</w:t>
            </w:r>
            <w:r>
              <w:t>2.88</w:t>
            </w:r>
          </w:p>
        </w:tc>
        <w:tc>
          <w:tcPr>
            <w:tcW w:w="1872" w:type="dxa"/>
          </w:tcPr>
          <w:p w14:paraId="59BCF025" w14:textId="77777777" w:rsidR="00362D75" w:rsidRDefault="00573E0D">
            <w:r>
              <w:t>+1.11</w:t>
            </w:r>
          </w:p>
        </w:tc>
        <w:tc>
          <w:tcPr>
            <w:tcW w:w="1872" w:type="dxa"/>
          </w:tcPr>
          <w:p w14:paraId="59BCF026" w14:textId="77777777" w:rsidR="00362D75" w:rsidRDefault="00573E0D">
            <w:r>
              <w:t>+5.34</w:t>
            </w:r>
          </w:p>
        </w:tc>
      </w:tr>
      <w:tr w:rsidR="00362D75" w14:paraId="59BCF02D" w14:textId="77777777">
        <w:tc>
          <w:tcPr>
            <w:tcW w:w="1872" w:type="dxa"/>
          </w:tcPr>
          <w:p w14:paraId="59BCF028" w14:textId="77777777" w:rsidR="00362D75" w:rsidRDefault="00573E0D">
            <w:r>
              <w:t>Fertilized · NO₃⁻</w:t>
            </w:r>
          </w:p>
        </w:tc>
        <w:tc>
          <w:tcPr>
            <w:tcW w:w="1872" w:type="dxa"/>
          </w:tcPr>
          <w:p w14:paraId="59BCF029" w14:textId="77777777" w:rsidR="00362D75" w:rsidRDefault="00573E0D">
            <w:r>
              <w:t>−</w:t>
            </w:r>
            <w:r>
              <w:t>2.51</w:t>
            </w:r>
          </w:p>
        </w:tc>
        <w:tc>
          <w:tcPr>
            <w:tcW w:w="1872" w:type="dxa"/>
          </w:tcPr>
          <w:p w14:paraId="59BCF02A" w14:textId="77777777" w:rsidR="00362D75" w:rsidRDefault="00573E0D">
            <w:r>
              <w:t>+4.73*</w:t>
            </w:r>
          </w:p>
        </w:tc>
        <w:tc>
          <w:tcPr>
            <w:tcW w:w="1872" w:type="dxa"/>
          </w:tcPr>
          <w:p w14:paraId="59BCF02B" w14:textId="77777777" w:rsidR="00362D75" w:rsidRDefault="00573E0D">
            <w:r>
              <w:t>−</w:t>
            </w:r>
            <w:r>
              <w:t>1.48</w:t>
            </w:r>
          </w:p>
        </w:tc>
        <w:tc>
          <w:tcPr>
            <w:tcW w:w="1872" w:type="dxa"/>
          </w:tcPr>
          <w:p w14:paraId="59BCF02C" w14:textId="77777777" w:rsidR="00362D75" w:rsidRDefault="00573E0D">
            <w:r>
              <w:t>+7.47</w:t>
            </w:r>
          </w:p>
        </w:tc>
      </w:tr>
      <w:tr w:rsidR="00362D75" w14:paraId="59BCF033" w14:textId="77777777">
        <w:tc>
          <w:tcPr>
            <w:tcW w:w="1872" w:type="dxa"/>
          </w:tcPr>
          <w:p w14:paraId="59BCF02E" w14:textId="77777777" w:rsidR="00362D75" w:rsidRDefault="00573E0D">
            <w:r>
              <w:t>Legume · NH₄⁺</w:t>
            </w:r>
          </w:p>
        </w:tc>
        <w:tc>
          <w:tcPr>
            <w:tcW w:w="1872" w:type="dxa"/>
          </w:tcPr>
          <w:p w14:paraId="59BCF02F" w14:textId="77777777" w:rsidR="00362D75" w:rsidRDefault="00573E0D">
            <w:r>
              <w:t>—</w:t>
            </w:r>
          </w:p>
        </w:tc>
        <w:tc>
          <w:tcPr>
            <w:tcW w:w="1872" w:type="dxa"/>
          </w:tcPr>
          <w:p w14:paraId="59BCF030" w14:textId="77777777" w:rsidR="00362D75" w:rsidRDefault="00573E0D">
            <w:r>
              <w:t>+0.12</w:t>
            </w:r>
          </w:p>
        </w:tc>
        <w:tc>
          <w:tcPr>
            <w:tcW w:w="1872" w:type="dxa"/>
          </w:tcPr>
          <w:p w14:paraId="59BCF031" w14:textId="77777777" w:rsidR="00362D75" w:rsidRDefault="00573E0D">
            <w:r>
              <w:t>−</w:t>
            </w:r>
            <w:r>
              <w:t>4.10</w:t>
            </w:r>
          </w:p>
        </w:tc>
        <w:tc>
          <w:tcPr>
            <w:tcW w:w="1872" w:type="dxa"/>
          </w:tcPr>
          <w:p w14:paraId="59BCF032" w14:textId="77777777" w:rsidR="00362D75" w:rsidRDefault="00573E0D">
            <w:r>
              <w:t>+4.71</w:t>
            </w:r>
          </w:p>
        </w:tc>
      </w:tr>
      <w:tr w:rsidR="00362D75" w14:paraId="59BCF039" w14:textId="77777777">
        <w:tc>
          <w:tcPr>
            <w:tcW w:w="1872" w:type="dxa"/>
          </w:tcPr>
          <w:p w14:paraId="59BCF034" w14:textId="77777777" w:rsidR="00362D75" w:rsidRDefault="00573E0D">
            <w:r>
              <w:t>Legume · NO₃⁻</w:t>
            </w:r>
          </w:p>
        </w:tc>
        <w:tc>
          <w:tcPr>
            <w:tcW w:w="1872" w:type="dxa"/>
          </w:tcPr>
          <w:p w14:paraId="59BCF035" w14:textId="77777777" w:rsidR="00362D75" w:rsidRDefault="00573E0D">
            <w:r>
              <w:t>—</w:t>
            </w:r>
          </w:p>
        </w:tc>
        <w:tc>
          <w:tcPr>
            <w:tcW w:w="1872" w:type="dxa"/>
          </w:tcPr>
          <w:p w14:paraId="59BCF036" w14:textId="77777777" w:rsidR="00362D75" w:rsidRDefault="00573E0D">
            <w:r>
              <w:t>+1.79</w:t>
            </w:r>
          </w:p>
        </w:tc>
        <w:tc>
          <w:tcPr>
            <w:tcW w:w="1872" w:type="dxa"/>
          </w:tcPr>
          <w:p w14:paraId="59BCF037" w14:textId="77777777" w:rsidR="00362D75" w:rsidRDefault="00573E0D">
            <w:r>
              <w:t>−</w:t>
            </w:r>
            <w:r>
              <w:t>9.90</w:t>
            </w:r>
          </w:p>
        </w:tc>
        <w:tc>
          <w:tcPr>
            <w:tcW w:w="1872" w:type="dxa"/>
          </w:tcPr>
          <w:p w14:paraId="59BCF038" w14:textId="77777777" w:rsidR="00362D75" w:rsidRDefault="00573E0D">
            <w:r>
              <w:t>+3.28</w:t>
            </w:r>
          </w:p>
        </w:tc>
      </w:tr>
    </w:tbl>
    <w:p w14:paraId="59BCF03A" w14:textId="77777777" w:rsidR="00362D75" w:rsidRDefault="00573E0D">
      <w:r>
        <w:t>The two 2023 unfertilized effects: NH₄⁺ p = 0.0071, NO₃⁻ p = 0.0050, both on n = 50 grazed / 28 ungrazed. Legume strips were not sampled in 2020. Sample counts range from 102–106 / 30 (2020) to 50–70 / 28–38 (2023). 2019 is excluded as the pre-grazing baseline.</w:t>
      </w:r>
    </w:p>
    <w:p w14:paraId="59BCF03B" w14:textId="77777777" w:rsidR="00362D75" w:rsidRDefault="00573E0D">
      <w:r>
        <w:rPr>
          <w:b/>
        </w:rPr>
        <w:t>Why the importance methods missed it.</w:t>
      </w:r>
      <w:r>
        <w:t xml:space="preserve"> Global importance asks whether grazing helps explain nitrogen across all plots, years, and treatments at once. An effect confined to one treatment in one year cannot split the whole dataset well — and grazing is binary, which impurity importance additionally penalizes (Strobl et al., 2007). The pairwise test asks a narrower question, and there the effect is clear.</w:t>
      </w:r>
    </w:p>
    <w:p w14:paraId="59BCF03C" w14:textId="77777777" w:rsidR="00362D75" w:rsidRDefault="00573E0D">
      <w:r>
        <w:rPr>
          <w:b/>
        </w:rPr>
        <w:t>The global GPR agrees.</w:t>
      </w:r>
      <w:r>
        <w:t xml:space="preserve"> With grazing as a model dimension, its ARD relevance is 0.035 for NO₃⁻, and projected grazed and ungrazed trajectories converge in every treatment. v3.0's visibly separated lines came from fitting different subsets, not from a modelled grazing effect.</w:t>
      </w:r>
    </w:p>
    <w:p w14:paraId="59BCF03D" w14:textId="77777777" w:rsidR="00362D75" w:rsidRDefault="00573E0D">
      <w:r>
        <w:rPr>
          <w:b/>
        </w:rPr>
        <w:t>Multiple comparisons.</w:t>
      </w:r>
      <w:r>
        <w:t xml:space="preserve"> The table above reports 22 uncorrected tests. This analysis treats 2023 — the endpoint after four grazing seasons — as the primary </w:t>
      </w:r>
      <w:proofErr w:type="gramStart"/>
      <w:r>
        <w:t>contrast, and</w:t>
      </w:r>
      <w:proofErr w:type="gramEnd"/>
      <w:r>
        <w:t xml:space="preserve"> corrects within that family of six tests (3 treatments × 2 analytes) using the Holm step-down method.</w:t>
      </w:r>
    </w:p>
    <w:tbl>
      <w:tblPr>
        <w:tblStyle w:val="TableGrid"/>
        <w:tblW w:w="0" w:type="auto"/>
        <w:tblLayout w:type="fixed"/>
        <w:tblLook w:val="0420" w:firstRow="1" w:lastRow="0" w:firstColumn="0" w:lastColumn="0" w:noHBand="0" w:noVBand="1"/>
      </w:tblPr>
      <w:tblGrid>
        <w:gridCol w:w="2340"/>
        <w:gridCol w:w="2340"/>
        <w:gridCol w:w="2340"/>
        <w:gridCol w:w="2340"/>
      </w:tblGrid>
      <w:tr w:rsidR="00362D75" w14:paraId="59BCF042" w14:textId="77777777">
        <w:trPr>
          <w:tblHeader/>
        </w:trPr>
        <w:tc>
          <w:tcPr>
            <w:tcW w:w="2340" w:type="dxa"/>
            <w:shd w:val="clear" w:color="auto" w:fill="F2F2F2"/>
          </w:tcPr>
          <w:p w14:paraId="59BCF03E" w14:textId="77777777" w:rsidR="00362D75" w:rsidRDefault="00573E0D">
            <w:r>
              <w:t>Contrast</w:t>
            </w:r>
          </w:p>
        </w:tc>
        <w:tc>
          <w:tcPr>
            <w:tcW w:w="2340" w:type="dxa"/>
            <w:shd w:val="clear" w:color="auto" w:fill="F2F2F2"/>
          </w:tcPr>
          <w:p w14:paraId="59BCF03F" w14:textId="77777777" w:rsidR="00362D75" w:rsidRDefault="00573E0D">
            <w:r>
              <w:t>Uncorrected p</w:t>
            </w:r>
          </w:p>
        </w:tc>
        <w:tc>
          <w:tcPr>
            <w:tcW w:w="2340" w:type="dxa"/>
            <w:shd w:val="clear" w:color="auto" w:fill="F2F2F2"/>
          </w:tcPr>
          <w:p w14:paraId="59BCF040" w14:textId="77777777" w:rsidR="00362D75" w:rsidRDefault="00573E0D">
            <w:r>
              <w:t>Holm-corrected p</w:t>
            </w:r>
          </w:p>
        </w:tc>
        <w:tc>
          <w:tcPr>
            <w:tcW w:w="2340" w:type="dxa"/>
            <w:shd w:val="clear" w:color="auto" w:fill="F2F2F2"/>
          </w:tcPr>
          <w:p w14:paraId="59BCF041" w14:textId="77777777" w:rsidR="00362D75" w:rsidRDefault="00573E0D">
            <w:r>
              <w:t>At α = 0.05</w:t>
            </w:r>
          </w:p>
        </w:tc>
      </w:tr>
      <w:tr w:rsidR="00362D75" w14:paraId="59BCF047" w14:textId="77777777">
        <w:tc>
          <w:tcPr>
            <w:tcW w:w="2340" w:type="dxa"/>
          </w:tcPr>
          <w:p w14:paraId="59BCF043" w14:textId="77777777" w:rsidR="00362D75" w:rsidRDefault="00573E0D">
            <w:r>
              <w:t>NO₃⁻, unfertilized, 2023</w:t>
            </w:r>
          </w:p>
        </w:tc>
        <w:tc>
          <w:tcPr>
            <w:tcW w:w="2340" w:type="dxa"/>
          </w:tcPr>
          <w:p w14:paraId="59BCF044" w14:textId="77777777" w:rsidR="00362D75" w:rsidRDefault="00573E0D">
            <w:r>
              <w:t>0.0050</w:t>
            </w:r>
          </w:p>
        </w:tc>
        <w:tc>
          <w:tcPr>
            <w:tcW w:w="2340" w:type="dxa"/>
          </w:tcPr>
          <w:p w14:paraId="59BCF045" w14:textId="77777777" w:rsidR="00362D75" w:rsidRDefault="00573E0D">
            <w:r>
              <w:t>0.030</w:t>
            </w:r>
          </w:p>
        </w:tc>
        <w:tc>
          <w:tcPr>
            <w:tcW w:w="2340" w:type="dxa"/>
          </w:tcPr>
          <w:p w14:paraId="59BCF046" w14:textId="77777777" w:rsidR="00362D75" w:rsidRDefault="00573E0D">
            <w:r>
              <w:t>Significant</w:t>
            </w:r>
          </w:p>
        </w:tc>
      </w:tr>
      <w:tr w:rsidR="00362D75" w14:paraId="59BCF04C" w14:textId="77777777">
        <w:tc>
          <w:tcPr>
            <w:tcW w:w="2340" w:type="dxa"/>
          </w:tcPr>
          <w:p w14:paraId="59BCF048" w14:textId="77777777" w:rsidR="00362D75" w:rsidRDefault="00573E0D">
            <w:r>
              <w:lastRenderedPageBreak/>
              <w:t>NH₄⁺, unfertilized, 2023</w:t>
            </w:r>
          </w:p>
        </w:tc>
        <w:tc>
          <w:tcPr>
            <w:tcW w:w="2340" w:type="dxa"/>
          </w:tcPr>
          <w:p w14:paraId="59BCF049" w14:textId="77777777" w:rsidR="00362D75" w:rsidRDefault="00573E0D">
            <w:r>
              <w:t>0.0071</w:t>
            </w:r>
          </w:p>
        </w:tc>
        <w:tc>
          <w:tcPr>
            <w:tcW w:w="2340" w:type="dxa"/>
          </w:tcPr>
          <w:p w14:paraId="59BCF04A" w14:textId="77777777" w:rsidR="00362D75" w:rsidRDefault="00573E0D">
            <w:r>
              <w:t>0.036</w:t>
            </w:r>
          </w:p>
        </w:tc>
        <w:tc>
          <w:tcPr>
            <w:tcW w:w="2340" w:type="dxa"/>
          </w:tcPr>
          <w:p w14:paraId="59BCF04B" w14:textId="77777777" w:rsidR="00362D75" w:rsidRDefault="00573E0D">
            <w:r>
              <w:t>Significant</w:t>
            </w:r>
          </w:p>
        </w:tc>
      </w:tr>
    </w:tbl>
    <w:p w14:paraId="59BCF04D" w14:textId="77777777" w:rsidR="00362D75" w:rsidRDefault="00573E0D">
      <w:r>
        <w:t>Across all 22 cells the threshold falls to roughly 0.002 under either Bonferroni or Benjamini–Hochberg, and neither result clears it. The choice of family therefore decides the outcome.</w:t>
      </w:r>
    </w:p>
    <w:p w14:paraId="59BCF04E" w14:textId="77777777" w:rsidR="00362D75" w:rsidRDefault="00573E0D">
      <w:r>
        <w:t xml:space="preserve">The result holds if 2023 — the endpoint after four grazing seasons — is treated as the primary </w:t>
      </w:r>
      <w:proofErr w:type="gramStart"/>
      <w:r>
        <w:t>contrast, and</w:t>
      </w:r>
      <w:proofErr w:type="gramEnd"/>
      <w:r>
        <w:t xml:space="preserve"> does not hold across all 22 cells. That choice was not pre-specified, so it should be stated explicitly rather than implied by an uncorrected p &lt; 0.01. The isolated 2020–2021 significant cells run in both directions and survive no correction; treat them as noise. The corrected values are computed as </w:t>
      </w:r>
      <w:r>
        <w:rPr>
          <w:rStyle w:val="CodeChar"/>
        </w:rPr>
        <w:t>p_holm_2023</w:t>
      </w:r>
      <w:r>
        <w:t xml:space="preserve"> in the dashboard export and confirmed against a notebook run.</w:t>
      </w:r>
    </w:p>
    <w:p w14:paraId="59BCF04F" w14:textId="77777777" w:rsidR="00362D75" w:rsidRDefault="00573E0D">
      <w:pPr>
        <w:pStyle w:val="Heading2"/>
      </w:pPr>
      <w:r>
        <w:t>Results: temporal holdout validation</w:t>
      </w:r>
    </w:p>
    <w:p w14:paraId="59BCF050" w14:textId="77777777" w:rsidR="00362D75" w:rsidRDefault="00573E0D">
      <w:r>
        <w:t>Trained on 2019–2022 and tested on 2023, the global GPR predicted worse than the test-year mean for both analytes.</w:t>
      </w:r>
    </w:p>
    <w:tbl>
      <w:tblPr>
        <w:tblStyle w:val="TableGrid"/>
        <w:tblW w:w="0" w:type="auto"/>
        <w:tblLayout w:type="fixed"/>
        <w:tblLook w:val="0420" w:firstRow="1" w:lastRow="0" w:firstColumn="0" w:lastColumn="0" w:noHBand="0" w:noVBand="1"/>
      </w:tblPr>
      <w:tblGrid>
        <w:gridCol w:w="3120"/>
        <w:gridCol w:w="3120"/>
        <w:gridCol w:w="3120"/>
      </w:tblGrid>
      <w:tr w:rsidR="00362D75" w14:paraId="59BCF054" w14:textId="77777777">
        <w:trPr>
          <w:tblHeader/>
        </w:trPr>
        <w:tc>
          <w:tcPr>
            <w:tcW w:w="3120" w:type="dxa"/>
            <w:shd w:val="clear" w:color="auto" w:fill="F2F2F2"/>
          </w:tcPr>
          <w:p w14:paraId="59BCF051" w14:textId="77777777" w:rsidR="00362D75" w:rsidRDefault="00573E0D">
            <w:r>
              <w:t>Metric</w:t>
            </w:r>
          </w:p>
        </w:tc>
        <w:tc>
          <w:tcPr>
            <w:tcW w:w="3120" w:type="dxa"/>
            <w:shd w:val="clear" w:color="auto" w:fill="F2F2F2"/>
          </w:tcPr>
          <w:p w14:paraId="59BCF052" w14:textId="77777777" w:rsidR="00362D75" w:rsidRDefault="00573E0D">
            <w:r>
              <w:t>NH₄⁺</w:t>
            </w:r>
          </w:p>
        </w:tc>
        <w:tc>
          <w:tcPr>
            <w:tcW w:w="3120" w:type="dxa"/>
            <w:shd w:val="clear" w:color="auto" w:fill="F2F2F2"/>
          </w:tcPr>
          <w:p w14:paraId="59BCF053" w14:textId="77777777" w:rsidR="00362D75" w:rsidRDefault="00573E0D">
            <w:r>
              <w:t>NO₃⁻</w:t>
            </w:r>
          </w:p>
        </w:tc>
      </w:tr>
      <w:tr w:rsidR="00362D75" w14:paraId="59BCF058" w14:textId="77777777">
        <w:tc>
          <w:tcPr>
            <w:tcW w:w="3120" w:type="dxa"/>
          </w:tcPr>
          <w:p w14:paraId="59BCF055" w14:textId="77777777" w:rsidR="00362D75" w:rsidRDefault="00573E0D">
            <w:r>
              <w:t>Train / test rows</w:t>
            </w:r>
          </w:p>
        </w:tc>
        <w:tc>
          <w:tcPr>
            <w:tcW w:w="3120" w:type="dxa"/>
          </w:tcPr>
          <w:p w14:paraId="59BCF056" w14:textId="77777777" w:rsidR="00362D75" w:rsidRDefault="00573E0D">
            <w:r>
              <w:t>192 / 72</w:t>
            </w:r>
          </w:p>
        </w:tc>
        <w:tc>
          <w:tcPr>
            <w:tcW w:w="3120" w:type="dxa"/>
          </w:tcPr>
          <w:p w14:paraId="59BCF057" w14:textId="77777777" w:rsidR="00362D75" w:rsidRDefault="00573E0D">
            <w:r>
              <w:t>192 / 72</w:t>
            </w:r>
          </w:p>
        </w:tc>
      </w:tr>
      <w:tr w:rsidR="00362D75" w14:paraId="59BCF05C" w14:textId="77777777">
        <w:tc>
          <w:tcPr>
            <w:tcW w:w="3120" w:type="dxa"/>
          </w:tcPr>
          <w:p w14:paraId="59BCF059" w14:textId="77777777" w:rsidR="00362D75" w:rsidRDefault="00573E0D">
            <w:r>
              <w:t>RMSE (mg kg⁻¹)</w:t>
            </w:r>
          </w:p>
        </w:tc>
        <w:tc>
          <w:tcPr>
            <w:tcW w:w="3120" w:type="dxa"/>
          </w:tcPr>
          <w:p w14:paraId="59BCF05A" w14:textId="77777777" w:rsidR="00362D75" w:rsidRDefault="00573E0D">
            <w:r>
              <w:t>22.28</w:t>
            </w:r>
          </w:p>
        </w:tc>
        <w:tc>
          <w:tcPr>
            <w:tcW w:w="3120" w:type="dxa"/>
          </w:tcPr>
          <w:p w14:paraId="59BCF05B" w14:textId="77777777" w:rsidR="00362D75" w:rsidRDefault="00573E0D">
            <w:r>
              <w:t>17.52</w:t>
            </w:r>
          </w:p>
        </w:tc>
      </w:tr>
      <w:tr w:rsidR="00362D75" w14:paraId="59BCF060" w14:textId="77777777">
        <w:tc>
          <w:tcPr>
            <w:tcW w:w="3120" w:type="dxa"/>
          </w:tcPr>
          <w:p w14:paraId="59BCF05D" w14:textId="77777777" w:rsidR="00362D75" w:rsidRDefault="00573E0D">
            <w:r>
              <w:t>R²</w:t>
            </w:r>
          </w:p>
        </w:tc>
        <w:tc>
          <w:tcPr>
            <w:tcW w:w="3120" w:type="dxa"/>
          </w:tcPr>
          <w:p w14:paraId="59BCF05E" w14:textId="77777777" w:rsidR="00362D75" w:rsidRDefault="00573E0D">
            <w:r>
              <w:t>−</w:t>
            </w:r>
            <w:r>
              <w:t>3.26</w:t>
            </w:r>
          </w:p>
        </w:tc>
        <w:tc>
          <w:tcPr>
            <w:tcW w:w="3120" w:type="dxa"/>
          </w:tcPr>
          <w:p w14:paraId="59BCF05F" w14:textId="77777777" w:rsidR="00362D75" w:rsidRDefault="00573E0D">
            <w:r>
              <w:t>−</w:t>
            </w:r>
            <w:r>
              <w:t>1.83</w:t>
            </w:r>
          </w:p>
        </w:tc>
      </w:tr>
      <w:tr w:rsidR="00362D75" w14:paraId="59BCF064" w14:textId="77777777">
        <w:tc>
          <w:tcPr>
            <w:tcW w:w="3120" w:type="dxa"/>
          </w:tcPr>
          <w:p w14:paraId="59BCF061" w14:textId="77777777" w:rsidR="00362D75" w:rsidRDefault="00573E0D">
            <w:r>
              <w:t>95% credible-interval coverage</w:t>
            </w:r>
          </w:p>
        </w:tc>
        <w:tc>
          <w:tcPr>
            <w:tcW w:w="3120" w:type="dxa"/>
          </w:tcPr>
          <w:p w14:paraId="59BCF062" w14:textId="77777777" w:rsidR="00362D75" w:rsidRDefault="00573E0D">
            <w:r>
              <w:t>100%</w:t>
            </w:r>
          </w:p>
        </w:tc>
        <w:tc>
          <w:tcPr>
            <w:tcW w:w="3120" w:type="dxa"/>
          </w:tcPr>
          <w:p w14:paraId="59BCF063" w14:textId="77777777" w:rsidR="00362D75" w:rsidRDefault="00573E0D">
            <w:r>
              <w:t>100%</w:t>
            </w:r>
          </w:p>
        </w:tc>
      </w:tr>
      <w:tr w:rsidR="00362D75" w14:paraId="59BCF068" w14:textId="77777777">
        <w:tc>
          <w:tcPr>
            <w:tcW w:w="3120" w:type="dxa"/>
          </w:tcPr>
          <w:p w14:paraId="59BCF065" w14:textId="77777777" w:rsidR="00362D75" w:rsidRDefault="00573E0D">
            <w:r>
              <w:t>Mean interval width (mg kg⁻¹)</w:t>
            </w:r>
          </w:p>
        </w:tc>
        <w:tc>
          <w:tcPr>
            <w:tcW w:w="3120" w:type="dxa"/>
          </w:tcPr>
          <w:p w14:paraId="59BCF066" w14:textId="77777777" w:rsidR="00362D75" w:rsidRDefault="00573E0D">
            <w:r>
              <w:t>53.1</w:t>
            </w:r>
          </w:p>
        </w:tc>
        <w:tc>
          <w:tcPr>
            <w:tcW w:w="3120" w:type="dxa"/>
          </w:tcPr>
          <w:p w14:paraId="59BCF067" w14:textId="77777777" w:rsidR="00362D75" w:rsidRDefault="00573E0D">
            <w:r>
              <w:t>88.3</w:t>
            </w:r>
          </w:p>
        </w:tc>
      </w:tr>
      <w:tr w:rsidR="00362D75" w14:paraId="59BCF06C" w14:textId="77777777">
        <w:tc>
          <w:tcPr>
            <w:tcW w:w="3120" w:type="dxa"/>
          </w:tcPr>
          <w:p w14:paraId="59BCF069" w14:textId="77777777" w:rsidR="00362D75" w:rsidRDefault="00573E0D">
            <w:r>
              <w:t>RF leave-one-year-out R² (mean)</w:t>
            </w:r>
          </w:p>
        </w:tc>
        <w:tc>
          <w:tcPr>
            <w:tcW w:w="3120" w:type="dxa"/>
          </w:tcPr>
          <w:p w14:paraId="59BCF06A" w14:textId="77777777" w:rsidR="00362D75" w:rsidRDefault="00573E0D">
            <w:r>
              <w:t>−</w:t>
            </w:r>
            <w:r>
              <w:t>2.53</w:t>
            </w:r>
          </w:p>
        </w:tc>
        <w:tc>
          <w:tcPr>
            <w:tcW w:w="3120" w:type="dxa"/>
          </w:tcPr>
          <w:p w14:paraId="59BCF06B" w14:textId="77777777" w:rsidR="00362D75" w:rsidRDefault="00573E0D">
            <w:r>
              <w:t>−</w:t>
            </w:r>
            <w:r>
              <w:t>1.13</w:t>
            </w:r>
          </w:p>
        </w:tc>
      </w:tr>
    </w:tbl>
    <w:p w14:paraId="59BCF06D" w14:textId="77777777" w:rsidR="00362D75" w:rsidRDefault="00573E0D">
      <w:r>
        <w:rPr>
          <w:b/>
        </w:rPr>
        <w:t>Coverage of 100% is not a success here.</w:t>
      </w:r>
      <w:r>
        <w:t xml:space="preserve"> The intervals are wider than the full observed range of either analyte, so every observation falls inside them trivially. Near-95% coverage with intervals narrower than the data spread would indicate calibrated uncertainty; this is the opposite — uninformative uncertainty. Coverage </w:t>
      </w:r>
      <w:proofErr w:type="gramStart"/>
      <w:r>
        <w:t>has to</w:t>
      </w:r>
      <w:proofErr w:type="gramEnd"/>
      <w:r>
        <w:t xml:space="preserve"> be read alongside width.</w:t>
      </w:r>
    </w:p>
    <w:p w14:paraId="59BCF06E" w14:textId="77777777" w:rsidR="00362D75" w:rsidRDefault="00573E0D">
      <w:r>
        <w:rPr>
          <w:b/>
        </w:rPr>
        <w:t>Why predictions flatten.</w:t>
      </w:r>
      <w:r>
        <w:t xml:space="preserve"> </w:t>
      </w:r>
      <w:proofErr w:type="gramStart"/>
      <w:r>
        <w:t>Predicting</w:t>
      </w:r>
      <w:proofErr w:type="gramEnd"/>
      <w:r>
        <w:t xml:space="preserve"> 2023 places </w:t>
      </w:r>
      <w:r>
        <w:rPr>
          <w:rStyle w:val="CodeChar"/>
        </w:rPr>
        <w:t>year</w:t>
      </w:r>
      <w:r>
        <w:t xml:space="preserve"> outside the training range. A </w:t>
      </w:r>
      <w:proofErr w:type="spellStart"/>
      <w:r>
        <w:t>Matérn</w:t>
      </w:r>
      <w:proofErr w:type="spellEnd"/>
      <w:r>
        <w:t xml:space="preserve"> GP extrapolating beyond its data reverts toward the prior mean, so held-out NH₄⁺ predictions collapse to a near-constant value regardless of plot, treatment, or grazing. Roberts et al. (2017) describe exactly this: blocking in time forces extrapolation by restricting the predictor ranges available to training.</w:t>
      </w:r>
    </w:p>
    <w:p w14:paraId="59BCF06F" w14:textId="77777777" w:rsidR="00362D75" w:rsidRDefault="00573E0D">
      <w:r>
        <w:rPr>
          <w:b/>
        </w:rPr>
        <w:t>What this establishes.</w:t>
      </w:r>
      <w:r>
        <w:t xml:space="preserve"> Not a tuning failure — a sample-size floor. Four training years give the model no basis for a fifth. The 2024–2028 trajectories are therefore projections under stated assumptions, with no validated predictive skill, and are reported as illustrations rather than forecasts.</w:t>
      </w:r>
    </w:p>
    <w:p w14:paraId="59BCF070" w14:textId="77777777" w:rsidR="00362D75" w:rsidRDefault="00573E0D">
      <w:pPr>
        <w:pStyle w:val="Heading2"/>
      </w:pPr>
      <w:r>
        <w:t>Changes from v3.0 and corrections log</w:t>
      </w:r>
    </w:p>
    <w:p w14:paraId="59BCF071" w14:textId="77777777" w:rsidR="00362D75" w:rsidRDefault="00573E0D">
      <w:r>
        <w:t>v3.1 restructured the GPR so management variables can carry effects, and a verification pass against the executed notebook corrected several reported values.</w:t>
      </w:r>
    </w:p>
    <w:p w14:paraId="59BCF072" w14:textId="77777777" w:rsidR="00362D75" w:rsidRDefault="00573E0D">
      <w:r>
        <w:rPr>
          <w:b/>
        </w:rPr>
        <w:lastRenderedPageBreak/>
        <w:t>Model changes</w:t>
      </w:r>
    </w:p>
    <w:tbl>
      <w:tblPr>
        <w:tblStyle w:val="TableGrid"/>
        <w:tblW w:w="0" w:type="auto"/>
        <w:tblLayout w:type="fixed"/>
        <w:tblLook w:val="0420" w:firstRow="1" w:lastRow="0" w:firstColumn="0" w:lastColumn="0" w:noHBand="0" w:noVBand="1"/>
      </w:tblPr>
      <w:tblGrid>
        <w:gridCol w:w="2340"/>
        <w:gridCol w:w="2340"/>
        <w:gridCol w:w="2340"/>
        <w:gridCol w:w="2340"/>
      </w:tblGrid>
      <w:tr w:rsidR="00362D75" w14:paraId="59BCF077" w14:textId="77777777">
        <w:trPr>
          <w:tblHeader/>
        </w:trPr>
        <w:tc>
          <w:tcPr>
            <w:tcW w:w="2340" w:type="dxa"/>
            <w:shd w:val="clear" w:color="auto" w:fill="F2F2F2"/>
          </w:tcPr>
          <w:p w14:paraId="59BCF073" w14:textId="77777777" w:rsidR="00362D75" w:rsidRDefault="00573E0D">
            <w:r>
              <w:t>Change</w:t>
            </w:r>
          </w:p>
        </w:tc>
        <w:tc>
          <w:tcPr>
            <w:tcW w:w="2340" w:type="dxa"/>
            <w:shd w:val="clear" w:color="auto" w:fill="F2F2F2"/>
          </w:tcPr>
          <w:p w14:paraId="59BCF074" w14:textId="77777777" w:rsidR="00362D75" w:rsidRDefault="00573E0D">
            <w:r>
              <w:t>v3.0</w:t>
            </w:r>
          </w:p>
        </w:tc>
        <w:tc>
          <w:tcPr>
            <w:tcW w:w="2340" w:type="dxa"/>
            <w:shd w:val="clear" w:color="auto" w:fill="F2F2F2"/>
          </w:tcPr>
          <w:p w14:paraId="59BCF075" w14:textId="77777777" w:rsidR="00362D75" w:rsidRDefault="00573E0D">
            <w:r>
              <w:t>v3.1</w:t>
            </w:r>
          </w:p>
        </w:tc>
        <w:tc>
          <w:tcPr>
            <w:tcW w:w="2340" w:type="dxa"/>
            <w:shd w:val="clear" w:color="auto" w:fill="F2F2F2"/>
          </w:tcPr>
          <w:p w14:paraId="59BCF076" w14:textId="77777777" w:rsidR="00362D75" w:rsidRDefault="00573E0D">
            <w:r>
              <w:t>Why</w:t>
            </w:r>
          </w:p>
        </w:tc>
      </w:tr>
      <w:tr w:rsidR="00362D75" w14:paraId="59BCF07C" w14:textId="77777777">
        <w:tc>
          <w:tcPr>
            <w:tcW w:w="2340" w:type="dxa"/>
          </w:tcPr>
          <w:p w14:paraId="59BCF078" w14:textId="77777777" w:rsidR="00362D75" w:rsidRDefault="00573E0D">
            <w:r>
              <w:t>GPR structure</w:t>
            </w:r>
          </w:p>
        </w:tc>
        <w:tc>
          <w:tcPr>
            <w:tcW w:w="2340" w:type="dxa"/>
          </w:tcPr>
          <w:p w14:paraId="59BCF079" w14:textId="77777777" w:rsidR="00362D75" w:rsidRDefault="00573E0D">
            <w:r>
              <w:t>18 fits, one per treatment × grazing × depth</w:t>
            </w:r>
          </w:p>
        </w:tc>
        <w:tc>
          <w:tcPr>
            <w:tcW w:w="2340" w:type="dxa"/>
          </w:tcPr>
          <w:p w14:paraId="59BCF07A" w14:textId="77777777" w:rsidR="00362D75" w:rsidRDefault="00573E0D">
            <w:r>
              <w:t>One global fit, n = 264</w:t>
            </w:r>
          </w:p>
        </w:tc>
        <w:tc>
          <w:tcPr>
            <w:tcW w:w="2340" w:type="dxa"/>
          </w:tcPr>
          <w:p w14:paraId="59BCF07B" w14:textId="77777777" w:rsidR="00362D75" w:rsidRDefault="00573E0D">
            <w:r>
              <w:t xml:space="preserve">Treatment, grazing, and depth were </w:t>
            </w:r>
            <w:proofErr w:type="gramStart"/>
            <w:r>
              <w:t>constants</w:t>
            </w:r>
            <w:proofErr w:type="gramEnd"/>
            <w:r>
              <w:t xml:space="preserve"> inside every v3.0 fit</w:t>
            </w:r>
          </w:p>
        </w:tc>
      </w:tr>
      <w:tr w:rsidR="00362D75" w14:paraId="59BCF081" w14:textId="77777777">
        <w:tc>
          <w:tcPr>
            <w:tcW w:w="2340" w:type="dxa"/>
          </w:tcPr>
          <w:p w14:paraId="59BCF07D" w14:textId="77777777" w:rsidR="00362D75" w:rsidRDefault="00573E0D">
            <w:r>
              <w:t>Kernel</w:t>
            </w:r>
          </w:p>
        </w:tc>
        <w:tc>
          <w:tcPr>
            <w:tcW w:w="2340" w:type="dxa"/>
          </w:tcPr>
          <w:p w14:paraId="59BCF07E" w14:textId="77777777" w:rsidR="00362D75" w:rsidRDefault="00573E0D">
            <w:r>
              <w:t xml:space="preserve">Isotropic </w:t>
            </w:r>
            <w:proofErr w:type="spellStart"/>
            <w:r>
              <w:t>Matérn</w:t>
            </w:r>
            <w:proofErr w:type="spellEnd"/>
          </w:p>
        </w:tc>
        <w:tc>
          <w:tcPr>
            <w:tcW w:w="2340" w:type="dxa"/>
          </w:tcPr>
          <w:p w14:paraId="59BCF07F" w14:textId="77777777" w:rsidR="00362D75" w:rsidRDefault="00573E0D">
            <w:r>
              <w:t xml:space="preserve">ARD </w:t>
            </w:r>
            <w:proofErr w:type="spellStart"/>
            <w:r>
              <w:t>Matérn</w:t>
            </w:r>
            <w:proofErr w:type="spellEnd"/>
            <w:r>
              <w:t xml:space="preserve"> (one length-scale per input)</w:t>
            </w:r>
          </w:p>
        </w:tc>
        <w:tc>
          <w:tcPr>
            <w:tcW w:w="2340" w:type="dxa"/>
          </w:tcPr>
          <w:p w14:paraId="59BCF080" w14:textId="77777777" w:rsidR="00362D75" w:rsidRDefault="00573E0D">
            <w:r>
              <w:t>Gives a second, independent relevance ranking</w:t>
            </w:r>
          </w:p>
        </w:tc>
      </w:tr>
      <w:tr w:rsidR="00362D75" w14:paraId="59BCF086" w14:textId="77777777">
        <w:tc>
          <w:tcPr>
            <w:tcW w:w="2340" w:type="dxa"/>
          </w:tcPr>
          <w:p w14:paraId="59BCF082" w14:textId="77777777" w:rsidR="00362D75" w:rsidRDefault="00573E0D">
            <w:r>
              <w:t>Validation</w:t>
            </w:r>
          </w:p>
        </w:tc>
        <w:tc>
          <w:tcPr>
            <w:tcW w:w="2340" w:type="dxa"/>
          </w:tcPr>
          <w:p w14:paraId="59BCF083" w14:textId="77777777" w:rsidR="00362D75" w:rsidRDefault="00573E0D">
            <w:r>
              <w:t>Leave-one-year-out RF only</w:t>
            </w:r>
          </w:p>
        </w:tc>
        <w:tc>
          <w:tcPr>
            <w:tcW w:w="2340" w:type="dxa"/>
          </w:tcPr>
          <w:p w14:paraId="59BCF084" w14:textId="77777777" w:rsidR="00362D75" w:rsidRDefault="00573E0D">
            <w:r>
              <w:t>Adds 2023 temporal holdout with coverage and width</w:t>
            </w:r>
          </w:p>
        </w:tc>
        <w:tc>
          <w:tcPr>
            <w:tcW w:w="2340" w:type="dxa"/>
          </w:tcPr>
          <w:p w14:paraId="59BCF085" w14:textId="77777777" w:rsidR="00362D75" w:rsidRDefault="00573E0D">
            <w:proofErr w:type="gramStart"/>
            <w:r>
              <w:t>Tests</w:t>
            </w:r>
            <w:proofErr w:type="gramEnd"/>
            <w:r>
              <w:t xml:space="preserve"> whether uncertainty bounds are calibrated</w:t>
            </w:r>
          </w:p>
        </w:tc>
      </w:tr>
      <w:tr w:rsidR="00362D75" w14:paraId="59BCF08B" w14:textId="77777777">
        <w:tc>
          <w:tcPr>
            <w:tcW w:w="2340" w:type="dxa"/>
          </w:tcPr>
          <w:p w14:paraId="59BCF087" w14:textId="77777777" w:rsidR="00362D75" w:rsidRDefault="00573E0D">
            <w:r>
              <w:t>SPEI source</w:t>
            </w:r>
          </w:p>
        </w:tc>
        <w:tc>
          <w:tcPr>
            <w:tcW w:w="2340" w:type="dxa"/>
          </w:tcPr>
          <w:p w14:paraId="59BCF088" w14:textId="77777777" w:rsidR="00362D75" w:rsidRDefault="00573E0D">
            <w:r>
              <w:t>Hand-entered annual dictionary</w:t>
            </w:r>
          </w:p>
        </w:tc>
        <w:tc>
          <w:tcPr>
            <w:tcW w:w="2340" w:type="dxa"/>
          </w:tcPr>
          <w:p w14:paraId="59BCF089" w14:textId="77777777" w:rsidR="00362D75" w:rsidRDefault="00573E0D">
            <w:r>
              <w:t>GRIDMET/DROUGHT spei90d per sampling window</w:t>
            </w:r>
          </w:p>
        </w:tc>
        <w:tc>
          <w:tcPr>
            <w:tcW w:w="2340" w:type="dxa"/>
          </w:tcPr>
          <w:p w14:paraId="59BCF08A" w14:textId="77777777" w:rsidR="00362D75" w:rsidRDefault="00573E0D">
            <w:r>
              <w:t>Annual values were collinear with year by construction</w:t>
            </w:r>
          </w:p>
        </w:tc>
      </w:tr>
      <w:tr w:rsidR="00362D75" w14:paraId="59BCF090" w14:textId="77777777">
        <w:tc>
          <w:tcPr>
            <w:tcW w:w="2340" w:type="dxa"/>
          </w:tcPr>
          <w:p w14:paraId="59BCF08C" w14:textId="77777777" w:rsidR="00362D75" w:rsidRDefault="00573E0D">
            <w:r>
              <w:t>Forecast SPEI</w:t>
            </w:r>
          </w:p>
        </w:tc>
        <w:tc>
          <w:tcPr>
            <w:tcW w:w="2340" w:type="dxa"/>
          </w:tcPr>
          <w:p w14:paraId="59BCF08D" w14:textId="77777777" w:rsidR="00362D75" w:rsidRDefault="00573E0D">
            <w:r>
              <w:t>0.0</w:t>
            </w:r>
          </w:p>
        </w:tc>
        <w:tc>
          <w:tcPr>
            <w:tcW w:w="2340" w:type="dxa"/>
          </w:tcPr>
          <w:p w14:paraId="59BCF08E" w14:textId="77777777" w:rsidR="00362D75" w:rsidRDefault="00573E0D">
            <w:r>
              <w:t>Observed mean (≈ −0.6)</w:t>
            </w:r>
          </w:p>
        </w:tc>
        <w:tc>
          <w:tcPr>
            <w:tcW w:w="2340" w:type="dxa"/>
          </w:tcPr>
          <w:p w14:paraId="59BCF08F" w14:textId="77777777" w:rsidR="00362D75" w:rsidRDefault="00573E0D">
            <w:r>
              <w:t xml:space="preserve">0.0 implied </w:t>
            </w:r>
            <w:proofErr w:type="gramStart"/>
            <w:r>
              <w:t>wetter</w:t>
            </w:r>
            <w:proofErr w:type="gramEnd"/>
            <w:r>
              <w:t xml:space="preserve"> than 7 of 9 observed windows</w:t>
            </w:r>
          </w:p>
        </w:tc>
      </w:tr>
      <w:tr w:rsidR="00362D75" w14:paraId="59BCF095" w14:textId="77777777">
        <w:tc>
          <w:tcPr>
            <w:tcW w:w="2340" w:type="dxa"/>
          </w:tcPr>
          <w:p w14:paraId="59BCF091" w14:textId="77777777" w:rsidR="00362D75" w:rsidRDefault="00573E0D">
            <w:r>
              <w:t>Horizon</w:t>
            </w:r>
          </w:p>
        </w:tc>
        <w:tc>
          <w:tcPr>
            <w:tcW w:w="2340" w:type="dxa"/>
          </w:tcPr>
          <w:p w14:paraId="59BCF092" w14:textId="77777777" w:rsidR="00362D75" w:rsidRDefault="00573E0D">
            <w:r>
              <w:t>2030</w:t>
            </w:r>
          </w:p>
        </w:tc>
        <w:tc>
          <w:tcPr>
            <w:tcW w:w="2340" w:type="dxa"/>
          </w:tcPr>
          <w:p w14:paraId="59BCF093" w14:textId="77777777" w:rsidR="00362D75" w:rsidRDefault="00573E0D">
            <w:r>
              <w:t>2028</w:t>
            </w:r>
          </w:p>
        </w:tc>
        <w:tc>
          <w:tcPr>
            <w:tcW w:w="2340" w:type="dxa"/>
          </w:tcPr>
          <w:p w14:paraId="59BCF094" w14:textId="77777777" w:rsidR="00362D75" w:rsidRDefault="00573E0D">
            <w:r>
              <w:t>Keeps projection length equal to the observed record</w:t>
            </w:r>
          </w:p>
        </w:tc>
      </w:tr>
      <w:tr w:rsidR="00362D75" w14:paraId="59BCF09A" w14:textId="77777777">
        <w:tc>
          <w:tcPr>
            <w:tcW w:w="2340" w:type="dxa"/>
          </w:tcPr>
          <w:p w14:paraId="59BCF096" w14:textId="77777777" w:rsidR="00362D75" w:rsidRDefault="00573E0D">
            <w:r>
              <w:t>Wording</w:t>
            </w:r>
          </w:p>
        </w:tc>
        <w:tc>
          <w:tcPr>
            <w:tcW w:w="2340" w:type="dxa"/>
          </w:tcPr>
          <w:p w14:paraId="59BCF097" w14:textId="77777777" w:rsidR="00362D75" w:rsidRDefault="00573E0D">
            <w:r>
              <w:t>"Forecast"</w:t>
            </w:r>
          </w:p>
        </w:tc>
        <w:tc>
          <w:tcPr>
            <w:tcW w:w="2340" w:type="dxa"/>
          </w:tcPr>
          <w:p w14:paraId="59BCF098" w14:textId="77777777" w:rsidR="00362D75" w:rsidRDefault="00573E0D">
            <w:r>
              <w:t>"Projection under stated assumptions"</w:t>
            </w:r>
          </w:p>
        </w:tc>
        <w:tc>
          <w:tcPr>
            <w:tcW w:w="2340" w:type="dxa"/>
          </w:tcPr>
          <w:p w14:paraId="59BCF099" w14:textId="77777777" w:rsidR="00362D75" w:rsidRDefault="00573E0D">
            <w:r>
              <w:t>No validated predictive skill</w:t>
            </w:r>
          </w:p>
        </w:tc>
      </w:tr>
    </w:tbl>
    <w:p w14:paraId="59BCF09B" w14:textId="77777777" w:rsidR="00362D75" w:rsidRDefault="00573E0D">
      <w:r>
        <w:rPr>
          <w:b/>
        </w:rPr>
        <w:t>Corrections</w:t>
      </w:r>
    </w:p>
    <w:tbl>
      <w:tblPr>
        <w:tblStyle w:val="TableGrid"/>
        <w:tblW w:w="0" w:type="auto"/>
        <w:tblLayout w:type="fixed"/>
        <w:tblLook w:val="0420" w:firstRow="1" w:lastRow="0" w:firstColumn="0" w:lastColumn="0" w:noHBand="0" w:noVBand="1"/>
      </w:tblPr>
      <w:tblGrid>
        <w:gridCol w:w="3120"/>
        <w:gridCol w:w="3120"/>
        <w:gridCol w:w="3120"/>
      </w:tblGrid>
      <w:tr w:rsidR="00362D75" w14:paraId="59BCF09F" w14:textId="77777777">
        <w:trPr>
          <w:tblHeader/>
        </w:trPr>
        <w:tc>
          <w:tcPr>
            <w:tcW w:w="3120" w:type="dxa"/>
            <w:shd w:val="clear" w:color="auto" w:fill="F2F2F2"/>
          </w:tcPr>
          <w:p w14:paraId="59BCF09C" w14:textId="77777777" w:rsidR="00362D75" w:rsidRDefault="00573E0D">
            <w:r>
              <w:t>Item</w:t>
            </w:r>
          </w:p>
        </w:tc>
        <w:tc>
          <w:tcPr>
            <w:tcW w:w="3120" w:type="dxa"/>
            <w:shd w:val="clear" w:color="auto" w:fill="F2F2F2"/>
          </w:tcPr>
          <w:p w14:paraId="59BCF09D" w14:textId="77777777" w:rsidR="00362D75" w:rsidRDefault="00573E0D">
            <w:r>
              <w:t>Error</w:t>
            </w:r>
          </w:p>
        </w:tc>
        <w:tc>
          <w:tcPr>
            <w:tcW w:w="3120" w:type="dxa"/>
            <w:shd w:val="clear" w:color="auto" w:fill="F2F2F2"/>
          </w:tcPr>
          <w:p w14:paraId="59BCF09E" w14:textId="77777777" w:rsidR="00362D75" w:rsidRDefault="00573E0D">
            <w:r>
              <w:t>Correction</w:t>
            </w:r>
          </w:p>
        </w:tc>
      </w:tr>
      <w:tr w:rsidR="00362D75" w14:paraId="59BCF0A3" w14:textId="77777777">
        <w:tc>
          <w:tcPr>
            <w:tcW w:w="3120" w:type="dxa"/>
          </w:tcPr>
          <w:p w14:paraId="59BCF0A0" w14:textId="77777777" w:rsidR="00362D75" w:rsidRDefault="00573E0D">
            <w:r>
              <w:t>SPEI placeholder</w:t>
            </w:r>
          </w:p>
        </w:tc>
        <w:tc>
          <w:tcPr>
            <w:tcW w:w="3120" w:type="dxa"/>
          </w:tcPr>
          <w:p w14:paraId="59BCF0A1" w14:textId="77777777" w:rsidR="00362D75" w:rsidRDefault="00573E0D">
            <w:r>
              <w:t>The dictionary that ran in v2.1–v3.0 held invented values (2021 = −2.10, 2022 = +0.88) that contradict both the manual SPEI pull and GEE</w:t>
            </w:r>
          </w:p>
        </w:tc>
        <w:tc>
          <w:tcPr>
            <w:tcW w:w="3120" w:type="dxa"/>
          </w:tcPr>
          <w:p w14:paraId="59BCF0A2" w14:textId="77777777" w:rsidR="00362D75" w:rsidRDefault="00573E0D">
            <w:r>
              <w:t>Replaced by GEE extraction. The manually pulled values agree with GEE in direction; the error was in the placeholder, not the source data</w:t>
            </w:r>
          </w:p>
        </w:tc>
      </w:tr>
      <w:tr w:rsidR="00362D75" w14:paraId="59BCF0A7" w14:textId="77777777">
        <w:tc>
          <w:tcPr>
            <w:tcW w:w="3120" w:type="dxa"/>
          </w:tcPr>
          <w:p w14:paraId="59BCF0A4" w14:textId="77777777" w:rsidR="00362D75" w:rsidRDefault="00573E0D">
            <w:r>
              <w:t>GPR feature selector</w:t>
            </w:r>
          </w:p>
        </w:tc>
        <w:tc>
          <w:tcPr>
            <w:tcW w:w="3120" w:type="dxa"/>
          </w:tcPr>
          <w:p w14:paraId="59BCF0A5" w14:textId="77777777" w:rsidR="00362D75" w:rsidRDefault="00573E0D">
            <w:r>
              <w:rPr>
                <w:rStyle w:val="CodeChar"/>
              </w:rPr>
              <w:t>year</w:t>
            </w:r>
            <w:r>
              <w:t xml:space="preserve"> listed twice, giving 11 columns for 10 feature names</w:t>
            </w:r>
          </w:p>
        </w:tc>
        <w:tc>
          <w:tcPr>
            <w:tcW w:w="3120" w:type="dxa"/>
          </w:tcPr>
          <w:p w14:paraId="59BCF0A6" w14:textId="77777777" w:rsidR="00362D75" w:rsidRDefault="00573E0D">
            <w:r>
              <w:t xml:space="preserve">Deduplicated with </w:t>
            </w:r>
            <w:proofErr w:type="spellStart"/>
            <w:proofErr w:type="gramStart"/>
            <w:r>
              <w:rPr>
                <w:rStyle w:val="CodeChar"/>
              </w:rPr>
              <w:t>dict.fromkeys</w:t>
            </w:r>
            <w:proofErr w:type="spellEnd"/>
            <w:proofErr w:type="gramEnd"/>
          </w:p>
        </w:tc>
      </w:tr>
      <w:tr w:rsidR="00362D75" w14:paraId="59BCF0AB" w14:textId="77777777">
        <w:tc>
          <w:tcPr>
            <w:tcW w:w="3120" w:type="dxa"/>
          </w:tcPr>
          <w:p w14:paraId="59BCF0A8" w14:textId="77777777" w:rsidR="00362D75" w:rsidRDefault="00573E0D">
            <w:r>
              <w:t>Tableau export</w:t>
            </w:r>
          </w:p>
        </w:tc>
        <w:tc>
          <w:tcPr>
            <w:tcW w:w="3120" w:type="dxa"/>
          </w:tcPr>
          <w:p w14:paraId="59BCF0A9" w14:textId="77777777" w:rsidR="00362D75" w:rsidRDefault="00573E0D">
            <w:proofErr w:type="spellStart"/>
            <w:r>
              <w:rPr>
                <w:rStyle w:val="CodeChar"/>
              </w:rPr>
              <w:t>spei_df</w:t>
            </w:r>
            <w:proofErr w:type="spellEnd"/>
            <w:r>
              <w:t xml:space="preserve"> overwritten by the placeholder; RF importance values misaligned to feature names</w:t>
            </w:r>
          </w:p>
        </w:tc>
        <w:tc>
          <w:tcPr>
            <w:tcW w:w="3120" w:type="dxa"/>
          </w:tcPr>
          <w:p w14:paraId="59BCF0AA" w14:textId="77777777" w:rsidR="00362D75" w:rsidRDefault="00573E0D">
            <w:r>
              <w:t xml:space="preserve">Separate variable; importances reindexed to </w:t>
            </w:r>
            <w:r>
              <w:rPr>
                <w:rStyle w:val="CodeChar"/>
              </w:rPr>
              <w:t>RF_FEATURES</w:t>
            </w:r>
          </w:p>
        </w:tc>
      </w:tr>
      <w:tr w:rsidR="00362D75" w14:paraId="59BCF0AF" w14:textId="77777777">
        <w:tc>
          <w:tcPr>
            <w:tcW w:w="3120" w:type="dxa"/>
          </w:tcPr>
          <w:p w14:paraId="59BCF0AC" w14:textId="77777777" w:rsidR="00362D75" w:rsidRDefault="00573E0D">
            <w:r>
              <w:lastRenderedPageBreak/>
              <w:t>Poster, panel 3</w:t>
            </w:r>
          </w:p>
        </w:tc>
        <w:tc>
          <w:tcPr>
            <w:tcW w:w="3120" w:type="dxa"/>
          </w:tcPr>
          <w:p w14:paraId="59BCF0AD" w14:textId="77777777" w:rsidR="00362D75" w:rsidRDefault="00573E0D">
            <w:r>
              <w:t>Legume NO₃⁻ values shifted one column (+1.79 shown under 2020)</w:t>
            </w:r>
          </w:p>
        </w:tc>
        <w:tc>
          <w:tcPr>
            <w:tcW w:w="3120" w:type="dxa"/>
          </w:tcPr>
          <w:p w14:paraId="59BCF0AE" w14:textId="77777777" w:rsidR="00362D75" w:rsidRDefault="00573E0D">
            <w:r>
              <w:t>Moved to 2021; 2020 left blank (not sampled)</w:t>
            </w:r>
          </w:p>
        </w:tc>
      </w:tr>
      <w:tr w:rsidR="00362D75" w14:paraId="59BCF0B3" w14:textId="77777777">
        <w:tc>
          <w:tcPr>
            <w:tcW w:w="3120" w:type="dxa"/>
          </w:tcPr>
          <w:p w14:paraId="59BCF0B0" w14:textId="77777777" w:rsidR="00362D75" w:rsidRDefault="00573E0D">
            <w:r>
              <w:t>Poster, panel 2</w:t>
            </w:r>
          </w:p>
        </w:tc>
        <w:tc>
          <w:tcPr>
            <w:tcW w:w="3120" w:type="dxa"/>
          </w:tcPr>
          <w:p w14:paraId="59BCF0B1" w14:textId="77777777" w:rsidR="00362D75" w:rsidRDefault="00573E0D">
            <w:r>
              <w:t>ARD bars on a separate scale from MDI bars</w:t>
            </w:r>
          </w:p>
        </w:tc>
        <w:tc>
          <w:tcPr>
            <w:tcW w:w="3120" w:type="dxa"/>
          </w:tcPr>
          <w:p w14:paraId="59BCF0B2" w14:textId="77777777" w:rsidR="00362D75" w:rsidRDefault="00573E0D">
            <w:r>
              <w:t>Both on one share scale, max = NDVI ARD 0.320</w:t>
            </w:r>
          </w:p>
        </w:tc>
      </w:tr>
      <w:tr w:rsidR="00362D75" w14:paraId="59BCF0B7" w14:textId="77777777">
        <w:tc>
          <w:tcPr>
            <w:tcW w:w="3120" w:type="dxa"/>
          </w:tcPr>
          <w:p w14:paraId="59BCF0B4" w14:textId="77777777" w:rsidR="00362D75" w:rsidRDefault="00573E0D">
            <w:r>
              <w:t>Poster, panel 2</w:t>
            </w:r>
          </w:p>
        </w:tc>
        <w:tc>
          <w:tcPr>
            <w:tcW w:w="3120" w:type="dxa"/>
          </w:tcPr>
          <w:p w14:paraId="59BCF0B5" w14:textId="77777777" w:rsidR="00362D75" w:rsidRDefault="00573E0D">
            <w:r>
              <w:t>Grazing described as "last under permutation"</w:t>
            </w:r>
          </w:p>
        </w:tc>
        <w:tc>
          <w:tcPr>
            <w:tcW w:w="3120" w:type="dxa"/>
          </w:tcPr>
          <w:p w14:paraId="59BCF0B6" w14:textId="77777777" w:rsidR="00362D75" w:rsidRDefault="00573E0D">
            <w:r>
              <w:t>Ranks 9th of 11, in the negative-importance group</w:t>
            </w:r>
          </w:p>
        </w:tc>
      </w:tr>
      <w:tr w:rsidR="00362D75" w14:paraId="59BCF0BB" w14:textId="77777777">
        <w:tc>
          <w:tcPr>
            <w:tcW w:w="3120" w:type="dxa"/>
          </w:tcPr>
          <w:p w14:paraId="59BCF0B8" w14:textId="77777777" w:rsidR="00362D75" w:rsidRDefault="00573E0D">
            <w:r>
              <w:t>T1 / T2 labels</w:t>
            </w:r>
          </w:p>
        </w:tc>
        <w:tc>
          <w:tcPr>
            <w:tcW w:w="3120" w:type="dxa"/>
          </w:tcPr>
          <w:p w14:paraId="59BCF0B9" w14:textId="77777777" w:rsidR="00362D75" w:rsidRDefault="00573E0D">
            <w:r>
              <w:t>Read as Treatment 1 / 2 in the study table</w:t>
            </w:r>
          </w:p>
        </w:tc>
        <w:tc>
          <w:tcPr>
            <w:tcW w:w="3120" w:type="dxa"/>
          </w:tcPr>
          <w:p w14:paraId="59BCF0BA" w14:textId="77777777" w:rsidR="00362D75" w:rsidRDefault="00573E0D">
            <w:r>
              <w:t>Mean Time 1 / 2. Carbon fractions, FAME, and pH/EC cover all treatments at Time 2 in 2022–2023</w:t>
            </w:r>
          </w:p>
        </w:tc>
      </w:tr>
      <w:tr w:rsidR="00362D75" w14:paraId="59BCF0BF" w14:textId="77777777">
        <w:tc>
          <w:tcPr>
            <w:tcW w:w="3120" w:type="dxa"/>
          </w:tcPr>
          <w:p w14:paraId="59BCF0BC" w14:textId="77777777" w:rsidR="00362D75" w:rsidRDefault="00573E0D">
            <w:r>
              <w:t>Abstract</w:t>
            </w:r>
          </w:p>
        </w:tc>
        <w:tc>
          <w:tcPr>
            <w:tcW w:w="3120" w:type="dxa"/>
          </w:tcPr>
          <w:p w14:paraId="59BCF0BD" w14:textId="77777777" w:rsidR="00362D75" w:rsidRDefault="00573E0D">
            <w:r>
              <w:t>Claimed carbon fractions and FAME were restricted to Fertilized Triticale</w:t>
            </w:r>
          </w:p>
        </w:tc>
        <w:tc>
          <w:tcPr>
            <w:tcW w:w="3120" w:type="dxa"/>
          </w:tcPr>
          <w:p w14:paraId="59BCF0BE" w14:textId="77777777" w:rsidR="00362D75" w:rsidRDefault="00573E0D">
            <w:r>
              <w:t>Clause removed</w:t>
            </w:r>
          </w:p>
        </w:tc>
      </w:tr>
    </w:tbl>
    <w:p w14:paraId="59BCF0C0" w14:textId="77777777" w:rsidR="00362D75" w:rsidRDefault="00573E0D">
      <w:r>
        <w:t xml:space="preserve">Model outputs were checked against the executed v3.1 notebook and </w:t>
      </w:r>
      <w:r>
        <w:rPr>
          <w:rStyle w:val="CodeChar"/>
        </w:rPr>
        <w:t>grazing_stats_v3.csv</w:t>
      </w:r>
      <w:r>
        <w:t xml:space="preserve">; sample counts were computed from </w:t>
      </w:r>
      <w:r>
        <w:rPr>
          <w:rStyle w:val="CodeChar"/>
        </w:rPr>
        <w:t>NH4_NO3_master</w:t>
      </w:r>
      <w:r>
        <w:t>.</w:t>
      </w:r>
    </w:p>
    <w:p w14:paraId="59BCF0C1" w14:textId="77777777" w:rsidR="00362D75" w:rsidRDefault="00573E0D">
      <w:pPr>
        <w:pStyle w:val="Heading2"/>
      </w:pPr>
      <w:r>
        <w:t>Limitations</w:t>
      </w:r>
    </w:p>
    <w:p w14:paraId="59BCF0C2" w14:textId="77777777" w:rsidR="00362D75" w:rsidRDefault="00573E0D">
      <w:r>
        <w:t xml:space="preserve">The binding limit is time: five annual campaigns give every method fewer independent </w:t>
      </w:r>
      <w:proofErr w:type="gramStart"/>
      <w:r>
        <w:t>observations</w:t>
      </w:r>
      <w:proofErr w:type="gramEnd"/>
      <w:r>
        <w:t xml:space="preserve"> than its rankings imply.</w:t>
      </w:r>
    </w:p>
    <w:p w14:paraId="59BCF0C3" w14:textId="77777777" w:rsidR="00362D75" w:rsidRDefault="00573E0D">
      <w:pPr>
        <w:pStyle w:val="ListParagraph"/>
        <w:numPr>
          <w:ilvl w:val="0"/>
          <w:numId w:val="5"/>
        </w:numPr>
      </w:pPr>
      <w:r>
        <w:rPr>
          <w:b/>
        </w:rPr>
        <w:t>Effective sample size.</w:t>
      </w:r>
      <w:r>
        <w:t xml:space="preserve"> 264 modelling rows are 9 plots × 5 years × 2 depths × 2 grazing conditions. Temporally there are five independent points, and year-level covariates like SPEI have nine values in total.</w:t>
      </w:r>
    </w:p>
    <w:p w14:paraId="59BCF0C4" w14:textId="77777777" w:rsidR="00362D75" w:rsidRDefault="00573E0D">
      <w:pPr>
        <w:pStyle w:val="ListParagraph"/>
        <w:numPr>
          <w:ilvl w:val="0"/>
          <w:numId w:val="5"/>
        </w:numPr>
      </w:pPr>
      <w:r>
        <w:rPr>
          <w:b/>
        </w:rPr>
        <w:t>Feature selection is not nested.</w:t>
      </w:r>
      <w:r>
        <w:t xml:space="preserve"> RF ranked covariates on all data before the GPR was fit and validated, so the GPR's uncertainty is optimistic (Ambroise &amp; McLachlan, 2002).</w:t>
      </w:r>
    </w:p>
    <w:p w14:paraId="59BCF0C5" w14:textId="77777777" w:rsidR="00362D75" w:rsidRDefault="00573E0D">
      <w:pPr>
        <w:pStyle w:val="ListParagraph"/>
        <w:numPr>
          <w:ilvl w:val="0"/>
          <w:numId w:val="5"/>
        </w:numPr>
      </w:pPr>
      <w:r>
        <w:rPr>
          <w:b/>
        </w:rPr>
        <w:t>Plot is not a grouping unit in cross-validation.</w:t>
      </w:r>
      <w:r>
        <w:t xml:space="preserve"> Repeated measures on fixed plots mean rows are not independent. Folds were grouped by year, not by plot.</w:t>
      </w:r>
    </w:p>
    <w:p w14:paraId="59BCF0C6" w14:textId="77777777" w:rsidR="00362D75" w:rsidRDefault="00573E0D">
      <w:pPr>
        <w:pStyle w:val="ListParagraph"/>
        <w:numPr>
          <w:ilvl w:val="0"/>
          <w:numId w:val="5"/>
        </w:numPr>
      </w:pPr>
      <w:r>
        <w:rPr>
          <w:b/>
        </w:rPr>
        <w:t>SPEI is site-level.</w:t>
      </w:r>
      <w:r>
        <w:t xml:space="preserve"> One 4.6 km GRIDMET pixel covers the field, so water balance cannot vary between plots and remains partly confounded with year (r = −0.24).</w:t>
      </w:r>
    </w:p>
    <w:p w14:paraId="59BCF0C7" w14:textId="77777777" w:rsidR="00362D75" w:rsidRDefault="00573E0D">
      <w:pPr>
        <w:pStyle w:val="ListParagraph"/>
        <w:numPr>
          <w:ilvl w:val="0"/>
          <w:numId w:val="5"/>
        </w:numPr>
      </w:pPr>
      <w:r>
        <w:rPr>
          <w:b/>
        </w:rPr>
        <w:t>GHG coverage is asymmetric.</w:t>
      </w:r>
      <w:r>
        <w:t xml:space="preserve"> Flux sampling ends in August, so no flux value aligns with Time 2 (September) nitrogen. GHG enters as a seasonal </w:t>
      </w:r>
      <w:proofErr w:type="gramStart"/>
      <w:r>
        <w:t>mean</w:t>
      </w:r>
      <w:proofErr w:type="gramEnd"/>
      <w:r>
        <w:t>, not a matched measurement.</w:t>
      </w:r>
    </w:p>
    <w:p w14:paraId="59BCF0C8" w14:textId="77777777" w:rsidR="00362D75" w:rsidRDefault="00573E0D">
      <w:pPr>
        <w:pStyle w:val="ListParagraph"/>
        <w:numPr>
          <w:ilvl w:val="0"/>
          <w:numId w:val="5"/>
        </w:numPr>
      </w:pPr>
      <w:r>
        <w:rPr>
          <w:b/>
        </w:rPr>
        <w:t>Unbalanced grazing samples.</w:t>
      </w:r>
      <w:r>
        <w:t xml:space="preserve"> Grazed outnumber ungrazed 2:1 to 3.5:1. Mann–Whitney tolerates unequal groups, but power is set by the smaller group.</w:t>
      </w:r>
    </w:p>
    <w:p w14:paraId="59BCF0C9" w14:textId="77777777" w:rsidR="00362D75" w:rsidRDefault="00573E0D">
      <w:pPr>
        <w:pStyle w:val="ListParagraph"/>
        <w:numPr>
          <w:ilvl w:val="0"/>
          <w:numId w:val="5"/>
        </w:numPr>
      </w:pPr>
      <w:r>
        <w:rPr>
          <w:b/>
        </w:rPr>
        <w:t>Multiple comparisons — resolved.</w:t>
      </w:r>
      <w:r>
        <w:t xml:space="preserve"> 2023 is the primary contrast; results are Holm-corrected within six tests and reported at p &lt; 0.05 rather than p &lt; 0.01.</w:t>
      </w:r>
    </w:p>
    <w:p w14:paraId="59BCF0CA" w14:textId="77777777" w:rsidR="00362D75" w:rsidRDefault="00573E0D">
      <w:pPr>
        <w:pStyle w:val="ListParagraph"/>
        <w:numPr>
          <w:ilvl w:val="0"/>
          <w:numId w:val="5"/>
        </w:numPr>
      </w:pPr>
      <w:r>
        <w:rPr>
          <w:b/>
        </w:rPr>
        <w:t>Outlier handling.</w:t>
      </w:r>
      <w:r>
        <w:t xml:space="preserve"> NH₄⁺ and NO₃⁻ were capped at the 90th percentile for modelling, and seven CH₄ values were blanked by judgement. Both choices shape the fitted surface and should be reported.</w:t>
      </w:r>
    </w:p>
    <w:p w14:paraId="59BCF0CB" w14:textId="77777777" w:rsidR="00362D75" w:rsidRDefault="00573E0D">
      <w:pPr>
        <w:pStyle w:val="Heading2"/>
      </w:pPr>
      <w:r>
        <w:lastRenderedPageBreak/>
        <w:t>Next steps</w:t>
      </w:r>
    </w:p>
    <w:p w14:paraId="59BCF0CC" w14:textId="77777777" w:rsidR="00362D75" w:rsidRDefault="00573E0D">
      <w:r>
        <w:t>Each step targets one limit above; the first two are analysis changes that need no new data.</w:t>
      </w:r>
    </w:p>
    <w:p w14:paraId="59BCF0CD" w14:textId="77777777" w:rsidR="00362D75" w:rsidRDefault="00573E0D">
      <w:pPr>
        <w:pStyle w:val="ListParagraph"/>
        <w:numPr>
          <w:ilvl w:val="0"/>
          <w:numId w:val="6"/>
        </w:numPr>
      </w:pPr>
      <w:r>
        <w:t>☐</w:t>
      </w:r>
      <w:r>
        <w:t xml:space="preserve"> </w:t>
      </w:r>
      <w:r>
        <w:rPr>
          <w:b/>
        </w:rPr>
        <w:t>Nest the feature selection.</w:t>
      </w:r>
      <w:r>
        <w:t xml:space="preserve"> Rank covariates inside each training fold, never on the full dataset, so the GPR's uncertainty reflects selection error.</w:t>
      </w:r>
    </w:p>
    <w:p w14:paraId="59BCF0CE" w14:textId="77777777" w:rsidR="00362D75" w:rsidRDefault="00573E0D">
      <w:pPr>
        <w:pStyle w:val="ListParagraph"/>
        <w:numPr>
          <w:ilvl w:val="0"/>
          <w:numId w:val="6"/>
        </w:numPr>
      </w:pPr>
      <w:r>
        <w:t>☐</w:t>
      </w:r>
      <w:r>
        <w:t xml:space="preserve"> </w:t>
      </w:r>
      <w:r>
        <w:rPr>
          <w:b/>
        </w:rPr>
        <w:t>Group folds by plot as well as year.</w:t>
      </w:r>
      <w:r>
        <w:t xml:space="preserve"> Repeated measures on fixed plots should never straddle </w:t>
      </w:r>
      <w:proofErr w:type="gramStart"/>
      <w:r>
        <w:t>train</w:t>
      </w:r>
      <w:proofErr w:type="gramEnd"/>
      <w:r>
        <w:t xml:space="preserve"> and </w:t>
      </w:r>
      <w:proofErr w:type="gramStart"/>
      <w:r>
        <w:t>test</w:t>
      </w:r>
      <w:proofErr w:type="gramEnd"/>
      <w:r>
        <w:t>.</w:t>
      </w:r>
    </w:p>
    <w:p w14:paraId="59BCF0CF" w14:textId="77777777" w:rsidR="00362D75" w:rsidRDefault="00573E0D">
      <w:pPr>
        <w:pStyle w:val="ListParagraph"/>
        <w:numPr>
          <w:ilvl w:val="0"/>
          <w:numId w:val="6"/>
        </w:numPr>
      </w:pPr>
      <w:r>
        <w:t>☐</w:t>
      </w:r>
      <w:r>
        <w:t xml:space="preserve"> </w:t>
      </w:r>
      <w:r>
        <w:rPr>
          <w:b/>
        </w:rPr>
        <w:t>State the correction family for the grazing test.</w:t>
      </w:r>
      <w:r>
        <w:t xml:space="preserve"> Declare 2023 as the primary contrast (Holm, 6 tests) or report that the result does not survive correction across all 22 cells.</w:t>
      </w:r>
    </w:p>
    <w:p w14:paraId="59BCF0D0" w14:textId="77777777" w:rsidR="00362D75" w:rsidRDefault="00573E0D">
      <w:pPr>
        <w:pStyle w:val="ListParagraph"/>
        <w:numPr>
          <w:ilvl w:val="0"/>
          <w:numId w:val="6"/>
        </w:numPr>
      </w:pPr>
      <w:r>
        <w:t>☐</w:t>
      </w:r>
      <w:r>
        <w:t xml:space="preserve"> </w:t>
      </w:r>
      <w:r>
        <w:rPr>
          <w:b/>
        </w:rPr>
        <w:t>Extend the record and rerun the holdout each season.</w:t>
      </w:r>
      <w:r>
        <w:t xml:space="preserve"> The holdout, not a fixed threshold, will show when the record can carry a forecast.</w:t>
      </w:r>
    </w:p>
    <w:p w14:paraId="59BCF0D1" w14:textId="77777777" w:rsidR="00362D75" w:rsidRDefault="00573E0D">
      <w:pPr>
        <w:pStyle w:val="ListParagraph"/>
        <w:numPr>
          <w:ilvl w:val="0"/>
          <w:numId w:val="6"/>
        </w:numPr>
      </w:pPr>
      <w:r>
        <w:t>☐</w:t>
      </w:r>
      <w:r>
        <w:t xml:space="preserve"> </w:t>
      </w:r>
      <w:r>
        <w:rPr>
          <w:b/>
        </w:rPr>
        <w:t>Measure moisture at plot resolution.</w:t>
      </w:r>
      <w:r>
        <w:t xml:space="preserve"> In-situ probes or plot-scale SAR would let </w:t>
      </w:r>
      <w:proofErr w:type="gramStart"/>
      <w:r>
        <w:t>water balance</w:t>
      </w:r>
      <w:proofErr w:type="gramEnd"/>
      <w:r>
        <w:t xml:space="preserve"> vary between plots and separate it from elapsed time.</w:t>
      </w:r>
    </w:p>
    <w:p w14:paraId="59BCF0D2" w14:textId="77777777" w:rsidR="00362D75" w:rsidRDefault="00573E0D">
      <w:pPr>
        <w:pStyle w:val="ListParagraph"/>
        <w:numPr>
          <w:ilvl w:val="0"/>
          <w:numId w:val="6"/>
        </w:numPr>
      </w:pPr>
      <w:r>
        <w:t>☐</w:t>
      </w:r>
      <w:r>
        <w:t xml:space="preserve"> </w:t>
      </w:r>
      <w:r>
        <w:rPr>
          <w:b/>
        </w:rPr>
        <w:t>Add Time 1 sampling for carbon fractions and FAME.</w:t>
      </w:r>
      <w:r>
        <w:t xml:space="preserve"> Both cover all treatments in 2022–2023 at Time 2 only; a second time point and further seasons would turn a snapshot into a trajectory.</w:t>
      </w:r>
    </w:p>
    <w:p w14:paraId="59BCF0D3" w14:textId="77777777" w:rsidR="00362D75" w:rsidRDefault="00573E0D">
      <w:pPr>
        <w:pStyle w:val="Heading2"/>
      </w:pPr>
      <w:r>
        <w:t>References</w:t>
      </w:r>
    </w:p>
    <w:p w14:paraId="59BCF0D4" w14:textId="77777777" w:rsidR="00362D75" w:rsidRDefault="00573E0D">
      <w:r>
        <w:rPr>
          <w:b/>
        </w:rPr>
        <w:t>Methods</w:t>
      </w:r>
    </w:p>
    <w:p w14:paraId="59BCF0D5" w14:textId="77777777" w:rsidR="00362D75" w:rsidRDefault="00573E0D">
      <w:pPr>
        <w:pStyle w:val="ListParagraph"/>
        <w:numPr>
          <w:ilvl w:val="0"/>
          <w:numId w:val="7"/>
        </w:numPr>
      </w:pPr>
      <w:r>
        <w:t xml:space="preserve">Ambroise, C., &amp; McLachlan, G. J. (2002). Selection bias in gene extraction </w:t>
      </w:r>
      <w:proofErr w:type="gramStart"/>
      <w:r>
        <w:t>on the basis of</w:t>
      </w:r>
      <w:proofErr w:type="gramEnd"/>
      <w:r>
        <w:t xml:space="preserve"> microarray gene-expression data. </w:t>
      </w:r>
      <w:r>
        <w:rPr>
          <w:i/>
        </w:rPr>
        <w:t>PNAS</w:t>
      </w:r>
      <w:r>
        <w:t xml:space="preserve">, 99(10), 6562–6566. </w:t>
      </w:r>
      <w:hyperlink r:id="rId5" w:history="1">
        <w:r>
          <w:rPr>
            <w:rStyle w:val="Hyperlink"/>
          </w:rPr>
          <w:t>doi:10.1073/pnas.102102699</w:t>
        </w:r>
      </w:hyperlink>
    </w:p>
    <w:p w14:paraId="59BCF0D6" w14:textId="77777777" w:rsidR="00362D75" w:rsidRDefault="00573E0D">
      <w:pPr>
        <w:pStyle w:val="ListParagraph"/>
        <w:numPr>
          <w:ilvl w:val="0"/>
          <w:numId w:val="7"/>
        </w:numPr>
      </w:pPr>
      <w:proofErr w:type="spellStart"/>
      <w:r>
        <w:t>Breiman</w:t>
      </w:r>
      <w:proofErr w:type="spellEnd"/>
      <w:r>
        <w:t xml:space="preserve">, L. (2001). Random forests. </w:t>
      </w:r>
      <w:r>
        <w:rPr>
          <w:i/>
        </w:rPr>
        <w:t>Machine Learning</w:t>
      </w:r>
      <w:r>
        <w:t xml:space="preserve">, 45(1), 5–32. </w:t>
      </w:r>
      <w:hyperlink r:id="rId6" w:history="1">
        <w:r>
          <w:rPr>
            <w:rStyle w:val="Hyperlink"/>
          </w:rPr>
          <w:t>doi:10.1023/A:1010933404324</w:t>
        </w:r>
      </w:hyperlink>
    </w:p>
    <w:p w14:paraId="59BCF0D7" w14:textId="77777777" w:rsidR="00362D75" w:rsidRDefault="00573E0D">
      <w:pPr>
        <w:pStyle w:val="ListParagraph"/>
        <w:numPr>
          <w:ilvl w:val="0"/>
          <w:numId w:val="7"/>
        </w:numPr>
      </w:pPr>
      <w:r>
        <w:t xml:space="preserve">Fisher, A., Rudin, C., &amp; Dominici, F. (2019). All models are wrong, but many are useful: Learning a variable's importance by studying an entire class of prediction models simultaneously. </w:t>
      </w:r>
      <w:r>
        <w:rPr>
          <w:i/>
        </w:rPr>
        <w:t>Journal of Machine Learning Research</w:t>
      </w:r>
      <w:r>
        <w:t xml:space="preserve">, 20(177), 1–81. </w:t>
      </w:r>
      <w:hyperlink r:id="rId7" w:history="1">
        <w:r>
          <w:rPr>
            <w:rStyle w:val="Hyperlink"/>
          </w:rPr>
          <w:t>jmlr.org</w:t>
        </w:r>
      </w:hyperlink>
    </w:p>
    <w:p w14:paraId="59BCF0D8" w14:textId="77777777" w:rsidR="00362D75" w:rsidRDefault="00573E0D">
      <w:pPr>
        <w:pStyle w:val="ListParagraph"/>
        <w:numPr>
          <w:ilvl w:val="0"/>
          <w:numId w:val="7"/>
        </w:numPr>
      </w:pPr>
      <w:r>
        <w:t xml:space="preserve">Hooker, G., Mentch, L., &amp; Zhou, S. (2021). Unrestricted permutation forces extrapolation: Variable importance requires at least one more model, or there is no free variable importance. </w:t>
      </w:r>
      <w:r>
        <w:rPr>
          <w:i/>
        </w:rPr>
        <w:t>Statistics and Computing</w:t>
      </w:r>
      <w:r>
        <w:t xml:space="preserve">, 31, 82. </w:t>
      </w:r>
      <w:hyperlink r:id="rId8" w:history="1">
        <w:r>
          <w:rPr>
            <w:rStyle w:val="Hyperlink"/>
          </w:rPr>
          <w:t>doi:10.1007/s11222-021-10057-z</w:t>
        </w:r>
      </w:hyperlink>
    </w:p>
    <w:p w14:paraId="59BCF0D9" w14:textId="77777777" w:rsidR="00362D75" w:rsidRDefault="00573E0D">
      <w:pPr>
        <w:pStyle w:val="ListParagraph"/>
        <w:numPr>
          <w:ilvl w:val="0"/>
          <w:numId w:val="7"/>
        </w:numPr>
      </w:pPr>
      <w:r>
        <w:t xml:space="preserve">Mann, H. B., &amp; Whitney, D. R. (1947). On a test of whether one of two random variables is stochastically larger than the other. </w:t>
      </w:r>
      <w:r>
        <w:rPr>
          <w:i/>
        </w:rPr>
        <w:t>Annals of Mathematical Statistics</w:t>
      </w:r>
      <w:r>
        <w:t xml:space="preserve">, 18(1), 50–60. </w:t>
      </w:r>
      <w:hyperlink r:id="rId9" w:history="1">
        <w:r>
          <w:rPr>
            <w:rStyle w:val="Hyperlink"/>
          </w:rPr>
          <w:t>doi:10.1214/</w:t>
        </w:r>
        <w:proofErr w:type="spellStart"/>
        <w:r>
          <w:rPr>
            <w:rStyle w:val="Hyperlink"/>
          </w:rPr>
          <w:t>aoms</w:t>
        </w:r>
        <w:proofErr w:type="spellEnd"/>
        <w:r>
          <w:rPr>
            <w:rStyle w:val="Hyperlink"/>
          </w:rPr>
          <w:t>/1177730491</w:t>
        </w:r>
      </w:hyperlink>
    </w:p>
    <w:p w14:paraId="59BCF0DA" w14:textId="77777777" w:rsidR="00362D75" w:rsidRDefault="00573E0D">
      <w:pPr>
        <w:pStyle w:val="ListParagraph"/>
        <w:numPr>
          <w:ilvl w:val="0"/>
          <w:numId w:val="7"/>
        </w:numPr>
      </w:pPr>
      <w:r>
        <w:t xml:space="preserve">Rasmussen, C. E., &amp; Williams, C. K. I. (2006). </w:t>
      </w:r>
      <w:r>
        <w:rPr>
          <w:i/>
        </w:rPr>
        <w:t>Gaussian Processes for Machine Learning</w:t>
      </w:r>
      <w:r>
        <w:t>. MIT Press.</w:t>
      </w:r>
    </w:p>
    <w:p w14:paraId="59BCF0DB" w14:textId="77777777" w:rsidR="00362D75" w:rsidRDefault="00573E0D">
      <w:pPr>
        <w:pStyle w:val="ListParagraph"/>
        <w:numPr>
          <w:ilvl w:val="0"/>
          <w:numId w:val="7"/>
        </w:numPr>
      </w:pPr>
      <w:r>
        <w:t xml:space="preserve">Roberts, D. R., Bahn, V., </w:t>
      </w:r>
      <w:proofErr w:type="spellStart"/>
      <w:r>
        <w:t>Ciuti</w:t>
      </w:r>
      <w:proofErr w:type="spellEnd"/>
      <w:r>
        <w:t xml:space="preserve">, S., et al. (2017). Cross-validation strategies for data with temporal, spatial, hierarchical, or phylogenetic structure. </w:t>
      </w:r>
      <w:proofErr w:type="spellStart"/>
      <w:r>
        <w:rPr>
          <w:i/>
        </w:rPr>
        <w:t>Ecography</w:t>
      </w:r>
      <w:proofErr w:type="spellEnd"/>
      <w:r>
        <w:t xml:space="preserve">, 40(8), 913–929. </w:t>
      </w:r>
      <w:hyperlink r:id="rId10" w:history="1">
        <w:r>
          <w:rPr>
            <w:rStyle w:val="Hyperlink"/>
          </w:rPr>
          <w:t>doi:10.1111/ecog.02881</w:t>
        </w:r>
      </w:hyperlink>
    </w:p>
    <w:p w14:paraId="59BCF0DC" w14:textId="77777777" w:rsidR="00362D75" w:rsidRDefault="00573E0D">
      <w:pPr>
        <w:pStyle w:val="ListParagraph"/>
        <w:numPr>
          <w:ilvl w:val="0"/>
          <w:numId w:val="7"/>
        </w:numPr>
      </w:pPr>
      <w:r>
        <w:t xml:space="preserve">Strobl, C., Boulesteix, A.-L., </w:t>
      </w:r>
      <w:proofErr w:type="spellStart"/>
      <w:r>
        <w:t>Zeileis</w:t>
      </w:r>
      <w:proofErr w:type="spellEnd"/>
      <w:r>
        <w:t xml:space="preserve">, A., &amp; </w:t>
      </w:r>
      <w:proofErr w:type="spellStart"/>
      <w:r>
        <w:t>Hothorn</w:t>
      </w:r>
      <w:proofErr w:type="spellEnd"/>
      <w:r>
        <w:t xml:space="preserve">, T. (2007). Bias in random forest variable importance measures: Illustrations, sources and </w:t>
      </w:r>
      <w:proofErr w:type="gramStart"/>
      <w:r>
        <w:t>a solution</w:t>
      </w:r>
      <w:proofErr w:type="gramEnd"/>
      <w:r>
        <w:t xml:space="preserve">. </w:t>
      </w:r>
      <w:r>
        <w:rPr>
          <w:i/>
        </w:rPr>
        <w:t>BMC Bioinformatics</w:t>
      </w:r>
      <w:r>
        <w:t xml:space="preserve">, 8, 25. </w:t>
      </w:r>
      <w:hyperlink r:id="rId11" w:history="1">
        <w:r>
          <w:rPr>
            <w:rStyle w:val="Hyperlink"/>
          </w:rPr>
          <w:t>doi:10.1186/1471-2105-8-25</w:t>
        </w:r>
      </w:hyperlink>
    </w:p>
    <w:p w14:paraId="59BCF0DD" w14:textId="77777777" w:rsidR="00362D75" w:rsidRDefault="00573E0D">
      <w:r>
        <w:rPr>
          <w:b/>
        </w:rPr>
        <w:t>Data sources</w:t>
      </w:r>
    </w:p>
    <w:p w14:paraId="59BCF0DE" w14:textId="77777777" w:rsidR="00362D75" w:rsidRDefault="00573E0D">
      <w:pPr>
        <w:pStyle w:val="ListParagraph"/>
        <w:numPr>
          <w:ilvl w:val="0"/>
          <w:numId w:val="8"/>
        </w:numPr>
      </w:pPr>
      <w:r>
        <w:lastRenderedPageBreak/>
        <w:t xml:space="preserve">Abatzoglou, J. T. (2013). Development of gridded surface meteorological data for ecological applications and modelling. </w:t>
      </w:r>
      <w:r>
        <w:rPr>
          <w:i/>
        </w:rPr>
        <w:t>International Journal of Climatology</w:t>
      </w:r>
      <w:r>
        <w:t xml:space="preserve">, 33(1), 121–131. </w:t>
      </w:r>
      <w:hyperlink r:id="rId12" w:history="1">
        <w:r>
          <w:rPr>
            <w:rStyle w:val="Hyperlink"/>
          </w:rPr>
          <w:t>doi:10.1002/joc.3413</w:t>
        </w:r>
      </w:hyperlink>
    </w:p>
    <w:p w14:paraId="59BCF0DF" w14:textId="77777777" w:rsidR="00362D75" w:rsidRDefault="00573E0D">
      <w:pPr>
        <w:pStyle w:val="ListParagraph"/>
        <w:numPr>
          <w:ilvl w:val="0"/>
          <w:numId w:val="8"/>
        </w:numPr>
      </w:pPr>
      <w:r>
        <w:t xml:space="preserve">Gorelick, N., Hancher, M., Dixon, M., Ilyushchenko, S., Thau, D., &amp; Moore, R. (2017). Google Earth Engine: Planetary-scale geospatial analysis for everyone. </w:t>
      </w:r>
      <w:r>
        <w:rPr>
          <w:i/>
        </w:rPr>
        <w:t>Remote Sensing of Environment</w:t>
      </w:r>
      <w:r>
        <w:t xml:space="preserve">, 202, 18–27. </w:t>
      </w:r>
      <w:hyperlink r:id="rId13" w:history="1">
        <w:proofErr w:type="gramStart"/>
        <w:r>
          <w:rPr>
            <w:rStyle w:val="Hyperlink"/>
          </w:rPr>
          <w:t>doi:10.1016/j.rse</w:t>
        </w:r>
        <w:proofErr w:type="gramEnd"/>
        <w:r>
          <w:rPr>
            <w:rStyle w:val="Hyperlink"/>
          </w:rPr>
          <w:t>.2017.06.031</w:t>
        </w:r>
      </w:hyperlink>
    </w:p>
    <w:p w14:paraId="59BCF0E0" w14:textId="77777777" w:rsidR="00362D75" w:rsidRDefault="00573E0D">
      <w:pPr>
        <w:pStyle w:val="ListParagraph"/>
        <w:numPr>
          <w:ilvl w:val="0"/>
          <w:numId w:val="8"/>
        </w:numPr>
      </w:pPr>
      <w:r>
        <w:t xml:space="preserve">Huete, A., Didan, K., Miura, T., Rodriguez, E. P., Gao, X., &amp; Ferreira, L. G. (2002). Overview of the radiometric and biophysical performance of the MODIS vegetation indices. </w:t>
      </w:r>
      <w:r>
        <w:rPr>
          <w:i/>
        </w:rPr>
        <w:t>Remote Sensing of Environment</w:t>
      </w:r>
      <w:r>
        <w:t>, 83(1–2), 195–213.</w:t>
      </w:r>
    </w:p>
    <w:p w14:paraId="59BCF0E1" w14:textId="77777777" w:rsidR="00362D75" w:rsidRDefault="00573E0D">
      <w:pPr>
        <w:pStyle w:val="ListParagraph"/>
        <w:numPr>
          <w:ilvl w:val="0"/>
          <w:numId w:val="8"/>
        </w:numPr>
      </w:pPr>
      <w:r>
        <w:t xml:space="preserve">Vicente-Serrano, S. M., </w:t>
      </w:r>
      <w:proofErr w:type="spellStart"/>
      <w:r>
        <w:t>Beguería</w:t>
      </w:r>
      <w:proofErr w:type="spellEnd"/>
      <w:r>
        <w:t xml:space="preserve">, S., &amp; López-Moreno, J. I. (2010). A </w:t>
      </w:r>
      <w:proofErr w:type="spellStart"/>
      <w:r>
        <w:t>multiscalar</w:t>
      </w:r>
      <w:proofErr w:type="spellEnd"/>
      <w:r>
        <w:t xml:space="preserve"> drought index sensitive to global warming: The standardized precipitation evapotranspiration index. </w:t>
      </w:r>
      <w:r>
        <w:rPr>
          <w:i/>
        </w:rPr>
        <w:t>Journal of Climate</w:t>
      </w:r>
      <w:r>
        <w:t xml:space="preserve">, 23(7), 1696–1718. </w:t>
      </w:r>
      <w:hyperlink r:id="rId14" w:history="1">
        <w:r>
          <w:rPr>
            <w:rStyle w:val="Hyperlink"/>
          </w:rPr>
          <w:t>doi:10.1175/2009JCLI2909.1</w:t>
        </w:r>
      </w:hyperlink>
    </w:p>
    <w:p w14:paraId="59BCF0E2" w14:textId="77777777" w:rsidR="00362D75" w:rsidRDefault="00573E0D">
      <w:r>
        <w:rPr>
          <w:b/>
        </w:rPr>
        <w:t>Domain</w:t>
      </w:r>
    </w:p>
    <w:p w14:paraId="59BCF0E3" w14:textId="77777777" w:rsidR="00362D75" w:rsidRDefault="00573E0D">
      <w:pPr>
        <w:pStyle w:val="ListParagraph"/>
        <w:numPr>
          <w:ilvl w:val="0"/>
          <w:numId w:val="9"/>
        </w:numPr>
      </w:pPr>
      <w:r>
        <w:t xml:space="preserve">Lucero, M., Adee, E., Ruiz Diaz, D., Sullivan, T., Jha, G., Simon, L., &amp; Joshi, D. R. (2026). Machine learning insights into long-term soil fertility legacy and seasonal weather effects in corn–soybean rotation. </w:t>
      </w:r>
      <w:r>
        <w:rPr>
          <w:i/>
        </w:rPr>
        <w:t>Soil Science Society of America Journal</w:t>
      </w:r>
      <w:r>
        <w:t xml:space="preserve">, 90, e70334. </w:t>
      </w:r>
      <w:hyperlink r:id="rId15" w:history="1">
        <w:r>
          <w:rPr>
            <w:rStyle w:val="Hyperlink"/>
          </w:rPr>
          <w:t>doi:10.1002/saj2.70334</w:t>
        </w:r>
      </w:hyperlink>
    </w:p>
    <w:sectPr w:rsidR="00362D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333F4"/>
    <w:multiLevelType w:val="hybridMultilevel"/>
    <w:tmpl w:val="913875F8"/>
    <w:lvl w:ilvl="0" w:tplc="41969BA2">
      <w:start w:val="1"/>
      <w:numFmt w:val="bullet"/>
      <w:lvlText w:val="•"/>
      <w:lvlJc w:val="left"/>
      <w:pPr>
        <w:ind w:left="720" w:hanging="360"/>
      </w:pPr>
    </w:lvl>
    <w:lvl w:ilvl="1" w:tplc="411AE948">
      <w:start w:val="1"/>
      <w:numFmt w:val="bullet"/>
      <w:lvlText w:val="o"/>
      <w:lvlJc w:val="left"/>
      <w:pPr>
        <w:ind w:left="1440" w:hanging="360"/>
      </w:pPr>
    </w:lvl>
    <w:lvl w:ilvl="2" w:tplc="EF6A6358">
      <w:start w:val="1"/>
      <w:numFmt w:val="bullet"/>
      <w:lvlText w:val="▪"/>
      <w:lvlJc w:val="left"/>
      <w:pPr>
        <w:ind w:left="2160" w:hanging="360"/>
      </w:pPr>
    </w:lvl>
    <w:lvl w:ilvl="3" w:tplc="BEA8A78C">
      <w:start w:val="1"/>
      <w:numFmt w:val="bullet"/>
      <w:lvlText w:val="•"/>
      <w:lvlJc w:val="left"/>
      <w:pPr>
        <w:ind w:left="2880" w:hanging="360"/>
      </w:pPr>
    </w:lvl>
    <w:lvl w:ilvl="4" w:tplc="3FCA8608">
      <w:start w:val="1"/>
      <w:numFmt w:val="bullet"/>
      <w:lvlText w:val="o"/>
      <w:lvlJc w:val="left"/>
      <w:pPr>
        <w:ind w:left="3600" w:hanging="360"/>
      </w:pPr>
    </w:lvl>
    <w:lvl w:ilvl="5" w:tplc="73727F74">
      <w:start w:val="1"/>
      <w:numFmt w:val="bullet"/>
      <w:lvlText w:val="▪"/>
      <w:lvlJc w:val="left"/>
      <w:pPr>
        <w:ind w:left="4320" w:hanging="360"/>
      </w:pPr>
    </w:lvl>
    <w:lvl w:ilvl="6" w:tplc="1632F84E">
      <w:start w:val="1"/>
      <w:numFmt w:val="bullet"/>
      <w:lvlText w:val="•"/>
      <w:lvlJc w:val="left"/>
      <w:pPr>
        <w:ind w:left="5040" w:hanging="360"/>
      </w:pPr>
    </w:lvl>
    <w:lvl w:ilvl="7" w:tplc="84AA10D2">
      <w:start w:val="1"/>
      <w:numFmt w:val="bullet"/>
      <w:lvlText w:val="o"/>
      <w:lvlJc w:val="left"/>
      <w:pPr>
        <w:ind w:left="5760" w:hanging="360"/>
      </w:pPr>
    </w:lvl>
    <w:lvl w:ilvl="8" w:tplc="98326524">
      <w:start w:val="1"/>
      <w:numFmt w:val="bullet"/>
      <w:lvlText w:val="▪"/>
      <w:lvlJc w:val="left"/>
      <w:pPr>
        <w:ind w:left="6480" w:hanging="360"/>
      </w:pPr>
    </w:lvl>
  </w:abstractNum>
  <w:abstractNum w:abstractNumId="1" w15:restartNumberingAfterBreak="0">
    <w:nsid w:val="42F167C7"/>
    <w:multiLevelType w:val="hybridMultilevel"/>
    <w:tmpl w:val="167610EE"/>
    <w:lvl w:ilvl="0" w:tplc="F698A892">
      <w:start w:val="1"/>
      <w:numFmt w:val="decimal"/>
      <w:lvlText w:val="%1."/>
      <w:lvlJc w:val="left"/>
      <w:pPr>
        <w:ind w:left="720" w:hanging="360"/>
      </w:pPr>
    </w:lvl>
    <w:lvl w:ilvl="1" w:tplc="532885EC">
      <w:start w:val="1"/>
      <w:numFmt w:val="lowerLetter"/>
      <w:lvlText w:val="%2."/>
      <w:lvlJc w:val="left"/>
      <w:pPr>
        <w:ind w:left="1440" w:hanging="360"/>
      </w:pPr>
    </w:lvl>
    <w:lvl w:ilvl="2" w:tplc="438EFE72">
      <w:start w:val="1"/>
      <w:numFmt w:val="lowerRoman"/>
      <w:lvlText w:val="%3."/>
      <w:lvlJc w:val="left"/>
      <w:pPr>
        <w:ind w:left="2160" w:hanging="360"/>
      </w:pPr>
    </w:lvl>
    <w:lvl w:ilvl="3" w:tplc="146850F8">
      <w:start w:val="1"/>
      <w:numFmt w:val="decimal"/>
      <w:lvlText w:val="%4."/>
      <w:lvlJc w:val="left"/>
      <w:pPr>
        <w:ind w:left="2880" w:hanging="360"/>
      </w:pPr>
    </w:lvl>
    <w:lvl w:ilvl="4" w:tplc="9C2E420C">
      <w:start w:val="1"/>
      <w:numFmt w:val="lowerLetter"/>
      <w:lvlText w:val="%5."/>
      <w:lvlJc w:val="left"/>
      <w:pPr>
        <w:ind w:left="3600" w:hanging="360"/>
      </w:pPr>
    </w:lvl>
    <w:lvl w:ilvl="5" w:tplc="183CF67A">
      <w:start w:val="1"/>
      <w:numFmt w:val="lowerRoman"/>
      <w:lvlText w:val="%6."/>
      <w:lvlJc w:val="left"/>
      <w:pPr>
        <w:ind w:left="4320" w:hanging="360"/>
      </w:pPr>
    </w:lvl>
    <w:lvl w:ilvl="6" w:tplc="2FC61AA2">
      <w:start w:val="1"/>
      <w:numFmt w:val="decimal"/>
      <w:lvlText w:val="%7."/>
      <w:lvlJc w:val="left"/>
      <w:pPr>
        <w:ind w:left="5040" w:hanging="360"/>
      </w:pPr>
    </w:lvl>
    <w:lvl w:ilvl="7" w:tplc="1526D88A">
      <w:start w:val="1"/>
      <w:numFmt w:val="lowerLetter"/>
      <w:lvlText w:val="%8."/>
      <w:lvlJc w:val="left"/>
      <w:pPr>
        <w:ind w:left="5760" w:hanging="360"/>
      </w:pPr>
    </w:lvl>
    <w:lvl w:ilvl="8" w:tplc="D38C2D00">
      <w:start w:val="1"/>
      <w:numFmt w:val="lowerRoman"/>
      <w:lvlText w:val="%9."/>
      <w:lvlJc w:val="left"/>
      <w:pPr>
        <w:ind w:left="6480" w:hanging="360"/>
      </w:pPr>
    </w:lvl>
  </w:abstractNum>
  <w:num w:numId="1" w16cid:durableId="58989413">
    <w:abstractNumId w:val="0"/>
  </w:num>
  <w:num w:numId="2" w16cid:durableId="1761758792">
    <w:abstractNumId w:val="0"/>
  </w:num>
  <w:num w:numId="3" w16cid:durableId="1536694435">
    <w:abstractNumId w:val="0"/>
  </w:num>
  <w:num w:numId="4" w16cid:durableId="1235550679">
    <w:abstractNumId w:val="0"/>
  </w:num>
  <w:num w:numId="5" w16cid:durableId="920604810">
    <w:abstractNumId w:val="0"/>
  </w:num>
  <w:num w:numId="6" w16cid:durableId="311755772">
    <w:abstractNumId w:val="0"/>
  </w:num>
  <w:num w:numId="7" w16cid:durableId="1247417890">
    <w:abstractNumId w:val="0"/>
  </w:num>
  <w:num w:numId="8" w16cid:durableId="825633205">
    <w:abstractNumId w:val="0"/>
  </w:num>
  <w:num w:numId="9" w16cid:durableId="101688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62D75"/>
    <w:rsid w:val="00025DA0"/>
    <w:rsid w:val="00081EDC"/>
    <w:rsid w:val="001F437B"/>
    <w:rsid w:val="00362D75"/>
    <w:rsid w:val="004126A3"/>
    <w:rsid w:val="00573E0D"/>
    <w:rsid w:val="005E1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EF47"/>
  <w15:docId w15:val="{7472AC83-8572-4794-AB40-1C96C560D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1222-021-10057-z" TargetMode="External"/><Relationship Id="rId13" Type="http://schemas.openxmlformats.org/officeDocument/2006/relationships/hyperlink" Target="https://doi.org/10.1016/j.rse.2017.06.031" TargetMode="External"/><Relationship Id="rId3" Type="http://schemas.openxmlformats.org/officeDocument/2006/relationships/settings" Target="settings.xml"/><Relationship Id="rId7" Type="http://schemas.openxmlformats.org/officeDocument/2006/relationships/hyperlink" Target="https://jmlr.org/papers/v20/18-760.html" TargetMode="External"/><Relationship Id="rId12" Type="http://schemas.openxmlformats.org/officeDocument/2006/relationships/hyperlink" Target="https://doi.org/10.1002/joc.341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23/A:1010933404324" TargetMode="External"/><Relationship Id="rId11" Type="http://schemas.openxmlformats.org/officeDocument/2006/relationships/hyperlink" Target="https://doi.org/10.1186/1471-2105-8-25" TargetMode="External"/><Relationship Id="rId5" Type="http://schemas.openxmlformats.org/officeDocument/2006/relationships/hyperlink" Target="https://doi.org/10.1073/pnas.102102699" TargetMode="External"/><Relationship Id="rId15" Type="http://schemas.openxmlformats.org/officeDocument/2006/relationships/hyperlink" Target="https://doi.org/10.1002/saj2.70334" TargetMode="External"/><Relationship Id="rId10" Type="http://schemas.openxmlformats.org/officeDocument/2006/relationships/hyperlink" Target="https://doi.org/10.1111/ecog.02881" TargetMode="External"/><Relationship Id="rId4" Type="http://schemas.openxmlformats.org/officeDocument/2006/relationships/webSettings" Target="webSettings.xml"/><Relationship Id="rId9" Type="http://schemas.openxmlformats.org/officeDocument/2006/relationships/hyperlink" Target="https://doi.org/10.1214/aoms/1177730491" TargetMode="External"/><Relationship Id="rId14" Type="http://schemas.openxmlformats.org/officeDocument/2006/relationships/hyperlink" Target="https://doi.org/10.1175/2009JCLI290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1466</TotalTime>
  <Pages>10</Pages>
  <Words>3180</Words>
  <Characters>18131</Characters>
  <Application>Microsoft Office Word</Application>
  <DocSecurity>0</DocSecurity>
  <Lines>151</Lines>
  <Paragraphs>42</Paragraphs>
  <ScaleCrop>false</ScaleCrop>
  <Company>University of Nebraska-Lincoln</Company>
  <LinksUpToDate>false</LinksUpToDate>
  <CharactersWithSpaces>21269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Nitrogen Pipeline v3.1 — Model Report</dc:title>
  <dc:description>Claude Docs node/d66d044e-d250@22 docx-w6</dc:description>
  <cp:lastModifiedBy>Aldi Airori</cp:lastModifiedBy>
  <cp:revision>26</cp:revision>
  <cp:lastPrinted>2026-09-30T16:39:00Z</cp:lastPrinted>
  <dcterms:created xsi:type="dcterms:W3CDTF">2026-09-23T16:15:00Z</dcterms:created>
  <dcterms:modified xsi:type="dcterms:W3CDTF">2026-09-30T16:40:00Z</dcterms:modified>
</cp:coreProperties>
</file>