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A725A" w14:textId="77777777" w:rsidR="00055655" w:rsidRPr="00AF0244" w:rsidRDefault="0084722B">
      <w:pPr>
        <w:pStyle w:val="Title"/>
        <w:spacing w:after="80"/>
        <w:rPr>
          <w:sz w:val="48"/>
          <w:szCs w:val="48"/>
        </w:rPr>
      </w:pPr>
      <w:r w:rsidRPr="00AF0244">
        <w:rPr>
          <w:sz w:val="48"/>
          <w:szCs w:val="48"/>
        </w:rPr>
        <w:t>Results — Soil Nitrogen Projection Model v2.1 (with SPEI)</w:t>
      </w:r>
    </w:p>
    <w:p w14:paraId="69FA725B" w14:textId="77777777" w:rsidR="00055655" w:rsidRPr="00AF0244" w:rsidRDefault="0084722B">
      <w:pPr>
        <w:spacing w:after="160"/>
        <w:rPr>
          <w:sz w:val="22"/>
          <w:szCs w:val="22"/>
        </w:rPr>
      </w:pPr>
      <w:r w:rsidRPr="00AF0244">
        <w:rPr>
          <w:sz w:val="22"/>
          <w:szCs w:val="22"/>
        </w:rPr>
        <w:t>Nine-plot rotational grazing / cover crop trial, 2019–2023. Response variables: NH4+ and NO3- (0–10 cm and 10–20 cm).</w:t>
      </w:r>
    </w:p>
    <w:p w14:paraId="69FA725C" w14:textId="77777777" w:rsidR="00055655" w:rsidRPr="00AF0244" w:rsidRDefault="0084722B">
      <w:pPr>
        <w:pStyle w:val="Heading1"/>
        <w:spacing w:before="360" w:after="160"/>
        <w:rPr>
          <w:sz w:val="36"/>
          <w:szCs w:val="36"/>
        </w:rPr>
      </w:pPr>
      <w:r w:rsidRPr="00AF0244">
        <w:rPr>
          <w:sz w:val="36"/>
          <w:szCs w:val="36"/>
        </w:rPr>
        <w:t>Figures 1 &amp; 2 — Mean Trajectories and Distribution by Year</w:t>
      </w:r>
    </w:p>
    <w:p w14:paraId="69FA725D" w14:textId="77777777" w:rsidR="00055655" w:rsidRPr="00AF0244" w:rsidRDefault="0084722B">
      <w:pPr>
        <w:spacing w:after="80"/>
        <w:jc w:val="center"/>
        <w:rPr>
          <w:sz w:val="22"/>
          <w:szCs w:val="22"/>
        </w:rPr>
      </w:pPr>
      <w:r w:rsidRPr="00AF0244">
        <w:rPr>
          <w:noProof/>
          <w:sz w:val="22"/>
          <w:szCs w:val="22"/>
        </w:rPr>
        <w:drawing>
          <wp:inline distT="0" distB="0" distL="0" distR="0" wp14:anchorId="69FA730A" wp14:editId="69FA730B">
            <wp:extent cx="57150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047875"/>
                    </a:xfrm>
                    <a:prstGeom prst="rect">
                      <a:avLst/>
                    </a:prstGeom>
                  </pic:spPr>
                </pic:pic>
              </a:graphicData>
            </a:graphic>
          </wp:inline>
        </w:drawing>
      </w:r>
    </w:p>
    <w:p w14:paraId="69FA725E" w14:textId="77777777" w:rsidR="00055655" w:rsidRPr="00AF0244" w:rsidRDefault="0084722B">
      <w:pPr>
        <w:spacing w:after="240"/>
        <w:jc w:val="center"/>
        <w:rPr>
          <w:sz w:val="22"/>
          <w:szCs w:val="22"/>
        </w:rPr>
      </w:pPr>
      <w:r w:rsidRPr="00AF0244">
        <w:rPr>
          <w:i/>
          <w:iCs/>
          <w:color w:val="555555"/>
          <w:sz w:val="22"/>
          <w:szCs w:val="22"/>
        </w:rPr>
        <w:t>Figure 1. Mean NH4+ and NO3- trajectories by treatment, 2019–2023.</w:t>
      </w:r>
    </w:p>
    <w:p w14:paraId="69FA725F" w14:textId="77777777" w:rsidR="00055655" w:rsidRPr="00AF0244" w:rsidRDefault="0084722B">
      <w:pPr>
        <w:pStyle w:val="Heading2"/>
        <w:spacing w:before="280" w:after="120"/>
        <w:rPr>
          <w:sz w:val="28"/>
          <w:szCs w:val="28"/>
        </w:rPr>
      </w:pPr>
      <w:r w:rsidRPr="00AF0244">
        <w:rPr>
          <w:sz w:val="28"/>
          <w:szCs w:val="28"/>
        </w:rPr>
        <w:t>NH4+</w:t>
      </w:r>
    </w:p>
    <w:p w14:paraId="69FA7260" w14:textId="20620301" w:rsidR="00055655" w:rsidRPr="00AF0244" w:rsidRDefault="0084722B">
      <w:pPr>
        <w:spacing w:after="160"/>
        <w:rPr>
          <w:sz w:val="22"/>
          <w:szCs w:val="22"/>
        </w:rPr>
      </w:pPr>
      <w:r w:rsidRPr="00AF0244">
        <w:rPr>
          <w:sz w:val="22"/>
          <w:szCs w:val="22"/>
        </w:rPr>
        <w:t>All three treatments follow a similar trajectory: values remain low a</w:t>
      </w:r>
      <w:r w:rsidRPr="00AF0244">
        <w:rPr>
          <w:sz w:val="22"/>
          <w:szCs w:val="22"/>
        </w:rPr>
        <w:t>nd comparatively stable from 2019 to 2021, followed by a marked increase in 2022–2023. Treatment-level differences are minimal across the series. This pattern is consistent with the increase being driven primarily by a system-wide factor — such as post-drought recovery, cumulative organic matter decomposition, or grazing timing — rather than by treatment-specific effects.</w:t>
      </w:r>
    </w:p>
    <w:p w14:paraId="69FA7261" w14:textId="77777777" w:rsidR="00055655" w:rsidRPr="00AF0244" w:rsidRDefault="0084722B">
      <w:pPr>
        <w:pStyle w:val="Heading2"/>
        <w:spacing w:before="280" w:after="120"/>
        <w:rPr>
          <w:sz w:val="28"/>
          <w:szCs w:val="28"/>
        </w:rPr>
      </w:pPr>
      <w:r w:rsidRPr="00AF0244">
        <w:rPr>
          <w:sz w:val="28"/>
          <w:szCs w:val="28"/>
        </w:rPr>
        <w:t>NO3-</w:t>
      </w:r>
    </w:p>
    <w:p w14:paraId="69FA7262" w14:textId="77777777" w:rsidR="00055655" w:rsidRPr="00AF0244" w:rsidRDefault="0084722B">
      <w:pPr>
        <w:spacing w:after="160"/>
        <w:rPr>
          <w:sz w:val="22"/>
          <w:szCs w:val="22"/>
        </w:rPr>
      </w:pPr>
      <w:r w:rsidRPr="00AF0244">
        <w:rPr>
          <w:sz w:val="22"/>
          <w:szCs w:val="22"/>
        </w:rPr>
        <w:t xml:space="preserve">Trajectories differ more by treatment. Triticale </w:t>
      </w:r>
      <w:proofErr w:type="spellStart"/>
      <w:r w:rsidRPr="00AF0244">
        <w:rPr>
          <w:sz w:val="22"/>
          <w:szCs w:val="22"/>
        </w:rPr>
        <w:t>interseeded</w:t>
      </w:r>
      <w:proofErr w:type="spellEnd"/>
      <w:r w:rsidRPr="00AF0244">
        <w:rPr>
          <w:sz w:val="22"/>
          <w:szCs w:val="22"/>
        </w:rPr>
        <w:t xml:space="preserve"> with Legume begins at the highest concentration in 2019 (approximately 24 mg/kg) before declining. All three treatments reach a low point in 2021, followed by an increase in 2022. The 2021 decline coincides with documented severe drought conditions in Nebraska, a period associated with reduced nitrification rates, consistent with a climate-driven signal rather than sampling noise.</w:t>
      </w:r>
    </w:p>
    <w:p w14:paraId="69FA7263" w14:textId="77777777" w:rsidR="00055655" w:rsidRPr="00AF0244" w:rsidRDefault="0084722B">
      <w:pPr>
        <w:spacing w:after="80"/>
        <w:jc w:val="center"/>
        <w:rPr>
          <w:sz w:val="22"/>
          <w:szCs w:val="22"/>
        </w:rPr>
      </w:pPr>
      <w:r w:rsidRPr="00AF0244">
        <w:rPr>
          <w:noProof/>
          <w:sz w:val="22"/>
          <w:szCs w:val="22"/>
        </w:rPr>
        <w:lastRenderedPageBreak/>
        <w:drawing>
          <wp:inline distT="0" distB="0" distL="0" distR="0" wp14:anchorId="69FA730C" wp14:editId="69FA730D">
            <wp:extent cx="5715000" cy="4048125"/>
            <wp:effectExtent l="0" t="0" r="0" b="0"/>
            <wp:docPr id="257400865" name="Picture 25740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4048125"/>
                    </a:xfrm>
                    <a:prstGeom prst="rect">
                      <a:avLst/>
                    </a:prstGeom>
                  </pic:spPr>
                </pic:pic>
              </a:graphicData>
            </a:graphic>
          </wp:inline>
        </w:drawing>
      </w:r>
    </w:p>
    <w:p w14:paraId="69FA7264" w14:textId="77777777" w:rsidR="00055655" w:rsidRPr="00AF0244" w:rsidRDefault="0084722B">
      <w:pPr>
        <w:spacing w:after="240"/>
        <w:jc w:val="center"/>
        <w:rPr>
          <w:sz w:val="22"/>
          <w:szCs w:val="22"/>
        </w:rPr>
      </w:pPr>
      <w:r w:rsidRPr="00AF0244">
        <w:rPr>
          <w:i/>
          <w:iCs/>
          <w:color w:val="555555"/>
          <w:sz w:val="22"/>
          <w:szCs w:val="22"/>
        </w:rPr>
        <w:t>Figure 2. Boxplots of NH4+ and NO3- concentrations by year and depth.</w:t>
      </w:r>
    </w:p>
    <w:p w14:paraId="69FA7265" w14:textId="77777777" w:rsidR="00055655" w:rsidRPr="00AF0244" w:rsidRDefault="0084722B">
      <w:pPr>
        <w:pStyle w:val="Heading2"/>
        <w:spacing w:before="280" w:after="120"/>
        <w:rPr>
          <w:sz w:val="28"/>
          <w:szCs w:val="28"/>
        </w:rPr>
      </w:pPr>
      <w:r w:rsidRPr="00AF0244">
        <w:rPr>
          <w:sz w:val="28"/>
          <w:szCs w:val="28"/>
        </w:rPr>
        <w:t>Figure 2 — Boxplots</w:t>
      </w:r>
    </w:p>
    <w:p w14:paraId="69FA7266" w14:textId="77777777" w:rsidR="00055655" w:rsidRPr="00AF0244" w:rsidRDefault="0084722B">
      <w:pPr>
        <w:spacing w:after="160"/>
        <w:rPr>
          <w:sz w:val="22"/>
          <w:szCs w:val="22"/>
        </w:rPr>
      </w:pPr>
      <w:r w:rsidRPr="00AF0244">
        <w:rPr>
          <w:sz w:val="22"/>
          <w:szCs w:val="22"/>
        </w:rPr>
        <w:t>Three observations are notable:</w:t>
      </w:r>
    </w:p>
    <w:p w14:paraId="69FA7267" w14:textId="77777777" w:rsidR="00055655" w:rsidRPr="00AF0244" w:rsidRDefault="0084722B">
      <w:pPr>
        <w:pStyle w:val="ListParagraph"/>
        <w:numPr>
          <w:ilvl w:val="0"/>
          <w:numId w:val="1"/>
        </w:numPr>
        <w:spacing w:after="80"/>
        <w:rPr>
          <w:sz w:val="22"/>
          <w:szCs w:val="22"/>
        </w:rPr>
      </w:pPr>
      <w:r w:rsidRPr="00AF0244">
        <w:rPr>
          <w:sz w:val="22"/>
          <w:szCs w:val="22"/>
        </w:rPr>
        <w:t>Within-treatment variability is high, particularly in 2022–2023. This is consistent with grazed and non-grazed subplots being aggregated within treatment groups at this stage of analysis; the width is reflected in the corresponding GPR uncertainty bands.</w:t>
      </w:r>
    </w:p>
    <w:p w14:paraId="69FA7268" w14:textId="77777777" w:rsidR="00055655" w:rsidRPr="00AF0244" w:rsidRDefault="0084722B">
      <w:pPr>
        <w:pStyle w:val="ListParagraph"/>
        <w:numPr>
          <w:ilvl w:val="0"/>
          <w:numId w:val="1"/>
        </w:numPr>
        <w:spacing w:after="80"/>
        <w:rPr>
          <w:sz w:val="22"/>
          <w:szCs w:val="22"/>
        </w:rPr>
      </w:pPr>
      <w:r w:rsidRPr="00AF0244">
        <w:rPr>
          <w:sz w:val="22"/>
          <w:szCs w:val="22"/>
        </w:rPr>
        <w:t xml:space="preserve">NO3- shows extreme values in 2019–2020 (up to 170 mg/kg at 0–10 cm). These are consistent with localized inorganic nitrogen hotspots rather than measurement </w:t>
      </w:r>
      <w:proofErr w:type="gramStart"/>
      <w:r w:rsidRPr="00AF0244">
        <w:rPr>
          <w:sz w:val="22"/>
          <w:szCs w:val="22"/>
        </w:rPr>
        <w:t>error, and</w:t>
      </w:r>
      <w:proofErr w:type="gramEnd"/>
      <w:r w:rsidRPr="00AF0244">
        <w:rPr>
          <w:sz w:val="22"/>
          <w:szCs w:val="22"/>
        </w:rPr>
        <w:t xml:space="preserve"> contribute to elevated GPR mean estimates for those years.</w:t>
      </w:r>
    </w:p>
    <w:p w14:paraId="69FA7269" w14:textId="77777777" w:rsidR="00055655" w:rsidRDefault="0084722B">
      <w:pPr>
        <w:pStyle w:val="ListParagraph"/>
        <w:numPr>
          <w:ilvl w:val="0"/>
          <w:numId w:val="1"/>
        </w:numPr>
        <w:spacing w:after="80"/>
        <w:rPr>
          <w:sz w:val="22"/>
          <w:szCs w:val="22"/>
        </w:rPr>
      </w:pPr>
      <w:r w:rsidRPr="00AF0244">
        <w:rPr>
          <w:sz w:val="22"/>
          <w:szCs w:val="22"/>
        </w:rPr>
        <w:t>No boxes are present for the 10–20 cm depth in 2020, consistent with the previously identified 2020 depth-coverage gap in the dataset.</w:t>
      </w:r>
    </w:p>
    <w:p w14:paraId="2B4AA40E" w14:textId="77777777" w:rsidR="00AF0244" w:rsidRDefault="00AF0244" w:rsidP="00AF0244">
      <w:pPr>
        <w:spacing w:after="80"/>
        <w:rPr>
          <w:sz w:val="22"/>
          <w:szCs w:val="22"/>
        </w:rPr>
      </w:pPr>
    </w:p>
    <w:p w14:paraId="66E101AE" w14:textId="77777777" w:rsidR="00AF0244" w:rsidRDefault="00AF0244" w:rsidP="00AF0244">
      <w:pPr>
        <w:spacing w:after="80"/>
        <w:rPr>
          <w:sz w:val="22"/>
          <w:szCs w:val="22"/>
        </w:rPr>
      </w:pPr>
    </w:p>
    <w:p w14:paraId="62FE43EF" w14:textId="77777777" w:rsidR="00AF0244" w:rsidRDefault="00AF0244" w:rsidP="00AF0244">
      <w:pPr>
        <w:spacing w:after="80"/>
        <w:rPr>
          <w:sz w:val="22"/>
          <w:szCs w:val="22"/>
        </w:rPr>
      </w:pPr>
    </w:p>
    <w:p w14:paraId="289BC9B5" w14:textId="77777777" w:rsidR="00AF0244" w:rsidRDefault="00AF0244" w:rsidP="00AF0244">
      <w:pPr>
        <w:spacing w:after="80"/>
        <w:rPr>
          <w:sz w:val="22"/>
          <w:szCs w:val="22"/>
        </w:rPr>
      </w:pPr>
    </w:p>
    <w:p w14:paraId="43B10643" w14:textId="77777777" w:rsidR="00AF0244" w:rsidRDefault="00AF0244" w:rsidP="00AF0244">
      <w:pPr>
        <w:spacing w:after="80"/>
        <w:rPr>
          <w:sz w:val="22"/>
          <w:szCs w:val="22"/>
        </w:rPr>
      </w:pPr>
    </w:p>
    <w:p w14:paraId="2A4EF8E2" w14:textId="77777777" w:rsidR="00AF0244" w:rsidRDefault="00AF0244" w:rsidP="00AF0244">
      <w:pPr>
        <w:spacing w:after="80"/>
        <w:rPr>
          <w:sz w:val="22"/>
          <w:szCs w:val="22"/>
        </w:rPr>
      </w:pPr>
    </w:p>
    <w:p w14:paraId="7607B242" w14:textId="77777777" w:rsidR="00AF0244" w:rsidRDefault="00AF0244" w:rsidP="00AF0244">
      <w:pPr>
        <w:spacing w:after="80"/>
        <w:rPr>
          <w:sz w:val="22"/>
          <w:szCs w:val="22"/>
        </w:rPr>
      </w:pPr>
    </w:p>
    <w:p w14:paraId="7CB7BA3C" w14:textId="77777777" w:rsidR="00AF0244" w:rsidRDefault="00AF0244" w:rsidP="00AF0244">
      <w:pPr>
        <w:spacing w:after="80"/>
        <w:rPr>
          <w:sz w:val="22"/>
          <w:szCs w:val="22"/>
        </w:rPr>
      </w:pPr>
    </w:p>
    <w:p w14:paraId="0D73749D" w14:textId="77777777" w:rsidR="00AF0244" w:rsidRPr="00AF0244" w:rsidRDefault="00AF0244" w:rsidP="00AF0244">
      <w:pPr>
        <w:spacing w:after="80"/>
        <w:rPr>
          <w:sz w:val="22"/>
          <w:szCs w:val="22"/>
        </w:rPr>
      </w:pPr>
    </w:p>
    <w:p w14:paraId="69FA726A" w14:textId="77777777" w:rsidR="00055655" w:rsidRPr="00AF0244" w:rsidRDefault="0084722B">
      <w:pPr>
        <w:pStyle w:val="Heading1"/>
        <w:spacing w:before="360" w:after="160"/>
        <w:rPr>
          <w:sz w:val="36"/>
          <w:szCs w:val="36"/>
        </w:rPr>
      </w:pPr>
      <w:r w:rsidRPr="00AF0244">
        <w:rPr>
          <w:sz w:val="36"/>
          <w:szCs w:val="36"/>
        </w:rPr>
        <w:lastRenderedPageBreak/>
        <w:t>F</w:t>
      </w:r>
      <w:r w:rsidRPr="00AF0244">
        <w:rPr>
          <w:sz w:val="36"/>
          <w:szCs w:val="36"/>
        </w:rPr>
        <w:t>igures 3 &amp; 4 — Random Forest Feature Importance</w:t>
      </w:r>
    </w:p>
    <w:p w14:paraId="69FA726B" w14:textId="77777777" w:rsidR="00055655" w:rsidRPr="00AF0244" w:rsidRDefault="0084722B">
      <w:pPr>
        <w:spacing w:after="80"/>
        <w:jc w:val="center"/>
        <w:rPr>
          <w:sz w:val="22"/>
          <w:szCs w:val="22"/>
        </w:rPr>
      </w:pPr>
      <w:r w:rsidRPr="00AF0244">
        <w:rPr>
          <w:noProof/>
          <w:sz w:val="22"/>
          <w:szCs w:val="22"/>
        </w:rPr>
        <w:drawing>
          <wp:inline distT="0" distB="0" distL="0" distR="0" wp14:anchorId="69FA730E" wp14:editId="69FA730F">
            <wp:extent cx="5715000" cy="2038350"/>
            <wp:effectExtent l="0" t="0" r="0" b="0"/>
            <wp:docPr id="150689349" name="Picture 15068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38350"/>
                    </a:xfrm>
                    <a:prstGeom prst="rect">
                      <a:avLst/>
                    </a:prstGeom>
                  </pic:spPr>
                </pic:pic>
              </a:graphicData>
            </a:graphic>
          </wp:inline>
        </w:drawing>
      </w:r>
    </w:p>
    <w:p w14:paraId="69FA726C" w14:textId="77777777" w:rsidR="00055655" w:rsidRPr="00AF0244" w:rsidRDefault="0084722B">
      <w:pPr>
        <w:spacing w:after="240"/>
        <w:jc w:val="center"/>
        <w:rPr>
          <w:sz w:val="22"/>
          <w:szCs w:val="22"/>
        </w:rPr>
      </w:pPr>
      <w:r w:rsidRPr="00AF0244">
        <w:rPr>
          <w:i/>
          <w:iCs/>
          <w:color w:val="555555"/>
          <w:sz w:val="22"/>
          <w:szCs w:val="22"/>
        </w:rPr>
        <w:t>Figure 3. RF feature importance rankings, base model (without SPEI).</w:t>
      </w:r>
    </w:p>
    <w:p w14:paraId="69FA726D" w14:textId="77777777" w:rsidR="00055655" w:rsidRPr="00AF0244" w:rsidRDefault="0084722B">
      <w:pPr>
        <w:pStyle w:val="Heading2"/>
        <w:spacing w:before="280" w:after="120"/>
        <w:rPr>
          <w:sz w:val="28"/>
          <w:szCs w:val="28"/>
        </w:rPr>
      </w:pPr>
      <w:r w:rsidRPr="00AF0244">
        <w:rPr>
          <w:sz w:val="28"/>
          <w:szCs w:val="28"/>
        </w:rPr>
        <w:t>Feature importance (base model)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4200"/>
      </w:tblGrid>
      <w:tr w:rsidR="00055655" w:rsidRPr="00AF0244" w14:paraId="69FA7272" w14:textId="77777777">
        <w:tblPrEx>
          <w:tblCellMar>
            <w:top w:w="0" w:type="dxa"/>
            <w:bottom w:w="0" w:type="dxa"/>
          </w:tblCellMar>
        </w:tblPrEx>
        <w:tc>
          <w:tcPr>
            <w:tcW w:w="2200" w:type="dxa"/>
            <w:shd w:val="clear" w:color="auto" w:fill="D9E2D9"/>
            <w:tcMar>
              <w:top w:w="80" w:type="dxa"/>
              <w:left w:w="100" w:type="dxa"/>
              <w:bottom w:w="80" w:type="dxa"/>
              <w:right w:w="100" w:type="dxa"/>
            </w:tcMar>
            <w:vAlign w:val="center"/>
          </w:tcPr>
          <w:p w14:paraId="69FA726E" w14:textId="77777777" w:rsidR="00055655" w:rsidRPr="00AF0244" w:rsidRDefault="0084722B">
            <w:pPr>
              <w:rPr>
                <w:sz w:val="22"/>
                <w:szCs w:val="22"/>
              </w:rPr>
            </w:pPr>
            <w:r w:rsidRPr="00AF0244">
              <w:rPr>
                <w:b/>
                <w:bCs/>
                <w:sz w:val="22"/>
                <w:szCs w:val="22"/>
              </w:rPr>
              <w:t>Feature</w:t>
            </w:r>
          </w:p>
        </w:tc>
        <w:tc>
          <w:tcPr>
            <w:tcW w:w="1600" w:type="dxa"/>
            <w:shd w:val="clear" w:color="auto" w:fill="D9E2D9"/>
            <w:tcMar>
              <w:top w:w="80" w:type="dxa"/>
              <w:left w:w="100" w:type="dxa"/>
              <w:bottom w:w="80" w:type="dxa"/>
              <w:right w:w="100" w:type="dxa"/>
            </w:tcMar>
            <w:vAlign w:val="center"/>
          </w:tcPr>
          <w:p w14:paraId="69FA726F" w14:textId="77777777" w:rsidR="00055655" w:rsidRPr="00AF0244" w:rsidRDefault="0084722B">
            <w:pPr>
              <w:rPr>
                <w:sz w:val="22"/>
                <w:szCs w:val="22"/>
              </w:rPr>
            </w:pPr>
            <w:r w:rsidRPr="00AF0244">
              <w:rPr>
                <w:b/>
                <w:bCs/>
                <w:sz w:val="22"/>
                <w:szCs w:val="22"/>
              </w:rPr>
              <w:t>NH4+</w:t>
            </w:r>
          </w:p>
        </w:tc>
        <w:tc>
          <w:tcPr>
            <w:tcW w:w="1600" w:type="dxa"/>
            <w:shd w:val="clear" w:color="auto" w:fill="D9E2D9"/>
            <w:tcMar>
              <w:top w:w="80" w:type="dxa"/>
              <w:left w:w="100" w:type="dxa"/>
              <w:bottom w:w="80" w:type="dxa"/>
              <w:right w:w="100" w:type="dxa"/>
            </w:tcMar>
            <w:vAlign w:val="center"/>
          </w:tcPr>
          <w:p w14:paraId="69FA7270" w14:textId="77777777" w:rsidR="00055655" w:rsidRPr="00AF0244" w:rsidRDefault="0084722B">
            <w:pPr>
              <w:rPr>
                <w:sz w:val="22"/>
                <w:szCs w:val="22"/>
              </w:rPr>
            </w:pPr>
            <w:r w:rsidRPr="00AF0244">
              <w:rPr>
                <w:b/>
                <w:bCs/>
                <w:sz w:val="22"/>
                <w:szCs w:val="22"/>
              </w:rPr>
              <w:t>NO3-</w:t>
            </w:r>
          </w:p>
        </w:tc>
        <w:tc>
          <w:tcPr>
            <w:tcW w:w="4200" w:type="dxa"/>
            <w:shd w:val="clear" w:color="auto" w:fill="D9E2D9"/>
            <w:tcMar>
              <w:top w:w="80" w:type="dxa"/>
              <w:left w:w="100" w:type="dxa"/>
              <w:bottom w:w="80" w:type="dxa"/>
              <w:right w:w="100" w:type="dxa"/>
            </w:tcMar>
            <w:vAlign w:val="center"/>
          </w:tcPr>
          <w:p w14:paraId="69FA7271" w14:textId="77777777" w:rsidR="00055655" w:rsidRPr="00AF0244" w:rsidRDefault="0084722B">
            <w:pPr>
              <w:rPr>
                <w:sz w:val="22"/>
                <w:szCs w:val="22"/>
              </w:rPr>
            </w:pPr>
            <w:r w:rsidRPr="00AF0244">
              <w:rPr>
                <w:b/>
                <w:bCs/>
                <w:sz w:val="22"/>
                <w:szCs w:val="22"/>
              </w:rPr>
              <w:t>Interpretation</w:t>
            </w:r>
          </w:p>
        </w:tc>
      </w:tr>
      <w:tr w:rsidR="00055655" w:rsidRPr="00AF0244" w14:paraId="69FA7277" w14:textId="77777777">
        <w:tblPrEx>
          <w:tblCellMar>
            <w:top w:w="0" w:type="dxa"/>
            <w:bottom w:w="0" w:type="dxa"/>
          </w:tblCellMar>
        </w:tblPrEx>
        <w:tc>
          <w:tcPr>
            <w:tcW w:w="2200" w:type="dxa"/>
            <w:tcMar>
              <w:top w:w="80" w:type="dxa"/>
              <w:left w:w="100" w:type="dxa"/>
              <w:bottom w:w="80" w:type="dxa"/>
              <w:right w:w="100" w:type="dxa"/>
            </w:tcMar>
            <w:vAlign w:val="center"/>
          </w:tcPr>
          <w:p w14:paraId="69FA7273" w14:textId="77777777" w:rsidR="00055655" w:rsidRPr="00AF0244" w:rsidRDefault="0084722B">
            <w:pPr>
              <w:rPr>
                <w:sz w:val="22"/>
                <w:szCs w:val="22"/>
              </w:rPr>
            </w:pPr>
            <w:r w:rsidRPr="00AF0244">
              <w:rPr>
                <w:sz w:val="22"/>
                <w:szCs w:val="22"/>
              </w:rPr>
              <w:t>Year</w:t>
            </w:r>
          </w:p>
        </w:tc>
        <w:tc>
          <w:tcPr>
            <w:tcW w:w="1600" w:type="dxa"/>
            <w:tcMar>
              <w:top w:w="80" w:type="dxa"/>
              <w:left w:w="100" w:type="dxa"/>
              <w:bottom w:w="80" w:type="dxa"/>
              <w:right w:w="100" w:type="dxa"/>
            </w:tcMar>
            <w:vAlign w:val="center"/>
          </w:tcPr>
          <w:p w14:paraId="69FA7274" w14:textId="77777777" w:rsidR="00055655" w:rsidRPr="00AF0244" w:rsidRDefault="0084722B">
            <w:pPr>
              <w:rPr>
                <w:sz w:val="22"/>
                <w:szCs w:val="22"/>
              </w:rPr>
            </w:pPr>
            <w:r w:rsidRPr="00AF0244">
              <w:rPr>
                <w:sz w:val="22"/>
                <w:szCs w:val="22"/>
              </w:rPr>
              <w:t>0.376</w:t>
            </w:r>
          </w:p>
        </w:tc>
        <w:tc>
          <w:tcPr>
            <w:tcW w:w="1600" w:type="dxa"/>
            <w:tcMar>
              <w:top w:w="80" w:type="dxa"/>
              <w:left w:w="100" w:type="dxa"/>
              <w:bottom w:w="80" w:type="dxa"/>
              <w:right w:w="100" w:type="dxa"/>
            </w:tcMar>
            <w:vAlign w:val="center"/>
          </w:tcPr>
          <w:p w14:paraId="69FA7275" w14:textId="77777777" w:rsidR="00055655" w:rsidRPr="00AF0244" w:rsidRDefault="0084722B">
            <w:pPr>
              <w:rPr>
                <w:sz w:val="22"/>
                <w:szCs w:val="22"/>
              </w:rPr>
            </w:pPr>
            <w:r w:rsidRPr="00AF0244">
              <w:rPr>
                <w:sz w:val="22"/>
                <w:szCs w:val="22"/>
              </w:rPr>
              <w:t>0.245</w:t>
            </w:r>
          </w:p>
        </w:tc>
        <w:tc>
          <w:tcPr>
            <w:tcW w:w="4200" w:type="dxa"/>
            <w:tcMar>
              <w:top w:w="80" w:type="dxa"/>
              <w:left w:w="100" w:type="dxa"/>
              <w:bottom w:w="80" w:type="dxa"/>
              <w:right w:w="100" w:type="dxa"/>
            </w:tcMar>
            <w:vAlign w:val="center"/>
          </w:tcPr>
          <w:p w14:paraId="69FA7276" w14:textId="77777777" w:rsidR="00055655" w:rsidRPr="00AF0244" w:rsidRDefault="0084722B">
            <w:pPr>
              <w:rPr>
                <w:sz w:val="22"/>
                <w:szCs w:val="22"/>
              </w:rPr>
            </w:pPr>
            <w:r w:rsidRPr="00AF0244">
              <w:rPr>
                <w:sz w:val="22"/>
                <w:szCs w:val="22"/>
              </w:rPr>
              <w:t xml:space="preserve">Temporal </w:t>
            </w:r>
            <w:proofErr w:type="gramStart"/>
            <w:r w:rsidRPr="00AF0244">
              <w:rPr>
                <w:sz w:val="22"/>
                <w:szCs w:val="22"/>
              </w:rPr>
              <w:t>trend dominates</w:t>
            </w:r>
            <w:proofErr w:type="gramEnd"/>
            <w:r w:rsidRPr="00AF0244">
              <w:rPr>
                <w:sz w:val="22"/>
                <w:szCs w:val="22"/>
              </w:rPr>
              <w:t>, consistent with a five-year rising trajectory.</w:t>
            </w:r>
          </w:p>
        </w:tc>
      </w:tr>
      <w:tr w:rsidR="00055655" w:rsidRPr="00AF0244" w14:paraId="69FA727C" w14:textId="77777777">
        <w:tblPrEx>
          <w:tblCellMar>
            <w:top w:w="0" w:type="dxa"/>
            <w:bottom w:w="0" w:type="dxa"/>
          </w:tblCellMar>
        </w:tblPrEx>
        <w:tc>
          <w:tcPr>
            <w:tcW w:w="2200" w:type="dxa"/>
            <w:tcMar>
              <w:top w:w="80" w:type="dxa"/>
              <w:left w:w="100" w:type="dxa"/>
              <w:bottom w:w="80" w:type="dxa"/>
              <w:right w:w="100" w:type="dxa"/>
            </w:tcMar>
            <w:vAlign w:val="center"/>
          </w:tcPr>
          <w:p w14:paraId="69FA7278" w14:textId="77777777" w:rsidR="00055655" w:rsidRPr="00AF0244" w:rsidRDefault="0084722B">
            <w:pPr>
              <w:rPr>
                <w:sz w:val="22"/>
                <w:szCs w:val="22"/>
              </w:rPr>
            </w:pPr>
            <w:r w:rsidRPr="00AF0244">
              <w:rPr>
                <w:sz w:val="22"/>
                <w:szCs w:val="22"/>
              </w:rPr>
              <w:t>NDVI</w:t>
            </w:r>
          </w:p>
        </w:tc>
        <w:tc>
          <w:tcPr>
            <w:tcW w:w="1600" w:type="dxa"/>
            <w:tcMar>
              <w:top w:w="80" w:type="dxa"/>
              <w:left w:w="100" w:type="dxa"/>
              <w:bottom w:w="80" w:type="dxa"/>
              <w:right w:w="100" w:type="dxa"/>
            </w:tcMar>
            <w:vAlign w:val="center"/>
          </w:tcPr>
          <w:p w14:paraId="69FA7279" w14:textId="77777777" w:rsidR="00055655" w:rsidRPr="00AF0244" w:rsidRDefault="0084722B">
            <w:pPr>
              <w:rPr>
                <w:sz w:val="22"/>
                <w:szCs w:val="22"/>
              </w:rPr>
            </w:pPr>
            <w:r w:rsidRPr="00AF0244">
              <w:rPr>
                <w:sz w:val="22"/>
                <w:szCs w:val="22"/>
              </w:rPr>
              <w:t>0.210</w:t>
            </w:r>
          </w:p>
        </w:tc>
        <w:tc>
          <w:tcPr>
            <w:tcW w:w="1600" w:type="dxa"/>
            <w:tcMar>
              <w:top w:w="80" w:type="dxa"/>
              <w:left w:w="100" w:type="dxa"/>
              <w:bottom w:w="80" w:type="dxa"/>
              <w:right w:w="100" w:type="dxa"/>
            </w:tcMar>
            <w:vAlign w:val="center"/>
          </w:tcPr>
          <w:p w14:paraId="69FA727A" w14:textId="77777777" w:rsidR="00055655" w:rsidRPr="00AF0244" w:rsidRDefault="0084722B">
            <w:pPr>
              <w:rPr>
                <w:sz w:val="22"/>
                <w:szCs w:val="22"/>
              </w:rPr>
            </w:pPr>
            <w:r w:rsidRPr="00AF0244">
              <w:rPr>
                <w:sz w:val="22"/>
                <w:szCs w:val="22"/>
              </w:rPr>
              <w:t>0.195</w:t>
            </w:r>
          </w:p>
        </w:tc>
        <w:tc>
          <w:tcPr>
            <w:tcW w:w="4200" w:type="dxa"/>
            <w:tcMar>
              <w:top w:w="80" w:type="dxa"/>
              <w:left w:w="100" w:type="dxa"/>
              <w:bottom w:w="80" w:type="dxa"/>
              <w:right w:w="100" w:type="dxa"/>
            </w:tcMar>
            <w:vAlign w:val="center"/>
          </w:tcPr>
          <w:p w14:paraId="69FA727B" w14:textId="77777777" w:rsidR="00055655" w:rsidRPr="00AF0244" w:rsidRDefault="0084722B">
            <w:pPr>
              <w:rPr>
                <w:sz w:val="22"/>
                <w:szCs w:val="22"/>
              </w:rPr>
            </w:pPr>
            <w:r w:rsidRPr="00AF0244">
              <w:rPr>
                <w:sz w:val="22"/>
                <w:szCs w:val="22"/>
              </w:rPr>
              <w:t>Vegetation cover is a strong proxy for N uptake and cycling.</w:t>
            </w:r>
          </w:p>
        </w:tc>
      </w:tr>
      <w:tr w:rsidR="00055655" w:rsidRPr="00AF0244" w14:paraId="69FA7281" w14:textId="77777777">
        <w:tblPrEx>
          <w:tblCellMar>
            <w:top w:w="0" w:type="dxa"/>
            <w:bottom w:w="0" w:type="dxa"/>
          </w:tblCellMar>
        </w:tblPrEx>
        <w:tc>
          <w:tcPr>
            <w:tcW w:w="2200" w:type="dxa"/>
            <w:tcMar>
              <w:top w:w="80" w:type="dxa"/>
              <w:left w:w="100" w:type="dxa"/>
              <w:bottom w:w="80" w:type="dxa"/>
              <w:right w:w="100" w:type="dxa"/>
            </w:tcMar>
            <w:vAlign w:val="center"/>
          </w:tcPr>
          <w:p w14:paraId="69FA727D" w14:textId="77777777" w:rsidR="00055655" w:rsidRPr="00AF0244" w:rsidRDefault="0084722B">
            <w:pPr>
              <w:rPr>
                <w:sz w:val="22"/>
                <w:szCs w:val="22"/>
              </w:rPr>
            </w:pPr>
            <w:r w:rsidRPr="00AF0244">
              <w:rPr>
                <w:sz w:val="22"/>
                <w:szCs w:val="22"/>
              </w:rPr>
              <w:t>EVI</w:t>
            </w:r>
          </w:p>
        </w:tc>
        <w:tc>
          <w:tcPr>
            <w:tcW w:w="1600" w:type="dxa"/>
            <w:tcMar>
              <w:top w:w="80" w:type="dxa"/>
              <w:left w:w="100" w:type="dxa"/>
              <w:bottom w:w="80" w:type="dxa"/>
              <w:right w:w="100" w:type="dxa"/>
            </w:tcMar>
            <w:vAlign w:val="center"/>
          </w:tcPr>
          <w:p w14:paraId="69FA727E" w14:textId="77777777" w:rsidR="00055655" w:rsidRPr="00AF0244" w:rsidRDefault="0084722B">
            <w:pPr>
              <w:rPr>
                <w:sz w:val="22"/>
                <w:szCs w:val="22"/>
              </w:rPr>
            </w:pPr>
            <w:r w:rsidRPr="00AF0244">
              <w:rPr>
                <w:sz w:val="22"/>
                <w:szCs w:val="22"/>
              </w:rPr>
              <w:t>0.187</w:t>
            </w:r>
          </w:p>
        </w:tc>
        <w:tc>
          <w:tcPr>
            <w:tcW w:w="1600" w:type="dxa"/>
            <w:tcMar>
              <w:top w:w="80" w:type="dxa"/>
              <w:left w:w="100" w:type="dxa"/>
              <w:bottom w:w="80" w:type="dxa"/>
              <w:right w:w="100" w:type="dxa"/>
            </w:tcMar>
            <w:vAlign w:val="center"/>
          </w:tcPr>
          <w:p w14:paraId="69FA727F" w14:textId="77777777" w:rsidR="00055655" w:rsidRPr="00AF0244" w:rsidRDefault="0084722B">
            <w:pPr>
              <w:rPr>
                <w:sz w:val="22"/>
                <w:szCs w:val="22"/>
              </w:rPr>
            </w:pPr>
            <w:r w:rsidRPr="00AF0244">
              <w:rPr>
                <w:sz w:val="22"/>
                <w:szCs w:val="22"/>
              </w:rPr>
              <w:t>0.179</w:t>
            </w:r>
          </w:p>
        </w:tc>
        <w:tc>
          <w:tcPr>
            <w:tcW w:w="4200" w:type="dxa"/>
            <w:tcMar>
              <w:top w:w="80" w:type="dxa"/>
              <w:left w:w="100" w:type="dxa"/>
              <w:bottom w:w="80" w:type="dxa"/>
              <w:right w:w="100" w:type="dxa"/>
            </w:tcMar>
            <w:vAlign w:val="center"/>
          </w:tcPr>
          <w:p w14:paraId="69FA7280" w14:textId="77777777" w:rsidR="00055655" w:rsidRPr="00AF0244" w:rsidRDefault="0084722B">
            <w:pPr>
              <w:rPr>
                <w:sz w:val="22"/>
                <w:szCs w:val="22"/>
              </w:rPr>
            </w:pPr>
            <w:r w:rsidRPr="00AF0244">
              <w:rPr>
                <w:sz w:val="22"/>
                <w:szCs w:val="22"/>
              </w:rPr>
              <w:t>Correlated with NDVI; both capture the biomass signal.</w:t>
            </w:r>
          </w:p>
        </w:tc>
      </w:tr>
      <w:tr w:rsidR="00055655" w:rsidRPr="00AF0244" w14:paraId="69FA7286" w14:textId="77777777">
        <w:tblPrEx>
          <w:tblCellMar>
            <w:top w:w="0" w:type="dxa"/>
            <w:bottom w:w="0" w:type="dxa"/>
          </w:tblCellMar>
        </w:tblPrEx>
        <w:tc>
          <w:tcPr>
            <w:tcW w:w="2200" w:type="dxa"/>
            <w:tcMar>
              <w:top w:w="80" w:type="dxa"/>
              <w:left w:w="100" w:type="dxa"/>
              <w:bottom w:w="80" w:type="dxa"/>
              <w:right w:w="100" w:type="dxa"/>
            </w:tcMar>
            <w:vAlign w:val="center"/>
          </w:tcPr>
          <w:p w14:paraId="69FA7282" w14:textId="77777777" w:rsidR="00055655" w:rsidRPr="00AF0244" w:rsidRDefault="0084722B">
            <w:pPr>
              <w:rPr>
                <w:sz w:val="22"/>
                <w:szCs w:val="22"/>
              </w:rPr>
            </w:pPr>
            <w:r w:rsidRPr="00AF0244">
              <w:rPr>
                <w:sz w:val="22"/>
                <w:szCs w:val="22"/>
              </w:rPr>
              <w:t>SAR VV</w:t>
            </w:r>
          </w:p>
        </w:tc>
        <w:tc>
          <w:tcPr>
            <w:tcW w:w="1600" w:type="dxa"/>
            <w:tcMar>
              <w:top w:w="80" w:type="dxa"/>
              <w:left w:w="100" w:type="dxa"/>
              <w:bottom w:w="80" w:type="dxa"/>
              <w:right w:w="100" w:type="dxa"/>
            </w:tcMar>
            <w:vAlign w:val="center"/>
          </w:tcPr>
          <w:p w14:paraId="69FA7283" w14:textId="77777777" w:rsidR="00055655" w:rsidRPr="00AF0244" w:rsidRDefault="0084722B">
            <w:pPr>
              <w:rPr>
                <w:sz w:val="22"/>
                <w:szCs w:val="22"/>
              </w:rPr>
            </w:pPr>
            <w:r w:rsidRPr="00AF0244">
              <w:rPr>
                <w:sz w:val="22"/>
                <w:szCs w:val="22"/>
              </w:rPr>
              <w:t>0.160</w:t>
            </w:r>
          </w:p>
        </w:tc>
        <w:tc>
          <w:tcPr>
            <w:tcW w:w="1600" w:type="dxa"/>
            <w:tcMar>
              <w:top w:w="80" w:type="dxa"/>
              <w:left w:w="100" w:type="dxa"/>
              <w:bottom w:w="80" w:type="dxa"/>
              <w:right w:w="100" w:type="dxa"/>
            </w:tcMar>
            <w:vAlign w:val="center"/>
          </w:tcPr>
          <w:p w14:paraId="69FA7284" w14:textId="77777777" w:rsidR="00055655" w:rsidRPr="00AF0244" w:rsidRDefault="0084722B">
            <w:pPr>
              <w:rPr>
                <w:sz w:val="22"/>
                <w:szCs w:val="22"/>
              </w:rPr>
            </w:pPr>
            <w:r w:rsidRPr="00AF0244">
              <w:rPr>
                <w:sz w:val="22"/>
                <w:szCs w:val="22"/>
              </w:rPr>
              <w:t>0.192</w:t>
            </w:r>
          </w:p>
        </w:tc>
        <w:tc>
          <w:tcPr>
            <w:tcW w:w="4200" w:type="dxa"/>
            <w:tcMar>
              <w:top w:w="80" w:type="dxa"/>
              <w:left w:w="100" w:type="dxa"/>
              <w:bottom w:w="80" w:type="dxa"/>
              <w:right w:w="100" w:type="dxa"/>
            </w:tcMar>
            <w:vAlign w:val="center"/>
          </w:tcPr>
          <w:p w14:paraId="69FA7285" w14:textId="77777777" w:rsidR="00055655" w:rsidRPr="00AF0244" w:rsidRDefault="0084722B">
            <w:pPr>
              <w:rPr>
                <w:sz w:val="22"/>
                <w:szCs w:val="22"/>
              </w:rPr>
            </w:pPr>
            <w:r w:rsidRPr="00AF0244">
              <w:rPr>
                <w:sz w:val="22"/>
                <w:szCs w:val="22"/>
              </w:rPr>
              <w:t>Reflects soil moisture, which is linked to nitrification rate.</w:t>
            </w:r>
          </w:p>
        </w:tc>
      </w:tr>
      <w:tr w:rsidR="00055655" w:rsidRPr="00AF0244" w14:paraId="69FA728B" w14:textId="77777777">
        <w:tblPrEx>
          <w:tblCellMar>
            <w:top w:w="0" w:type="dxa"/>
            <w:bottom w:w="0" w:type="dxa"/>
          </w:tblCellMar>
        </w:tblPrEx>
        <w:tc>
          <w:tcPr>
            <w:tcW w:w="2200" w:type="dxa"/>
            <w:tcMar>
              <w:top w:w="80" w:type="dxa"/>
              <w:left w:w="100" w:type="dxa"/>
              <w:bottom w:w="80" w:type="dxa"/>
              <w:right w:w="100" w:type="dxa"/>
            </w:tcMar>
            <w:vAlign w:val="center"/>
          </w:tcPr>
          <w:p w14:paraId="69FA7287" w14:textId="77777777" w:rsidR="00055655" w:rsidRPr="00AF0244" w:rsidRDefault="0084722B">
            <w:pPr>
              <w:rPr>
                <w:sz w:val="22"/>
                <w:szCs w:val="22"/>
              </w:rPr>
            </w:pPr>
            <w:r w:rsidRPr="00AF0244">
              <w:rPr>
                <w:sz w:val="22"/>
                <w:szCs w:val="22"/>
              </w:rPr>
              <w:t>Treatment</w:t>
            </w:r>
          </w:p>
        </w:tc>
        <w:tc>
          <w:tcPr>
            <w:tcW w:w="1600" w:type="dxa"/>
            <w:tcMar>
              <w:top w:w="80" w:type="dxa"/>
              <w:left w:w="100" w:type="dxa"/>
              <w:bottom w:w="80" w:type="dxa"/>
              <w:right w:w="100" w:type="dxa"/>
            </w:tcMar>
            <w:vAlign w:val="center"/>
          </w:tcPr>
          <w:p w14:paraId="69FA7288" w14:textId="77777777" w:rsidR="00055655" w:rsidRPr="00AF0244" w:rsidRDefault="0084722B">
            <w:pPr>
              <w:rPr>
                <w:sz w:val="22"/>
                <w:szCs w:val="22"/>
              </w:rPr>
            </w:pPr>
            <w:r w:rsidRPr="00AF0244">
              <w:rPr>
                <w:sz w:val="22"/>
                <w:szCs w:val="22"/>
              </w:rPr>
              <w:t>0.036</w:t>
            </w:r>
          </w:p>
        </w:tc>
        <w:tc>
          <w:tcPr>
            <w:tcW w:w="1600" w:type="dxa"/>
            <w:tcMar>
              <w:top w:w="80" w:type="dxa"/>
              <w:left w:w="100" w:type="dxa"/>
              <w:bottom w:w="80" w:type="dxa"/>
              <w:right w:w="100" w:type="dxa"/>
            </w:tcMar>
            <w:vAlign w:val="center"/>
          </w:tcPr>
          <w:p w14:paraId="69FA7289" w14:textId="77777777" w:rsidR="00055655" w:rsidRPr="00AF0244" w:rsidRDefault="0084722B">
            <w:pPr>
              <w:rPr>
                <w:sz w:val="22"/>
                <w:szCs w:val="22"/>
              </w:rPr>
            </w:pPr>
            <w:r w:rsidRPr="00AF0244">
              <w:rPr>
                <w:sz w:val="22"/>
                <w:szCs w:val="22"/>
              </w:rPr>
              <w:t>0.057</w:t>
            </w:r>
          </w:p>
        </w:tc>
        <w:tc>
          <w:tcPr>
            <w:tcW w:w="4200" w:type="dxa"/>
            <w:tcMar>
              <w:top w:w="80" w:type="dxa"/>
              <w:left w:w="100" w:type="dxa"/>
              <w:bottom w:w="80" w:type="dxa"/>
              <w:right w:w="100" w:type="dxa"/>
            </w:tcMar>
            <w:vAlign w:val="center"/>
          </w:tcPr>
          <w:p w14:paraId="69FA728A" w14:textId="77777777" w:rsidR="00055655" w:rsidRPr="00AF0244" w:rsidRDefault="0084722B">
            <w:pPr>
              <w:rPr>
                <w:sz w:val="22"/>
                <w:szCs w:val="22"/>
              </w:rPr>
            </w:pPr>
            <w:r w:rsidRPr="00AF0244">
              <w:rPr>
                <w:sz w:val="22"/>
                <w:szCs w:val="22"/>
              </w:rPr>
              <w:t>Low importance; treatments have not diverged substantially over five years.</w:t>
            </w:r>
          </w:p>
        </w:tc>
      </w:tr>
      <w:tr w:rsidR="00055655" w:rsidRPr="00AF0244" w14:paraId="69FA7290" w14:textId="77777777">
        <w:tblPrEx>
          <w:tblCellMar>
            <w:top w:w="0" w:type="dxa"/>
            <w:bottom w:w="0" w:type="dxa"/>
          </w:tblCellMar>
        </w:tblPrEx>
        <w:tc>
          <w:tcPr>
            <w:tcW w:w="2200" w:type="dxa"/>
            <w:tcMar>
              <w:top w:w="80" w:type="dxa"/>
              <w:left w:w="100" w:type="dxa"/>
              <w:bottom w:w="80" w:type="dxa"/>
              <w:right w:w="100" w:type="dxa"/>
            </w:tcMar>
            <w:vAlign w:val="center"/>
          </w:tcPr>
          <w:p w14:paraId="69FA728C" w14:textId="77777777" w:rsidR="00055655" w:rsidRPr="00AF0244" w:rsidRDefault="0084722B">
            <w:pPr>
              <w:rPr>
                <w:sz w:val="22"/>
                <w:szCs w:val="22"/>
              </w:rPr>
            </w:pPr>
            <w:r w:rsidRPr="00AF0244">
              <w:rPr>
                <w:sz w:val="22"/>
                <w:szCs w:val="22"/>
              </w:rPr>
              <w:t>Depth</w:t>
            </w:r>
          </w:p>
        </w:tc>
        <w:tc>
          <w:tcPr>
            <w:tcW w:w="1600" w:type="dxa"/>
            <w:tcMar>
              <w:top w:w="80" w:type="dxa"/>
              <w:left w:w="100" w:type="dxa"/>
              <w:bottom w:w="80" w:type="dxa"/>
              <w:right w:w="100" w:type="dxa"/>
            </w:tcMar>
            <w:vAlign w:val="center"/>
          </w:tcPr>
          <w:p w14:paraId="69FA728D" w14:textId="77777777" w:rsidR="00055655" w:rsidRPr="00AF0244" w:rsidRDefault="0084722B">
            <w:pPr>
              <w:rPr>
                <w:sz w:val="22"/>
                <w:szCs w:val="22"/>
              </w:rPr>
            </w:pPr>
            <w:r w:rsidRPr="00AF0244">
              <w:rPr>
                <w:sz w:val="22"/>
                <w:szCs w:val="22"/>
              </w:rPr>
              <w:t>0.023</w:t>
            </w:r>
          </w:p>
        </w:tc>
        <w:tc>
          <w:tcPr>
            <w:tcW w:w="1600" w:type="dxa"/>
            <w:tcMar>
              <w:top w:w="80" w:type="dxa"/>
              <w:left w:w="100" w:type="dxa"/>
              <w:bottom w:w="80" w:type="dxa"/>
              <w:right w:w="100" w:type="dxa"/>
            </w:tcMar>
            <w:vAlign w:val="center"/>
          </w:tcPr>
          <w:p w14:paraId="69FA728E" w14:textId="77777777" w:rsidR="00055655" w:rsidRPr="00AF0244" w:rsidRDefault="0084722B">
            <w:pPr>
              <w:rPr>
                <w:sz w:val="22"/>
                <w:szCs w:val="22"/>
              </w:rPr>
            </w:pPr>
            <w:r w:rsidRPr="00AF0244">
              <w:rPr>
                <w:sz w:val="22"/>
                <w:szCs w:val="22"/>
              </w:rPr>
              <w:t>0.114</w:t>
            </w:r>
          </w:p>
        </w:tc>
        <w:tc>
          <w:tcPr>
            <w:tcW w:w="4200" w:type="dxa"/>
            <w:tcMar>
              <w:top w:w="80" w:type="dxa"/>
              <w:left w:w="100" w:type="dxa"/>
              <w:bottom w:w="80" w:type="dxa"/>
              <w:right w:w="100" w:type="dxa"/>
            </w:tcMar>
            <w:vAlign w:val="center"/>
          </w:tcPr>
          <w:p w14:paraId="69FA728F" w14:textId="77777777" w:rsidR="00055655" w:rsidRPr="00AF0244" w:rsidRDefault="0084722B">
            <w:pPr>
              <w:rPr>
                <w:sz w:val="22"/>
                <w:szCs w:val="22"/>
              </w:rPr>
            </w:pPr>
            <w:r w:rsidRPr="00AF0244">
              <w:rPr>
                <w:sz w:val="22"/>
                <w:szCs w:val="22"/>
              </w:rPr>
              <w:t>More important for NO3-, consistent with downward leaching.</w:t>
            </w:r>
          </w:p>
        </w:tc>
      </w:tr>
      <w:tr w:rsidR="00055655" w:rsidRPr="00AF0244" w14:paraId="69FA7295" w14:textId="77777777">
        <w:tblPrEx>
          <w:tblCellMar>
            <w:top w:w="0" w:type="dxa"/>
            <w:bottom w:w="0" w:type="dxa"/>
          </w:tblCellMar>
        </w:tblPrEx>
        <w:tc>
          <w:tcPr>
            <w:tcW w:w="2200" w:type="dxa"/>
            <w:tcMar>
              <w:top w:w="80" w:type="dxa"/>
              <w:left w:w="100" w:type="dxa"/>
              <w:bottom w:w="80" w:type="dxa"/>
              <w:right w:w="100" w:type="dxa"/>
            </w:tcMar>
            <w:vAlign w:val="center"/>
          </w:tcPr>
          <w:p w14:paraId="69FA7291" w14:textId="77777777" w:rsidR="00055655" w:rsidRPr="00AF0244" w:rsidRDefault="0084722B">
            <w:pPr>
              <w:rPr>
                <w:sz w:val="22"/>
                <w:szCs w:val="22"/>
              </w:rPr>
            </w:pPr>
            <w:r w:rsidRPr="00AF0244">
              <w:rPr>
                <w:sz w:val="22"/>
                <w:szCs w:val="22"/>
              </w:rPr>
              <w:t>Grazing</w:t>
            </w:r>
          </w:p>
        </w:tc>
        <w:tc>
          <w:tcPr>
            <w:tcW w:w="1600" w:type="dxa"/>
            <w:tcMar>
              <w:top w:w="80" w:type="dxa"/>
              <w:left w:w="100" w:type="dxa"/>
              <w:bottom w:w="80" w:type="dxa"/>
              <w:right w:w="100" w:type="dxa"/>
            </w:tcMar>
            <w:vAlign w:val="center"/>
          </w:tcPr>
          <w:p w14:paraId="69FA7292" w14:textId="77777777" w:rsidR="00055655" w:rsidRPr="00AF0244" w:rsidRDefault="0084722B">
            <w:pPr>
              <w:rPr>
                <w:sz w:val="22"/>
                <w:szCs w:val="22"/>
              </w:rPr>
            </w:pPr>
            <w:r w:rsidRPr="00AF0244">
              <w:rPr>
                <w:sz w:val="22"/>
                <w:szCs w:val="22"/>
              </w:rPr>
              <w:t>0.009</w:t>
            </w:r>
          </w:p>
        </w:tc>
        <w:tc>
          <w:tcPr>
            <w:tcW w:w="1600" w:type="dxa"/>
            <w:tcMar>
              <w:top w:w="80" w:type="dxa"/>
              <w:left w:w="100" w:type="dxa"/>
              <w:bottom w:w="80" w:type="dxa"/>
              <w:right w:w="100" w:type="dxa"/>
            </w:tcMar>
            <w:vAlign w:val="center"/>
          </w:tcPr>
          <w:p w14:paraId="69FA7293" w14:textId="77777777" w:rsidR="00055655" w:rsidRPr="00AF0244" w:rsidRDefault="0084722B">
            <w:pPr>
              <w:rPr>
                <w:sz w:val="22"/>
                <w:szCs w:val="22"/>
              </w:rPr>
            </w:pPr>
            <w:r w:rsidRPr="00AF0244">
              <w:rPr>
                <w:sz w:val="22"/>
                <w:szCs w:val="22"/>
              </w:rPr>
              <w:t>0.017</w:t>
            </w:r>
          </w:p>
        </w:tc>
        <w:tc>
          <w:tcPr>
            <w:tcW w:w="4200" w:type="dxa"/>
            <w:tcMar>
              <w:top w:w="80" w:type="dxa"/>
              <w:left w:w="100" w:type="dxa"/>
              <w:bottom w:w="80" w:type="dxa"/>
              <w:right w:w="100" w:type="dxa"/>
            </w:tcMar>
            <w:vAlign w:val="center"/>
          </w:tcPr>
          <w:p w14:paraId="69FA7294" w14:textId="77777777" w:rsidR="00055655" w:rsidRPr="00AF0244" w:rsidRDefault="0084722B">
            <w:pPr>
              <w:rPr>
                <w:sz w:val="22"/>
                <w:szCs w:val="22"/>
              </w:rPr>
            </w:pPr>
            <w:r w:rsidRPr="00AF0244">
              <w:rPr>
                <w:sz w:val="22"/>
                <w:szCs w:val="22"/>
              </w:rPr>
              <w:t>Lowest importance; grazing is not a strong predictor of bulk N pool size.</w:t>
            </w:r>
          </w:p>
        </w:tc>
      </w:tr>
    </w:tbl>
    <w:p w14:paraId="69FA7296" w14:textId="77777777" w:rsidR="00055655" w:rsidRPr="00AF0244" w:rsidRDefault="00055655">
      <w:pPr>
        <w:spacing w:after="160"/>
        <w:rPr>
          <w:sz w:val="22"/>
          <w:szCs w:val="22"/>
        </w:rPr>
      </w:pPr>
    </w:p>
    <w:p w14:paraId="69FA7297" w14:textId="77777777" w:rsidR="00055655" w:rsidRPr="00AF0244" w:rsidRDefault="0084722B">
      <w:pPr>
        <w:pStyle w:val="Heading2"/>
        <w:spacing w:before="280" w:after="120"/>
        <w:rPr>
          <w:sz w:val="28"/>
          <w:szCs w:val="28"/>
        </w:rPr>
      </w:pPr>
      <w:r w:rsidRPr="00AF0244">
        <w:rPr>
          <w:sz w:val="28"/>
          <w:szCs w:val="28"/>
        </w:rPr>
        <w:t>Cross-validation results</w:t>
      </w:r>
    </w:p>
    <w:p w14:paraId="69FA7298" w14:textId="77777777" w:rsidR="00055655" w:rsidRPr="00AF0244" w:rsidRDefault="0084722B">
      <w:pPr>
        <w:spacing w:after="160"/>
        <w:rPr>
          <w:sz w:val="22"/>
          <w:szCs w:val="22"/>
        </w:rPr>
      </w:pPr>
      <w:r w:rsidRPr="00AF0244">
        <w:rPr>
          <w:sz w:val="22"/>
          <w:szCs w:val="22"/>
        </w:rPr>
        <w:t>Five-fold cross-validated R²: −0.198 (NH4+) and −0.199 (NO3-), indicating that RF predictions underperform relative to predicting the mean. This is consistent with the limited number of years (5) relative to the number of folds, leaving approximately 3–4 training years per fold.</w:t>
      </w:r>
    </w:p>
    <w:p w14:paraId="69FA7299" w14:textId="77777777" w:rsidR="00055655" w:rsidRPr="00AF0244" w:rsidRDefault="0084722B">
      <w:pPr>
        <w:spacing w:after="160"/>
        <w:rPr>
          <w:sz w:val="22"/>
          <w:szCs w:val="22"/>
        </w:rPr>
      </w:pPr>
      <w:r w:rsidRPr="00AF0244">
        <w:rPr>
          <w:sz w:val="22"/>
          <w:szCs w:val="22"/>
        </w:rPr>
        <w:t>Leave-one-year-out cross-validation was used as an alternative:</w:t>
      </w:r>
    </w:p>
    <w:p w14:paraId="69FA729A" w14:textId="77777777" w:rsidR="00055655" w:rsidRPr="00AF0244" w:rsidRDefault="0084722B">
      <w:pPr>
        <w:spacing w:before="120" w:after="60"/>
        <w:rPr>
          <w:sz w:val="22"/>
          <w:szCs w:val="22"/>
        </w:rPr>
      </w:pPr>
      <w:r w:rsidRPr="00AF0244">
        <w:rPr>
          <w:b/>
          <w:bCs/>
          <w:sz w:val="22"/>
          <w:szCs w:val="22"/>
        </w:rPr>
        <w:t>NH4+ RF results</w:t>
      </w:r>
    </w:p>
    <w:p w14:paraId="69FA729B" w14:textId="77777777" w:rsidR="00055655" w:rsidRPr="00AF0244" w:rsidRDefault="0084722B">
      <w:pPr>
        <w:spacing w:after="160"/>
        <w:rPr>
          <w:sz w:val="22"/>
          <w:szCs w:val="22"/>
        </w:rPr>
      </w:pPr>
      <w:r w:rsidRPr="00AF0244">
        <w:rPr>
          <w:sz w:val="22"/>
          <w:szCs w:val="22"/>
        </w:rPr>
        <w:t>Cross-validated R² (5-fold): −2.592</w:t>
      </w:r>
    </w:p>
    <w:p w14:paraId="69FA729C" w14:textId="77777777" w:rsidR="00055655" w:rsidRPr="00AF0244" w:rsidRDefault="0084722B">
      <w:pPr>
        <w:spacing w:after="160"/>
        <w:rPr>
          <w:sz w:val="22"/>
          <w:szCs w:val="22"/>
        </w:rPr>
      </w:pPr>
      <w:r w:rsidRPr="00AF0244">
        <w:rPr>
          <w:sz w:val="22"/>
          <w:szCs w:val="22"/>
        </w:rPr>
        <w:t xml:space="preserve">Feature importances: year 0.3765, </w:t>
      </w:r>
      <w:proofErr w:type="spellStart"/>
      <w:r w:rsidRPr="00AF0244">
        <w:rPr>
          <w:sz w:val="22"/>
          <w:szCs w:val="22"/>
        </w:rPr>
        <w:t>ndvi</w:t>
      </w:r>
      <w:proofErr w:type="spellEnd"/>
      <w:r w:rsidRPr="00AF0244">
        <w:rPr>
          <w:sz w:val="22"/>
          <w:szCs w:val="22"/>
        </w:rPr>
        <w:t xml:space="preserve"> 0.2097, </w:t>
      </w:r>
      <w:proofErr w:type="spellStart"/>
      <w:r w:rsidRPr="00AF0244">
        <w:rPr>
          <w:sz w:val="22"/>
          <w:szCs w:val="22"/>
        </w:rPr>
        <w:t>evi</w:t>
      </w:r>
      <w:proofErr w:type="spellEnd"/>
      <w:r w:rsidRPr="00AF0244">
        <w:rPr>
          <w:sz w:val="22"/>
          <w:szCs w:val="22"/>
        </w:rPr>
        <w:t xml:space="preserve"> 0.1869, </w:t>
      </w:r>
      <w:proofErr w:type="spellStart"/>
      <w:r w:rsidRPr="00AF0244">
        <w:rPr>
          <w:sz w:val="22"/>
          <w:szCs w:val="22"/>
        </w:rPr>
        <w:t>sar_vv</w:t>
      </w:r>
      <w:proofErr w:type="spellEnd"/>
      <w:r w:rsidRPr="00AF0244">
        <w:rPr>
          <w:sz w:val="22"/>
          <w:szCs w:val="22"/>
        </w:rPr>
        <w:t xml:space="preserve"> 0.1604, </w:t>
      </w:r>
      <w:proofErr w:type="spellStart"/>
      <w:r w:rsidRPr="00AF0244">
        <w:rPr>
          <w:sz w:val="22"/>
          <w:szCs w:val="22"/>
        </w:rPr>
        <w:t>treatment_code</w:t>
      </w:r>
      <w:proofErr w:type="spellEnd"/>
      <w:r w:rsidRPr="00AF0244">
        <w:rPr>
          <w:sz w:val="22"/>
          <w:szCs w:val="22"/>
        </w:rPr>
        <w:t xml:space="preserve"> 0.0355, </w:t>
      </w:r>
      <w:proofErr w:type="spellStart"/>
      <w:r w:rsidRPr="00AF0244">
        <w:rPr>
          <w:sz w:val="22"/>
          <w:szCs w:val="22"/>
        </w:rPr>
        <w:t>depth_numeric</w:t>
      </w:r>
      <w:proofErr w:type="spellEnd"/>
      <w:r w:rsidRPr="00AF0244">
        <w:rPr>
          <w:sz w:val="22"/>
          <w:szCs w:val="22"/>
        </w:rPr>
        <w:t xml:space="preserve"> 0.0225, </w:t>
      </w:r>
      <w:proofErr w:type="spellStart"/>
      <w:r w:rsidRPr="00AF0244">
        <w:rPr>
          <w:sz w:val="22"/>
          <w:szCs w:val="22"/>
        </w:rPr>
        <w:t>grazing_binary</w:t>
      </w:r>
      <w:proofErr w:type="spellEnd"/>
      <w:r w:rsidRPr="00AF0244">
        <w:rPr>
          <w:sz w:val="22"/>
          <w:szCs w:val="22"/>
        </w:rPr>
        <w:t xml:space="preserve"> 0.0085</w:t>
      </w:r>
    </w:p>
    <w:p w14:paraId="69FA729D" w14:textId="77777777" w:rsidR="00055655" w:rsidRPr="00AF0244" w:rsidRDefault="0084722B">
      <w:pPr>
        <w:spacing w:after="160"/>
        <w:rPr>
          <w:sz w:val="22"/>
          <w:szCs w:val="22"/>
        </w:rPr>
      </w:pPr>
      <w:r w:rsidRPr="00AF0244">
        <w:rPr>
          <w:sz w:val="22"/>
          <w:szCs w:val="22"/>
        </w:rPr>
        <w:lastRenderedPageBreak/>
        <w:t>Leave-one-year-out R² scores: −1.377, −8.379, −0.010, −1.482, −1.711</w:t>
      </w:r>
    </w:p>
    <w:p w14:paraId="69FA729E" w14:textId="77777777" w:rsidR="00055655" w:rsidRPr="00AF0244" w:rsidRDefault="0084722B">
      <w:pPr>
        <w:spacing w:after="240"/>
        <w:rPr>
          <w:sz w:val="22"/>
          <w:szCs w:val="22"/>
        </w:rPr>
      </w:pPr>
      <w:r w:rsidRPr="00AF0244">
        <w:rPr>
          <w:sz w:val="22"/>
          <w:szCs w:val="22"/>
        </w:rPr>
        <w:t>Mean leave-one-year-out R²: −2.592</w:t>
      </w:r>
    </w:p>
    <w:p w14:paraId="69FA729F" w14:textId="77777777" w:rsidR="00055655" w:rsidRPr="00AF0244" w:rsidRDefault="0084722B">
      <w:pPr>
        <w:spacing w:before="120" w:after="60"/>
        <w:rPr>
          <w:sz w:val="22"/>
          <w:szCs w:val="22"/>
        </w:rPr>
      </w:pPr>
      <w:r w:rsidRPr="00AF0244">
        <w:rPr>
          <w:b/>
          <w:bCs/>
          <w:sz w:val="22"/>
          <w:szCs w:val="22"/>
        </w:rPr>
        <w:t>NO3- RF results</w:t>
      </w:r>
    </w:p>
    <w:p w14:paraId="69FA72A0" w14:textId="77777777" w:rsidR="00055655" w:rsidRPr="00AF0244" w:rsidRDefault="0084722B">
      <w:pPr>
        <w:spacing w:after="160"/>
        <w:rPr>
          <w:sz w:val="22"/>
          <w:szCs w:val="22"/>
        </w:rPr>
      </w:pPr>
      <w:r w:rsidRPr="00AF0244">
        <w:rPr>
          <w:sz w:val="22"/>
          <w:szCs w:val="22"/>
        </w:rPr>
        <w:t>Cross-validated R² (5-fold): −0.868</w:t>
      </w:r>
    </w:p>
    <w:p w14:paraId="69FA72A1" w14:textId="77777777" w:rsidR="00055655" w:rsidRPr="00AF0244" w:rsidRDefault="0084722B">
      <w:pPr>
        <w:spacing w:after="160"/>
        <w:rPr>
          <w:sz w:val="22"/>
          <w:szCs w:val="22"/>
        </w:rPr>
      </w:pPr>
      <w:r w:rsidRPr="00AF0244">
        <w:rPr>
          <w:sz w:val="22"/>
          <w:szCs w:val="22"/>
        </w:rPr>
        <w:t xml:space="preserve">Feature importances: year 0.2451, </w:t>
      </w:r>
      <w:proofErr w:type="spellStart"/>
      <w:r w:rsidRPr="00AF0244">
        <w:rPr>
          <w:sz w:val="22"/>
          <w:szCs w:val="22"/>
        </w:rPr>
        <w:t>ndvi</w:t>
      </w:r>
      <w:proofErr w:type="spellEnd"/>
      <w:r w:rsidRPr="00AF0244">
        <w:rPr>
          <w:sz w:val="22"/>
          <w:szCs w:val="22"/>
        </w:rPr>
        <w:t xml:space="preserve"> 0.1951, </w:t>
      </w:r>
      <w:proofErr w:type="spellStart"/>
      <w:r w:rsidRPr="00AF0244">
        <w:rPr>
          <w:sz w:val="22"/>
          <w:szCs w:val="22"/>
        </w:rPr>
        <w:t>sar_vv</w:t>
      </w:r>
      <w:proofErr w:type="spellEnd"/>
      <w:r w:rsidRPr="00AF0244">
        <w:rPr>
          <w:sz w:val="22"/>
          <w:szCs w:val="22"/>
        </w:rPr>
        <w:t xml:space="preserve"> 0.1922, </w:t>
      </w:r>
      <w:proofErr w:type="spellStart"/>
      <w:r w:rsidRPr="00AF0244">
        <w:rPr>
          <w:sz w:val="22"/>
          <w:szCs w:val="22"/>
        </w:rPr>
        <w:t>evi</w:t>
      </w:r>
      <w:proofErr w:type="spellEnd"/>
      <w:r w:rsidRPr="00AF0244">
        <w:rPr>
          <w:sz w:val="22"/>
          <w:szCs w:val="22"/>
        </w:rPr>
        <w:t xml:space="preserve"> 0.1793, </w:t>
      </w:r>
      <w:proofErr w:type="spellStart"/>
      <w:r w:rsidRPr="00AF0244">
        <w:rPr>
          <w:sz w:val="22"/>
          <w:szCs w:val="22"/>
        </w:rPr>
        <w:t>depth_numeric</w:t>
      </w:r>
      <w:proofErr w:type="spellEnd"/>
      <w:r w:rsidRPr="00AF0244">
        <w:rPr>
          <w:sz w:val="22"/>
          <w:szCs w:val="22"/>
        </w:rPr>
        <w:t xml:space="preserve"> 0.1145, </w:t>
      </w:r>
      <w:proofErr w:type="spellStart"/>
      <w:r w:rsidRPr="00AF0244">
        <w:rPr>
          <w:sz w:val="22"/>
          <w:szCs w:val="22"/>
        </w:rPr>
        <w:t>treatment_code</w:t>
      </w:r>
      <w:proofErr w:type="spellEnd"/>
      <w:r w:rsidRPr="00AF0244">
        <w:rPr>
          <w:sz w:val="22"/>
          <w:szCs w:val="22"/>
        </w:rPr>
        <w:t xml:space="preserve"> 0.0570, </w:t>
      </w:r>
      <w:proofErr w:type="spellStart"/>
      <w:r w:rsidRPr="00AF0244">
        <w:rPr>
          <w:sz w:val="22"/>
          <w:szCs w:val="22"/>
        </w:rPr>
        <w:t>grazing_binary</w:t>
      </w:r>
      <w:proofErr w:type="spellEnd"/>
      <w:r w:rsidRPr="00AF0244">
        <w:rPr>
          <w:sz w:val="22"/>
          <w:szCs w:val="22"/>
        </w:rPr>
        <w:t xml:space="preserve"> 0.0168</w:t>
      </w:r>
    </w:p>
    <w:p w14:paraId="69FA72A2" w14:textId="77777777" w:rsidR="00055655" w:rsidRPr="00AF0244" w:rsidRDefault="0084722B">
      <w:pPr>
        <w:spacing w:after="160"/>
        <w:rPr>
          <w:sz w:val="22"/>
          <w:szCs w:val="22"/>
        </w:rPr>
      </w:pPr>
      <w:r w:rsidRPr="00AF0244">
        <w:rPr>
          <w:sz w:val="22"/>
          <w:szCs w:val="22"/>
        </w:rPr>
        <w:t>Leave-one-year-out R² scores: −0.702, −0.130, −2.031, −1.092, −0.385</w:t>
      </w:r>
    </w:p>
    <w:p w14:paraId="69FA72A3" w14:textId="77777777" w:rsidR="00055655" w:rsidRPr="00AF0244" w:rsidRDefault="0084722B">
      <w:pPr>
        <w:spacing w:after="240"/>
        <w:rPr>
          <w:sz w:val="22"/>
          <w:szCs w:val="22"/>
        </w:rPr>
      </w:pPr>
      <w:r w:rsidRPr="00AF0244">
        <w:rPr>
          <w:sz w:val="22"/>
          <w:szCs w:val="22"/>
        </w:rPr>
        <w:t>Mean leave-one-year-out R²: −0.868</w:t>
      </w:r>
    </w:p>
    <w:p w14:paraId="69FA72A4" w14:textId="77777777" w:rsidR="00055655" w:rsidRPr="00AF0244" w:rsidRDefault="0084722B">
      <w:pPr>
        <w:pStyle w:val="Heading2"/>
        <w:spacing w:before="280" w:after="120"/>
        <w:rPr>
          <w:sz w:val="28"/>
          <w:szCs w:val="28"/>
        </w:rPr>
      </w:pPr>
      <w:r w:rsidRPr="00AF0244">
        <w:rPr>
          <w:sz w:val="28"/>
          <w:szCs w:val="28"/>
        </w:rPr>
        <w:t>Interpretation of negative R²</w:t>
      </w:r>
    </w:p>
    <w:p w14:paraId="69FA72A5" w14:textId="77777777" w:rsidR="00055655" w:rsidRPr="00AF0244" w:rsidRDefault="0084722B">
      <w:pPr>
        <w:spacing w:after="160"/>
        <w:rPr>
          <w:sz w:val="22"/>
          <w:szCs w:val="22"/>
        </w:rPr>
      </w:pPr>
      <w:r w:rsidRPr="00AF0244">
        <w:rPr>
          <w:sz w:val="22"/>
          <w:szCs w:val="22"/>
        </w:rPr>
        <w:t xml:space="preserve">All leave-one-year-out folds return negative R², including the best-performing fold (−0.01, NH4+, likely 2021). This indicates that RF does not predict nitrogen values in an unseen year more accurately than the training-set </w:t>
      </w:r>
      <w:proofErr w:type="gramStart"/>
      <w:r w:rsidRPr="00AF0244">
        <w:rPr>
          <w:sz w:val="22"/>
          <w:szCs w:val="22"/>
        </w:rPr>
        <w:t>mean</w:t>
      </w:r>
      <w:proofErr w:type="gramEnd"/>
      <w:r w:rsidRPr="00AF0244">
        <w:rPr>
          <w:sz w:val="22"/>
          <w:szCs w:val="22"/>
        </w:rPr>
        <w:t>. The lowest-performing fold (−8.379) corresponds to the 2021 drought year: when 2021 is held out as the test set, no comparable anomaly is present in the training years.</w:t>
      </w:r>
    </w:p>
    <w:p w14:paraId="69FA72A6" w14:textId="77777777" w:rsidR="00055655" w:rsidRPr="00AF0244" w:rsidRDefault="0084722B">
      <w:pPr>
        <w:spacing w:after="160"/>
        <w:rPr>
          <w:sz w:val="22"/>
          <w:szCs w:val="22"/>
        </w:rPr>
      </w:pPr>
      <w:r w:rsidRPr="00AF0244">
        <w:rPr>
          <w:sz w:val="22"/>
          <w:szCs w:val="22"/>
        </w:rPr>
        <w:t xml:space="preserve">This outcome reflects a structural limitation of the dataset — five annual time points — rather than an implementation error. RF cross-validation is expected to perform poorly with </w:t>
      </w:r>
      <w:proofErr w:type="gramStart"/>
      <w:r w:rsidRPr="00AF0244">
        <w:rPr>
          <w:sz w:val="22"/>
          <w:szCs w:val="22"/>
        </w:rPr>
        <w:t>this</w:t>
      </w:r>
      <w:proofErr w:type="gramEnd"/>
      <w:r w:rsidRPr="00AF0244">
        <w:rPr>
          <w:sz w:val="22"/>
          <w:szCs w:val="22"/>
        </w:rPr>
        <w:t xml:space="preserve"> few training examples per fold regardless of model configuration.</w:t>
      </w:r>
    </w:p>
    <w:p w14:paraId="69FA72A7" w14:textId="77777777" w:rsidR="00055655" w:rsidRPr="00AF0244" w:rsidRDefault="0084722B">
      <w:pPr>
        <w:pStyle w:val="Heading2"/>
        <w:spacing w:before="280" w:after="120"/>
        <w:rPr>
          <w:sz w:val="28"/>
          <w:szCs w:val="28"/>
        </w:rPr>
      </w:pPr>
      <w:r w:rsidRPr="00AF0244">
        <w:rPr>
          <w:sz w:val="28"/>
          <w:szCs w:val="28"/>
        </w:rPr>
        <w:t>Role of RF in the pipeline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800"/>
      </w:tblGrid>
      <w:tr w:rsidR="00055655" w:rsidRPr="00AF0244" w14:paraId="69FA72AB" w14:textId="77777777">
        <w:tblPrEx>
          <w:tblCellMar>
            <w:top w:w="0" w:type="dxa"/>
            <w:bottom w:w="0" w:type="dxa"/>
          </w:tblCellMar>
        </w:tblPrEx>
        <w:tc>
          <w:tcPr>
            <w:tcW w:w="3200" w:type="dxa"/>
            <w:shd w:val="clear" w:color="auto" w:fill="D9E2D9"/>
            <w:tcMar>
              <w:top w:w="80" w:type="dxa"/>
              <w:left w:w="100" w:type="dxa"/>
              <w:bottom w:w="80" w:type="dxa"/>
              <w:right w:w="100" w:type="dxa"/>
            </w:tcMar>
            <w:vAlign w:val="center"/>
          </w:tcPr>
          <w:p w14:paraId="69FA72A8" w14:textId="77777777" w:rsidR="00055655" w:rsidRPr="00AF0244" w:rsidRDefault="0084722B">
            <w:pPr>
              <w:rPr>
                <w:sz w:val="22"/>
                <w:szCs w:val="22"/>
              </w:rPr>
            </w:pPr>
            <w:r w:rsidRPr="00AF0244">
              <w:rPr>
                <w:b/>
                <w:bCs/>
                <w:sz w:val="22"/>
                <w:szCs w:val="22"/>
              </w:rPr>
              <w:t>Role</w:t>
            </w:r>
          </w:p>
        </w:tc>
        <w:tc>
          <w:tcPr>
            <w:tcW w:w="1600" w:type="dxa"/>
            <w:shd w:val="clear" w:color="auto" w:fill="D9E2D9"/>
            <w:tcMar>
              <w:top w:w="80" w:type="dxa"/>
              <w:left w:w="100" w:type="dxa"/>
              <w:bottom w:w="80" w:type="dxa"/>
              <w:right w:w="100" w:type="dxa"/>
            </w:tcMar>
            <w:vAlign w:val="center"/>
          </w:tcPr>
          <w:p w14:paraId="69FA72A9" w14:textId="77777777" w:rsidR="00055655" w:rsidRPr="00AF0244" w:rsidRDefault="0084722B">
            <w:pPr>
              <w:rPr>
                <w:sz w:val="22"/>
                <w:szCs w:val="22"/>
              </w:rPr>
            </w:pPr>
            <w:r w:rsidRPr="00AF0244">
              <w:rPr>
                <w:b/>
                <w:bCs/>
                <w:sz w:val="22"/>
                <w:szCs w:val="22"/>
              </w:rPr>
              <w:t>Valid</w:t>
            </w:r>
          </w:p>
        </w:tc>
        <w:tc>
          <w:tcPr>
            <w:tcW w:w="4800" w:type="dxa"/>
            <w:shd w:val="clear" w:color="auto" w:fill="D9E2D9"/>
            <w:tcMar>
              <w:top w:w="80" w:type="dxa"/>
              <w:left w:w="100" w:type="dxa"/>
              <w:bottom w:w="80" w:type="dxa"/>
              <w:right w:w="100" w:type="dxa"/>
            </w:tcMar>
            <w:vAlign w:val="center"/>
          </w:tcPr>
          <w:p w14:paraId="69FA72AA" w14:textId="77777777" w:rsidR="00055655" w:rsidRPr="00AF0244" w:rsidRDefault="0084722B">
            <w:pPr>
              <w:rPr>
                <w:sz w:val="22"/>
                <w:szCs w:val="22"/>
              </w:rPr>
            </w:pPr>
            <w:r w:rsidRPr="00AF0244">
              <w:rPr>
                <w:b/>
                <w:bCs/>
                <w:sz w:val="22"/>
                <w:szCs w:val="22"/>
              </w:rPr>
              <w:t>Basis</w:t>
            </w:r>
          </w:p>
        </w:tc>
      </w:tr>
      <w:tr w:rsidR="00055655" w:rsidRPr="00AF0244" w14:paraId="69FA72AF" w14:textId="77777777">
        <w:tblPrEx>
          <w:tblCellMar>
            <w:top w:w="0" w:type="dxa"/>
            <w:bottom w:w="0" w:type="dxa"/>
          </w:tblCellMar>
        </w:tblPrEx>
        <w:tc>
          <w:tcPr>
            <w:tcW w:w="3200" w:type="dxa"/>
            <w:tcMar>
              <w:top w:w="80" w:type="dxa"/>
              <w:left w:w="100" w:type="dxa"/>
              <w:bottom w:w="80" w:type="dxa"/>
              <w:right w:w="100" w:type="dxa"/>
            </w:tcMar>
            <w:vAlign w:val="center"/>
          </w:tcPr>
          <w:p w14:paraId="69FA72AC" w14:textId="77777777" w:rsidR="00055655" w:rsidRPr="00AF0244" w:rsidRDefault="0084722B">
            <w:pPr>
              <w:rPr>
                <w:sz w:val="22"/>
                <w:szCs w:val="22"/>
              </w:rPr>
            </w:pPr>
            <w:r w:rsidRPr="00AF0244">
              <w:rPr>
                <w:sz w:val="22"/>
                <w:szCs w:val="22"/>
              </w:rPr>
              <w:t>Predictive model</w:t>
            </w:r>
          </w:p>
        </w:tc>
        <w:tc>
          <w:tcPr>
            <w:tcW w:w="1600" w:type="dxa"/>
            <w:tcMar>
              <w:top w:w="80" w:type="dxa"/>
              <w:left w:w="100" w:type="dxa"/>
              <w:bottom w:w="80" w:type="dxa"/>
              <w:right w:w="100" w:type="dxa"/>
            </w:tcMar>
            <w:vAlign w:val="center"/>
          </w:tcPr>
          <w:p w14:paraId="69FA72AD" w14:textId="77777777" w:rsidR="00055655" w:rsidRPr="00AF0244" w:rsidRDefault="0084722B">
            <w:pPr>
              <w:rPr>
                <w:sz w:val="22"/>
                <w:szCs w:val="22"/>
              </w:rPr>
            </w:pPr>
            <w:r w:rsidRPr="00AF0244">
              <w:rPr>
                <w:sz w:val="22"/>
                <w:szCs w:val="22"/>
              </w:rPr>
              <w:t>No</w:t>
            </w:r>
          </w:p>
        </w:tc>
        <w:tc>
          <w:tcPr>
            <w:tcW w:w="4800" w:type="dxa"/>
            <w:tcMar>
              <w:top w:w="80" w:type="dxa"/>
              <w:left w:w="100" w:type="dxa"/>
              <w:bottom w:w="80" w:type="dxa"/>
              <w:right w:w="100" w:type="dxa"/>
            </w:tcMar>
            <w:vAlign w:val="center"/>
          </w:tcPr>
          <w:p w14:paraId="69FA72AE" w14:textId="77777777" w:rsidR="00055655" w:rsidRPr="00AF0244" w:rsidRDefault="0084722B">
            <w:pPr>
              <w:rPr>
                <w:sz w:val="22"/>
                <w:szCs w:val="22"/>
              </w:rPr>
            </w:pPr>
            <w:r w:rsidRPr="00AF0244">
              <w:rPr>
                <w:sz w:val="22"/>
                <w:szCs w:val="22"/>
              </w:rPr>
              <w:t>Negative R² indicates the model does not predict unseen years.</w:t>
            </w:r>
          </w:p>
        </w:tc>
      </w:tr>
      <w:tr w:rsidR="00055655" w:rsidRPr="00AF0244" w14:paraId="69FA72B3" w14:textId="77777777">
        <w:tblPrEx>
          <w:tblCellMar>
            <w:top w:w="0" w:type="dxa"/>
            <w:bottom w:w="0" w:type="dxa"/>
          </w:tblCellMar>
        </w:tblPrEx>
        <w:tc>
          <w:tcPr>
            <w:tcW w:w="3200" w:type="dxa"/>
            <w:tcMar>
              <w:top w:w="80" w:type="dxa"/>
              <w:left w:w="100" w:type="dxa"/>
              <w:bottom w:w="80" w:type="dxa"/>
              <w:right w:w="100" w:type="dxa"/>
            </w:tcMar>
            <w:vAlign w:val="center"/>
          </w:tcPr>
          <w:p w14:paraId="69FA72B0" w14:textId="77777777" w:rsidR="00055655" w:rsidRPr="00AF0244" w:rsidRDefault="0084722B">
            <w:pPr>
              <w:rPr>
                <w:sz w:val="22"/>
                <w:szCs w:val="22"/>
              </w:rPr>
            </w:pPr>
            <w:r w:rsidRPr="00AF0244">
              <w:rPr>
                <w:sz w:val="22"/>
                <w:szCs w:val="22"/>
              </w:rPr>
              <w:t>Feature selection / ranking tool</w:t>
            </w:r>
          </w:p>
        </w:tc>
        <w:tc>
          <w:tcPr>
            <w:tcW w:w="1600" w:type="dxa"/>
            <w:tcMar>
              <w:top w:w="80" w:type="dxa"/>
              <w:left w:w="100" w:type="dxa"/>
              <w:bottom w:w="80" w:type="dxa"/>
              <w:right w:w="100" w:type="dxa"/>
            </w:tcMar>
            <w:vAlign w:val="center"/>
          </w:tcPr>
          <w:p w14:paraId="69FA72B1" w14:textId="77777777" w:rsidR="00055655" w:rsidRPr="00AF0244" w:rsidRDefault="0084722B">
            <w:pPr>
              <w:rPr>
                <w:sz w:val="22"/>
                <w:szCs w:val="22"/>
              </w:rPr>
            </w:pPr>
            <w:r w:rsidRPr="00AF0244">
              <w:rPr>
                <w:sz w:val="22"/>
                <w:szCs w:val="22"/>
              </w:rPr>
              <w:t>Yes</w:t>
            </w:r>
          </w:p>
        </w:tc>
        <w:tc>
          <w:tcPr>
            <w:tcW w:w="4800" w:type="dxa"/>
            <w:tcMar>
              <w:top w:w="80" w:type="dxa"/>
              <w:left w:w="100" w:type="dxa"/>
              <w:bottom w:w="80" w:type="dxa"/>
              <w:right w:w="100" w:type="dxa"/>
            </w:tcMar>
            <w:vAlign w:val="center"/>
          </w:tcPr>
          <w:p w14:paraId="69FA72B2" w14:textId="77777777" w:rsidR="00055655" w:rsidRPr="00AF0244" w:rsidRDefault="0084722B">
            <w:pPr>
              <w:rPr>
                <w:sz w:val="22"/>
                <w:szCs w:val="22"/>
              </w:rPr>
            </w:pPr>
            <w:r w:rsidRPr="00AF0244">
              <w:rPr>
                <w:sz w:val="22"/>
                <w:szCs w:val="22"/>
              </w:rPr>
              <w:t>Importance rankings are stable and interpretable independent of R².</w:t>
            </w:r>
          </w:p>
        </w:tc>
      </w:tr>
      <w:tr w:rsidR="00055655" w:rsidRPr="00AF0244" w14:paraId="69FA72B7" w14:textId="77777777">
        <w:tblPrEx>
          <w:tblCellMar>
            <w:top w:w="0" w:type="dxa"/>
            <w:bottom w:w="0" w:type="dxa"/>
          </w:tblCellMar>
        </w:tblPrEx>
        <w:tc>
          <w:tcPr>
            <w:tcW w:w="3200" w:type="dxa"/>
            <w:tcMar>
              <w:top w:w="80" w:type="dxa"/>
              <w:left w:w="100" w:type="dxa"/>
              <w:bottom w:w="80" w:type="dxa"/>
              <w:right w:w="100" w:type="dxa"/>
            </w:tcMar>
            <w:vAlign w:val="center"/>
          </w:tcPr>
          <w:p w14:paraId="69FA72B4" w14:textId="77777777" w:rsidR="00055655" w:rsidRPr="00AF0244" w:rsidRDefault="0084722B">
            <w:pPr>
              <w:rPr>
                <w:sz w:val="22"/>
                <w:szCs w:val="22"/>
              </w:rPr>
            </w:pPr>
            <w:r w:rsidRPr="00AF0244">
              <w:rPr>
                <w:sz w:val="22"/>
                <w:szCs w:val="22"/>
              </w:rPr>
              <w:t>Covariate prioritization for GPR</w:t>
            </w:r>
          </w:p>
        </w:tc>
        <w:tc>
          <w:tcPr>
            <w:tcW w:w="1600" w:type="dxa"/>
            <w:tcMar>
              <w:top w:w="80" w:type="dxa"/>
              <w:left w:w="100" w:type="dxa"/>
              <w:bottom w:w="80" w:type="dxa"/>
              <w:right w:w="100" w:type="dxa"/>
            </w:tcMar>
            <w:vAlign w:val="center"/>
          </w:tcPr>
          <w:p w14:paraId="69FA72B5" w14:textId="77777777" w:rsidR="00055655" w:rsidRPr="00AF0244" w:rsidRDefault="0084722B">
            <w:pPr>
              <w:rPr>
                <w:sz w:val="22"/>
                <w:szCs w:val="22"/>
              </w:rPr>
            </w:pPr>
            <w:r w:rsidRPr="00AF0244">
              <w:rPr>
                <w:sz w:val="22"/>
                <w:szCs w:val="22"/>
              </w:rPr>
              <w:t>Yes</w:t>
            </w:r>
          </w:p>
        </w:tc>
        <w:tc>
          <w:tcPr>
            <w:tcW w:w="4800" w:type="dxa"/>
            <w:tcMar>
              <w:top w:w="80" w:type="dxa"/>
              <w:left w:w="100" w:type="dxa"/>
              <w:bottom w:w="80" w:type="dxa"/>
              <w:right w:w="100" w:type="dxa"/>
            </w:tcMar>
            <w:vAlign w:val="center"/>
          </w:tcPr>
          <w:p w14:paraId="69FA72B6" w14:textId="77777777" w:rsidR="00055655" w:rsidRPr="00AF0244" w:rsidRDefault="0084722B">
            <w:pPr>
              <w:rPr>
                <w:sz w:val="22"/>
                <w:szCs w:val="22"/>
              </w:rPr>
            </w:pPr>
            <w:r w:rsidRPr="00AF0244">
              <w:rPr>
                <w:sz w:val="22"/>
                <w:szCs w:val="22"/>
              </w:rPr>
              <w:t>Identifies which covariates to weight; GPR handles uncertainty explicitly.</w:t>
            </w:r>
          </w:p>
        </w:tc>
      </w:tr>
    </w:tbl>
    <w:p w14:paraId="69FA72B8" w14:textId="77777777" w:rsidR="00055655" w:rsidRPr="00AF0244" w:rsidRDefault="0084722B">
      <w:pPr>
        <w:pStyle w:val="Heading2"/>
        <w:spacing w:before="280" w:after="120"/>
        <w:rPr>
          <w:sz w:val="28"/>
          <w:szCs w:val="28"/>
        </w:rPr>
      </w:pPr>
      <w:r w:rsidRPr="00AF0244">
        <w:rPr>
          <w:sz w:val="28"/>
          <w:szCs w:val="28"/>
        </w:rPr>
        <w:t>Recommended framing for methods/abstract</w:t>
      </w:r>
    </w:p>
    <w:p w14:paraId="69FA72B9" w14:textId="77777777" w:rsidR="00055655" w:rsidRPr="00AF0244" w:rsidRDefault="0084722B">
      <w:pPr>
        <w:spacing w:after="160"/>
        <w:rPr>
          <w:sz w:val="22"/>
          <w:szCs w:val="22"/>
        </w:rPr>
      </w:pPr>
      <w:r w:rsidRPr="00AF0244">
        <w:rPr>
          <w:sz w:val="22"/>
          <w:szCs w:val="22"/>
        </w:rPr>
        <w:t>“Random Forest feature importance ranking was used to prioritize covariates for GPR, given the limited temporal replication inherent in a five-year observational dataset.”</w:t>
      </w:r>
    </w:p>
    <w:p w14:paraId="69FA72BA" w14:textId="77777777" w:rsidR="00055655" w:rsidRPr="00AF0244" w:rsidRDefault="0084722B">
      <w:pPr>
        <w:spacing w:after="160"/>
        <w:rPr>
          <w:sz w:val="22"/>
          <w:szCs w:val="22"/>
        </w:rPr>
      </w:pPr>
      <w:r w:rsidRPr="00AF0244">
        <w:rPr>
          <w:sz w:val="22"/>
          <w:szCs w:val="22"/>
        </w:rPr>
        <w:t xml:space="preserve">Suggested methods note: “Due to the five-year temporal extent of the dataset, leave-one-year-out cross-validation yielded negative R² values, indicating that RF does not generalize to unseen years at this sample size. RF importances were therefore used for covariate prioritization rather than as a standalone predictive </w:t>
      </w:r>
      <w:proofErr w:type="gramStart"/>
      <w:r w:rsidRPr="00AF0244">
        <w:rPr>
          <w:sz w:val="22"/>
          <w:szCs w:val="22"/>
        </w:rPr>
        <w:t>model.”</w:t>
      </w:r>
      <w:proofErr w:type="gramEnd"/>
    </w:p>
    <w:p w14:paraId="69FA72BB" w14:textId="77777777" w:rsidR="00055655" w:rsidRPr="00AF0244" w:rsidRDefault="0084722B">
      <w:pPr>
        <w:spacing w:after="160"/>
        <w:rPr>
          <w:sz w:val="22"/>
          <w:szCs w:val="22"/>
        </w:rPr>
      </w:pPr>
      <w:r w:rsidRPr="00AF0244">
        <w:rPr>
          <w:sz w:val="22"/>
          <w:szCs w:val="22"/>
        </w:rPr>
        <w:t>Recommendation: report feature importance rankings rather than R² values in presentation materials.</w:t>
      </w:r>
    </w:p>
    <w:p w14:paraId="69FA72BC" w14:textId="77777777" w:rsidR="00055655" w:rsidRPr="00AF0244" w:rsidRDefault="0084722B">
      <w:pPr>
        <w:spacing w:after="80"/>
        <w:jc w:val="center"/>
        <w:rPr>
          <w:sz w:val="22"/>
          <w:szCs w:val="22"/>
        </w:rPr>
      </w:pPr>
      <w:r w:rsidRPr="00AF0244">
        <w:rPr>
          <w:noProof/>
          <w:sz w:val="22"/>
          <w:szCs w:val="22"/>
        </w:rPr>
        <w:lastRenderedPageBreak/>
        <w:drawing>
          <wp:inline distT="0" distB="0" distL="0" distR="0" wp14:anchorId="69FA7310" wp14:editId="69FA7311">
            <wp:extent cx="5715000" cy="2038350"/>
            <wp:effectExtent l="0" t="0" r="0" b="0"/>
            <wp:docPr id="1366206767" name="Picture 136620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38350"/>
                    </a:xfrm>
                    <a:prstGeom prst="rect">
                      <a:avLst/>
                    </a:prstGeom>
                  </pic:spPr>
                </pic:pic>
              </a:graphicData>
            </a:graphic>
          </wp:inline>
        </w:drawing>
      </w:r>
    </w:p>
    <w:p w14:paraId="69FA72BD" w14:textId="77777777" w:rsidR="00055655" w:rsidRPr="00AF0244" w:rsidRDefault="0084722B">
      <w:pPr>
        <w:spacing w:after="240"/>
        <w:jc w:val="center"/>
        <w:rPr>
          <w:sz w:val="22"/>
          <w:szCs w:val="22"/>
        </w:rPr>
      </w:pPr>
      <w:r w:rsidRPr="00AF0244">
        <w:rPr>
          <w:i/>
          <w:iCs/>
          <w:color w:val="555555"/>
          <w:sz w:val="22"/>
          <w:szCs w:val="22"/>
        </w:rPr>
        <w:t>Figure 4. RF feature importance rankings with SPEI included.</w:t>
      </w:r>
    </w:p>
    <w:p w14:paraId="69FA72BE" w14:textId="77777777" w:rsidR="00055655" w:rsidRPr="00AF0244" w:rsidRDefault="0084722B">
      <w:pPr>
        <w:pStyle w:val="Heading2"/>
        <w:spacing w:before="280" w:after="120"/>
        <w:rPr>
          <w:sz w:val="28"/>
          <w:szCs w:val="28"/>
        </w:rPr>
      </w:pPr>
      <w:r w:rsidRPr="00AF0244">
        <w:rPr>
          <w:sz w:val="28"/>
          <w:szCs w:val="28"/>
        </w:rPr>
        <w:t>Feature importance with SPEI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400"/>
      </w:tblGrid>
      <w:tr w:rsidR="00055655" w:rsidRPr="00AF0244" w14:paraId="69FA72C2" w14:textId="77777777">
        <w:tblPrEx>
          <w:tblCellMar>
            <w:top w:w="0" w:type="dxa"/>
            <w:bottom w:w="0" w:type="dxa"/>
          </w:tblCellMar>
        </w:tblPrEx>
        <w:tc>
          <w:tcPr>
            <w:tcW w:w="2400" w:type="dxa"/>
            <w:shd w:val="clear" w:color="auto" w:fill="D9E2D9"/>
            <w:tcMar>
              <w:top w:w="80" w:type="dxa"/>
              <w:left w:w="100" w:type="dxa"/>
              <w:bottom w:w="80" w:type="dxa"/>
              <w:right w:w="100" w:type="dxa"/>
            </w:tcMar>
            <w:vAlign w:val="center"/>
          </w:tcPr>
          <w:p w14:paraId="69FA72BF" w14:textId="77777777" w:rsidR="00055655" w:rsidRPr="00AF0244" w:rsidRDefault="0084722B">
            <w:pPr>
              <w:rPr>
                <w:sz w:val="22"/>
                <w:szCs w:val="22"/>
              </w:rPr>
            </w:pPr>
            <w:r w:rsidRPr="00AF0244">
              <w:rPr>
                <w:b/>
                <w:bCs/>
                <w:sz w:val="22"/>
                <w:szCs w:val="22"/>
              </w:rPr>
              <w:t>Feature</w:t>
            </w:r>
          </w:p>
        </w:tc>
        <w:tc>
          <w:tcPr>
            <w:tcW w:w="3400" w:type="dxa"/>
            <w:shd w:val="clear" w:color="auto" w:fill="D9E2D9"/>
            <w:tcMar>
              <w:top w:w="80" w:type="dxa"/>
              <w:left w:w="100" w:type="dxa"/>
              <w:bottom w:w="80" w:type="dxa"/>
              <w:right w:w="100" w:type="dxa"/>
            </w:tcMar>
            <w:vAlign w:val="center"/>
          </w:tcPr>
          <w:p w14:paraId="69FA72C0" w14:textId="77777777" w:rsidR="00055655" w:rsidRPr="00AF0244" w:rsidRDefault="0084722B">
            <w:pPr>
              <w:rPr>
                <w:sz w:val="22"/>
                <w:szCs w:val="22"/>
              </w:rPr>
            </w:pPr>
            <w:r w:rsidRPr="00AF0244">
              <w:rPr>
                <w:b/>
                <w:bCs/>
                <w:sz w:val="22"/>
                <w:szCs w:val="22"/>
              </w:rPr>
              <w:t>NH4+ rank</w:t>
            </w:r>
          </w:p>
        </w:tc>
        <w:tc>
          <w:tcPr>
            <w:tcW w:w="3400" w:type="dxa"/>
            <w:shd w:val="clear" w:color="auto" w:fill="D9E2D9"/>
            <w:tcMar>
              <w:top w:w="80" w:type="dxa"/>
              <w:left w:w="100" w:type="dxa"/>
              <w:bottom w:w="80" w:type="dxa"/>
              <w:right w:w="100" w:type="dxa"/>
            </w:tcMar>
            <w:vAlign w:val="center"/>
          </w:tcPr>
          <w:p w14:paraId="69FA72C1" w14:textId="77777777" w:rsidR="00055655" w:rsidRPr="00AF0244" w:rsidRDefault="0084722B">
            <w:pPr>
              <w:rPr>
                <w:sz w:val="22"/>
                <w:szCs w:val="22"/>
              </w:rPr>
            </w:pPr>
            <w:r w:rsidRPr="00AF0244">
              <w:rPr>
                <w:b/>
                <w:bCs/>
                <w:sz w:val="22"/>
                <w:szCs w:val="22"/>
              </w:rPr>
              <w:t>NO3- rank</w:t>
            </w:r>
          </w:p>
        </w:tc>
      </w:tr>
      <w:tr w:rsidR="00055655" w:rsidRPr="00AF0244" w14:paraId="69FA72C6" w14:textId="77777777">
        <w:tblPrEx>
          <w:tblCellMar>
            <w:top w:w="0" w:type="dxa"/>
            <w:bottom w:w="0" w:type="dxa"/>
          </w:tblCellMar>
        </w:tblPrEx>
        <w:tc>
          <w:tcPr>
            <w:tcW w:w="2400" w:type="dxa"/>
            <w:tcMar>
              <w:top w:w="80" w:type="dxa"/>
              <w:left w:w="100" w:type="dxa"/>
              <w:bottom w:w="80" w:type="dxa"/>
              <w:right w:w="100" w:type="dxa"/>
            </w:tcMar>
            <w:vAlign w:val="center"/>
          </w:tcPr>
          <w:p w14:paraId="69FA72C3" w14:textId="77777777" w:rsidR="00055655" w:rsidRPr="00AF0244" w:rsidRDefault="0084722B">
            <w:pPr>
              <w:rPr>
                <w:sz w:val="22"/>
                <w:szCs w:val="22"/>
              </w:rPr>
            </w:pPr>
            <w:r w:rsidRPr="00AF0244">
              <w:rPr>
                <w:sz w:val="22"/>
                <w:szCs w:val="22"/>
              </w:rPr>
              <w:t>Year</w:t>
            </w:r>
          </w:p>
        </w:tc>
        <w:tc>
          <w:tcPr>
            <w:tcW w:w="3400" w:type="dxa"/>
            <w:tcMar>
              <w:top w:w="80" w:type="dxa"/>
              <w:left w:w="100" w:type="dxa"/>
              <w:bottom w:w="80" w:type="dxa"/>
              <w:right w:w="100" w:type="dxa"/>
            </w:tcMar>
            <w:vAlign w:val="center"/>
          </w:tcPr>
          <w:p w14:paraId="69FA72C4" w14:textId="77777777" w:rsidR="00055655" w:rsidRPr="00AF0244" w:rsidRDefault="0084722B">
            <w:pPr>
              <w:rPr>
                <w:sz w:val="22"/>
                <w:szCs w:val="22"/>
              </w:rPr>
            </w:pPr>
            <w:r w:rsidRPr="00AF0244">
              <w:rPr>
                <w:sz w:val="22"/>
                <w:szCs w:val="22"/>
              </w:rPr>
              <w:t>1st (0.268)</w:t>
            </w:r>
          </w:p>
        </w:tc>
        <w:tc>
          <w:tcPr>
            <w:tcW w:w="3400" w:type="dxa"/>
            <w:tcMar>
              <w:top w:w="80" w:type="dxa"/>
              <w:left w:w="100" w:type="dxa"/>
              <w:bottom w:w="80" w:type="dxa"/>
              <w:right w:w="100" w:type="dxa"/>
            </w:tcMar>
            <w:vAlign w:val="center"/>
          </w:tcPr>
          <w:p w14:paraId="69FA72C5" w14:textId="77777777" w:rsidR="00055655" w:rsidRPr="00AF0244" w:rsidRDefault="0084722B">
            <w:pPr>
              <w:rPr>
                <w:sz w:val="22"/>
                <w:szCs w:val="22"/>
              </w:rPr>
            </w:pPr>
            <w:r w:rsidRPr="00AF0244">
              <w:rPr>
                <w:sz w:val="22"/>
                <w:szCs w:val="22"/>
              </w:rPr>
              <w:t>1st (0.185)</w:t>
            </w:r>
          </w:p>
        </w:tc>
      </w:tr>
      <w:tr w:rsidR="00055655" w:rsidRPr="00AF0244" w14:paraId="69FA72CA" w14:textId="77777777">
        <w:tblPrEx>
          <w:tblCellMar>
            <w:top w:w="0" w:type="dxa"/>
            <w:bottom w:w="0" w:type="dxa"/>
          </w:tblCellMar>
        </w:tblPrEx>
        <w:tc>
          <w:tcPr>
            <w:tcW w:w="2400" w:type="dxa"/>
            <w:tcMar>
              <w:top w:w="80" w:type="dxa"/>
              <w:left w:w="100" w:type="dxa"/>
              <w:bottom w:w="80" w:type="dxa"/>
              <w:right w:w="100" w:type="dxa"/>
            </w:tcMar>
            <w:vAlign w:val="center"/>
          </w:tcPr>
          <w:p w14:paraId="69FA72C7" w14:textId="77777777" w:rsidR="00055655" w:rsidRPr="00AF0244" w:rsidRDefault="0084722B">
            <w:pPr>
              <w:rPr>
                <w:sz w:val="22"/>
                <w:szCs w:val="22"/>
              </w:rPr>
            </w:pPr>
            <w:r w:rsidRPr="00AF0244">
              <w:rPr>
                <w:sz w:val="22"/>
                <w:szCs w:val="22"/>
              </w:rPr>
              <w:t>NDVI</w:t>
            </w:r>
          </w:p>
        </w:tc>
        <w:tc>
          <w:tcPr>
            <w:tcW w:w="3400" w:type="dxa"/>
            <w:tcMar>
              <w:top w:w="80" w:type="dxa"/>
              <w:left w:w="100" w:type="dxa"/>
              <w:bottom w:w="80" w:type="dxa"/>
              <w:right w:w="100" w:type="dxa"/>
            </w:tcMar>
            <w:vAlign w:val="center"/>
          </w:tcPr>
          <w:p w14:paraId="69FA72C8" w14:textId="77777777" w:rsidR="00055655" w:rsidRPr="00AF0244" w:rsidRDefault="0084722B">
            <w:pPr>
              <w:rPr>
                <w:sz w:val="22"/>
                <w:szCs w:val="22"/>
              </w:rPr>
            </w:pPr>
            <w:r w:rsidRPr="00AF0244">
              <w:rPr>
                <w:sz w:val="22"/>
                <w:szCs w:val="22"/>
              </w:rPr>
              <w:t>2nd</w:t>
            </w:r>
          </w:p>
        </w:tc>
        <w:tc>
          <w:tcPr>
            <w:tcW w:w="3400" w:type="dxa"/>
            <w:tcMar>
              <w:top w:w="80" w:type="dxa"/>
              <w:left w:w="100" w:type="dxa"/>
              <w:bottom w:w="80" w:type="dxa"/>
              <w:right w:w="100" w:type="dxa"/>
            </w:tcMar>
            <w:vAlign w:val="center"/>
          </w:tcPr>
          <w:p w14:paraId="69FA72C9" w14:textId="77777777" w:rsidR="00055655" w:rsidRPr="00AF0244" w:rsidRDefault="0084722B">
            <w:pPr>
              <w:rPr>
                <w:sz w:val="22"/>
                <w:szCs w:val="22"/>
              </w:rPr>
            </w:pPr>
            <w:r w:rsidRPr="00AF0244">
              <w:rPr>
                <w:sz w:val="22"/>
                <w:szCs w:val="22"/>
              </w:rPr>
              <w:t>3rd</w:t>
            </w:r>
          </w:p>
        </w:tc>
      </w:tr>
      <w:tr w:rsidR="00055655" w:rsidRPr="00AF0244" w14:paraId="69FA72CE" w14:textId="77777777">
        <w:tblPrEx>
          <w:tblCellMar>
            <w:top w:w="0" w:type="dxa"/>
            <w:bottom w:w="0" w:type="dxa"/>
          </w:tblCellMar>
        </w:tblPrEx>
        <w:tc>
          <w:tcPr>
            <w:tcW w:w="2400" w:type="dxa"/>
            <w:tcMar>
              <w:top w:w="80" w:type="dxa"/>
              <w:left w:w="100" w:type="dxa"/>
              <w:bottom w:w="80" w:type="dxa"/>
              <w:right w:w="100" w:type="dxa"/>
            </w:tcMar>
            <w:vAlign w:val="center"/>
          </w:tcPr>
          <w:p w14:paraId="69FA72CB" w14:textId="77777777" w:rsidR="00055655" w:rsidRPr="00AF0244" w:rsidRDefault="0084722B">
            <w:pPr>
              <w:rPr>
                <w:sz w:val="22"/>
                <w:szCs w:val="22"/>
              </w:rPr>
            </w:pPr>
            <w:r w:rsidRPr="00AF0244">
              <w:rPr>
                <w:sz w:val="22"/>
                <w:szCs w:val="22"/>
              </w:rPr>
              <w:t>SPEI</w:t>
            </w:r>
          </w:p>
        </w:tc>
        <w:tc>
          <w:tcPr>
            <w:tcW w:w="3400" w:type="dxa"/>
            <w:tcMar>
              <w:top w:w="80" w:type="dxa"/>
              <w:left w:w="100" w:type="dxa"/>
              <w:bottom w:w="80" w:type="dxa"/>
              <w:right w:w="100" w:type="dxa"/>
            </w:tcMar>
            <w:vAlign w:val="center"/>
          </w:tcPr>
          <w:p w14:paraId="69FA72CC" w14:textId="77777777" w:rsidR="00055655" w:rsidRPr="00AF0244" w:rsidRDefault="0084722B">
            <w:pPr>
              <w:rPr>
                <w:sz w:val="22"/>
                <w:szCs w:val="22"/>
              </w:rPr>
            </w:pPr>
            <w:r w:rsidRPr="00AF0244">
              <w:rPr>
                <w:sz w:val="22"/>
                <w:szCs w:val="22"/>
              </w:rPr>
              <w:t>3rd (0.168)</w:t>
            </w:r>
          </w:p>
        </w:tc>
        <w:tc>
          <w:tcPr>
            <w:tcW w:w="3400" w:type="dxa"/>
            <w:tcMar>
              <w:top w:w="80" w:type="dxa"/>
              <w:left w:w="100" w:type="dxa"/>
              <w:bottom w:w="80" w:type="dxa"/>
              <w:right w:w="100" w:type="dxa"/>
            </w:tcMar>
            <w:vAlign w:val="center"/>
          </w:tcPr>
          <w:p w14:paraId="69FA72CD" w14:textId="77777777" w:rsidR="00055655" w:rsidRPr="00AF0244" w:rsidRDefault="0084722B">
            <w:pPr>
              <w:rPr>
                <w:sz w:val="22"/>
                <w:szCs w:val="22"/>
              </w:rPr>
            </w:pPr>
            <w:r w:rsidRPr="00AF0244">
              <w:rPr>
                <w:sz w:val="22"/>
                <w:szCs w:val="22"/>
              </w:rPr>
              <w:t>5th (0.119)</w:t>
            </w:r>
          </w:p>
        </w:tc>
      </w:tr>
      <w:tr w:rsidR="00055655" w:rsidRPr="00AF0244" w14:paraId="69FA72D2" w14:textId="77777777">
        <w:tblPrEx>
          <w:tblCellMar>
            <w:top w:w="0" w:type="dxa"/>
            <w:bottom w:w="0" w:type="dxa"/>
          </w:tblCellMar>
        </w:tblPrEx>
        <w:tc>
          <w:tcPr>
            <w:tcW w:w="2400" w:type="dxa"/>
            <w:tcMar>
              <w:top w:w="80" w:type="dxa"/>
              <w:left w:w="100" w:type="dxa"/>
              <w:bottom w:w="80" w:type="dxa"/>
              <w:right w:w="100" w:type="dxa"/>
            </w:tcMar>
            <w:vAlign w:val="center"/>
          </w:tcPr>
          <w:p w14:paraId="69FA72CF" w14:textId="77777777" w:rsidR="00055655" w:rsidRPr="00AF0244" w:rsidRDefault="0084722B">
            <w:pPr>
              <w:rPr>
                <w:sz w:val="22"/>
                <w:szCs w:val="22"/>
              </w:rPr>
            </w:pPr>
            <w:r w:rsidRPr="00AF0244">
              <w:rPr>
                <w:sz w:val="22"/>
                <w:szCs w:val="22"/>
              </w:rPr>
              <w:t>EVI</w:t>
            </w:r>
          </w:p>
        </w:tc>
        <w:tc>
          <w:tcPr>
            <w:tcW w:w="3400" w:type="dxa"/>
            <w:tcMar>
              <w:top w:w="80" w:type="dxa"/>
              <w:left w:w="100" w:type="dxa"/>
              <w:bottom w:w="80" w:type="dxa"/>
              <w:right w:w="100" w:type="dxa"/>
            </w:tcMar>
            <w:vAlign w:val="center"/>
          </w:tcPr>
          <w:p w14:paraId="69FA72D0" w14:textId="77777777" w:rsidR="00055655" w:rsidRPr="00AF0244" w:rsidRDefault="0084722B">
            <w:pPr>
              <w:rPr>
                <w:sz w:val="22"/>
                <w:szCs w:val="22"/>
              </w:rPr>
            </w:pPr>
            <w:r w:rsidRPr="00AF0244">
              <w:rPr>
                <w:sz w:val="22"/>
                <w:szCs w:val="22"/>
              </w:rPr>
              <w:t>4th</w:t>
            </w:r>
          </w:p>
        </w:tc>
        <w:tc>
          <w:tcPr>
            <w:tcW w:w="3400" w:type="dxa"/>
            <w:tcMar>
              <w:top w:w="80" w:type="dxa"/>
              <w:left w:w="100" w:type="dxa"/>
              <w:bottom w:w="80" w:type="dxa"/>
              <w:right w:w="100" w:type="dxa"/>
            </w:tcMar>
            <w:vAlign w:val="center"/>
          </w:tcPr>
          <w:p w14:paraId="69FA72D1" w14:textId="77777777" w:rsidR="00055655" w:rsidRPr="00AF0244" w:rsidRDefault="0084722B">
            <w:pPr>
              <w:rPr>
                <w:sz w:val="22"/>
                <w:szCs w:val="22"/>
              </w:rPr>
            </w:pPr>
            <w:r w:rsidRPr="00AF0244">
              <w:rPr>
                <w:sz w:val="22"/>
                <w:szCs w:val="22"/>
              </w:rPr>
              <w:t>2nd</w:t>
            </w:r>
          </w:p>
        </w:tc>
      </w:tr>
      <w:tr w:rsidR="00055655" w:rsidRPr="00AF0244" w14:paraId="69FA72D6" w14:textId="77777777">
        <w:tblPrEx>
          <w:tblCellMar>
            <w:top w:w="0" w:type="dxa"/>
            <w:bottom w:w="0" w:type="dxa"/>
          </w:tblCellMar>
        </w:tblPrEx>
        <w:tc>
          <w:tcPr>
            <w:tcW w:w="2400" w:type="dxa"/>
            <w:tcMar>
              <w:top w:w="80" w:type="dxa"/>
              <w:left w:w="100" w:type="dxa"/>
              <w:bottom w:w="80" w:type="dxa"/>
              <w:right w:w="100" w:type="dxa"/>
            </w:tcMar>
            <w:vAlign w:val="center"/>
          </w:tcPr>
          <w:p w14:paraId="69FA72D3" w14:textId="77777777" w:rsidR="00055655" w:rsidRPr="00AF0244" w:rsidRDefault="0084722B">
            <w:pPr>
              <w:rPr>
                <w:sz w:val="22"/>
                <w:szCs w:val="22"/>
              </w:rPr>
            </w:pPr>
            <w:r w:rsidRPr="00AF0244">
              <w:rPr>
                <w:sz w:val="22"/>
                <w:szCs w:val="22"/>
              </w:rPr>
              <w:t>SAR VV</w:t>
            </w:r>
          </w:p>
        </w:tc>
        <w:tc>
          <w:tcPr>
            <w:tcW w:w="3400" w:type="dxa"/>
            <w:tcMar>
              <w:top w:w="80" w:type="dxa"/>
              <w:left w:w="100" w:type="dxa"/>
              <w:bottom w:w="80" w:type="dxa"/>
              <w:right w:w="100" w:type="dxa"/>
            </w:tcMar>
            <w:vAlign w:val="center"/>
          </w:tcPr>
          <w:p w14:paraId="69FA72D4" w14:textId="77777777" w:rsidR="00055655" w:rsidRPr="00AF0244" w:rsidRDefault="0084722B">
            <w:pPr>
              <w:rPr>
                <w:sz w:val="22"/>
                <w:szCs w:val="22"/>
              </w:rPr>
            </w:pPr>
            <w:r w:rsidRPr="00AF0244">
              <w:rPr>
                <w:sz w:val="22"/>
                <w:szCs w:val="22"/>
              </w:rPr>
              <w:t>5th</w:t>
            </w:r>
          </w:p>
        </w:tc>
        <w:tc>
          <w:tcPr>
            <w:tcW w:w="3400" w:type="dxa"/>
            <w:tcMar>
              <w:top w:w="80" w:type="dxa"/>
              <w:left w:w="100" w:type="dxa"/>
              <w:bottom w:w="80" w:type="dxa"/>
              <w:right w:w="100" w:type="dxa"/>
            </w:tcMar>
            <w:vAlign w:val="center"/>
          </w:tcPr>
          <w:p w14:paraId="69FA72D5" w14:textId="77777777" w:rsidR="00055655" w:rsidRPr="00AF0244" w:rsidRDefault="0084722B">
            <w:pPr>
              <w:rPr>
                <w:sz w:val="22"/>
                <w:szCs w:val="22"/>
              </w:rPr>
            </w:pPr>
            <w:r w:rsidRPr="00AF0244">
              <w:rPr>
                <w:sz w:val="22"/>
                <w:szCs w:val="22"/>
              </w:rPr>
              <w:t>4th</w:t>
            </w:r>
          </w:p>
        </w:tc>
      </w:tr>
      <w:tr w:rsidR="00055655" w:rsidRPr="00AF0244" w14:paraId="69FA72DA" w14:textId="77777777">
        <w:tblPrEx>
          <w:tblCellMar>
            <w:top w:w="0" w:type="dxa"/>
            <w:bottom w:w="0" w:type="dxa"/>
          </w:tblCellMar>
        </w:tblPrEx>
        <w:tc>
          <w:tcPr>
            <w:tcW w:w="2400" w:type="dxa"/>
            <w:tcMar>
              <w:top w:w="80" w:type="dxa"/>
              <w:left w:w="100" w:type="dxa"/>
              <w:bottom w:w="80" w:type="dxa"/>
              <w:right w:w="100" w:type="dxa"/>
            </w:tcMar>
            <w:vAlign w:val="center"/>
          </w:tcPr>
          <w:p w14:paraId="69FA72D7" w14:textId="77777777" w:rsidR="00055655" w:rsidRPr="00AF0244" w:rsidRDefault="0084722B">
            <w:pPr>
              <w:rPr>
                <w:sz w:val="22"/>
                <w:szCs w:val="22"/>
              </w:rPr>
            </w:pPr>
            <w:r w:rsidRPr="00AF0244">
              <w:rPr>
                <w:sz w:val="22"/>
                <w:szCs w:val="22"/>
              </w:rPr>
              <w:t>Treatment</w:t>
            </w:r>
          </w:p>
        </w:tc>
        <w:tc>
          <w:tcPr>
            <w:tcW w:w="3400" w:type="dxa"/>
            <w:tcMar>
              <w:top w:w="80" w:type="dxa"/>
              <w:left w:w="100" w:type="dxa"/>
              <w:bottom w:w="80" w:type="dxa"/>
              <w:right w:w="100" w:type="dxa"/>
            </w:tcMar>
            <w:vAlign w:val="center"/>
          </w:tcPr>
          <w:p w14:paraId="69FA72D8" w14:textId="77777777" w:rsidR="00055655" w:rsidRPr="00AF0244" w:rsidRDefault="0084722B">
            <w:pPr>
              <w:rPr>
                <w:sz w:val="22"/>
                <w:szCs w:val="22"/>
              </w:rPr>
            </w:pPr>
            <w:r w:rsidRPr="00AF0244">
              <w:rPr>
                <w:sz w:val="22"/>
                <w:szCs w:val="22"/>
              </w:rPr>
              <w:t>6th</w:t>
            </w:r>
          </w:p>
        </w:tc>
        <w:tc>
          <w:tcPr>
            <w:tcW w:w="3400" w:type="dxa"/>
            <w:tcMar>
              <w:top w:w="80" w:type="dxa"/>
              <w:left w:w="100" w:type="dxa"/>
              <w:bottom w:w="80" w:type="dxa"/>
              <w:right w:w="100" w:type="dxa"/>
            </w:tcMar>
            <w:vAlign w:val="center"/>
          </w:tcPr>
          <w:p w14:paraId="69FA72D9" w14:textId="77777777" w:rsidR="00055655" w:rsidRPr="00AF0244" w:rsidRDefault="0084722B">
            <w:pPr>
              <w:rPr>
                <w:sz w:val="22"/>
                <w:szCs w:val="22"/>
              </w:rPr>
            </w:pPr>
            <w:r w:rsidRPr="00AF0244">
              <w:rPr>
                <w:sz w:val="22"/>
                <w:szCs w:val="22"/>
              </w:rPr>
              <w:t>7th</w:t>
            </w:r>
          </w:p>
        </w:tc>
      </w:tr>
      <w:tr w:rsidR="00055655" w:rsidRPr="00AF0244" w14:paraId="69FA72DE" w14:textId="77777777">
        <w:tblPrEx>
          <w:tblCellMar>
            <w:top w:w="0" w:type="dxa"/>
            <w:bottom w:w="0" w:type="dxa"/>
          </w:tblCellMar>
        </w:tblPrEx>
        <w:tc>
          <w:tcPr>
            <w:tcW w:w="2400" w:type="dxa"/>
            <w:tcMar>
              <w:top w:w="80" w:type="dxa"/>
              <w:left w:w="100" w:type="dxa"/>
              <w:bottom w:w="80" w:type="dxa"/>
              <w:right w:w="100" w:type="dxa"/>
            </w:tcMar>
            <w:vAlign w:val="center"/>
          </w:tcPr>
          <w:p w14:paraId="69FA72DB" w14:textId="77777777" w:rsidR="00055655" w:rsidRPr="00AF0244" w:rsidRDefault="0084722B">
            <w:pPr>
              <w:rPr>
                <w:sz w:val="22"/>
                <w:szCs w:val="22"/>
              </w:rPr>
            </w:pPr>
            <w:r w:rsidRPr="00AF0244">
              <w:rPr>
                <w:sz w:val="22"/>
                <w:szCs w:val="22"/>
              </w:rPr>
              <w:t>Depth</w:t>
            </w:r>
          </w:p>
        </w:tc>
        <w:tc>
          <w:tcPr>
            <w:tcW w:w="3400" w:type="dxa"/>
            <w:tcMar>
              <w:top w:w="80" w:type="dxa"/>
              <w:left w:w="100" w:type="dxa"/>
              <w:bottom w:w="80" w:type="dxa"/>
              <w:right w:w="100" w:type="dxa"/>
            </w:tcMar>
            <w:vAlign w:val="center"/>
          </w:tcPr>
          <w:p w14:paraId="69FA72DC" w14:textId="77777777" w:rsidR="00055655" w:rsidRPr="00AF0244" w:rsidRDefault="0084722B">
            <w:pPr>
              <w:rPr>
                <w:sz w:val="22"/>
                <w:szCs w:val="22"/>
              </w:rPr>
            </w:pPr>
            <w:r w:rsidRPr="00AF0244">
              <w:rPr>
                <w:sz w:val="22"/>
                <w:szCs w:val="22"/>
              </w:rPr>
              <w:t>7th</w:t>
            </w:r>
          </w:p>
        </w:tc>
        <w:tc>
          <w:tcPr>
            <w:tcW w:w="3400" w:type="dxa"/>
            <w:tcMar>
              <w:top w:w="80" w:type="dxa"/>
              <w:left w:w="100" w:type="dxa"/>
              <w:bottom w:w="80" w:type="dxa"/>
              <w:right w:w="100" w:type="dxa"/>
            </w:tcMar>
            <w:vAlign w:val="center"/>
          </w:tcPr>
          <w:p w14:paraId="69FA72DD" w14:textId="77777777" w:rsidR="00055655" w:rsidRPr="00AF0244" w:rsidRDefault="0084722B">
            <w:pPr>
              <w:rPr>
                <w:sz w:val="22"/>
                <w:szCs w:val="22"/>
              </w:rPr>
            </w:pPr>
            <w:r w:rsidRPr="00AF0244">
              <w:rPr>
                <w:sz w:val="22"/>
                <w:szCs w:val="22"/>
              </w:rPr>
              <w:t>6th</w:t>
            </w:r>
          </w:p>
        </w:tc>
      </w:tr>
      <w:tr w:rsidR="00055655" w:rsidRPr="00AF0244" w14:paraId="69FA72E2" w14:textId="77777777">
        <w:tblPrEx>
          <w:tblCellMar>
            <w:top w:w="0" w:type="dxa"/>
            <w:bottom w:w="0" w:type="dxa"/>
          </w:tblCellMar>
        </w:tblPrEx>
        <w:tc>
          <w:tcPr>
            <w:tcW w:w="2400" w:type="dxa"/>
            <w:tcMar>
              <w:top w:w="80" w:type="dxa"/>
              <w:left w:w="100" w:type="dxa"/>
              <w:bottom w:w="80" w:type="dxa"/>
              <w:right w:w="100" w:type="dxa"/>
            </w:tcMar>
            <w:vAlign w:val="center"/>
          </w:tcPr>
          <w:p w14:paraId="69FA72DF" w14:textId="77777777" w:rsidR="00055655" w:rsidRPr="00AF0244" w:rsidRDefault="0084722B">
            <w:pPr>
              <w:rPr>
                <w:sz w:val="22"/>
                <w:szCs w:val="22"/>
              </w:rPr>
            </w:pPr>
            <w:r w:rsidRPr="00AF0244">
              <w:rPr>
                <w:sz w:val="22"/>
                <w:szCs w:val="22"/>
              </w:rPr>
              <w:t>Grazing</w:t>
            </w:r>
          </w:p>
        </w:tc>
        <w:tc>
          <w:tcPr>
            <w:tcW w:w="3400" w:type="dxa"/>
            <w:tcMar>
              <w:top w:w="80" w:type="dxa"/>
              <w:left w:w="100" w:type="dxa"/>
              <w:bottom w:w="80" w:type="dxa"/>
              <w:right w:w="100" w:type="dxa"/>
            </w:tcMar>
            <w:vAlign w:val="center"/>
          </w:tcPr>
          <w:p w14:paraId="69FA72E0" w14:textId="77777777" w:rsidR="00055655" w:rsidRPr="00AF0244" w:rsidRDefault="0084722B">
            <w:pPr>
              <w:rPr>
                <w:sz w:val="22"/>
                <w:szCs w:val="22"/>
              </w:rPr>
            </w:pPr>
            <w:r w:rsidRPr="00AF0244">
              <w:rPr>
                <w:sz w:val="22"/>
                <w:szCs w:val="22"/>
              </w:rPr>
              <w:t>Last (0.009)</w:t>
            </w:r>
          </w:p>
        </w:tc>
        <w:tc>
          <w:tcPr>
            <w:tcW w:w="3400" w:type="dxa"/>
            <w:tcMar>
              <w:top w:w="80" w:type="dxa"/>
              <w:left w:w="100" w:type="dxa"/>
              <w:bottom w:w="80" w:type="dxa"/>
              <w:right w:w="100" w:type="dxa"/>
            </w:tcMar>
            <w:vAlign w:val="center"/>
          </w:tcPr>
          <w:p w14:paraId="69FA72E1" w14:textId="77777777" w:rsidR="00055655" w:rsidRPr="00AF0244" w:rsidRDefault="0084722B">
            <w:pPr>
              <w:rPr>
                <w:sz w:val="22"/>
                <w:szCs w:val="22"/>
              </w:rPr>
            </w:pPr>
            <w:r w:rsidRPr="00AF0244">
              <w:rPr>
                <w:sz w:val="22"/>
                <w:szCs w:val="22"/>
              </w:rPr>
              <w:t>Last (0.017)</w:t>
            </w:r>
          </w:p>
        </w:tc>
      </w:tr>
    </w:tbl>
    <w:p w14:paraId="69FA72E3" w14:textId="77777777" w:rsidR="00055655" w:rsidRPr="00AF0244" w:rsidRDefault="0084722B">
      <w:pPr>
        <w:spacing w:after="160"/>
        <w:rPr>
          <w:sz w:val="22"/>
          <w:szCs w:val="22"/>
        </w:rPr>
      </w:pPr>
      <w:r w:rsidRPr="00AF0244">
        <w:rPr>
          <w:sz w:val="22"/>
          <w:szCs w:val="22"/>
        </w:rPr>
        <w:t>SPEI ranks third for NH4+ and fifth for NO3-, indicating that drought conditions provide explanatory value for ammonium dynamics beyond noise. Grazing ranks last for both response variables, consistent with a small effect size at the bulk pool level.</w:t>
      </w:r>
    </w:p>
    <w:p w14:paraId="69FA72E4" w14:textId="77777777" w:rsidR="00055655" w:rsidRPr="00AF0244" w:rsidRDefault="0084722B">
      <w:pPr>
        <w:pStyle w:val="Heading1"/>
        <w:spacing w:before="360" w:after="160"/>
        <w:rPr>
          <w:sz w:val="36"/>
          <w:szCs w:val="36"/>
        </w:rPr>
      </w:pPr>
      <w:r w:rsidRPr="00AF0244">
        <w:rPr>
          <w:sz w:val="36"/>
          <w:szCs w:val="36"/>
        </w:rPr>
        <w:t>Figures 5 &amp; 6 — NH4+ Forecasts by Depth and Grazing Status</w:t>
      </w:r>
    </w:p>
    <w:p w14:paraId="69FA72E5" w14:textId="77777777" w:rsidR="00055655" w:rsidRPr="00AF0244" w:rsidRDefault="0084722B">
      <w:pPr>
        <w:spacing w:after="80"/>
        <w:jc w:val="center"/>
        <w:rPr>
          <w:sz w:val="22"/>
          <w:szCs w:val="22"/>
        </w:rPr>
      </w:pPr>
      <w:r w:rsidRPr="00AF0244">
        <w:rPr>
          <w:noProof/>
          <w:sz w:val="22"/>
          <w:szCs w:val="22"/>
        </w:rPr>
        <w:drawing>
          <wp:inline distT="0" distB="0" distL="0" distR="0" wp14:anchorId="69FA7312" wp14:editId="69FA7313">
            <wp:extent cx="5715000" cy="1676400"/>
            <wp:effectExtent l="0" t="0" r="0" b="0"/>
            <wp:docPr id="1823513654" name="Picture 182351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676400"/>
                    </a:xfrm>
                    <a:prstGeom prst="rect">
                      <a:avLst/>
                    </a:prstGeom>
                  </pic:spPr>
                </pic:pic>
              </a:graphicData>
            </a:graphic>
          </wp:inline>
        </w:drawing>
      </w:r>
    </w:p>
    <w:p w14:paraId="69FA72E6" w14:textId="77777777" w:rsidR="00055655" w:rsidRPr="00AF0244" w:rsidRDefault="0084722B">
      <w:pPr>
        <w:spacing w:after="80"/>
        <w:jc w:val="center"/>
        <w:rPr>
          <w:sz w:val="22"/>
          <w:szCs w:val="22"/>
        </w:rPr>
      </w:pPr>
      <w:r w:rsidRPr="00AF0244">
        <w:rPr>
          <w:noProof/>
          <w:sz w:val="22"/>
          <w:szCs w:val="22"/>
        </w:rPr>
        <w:lastRenderedPageBreak/>
        <w:drawing>
          <wp:inline distT="0" distB="0" distL="0" distR="0" wp14:anchorId="69FA7314" wp14:editId="69FA7315">
            <wp:extent cx="5715000" cy="1676400"/>
            <wp:effectExtent l="0" t="0" r="0" b="0"/>
            <wp:docPr id="1252986678" name="Picture 125298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76400"/>
                    </a:xfrm>
                    <a:prstGeom prst="rect">
                      <a:avLst/>
                    </a:prstGeom>
                  </pic:spPr>
                </pic:pic>
              </a:graphicData>
            </a:graphic>
          </wp:inline>
        </w:drawing>
      </w:r>
    </w:p>
    <w:p w14:paraId="69FA72E7" w14:textId="77777777" w:rsidR="00055655" w:rsidRPr="00AF0244" w:rsidRDefault="0084722B">
      <w:pPr>
        <w:spacing w:after="240"/>
        <w:jc w:val="center"/>
        <w:rPr>
          <w:sz w:val="22"/>
          <w:szCs w:val="22"/>
        </w:rPr>
      </w:pPr>
      <w:r w:rsidRPr="00AF0244">
        <w:rPr>
          <w:i/>
          <w:iCs/>
          <w:color w:val="555555"/>
          <w:sz w:val="22"/>
          <w:szCs w:val="22"/>
        </w:rPr>
        <w:t>Figures 5–6. GPR forecasts for NH4+ at 0–10 cm and 10–20 cm, grazed vs. not grazed.</w:t>
      </w:r>
    </w:p>
    <w:p w14:paraId="69FA72E8" w14:textId="77777777" w:rsidR="00055655" w:rsidRPr="00AF0244" w:rsidRDefault="0084722B">
      <w:pPr>
        <w:spacing w:after="160"/>
        <w:rPr>
          <w:sz w:val="22"/>
          <w:szCs w:val="22"/>
        </w:rPr>
      </w:pPr>
      <w:r w:rsidRPr="00AF0244">
        <w:rPr>
          <w:sz w:val="22"/>
          <w:szCs w:val="22"/>
        </w:rPr>
        <w:t>A consistent pattern is observed across both depths:</w:t>
      </w:r>
    </w:p>
    <w:p w14:paraId="69FA72E9" w14:textId="77777777" w:rsidR="00055655" w:rsidRPr="00AF0244" w:rsidRDefault="0084722B">
      <w:pPr>
        <w:pStyle w:val="ListParagraph"/>
        <w:numPr>
          <w:ilvl w:val="0"/>
          <w:numId w:val="1"/>
        </w:numPr>
        <w:spacing w:after="80"/>
        <w:rPr>
          <w:sz w:val="22"/>
          <w:szCs w:val="22"/>
        </w:rPr>
      </w:pPr>
      <w:r w:rsidRPr="00AF0244">
        <w:rPr>
          <w:sz w:val="22"/>
          <w:szCs w:val="22"/>
        </w:rPr>
        <w:t>Non-grazed plots forecast higher NH4+ than grazed plots, particularly within Unfertilized Triticale, consistent with ammonium removal by grazing exceeding accumulation in the absence of an external N input.</w:t>
      </w:r>
    </w:p>
    <w:p w14:paraId="69FA72EA" w14:textId="77777777" w:rsidR="00055655" w:rsidRPr="00AF0244" w:rsidRDefault="0084722B">
      <w:pPr>
        <w:pStyle w:val="ListParagraph"/>
        <w:numPr>
          <w:ilvl w:val="0"/>
          <w:numId w:val="1"/>
        </w:numPr>
        <w:spacing w:after="80"/>
        <w:rPr>
          <w:sz w:val="22"/>
          <w:szCs w:val="22"/>
        </w:rPr>
      </w:pPr>
      <w:r w:rsidRPr="00AF0244">
        <w:rPr>
          <w:sz w:val="22"/>
          <w:szCs w:val="22"/>
        </w:rPr>
        <w:t>Fertilized Triticale shows the smallest difference between grazed and non-grazed forecasts, consistent with fertilizer N input offsetting removal by grazing.</w:t>
      </w:r>
    </w:p>
    <w:p w14:paraId="69FA72EB" w14:textId="77777777" w:rsidR="00055655" w:rsidRPr="00AF0244" w:rsidRDefault="0084722B">
      <w:pPr>
        <w:pStyle w:val="ListParagraph"/>
        <w:numPr>
          <w:ilvl w:val="0"/>
          <w:numId w:val="1"/>
        </w:numPr>
        <w:spacing w:after="80"/>
        <w:rPr>
          <w:sz w:val="22"/>
          <w:szCs w:val="22"/>
        </w:rPr>
      </w:pPr>
      <w:r w:rsidRPr="00AF0244">
        <w:rPr>
          <w:sz w:val="22"/>
          <w:szCs w:val="22"/>
        </w:rPr>
        <w:t>Triticale with Legume shows near-overlapping grazed/non-grazed trajectories, consistent with legume N fixation compensating for grazing removal.</w:t>
      </w:r>
    </w:p>
    <w:p w14:paraId="69FA72EC" w14:textId="77777777" w:rsidR="00055655" w:rsidRPr="00AF0244" w:rsidRDefault="0084722B">
      <w:pPr>
        <w:spacing w:after="160"/>
        <w:rPr>
          <w:sz w:val="22"/>
          <w:szCs w:val="22"/>
        </w:rPr>
      </w:pPr>
      <w:r w:rsidRPr="00AF0244">
        <w:rPr>
          <w:sz w:val="22"/>
          <w:szCs w:val="22"/>
        </w:rPr>
        <w:t xml:space="preserve">Confidence intervals remain wide for both NH4+ and NO3- following the addition of SPEI, reflecting the limited number of plot-level observations per year rather than </w:t>
      </w:r>
      <w:proofErr w:type="gramStart"/>
      <w:r w:rsidRPr="00AF0244">
        <w:rPr>
          <w:sz w:val="22"/>
          <w:szCs w:val="22"/>
        </w:rPr>
        <w:t>a modeling</w:t>
      </w:r>
      <w:proofErr w:type="gramEnd"/>
      <w:r w:rsidRPr="00AF0244">
        <w:rPr>
          <w:sz w:val="22"/>
          <w:szCs w:val="22"/>
        </w:rPr>
        <w:t xml:space="preserve"> deficiency. Band width is comparable between the two response variables. For presentation purposes, mean trajectories without confidence bands are recommended for both NH4+ and NO3-.</w:t>
      </w:r>
    </w:p>
    <w:p w14:paraId="69FA72ED" w14:textId="77777777" w:rsidR="00055655" w:rsidRPr="00AF0244" w:rsidRDefault="0084722B">
      <w:pPr>
        <w:pStyle w:val="Heading1"/>
        <w:spacing w:before="360" w:after="160"/>
        <w:rPr>
          <w:sz w:val="36"/>
          <w:szCs w:val="36"/>
        </w:rPr>
      </w:pPr>
      <w:r w:rsidRPr="00AF0244">
        <w:rPr>
          <w:sz w:val="36"/>
          <w:szCs w:val="36"/>
        </w:rPr>
        <w:t>Figures 7 &amp; 8 — NO3- Forecasts by Depth and Grazing Status</w:t>
      </w:r>
    </w:p>
    <w:p w14:paraId="69FA72EE" w14:textId="77777777" w:rsidR="00055655" w:rsidRPr="00AF0244" w:rsidRDefault="0084722B">
      <w:pPr>
        <w:spacing w:after="80"/>
        <w:jc w:val="center"/>
        <w:rPr>
          <w:sz w:val="22"/>
          <w:szCs w:val="22"/>
        </w:rPr>
      </w:pPr>
      <w:r w:rsidRPr="00AF0244">
        <w:rPr>
          <w:noProof/>
          <w:sz w:val="22"/>
          <w:szCs w:val="22"/>
        </w:rPr>
        <w:drawing>
          <wp:inline distT="0" distB="0" distL="0" distR="0" wp14:anchorId="69FA7316" wp14:editId="69FA7317">
            <wp:extent cx="5715000" cy="1685925"/>
            <wp:effectExtent l="0" t="0" r="0" b="0"/>
            <wp:docPr id="1381740909" name="Picture 138174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685925"/>
                    </a:xfrm>
                    <a:prstGeom prst="rect">
                      <a:avLst/>
                    </a:prstGeom>
                  </pic:spPr>
                </pic:pic>
              </a:graphicData>
            </a:graphic>
          </wp:inline>
        </w:drawing>
      </w:r>
    </w:p>
    <w:p w14:paraId="69FA72EF" w14:textId="77777777" w:rsidR="00055655" w:rsidRPr="00AF0244" w:rsidRDefault="0084722B">
      <w:pPr>
        <w:spacing w:after="80"/>
        <w:jc w:val="center"/>
        <w:rPr>
          <w:sz w:val="22"/>
          <w:szCs w:val="22"/>
        </w:rPr>
      </w:pPr>
      <w:r w:rsidRPr="00AF0244">
        <w:rPr>
          <w:noProof/>
          <w:sz w:val="22"/>
          <w:szCs w:val="22"/>
        </w:rPr>
        <w:drawing>
          <wp:inline distT="0" distB="0" distL="0" distR="0" wp14:anchorId="69FA7318" wp14:editId="69FA7319">
            <wp:extent cx="5715000" cy="1676400"/>
            <wp:effectExtent l="0" t="0" r="0" b="0"/>
            <wp:docPr id="1700266853" name="Picture 17002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676400"/>
                    </a:xfrm>
                    <a:prstGeom prst="rect">
                      <a:avLst/>
                    </a:prstGeom>
                  </pic:spPr>
                </pic:pic>
              </a:graphicData>
            </a:graphic>
          </wp:inline>
        </w:drawing>
      </w:r>
    </w:p>
    <w:p w14:paraId="69FA72F0" w14:textId="77777777" w:rsidR="00055655" w:rsidRPr="00AF0244" w:rsidRDefault="0084722B">
      <w:pPr>
        <w:spacing w:after="240"/>
        <w:jc w:val="center"/>
        <w:rPr>
          <w:sz w:val="22"/>
          <w:szCs w:val="22"/>
        </w:rPr>
      </w:pPr>
      <w:r w:rsidRPr="00AF0244">
        <w:rPr>
          <w:i/>
          <w:iCs/>
          <w:color w:val="555555"/>
          <w:sz w:val="22"/>
          <w:szCs w:val="22"/>
        </w:rPr>
        <w:t>Figures 7–8. GPR forecasts for NO3- at 0–10 cm and 10–20 cm, grazed vs. not grazed.</w:t>
      </w:r>
    </w:p>
    <w:p w14:paraId="69FA72F1" w14:textId="77777777" w:rsidR="00055655" w:rsidRPr="00AF0244" w:rsidRDefault="0084722B">
      <w:pPr>
        <w:pStyle w:val="Heading2"/>
        <w:spacing w:before="280" w:after="120"/>
        <w:rPr>
          <w:sz w:val="28"/>
          <w:szCs w:val="28"/>
        </w:rPr>
      </w:pPr>
      <w:r w:rsidRPr="00AF0244">
        <w:rPr>
          <w:sz w:val="28"/>
          <w:szCs w:val="28"/>
        </w:rPr>
        <w:lastRenderedPageBreak/>
        <w:t>0–10 cm</w:t>
      </w:r>
    </w:p>
    <w:p w14:paraId="69FA72F2" w14:textId="77777777" w:rsidR="00055655" w:rsidRPr="00AF0244" w:rsidRDefault="0084722B">
      <w:pPr>
        <w:pStyle w:val="ListParagraph"/>
        <w:numPr>
          <w:ilvl w:val="0"/>
          <w:numId w:val="1"/>
        </w:numPr>
        <w:spacing w:after="80"/>
        <w:rPr>
          <w:sz w:val="22"/>
          <w:szCs w:val="22"/>
        </w:rPr>
      </w:pPr>
      <w:r w:rsidRPr="00AF0244">
        <w:rPr>
          <w:sz w:val="22"/>
          <w:szCs w:val="22"/>
        </w:rPr>
        <w:t>Fertilized Triticale: grazed plots forecast higher NO3- than non-grazed plots, consistent with grazing accelerating N cycling through dung inputs undergoing nitrification.</w:t>
      </w:r>
    </w:p>
    <w:p w14:paraId="69FA72F3" w14:textId="77777777" w:rsidR="00055655" w:rsidRPr="00AF0244" w:rsidRDefault="0084722B">
      <w:pPr>
        <w:pStyle w:val="ListParagraph"/>
        <w:numPr>
          <w:ilvl w:val="0"/>
          <w:numId w:val="1"/>
        </w:numPr>
        <w:spacing w:after="80"/>
        <w:rPr>
          <w:sz w:val="22"/>
          <w:szCs w:val="22"/>
        </w:rPr>
      </w:pPr>
      <w:r w:rsidRPr="00AF0244">
        <w:rPr>
          <w:sz w:val="22"/>
          <w:szCs w:val="22"/>
        </w:rPr>
        <w:t>Unfertilized Triticale: grazed and non-grazed trajectories converge, consistent with grazing having minimal net effect on NO3- at this depth in the absence of an external N input.</w:t>
      </w:r>
    </w:p>
    <w:p w14:paraId="69FA72F4" w14:textId="77777777" w:rsidR="00055655" w:rsidRPr="00AF0244" w:rsidRDefault="0084722B">
      <w:pPr>
        <w:pStyle w:val="ListParagraph"/>
        <w:numPr>
          <w:ilvl w:val="0"/>
          <w:numId w:val="1"/>
        </w:numPr>
        <w:spacing w:after="80"/>
        <w:rPr>
          <w:sz w:val="22"/>
          <w:szCs w:val="22"/>
        </w:rPr>
      </w:pPr>
      <w:r w:rsidRPr="00AF0244">
        <w:rPr>
          <w:sz w:val="22"/>
          <w:szCs w:val="22"/>
        </w:rPr>
        <w:t>Triticale with Legume: grazed and non-grazed trajectories are nearly identical, consistent with legume N fixation dominating over grazing effects.</w:t>
      </w:r>
    </w:p>
    <w:p w14:paraId="69FA72F5" w14:textId="77777777" w:rsidR="00055655" w:rsidRPr="00AF0244" w:rsidRDefault="0084722B">
      <w:pPr>
        <w:pStyle w:val="Heading2"/>
        <w:spacing w:before="280" w:after="120"/>
        <w:rPr>
          <w:sz w:val="28"/>
          <w:szCs w:val="28"/>
        </w:rPr>
      </w:pPr>
      <w:r w:rsidRPr="00AF0244">
        <w:rPr>
          <w:sz w:val="28"/>
          <w:szCs w:val="28"/>
        </w:rPr>
        <w:t>10–20 cm</w:t>
      </w:r>
    </w:p>
    <w:p w14:paraId="69FA72F6" w14:textId="77777777" w:rsidR="00055655" w:rsidRPr="00AF0244" w:rsidRDefault="0084722B">
      <w:pPr>
        <w:pStyle w:val="ListParagraph"/>
        <w:numPr>
          <w:ilvl w:val="0"/>
          <w:numId w:val="1"/>
        </w:numPr>
        <w:spacing w:after="80"/>
        <w:rPr>
          <w:sz w:val="22"/>
          <w:szCs w:val="22"/>
        </w:rPr>
      </w:pPr>
      <w:r w:rsidRPr="00AF0244">
        <w:rPr>
          <w:sz w:val="22"/>
          <w:szCs w:val="22"/>
        </w:rPr>
        <w:t>Concentrations are lower overall across treatments, consistent with downward leaching of NO3-.</w:t>
      </w:r>
    </w:p>
    <w:p w14:paraId="69FA72F7" w14:textId="77777777" w:rsidR="00055655" w:rsidRPr="00AF0244" w:rsidRDefault="0084722B">
      <w:pPr>
        <w:pStyle w:val="ListParagraph"/>
        <w:numPr>
          <w:ilvl w:val="0"/>
          <w:numId w:val="1"/>
        </w:numPr>
        <w:spacing w:after="80"/>
        <w:rPr>
          <w:sz w:val="22"/>
          <w:szCs w:val="22"/>
        </w:rPr>
      </w:pPr>
      <w:r w:rsidRPr="00AF0244">
        <w:rPr>
          <w:sz w:val="22"/>
          <w:szCs w:val="22"/>
        </w:rPr>
        <w:t>Grazed Unfertilized plots trend higher than non-grazed plots at this depth, consistent with greater accumulation of leachable NO3- under grazing.</w:t>
      </w:r>
    </w:p>
    <w:p w14:paraId="69FA72F8" w14:textId="77777777" w:rsidR="00055655" w:rsidRPr="00AF0244" w:rsidRDefault="0084722B">
      <w:pPr>
        <w:pStyle w:val="Heading1"/>
        <w:spacing w:before="360" w:after="160"/>
        <w:rPr>
          <w:sz w:val="36"/>
          <w:szCs w:val="36"/>
        </w:rPr>
      </w:pPr>
      <w:r w:rsidRPr="00AF0244">
        <w:rPr>
          <w:sz w:val="36"/>
          <w:szCs w:val="36"/>
        </w:rPr>
        <w:t>Figure 9 — Grazing Effect Heatmap</w:t>
      </w:r>
    </w:p>
    <w:p w14:paraId="69FA72F9" w14:textId="77777777" w:rsidR="00055655" w:rsidRPr="00AF0244" w:rsidRDefault="0084722B">
      <w:pPr>
        <w:spacing w:after="80"/>
        <w:jc w:val="center"/>
        <w:rPr>
          <w:sz w:val="22"/>
          <w:szCs w:val="22"/>
        </w:rPr>
      </w:pPr>
      <w:r w:rsidRPr="00AF0244">
        <w:rPr>
          <w:noProof/>
          <w:sz w:val="22"/>
          <w:szCs w:val="22"/>
        </w:rPr>
        <w:drawing>
          <wp:inline distT="0" distB="0" distL="0" distR="0" wp14:anchorId="69FA731A" wp14:editId="69FA731B">
            <wp:extent cx="5715000" cy="2028825"/>
            <wp:effectExtent l="0" t="0" r="0" b="0"/>
            <wp:docPr id="2126184890" name="Picture 212618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28825"/>
                    </a:xfrm>
                    <a:prstGeom prst="rect">
                      <a:avLst/>
                    </a:prstGeom>
                  </pic:spPr>
                </pic:pic>
              </a:graphicData>
            </a:graphic>
          </wp:inline>
        </w:drawing>
      </w:r>
    </w:p>
    <w:p w14:paraId="69FA72FA" w14:textId="77777777" w:rsidR="00055655" w:rsidRPr="00AF0244" w:rsidRDefault="0084722B">
      <w:pPr>
        <w:spacing w:after="240"/>
        <w:jc w:val="center"/>
        <w:rPr>
          <w:sz w:val="22"/>
          <w:szCs w:val="22"/>
        </w:rPr>
      </w:pPr>
      <w:r w:rsidRPr="00AF0244">
        <w:rPr>
          <w:i/>
          <w:iCs/>
          <w:color w:val="555555"/>
          <w:sz w:val="22"/>
          <w:szCs w:val="22"/>
        </w:rPr>
        <w:t>Figure 9. Estimated grazing effect on NH4+ and NO3- by treatment and year.</w:t>
      </w:r>
    </w:p>
    <w:p w14:paraId="69FA72FB" w14:textId="77777777" w:rsidR="00055655" w:rsidRPr="00AF0244" w:rsidRDefault="0084722B">
      <w:pPr>
        <w:pStyle w:val="Heading2"/>
        <w:spacing w:before="280" w:after="120"/>
        <w:rPr>
          <w:sz w:val="28"/>
          <w:szCs w:val="28"/>
        </w:rPr>
      </w:pPr>
      <w:r w:rsidRPr="00AF0244">
        <w:rPr>
          <w:sz w:val="28"/>
          <w:szCs w:val="28"/>
        </w:rPr>
        <w:t>NH4+</w:t>
      </w:r>
    </w:p>
    <w:p w14:paraId="69FA72FC" w14:textId="77777777" w:rsidR="00055655" w:rsidRPr="00AF0244" w:rsidRDefault="0084722B">
      <w:pPr>
        <w:pStyle w:val="ListParagraph"/>
        <w:numPr>
          <w:ilvl w:val="0"/>
          <w:numId w:val="1"/>
        </w:numPr>
        <w:spacing w:after="80"/>
        <w:rPr>
          <w:sz w:val="22"/>
          <w:szCs w:val="22"/>
        </w:rPr>
      </w:pPr>
      <w:r w:rsidRPr="00AF0244">
        <w:rPr>
          <w:sz w:val="22"/>
          <w:szCs w:val="22"/>
        </w:rPr>
        <w:t xml:space="preserve">Unfertilized, 2023: −11.5 mg/kg (p &lt; </w:t>
      </w:r>
      <w:proofErr w:type="gramStart"/>
      <w:r w:rsidRPr="00AF0244">
        <w:rPr>
          <w:sz w:val="22"/>
          <w:szCs w:val="22"/>
        </w:rPr>
        <w:t>0.01) —</w:t>
      </w:r>
      <w:proofErr w:type="gramEnd"/>
      <w:r w:rsidRPr="00AF0244">
        <w:rPr>
          <w:sz w:val="22"/>
          <w:szCs w:val="22"/>
        </w:rPr>
        <w:t xml:space="preserve"> statistically significant depletion of ammonium under grazing in plots without fertilizer or legume input.</w:t>
      </w:r>
    </w:p>
    <w:p w14:paraId="69FA72FD" w14:textId="77777777" w:rsidR="00055655" w:rsidRPr="00AF0244" w:rsidRDefault="0084722B">
      <w:pPr>
        <w:pStyle w:val="ListParagraph"/>
        <w:numPr>
          <w:ilvl w:val="0"/>
          <w:numId w:val="1"/>
        </w:numPr>
        <w:spacing w:after="80"/>
        <w:rPr>
          <w:sz w:val="22"/>
          <w:szCs w:val="22"/>
        </w:rPr>
      </w:pPr>
      <w:r w:rsidRPr="00AF0244">
        <w:rPr>
          <w:sz w:val="22"/>
          <w:szCs w:val="22"/>
        </w:rPr>
        <w:t xml:space="preserve">Fertilized, 2023: +5.3 mg/kg (not </w:t>
      </w:r>
      <w:proofErr w:type="gramStart"/>
      <w:r w:rsidRPr="00AF0244">
        <w:rPr>
          <w:sz w:val="22"/>
          <w:szCs w:val="22"/>
        </w:rPr>
        <w:t>significant) —</w:t>
      </w:r>
      <w:proofErr w:type="gramEnd"/>
      <w:r w:rsidRPr="00AF0244">
        <w:rPr>
          <w:sz w:val="22"/>
          <w:szCs w:val="22"/>
        </w:rPr>
        <w:t xml:space="preserve"> a modest increase associated with grazing, consistent with dung deposition.</w:t>
      </w:r>
    </w:p>
    <w:p w14:paraId="69FA72FE" w14:textId="77777777" w:rsidR="00055655" w:rsidRPr="00AF0244" w:rsidRDefault="0084722B">
      <w:pPr>
        <w:pStyle w:val="ListParagraph"/>
        <w:numPr>
          <w:ilvl w:val="0"/>
          <w:numId w:val="1"/>
        </w:numPr>
        <w:spacing w:after="80"/>
        <w:rPr>
          <w:sz w:val="22"/>
          <w:szCs w:val="22"/>
        </w:rPr>
      </w:pPr>
      <w:r w:rsidRPr="00AF0244">
        <w:rPr>
          <w:sz w:val="22"/>
          <w:szCs w:val="22"/>
        </w:rPr>
        <w:t xml:space="preserve">Triticale with Legume, 2023: +4.7 mg/kg (not </w:t>
      </w:r>
      <w:proofErr w:type="gramStart"/>
      <w:r w:rsidRPr="00AF0244">
        <w:rPr>
          <w:sz w:val="22"/>
          <w:szCs w:val="22"/>
        </w:rPr>
        <w:t>significant) —</w:t>
      </w:r>
      <w:proofErr w:type="gramEnd"/>
      <w:r w:rsidRPr="00AF0244">
        <w:rPr>
          <w:sz w:val="22"/>
          <w:szCs w:val="22"/>
        </w:rPr>
        <w:t xml:space="preserve"> a comparable non-significant increase.</w:t>
      </w:r>
    </w:p>
    <w:p w14:paraId="69FA72FF" w14:textId="77777777" w:rsidR="00055655" w:rsidRPr="00AF0244" w:rsidRDefault="0084722B">
      <w:pPr>
        <w:pStyle w:val="Heading2"/>
        <w:spacing w:before="280" w:after="120"/>
        <w:rPr>
          <w:sz w:val="28"/>
          <w:szCs w:val="28"/>
        </w:rPr>
      </w:pPr>
      <w:r w:rsidRPr="00AF0244">
        <w:rPr>
          <w:sz w:val="28"/>
          <w:szCs w:val="28"/>
        </w:rPr>
        <w:t>NO3-</w:t>
      </w:r>
    </w:p>
    <w:p w14:paraId="69FA7300" w14:textId="77777777" w:rsidR="00055655" w:rsidRPr="00AF0244" w:rsidRDefault="0084722B">
      <w:pPr>
        <w:pStyle w:val="ListParagraph"/>
        <w:numPr>
          <w:ilvl w:val="0"/>
          <w:numId w:val="1"/>
        </w:numPr>
        <w:spacing w:after="80"/>
        <w:rPr>
          <w:sz w:val="22"/>
          <w:szCs w:val="22"/>
        </w:rPr>
      </w:pPr>
      <w:r w:rsidRPr="00AF0244">
        <w:rPr>
          <w:sz w:val="22"/>
          <w:szCs w:val="22"/>
        </w:rPr>
        <w:t xml:space="preserve">Unfertilized, 2023: −15.0 mg/kg (p &lt; </w:t>
      </w:r>
      <w:proofErr w:type="gramStart"/>
      <w:r w:rsidRPr="00AF0244">
        <w:rPr>
          <w:sz w:val="22"/>
          <w:szCs w:val="22"/>
        </w:rPr>
        <w:t>0.01) —</w:t>
      </w:r>
      <w:proofErr w:type="gramEnd"/>
      <w:r w:rsidRPr="00AF0244">
        <w:rPr>
          <w:sz w:val="22"/>
          <w:szCs w:val="22"/>
        </w:rPr>
        <w:t xml:space="preserve"> significant depletion, larger in magnitude than the corresponding NH4+ effect.</w:t>
      </w:r>
    </w:p>
    <w:p w14:paraId="69FA7301" w14:textId="77777777" w:rsidR="00055655" w:rsidRPr="00AF0244" w:rsidRDefault="0084722B">
      <w:pPr>
        <w:pStyle w:val="ListParagraph"/>
        <w:numPr>
          <w:ilvl w:val="0"/>
          <w:numId w:val="1"/>
        </w:numPr>
        <w:spacing w:after="80"/>
        <w:rPr>
          <w:sz w:val="22"/>
          <w:szCs w:val="22"/>
        </w:rPr>
      </w:pPr>
      <w:r w:rsidRPr="00AF0244">
        <w:rPr>
          <w:sz w:val="22"/>
          <w:szCs w:val="22"/>
        </w:rPr>
        <w:t>Triticale with Legume, 2021: −9.9 mg/kg — a large negative effect during the drought year, potentially reflecting reduced legume N fixation under drought stress combined with continued grazing pressure.</w:t>
      </w:r>
    </w:p>
    <w:p w14:paraId="69FA7302" w14:textId="77777777" w:rsidR="00055655" w:rsidRDefault="0084722B">
      <w:pPr>
        <w:pStyle w:val="ListParagraph"/>
        <w:numPr>
          <w:ilvl w:val="0"/>
          <w:numId w:val="1"/>
        </w:numPr>
        <w:spacing w:after="80"/>
        <w:rPr>
          <w:sz w:val="22"/>
          <w:szCs w:val="22"/>
        </w:rPr>
      </w:pPr>
      <w:r w:rsidRPr="00AF0244">
        <w:rPr>
          <w:sz w:val="22"/>
          <w:szCs w:val="22"/>
        </w:rPr>
        <w:t xml:space="preserve">Fertilized, 2021: +4.7 mg/kg (p &lt; </w:t>
      </w:r>
      <w:proofErr w:type="gramStart"/>
      <w:r w:rsidRPr="00AF0244">
        <w:rPr>
          <w:sz w:val="22"/>
          <w:szCs w:val="22"/>
        </w:rPr>
        <w:t>0.05) —</w:t>
      </w:r>
      <w:proofErr w:type="gramEnd"/>
      <w:r w:rsidRPr="00AF0244">
        <w:rPr>
          <w:sz w:val="22"/>
          <w:szCs w:val="22"/>
        </w:rPr>
        <w:t xml:space="preserve"> grazing associated with increased N mineralization in fertilized plots under drought conditions.</w:t>
      </w:r>
    </w:p>
    <w:p w14:paraId="30FBB015" w14:textId="77777777" w:rsidR="00AF0244" w:rsidRDefault="00AF0244" w:rsidP="00AF0244">
      <w:pPr>
        <w:spacing w:after="80"/>
        <w:rPr>
          <w:sz w:val="22"/>
          <w:szCs w:val="22"/>
        </w:rPr>
      </w:pPr>
    </w:p>
    <w:p w14:paraId="199D2365" w14:textId="77777777" w:rsidR="00AF0244" w:rsidRPr="00AF0244" w:rsidRDefault="00AF0244" w:rsidP="00AF0244">
      <w:pPr>
        <w:spacing w:after="80"/>
        <w:rPr>
          <w:sz w:val="22"/>
          <w:szCs w:val="22"/>
        </w:rPr>
      </w:pPr>
    </w:p>
    <w:p w14:paraId="69FA7303" w14:textId="77777777" w:rsidR="00055655" w:rsidRPr="00AF0244" w:rsidRDefault="0084722B">
      <w:pPr>
        <w:pStyle w:val="Heading2"/>
        <w:spacing w:before="280" w:after="120"/>
        <w:rPr>
          <w:sz w:val="28"/>
          <w:szCs w:val="28"/>
        </w:rPr>
      </w:pPr>
      <w:r w:rsidRPr="00AF0244">
        <w:rPr>
          <w:sz w:val="28"/>
          <w:szCs w:val="28"/>
        </w:rPr>
        <w:lastRenderedPageBreak/>
        <w:t>S</w:t>
      </w:r>
      <w:r w:rsidRPr="00AF0244">
        <w:rPr>
          <w:sz w:val="28"/>
          <w:szCs w:val="28"/>
        </w:rPr>
        <w:t>ummary</w:t>
      </w:r>
    </w:p>
    <w:p w14:paraId="69FA7304" w14:textId="77777777" w:rsidR="00055655" w:rsidRPr="00AF0244" w:rsidRDefault="0084722B">
      <w:pPr>
        <w:spacing w:after="160"/>
        <w:rPr>
          <w:sz w:val="22"/>
          <w:szCs w:val="22"/>
        </w:rPr>
      </w:pPr>
      <w:r w:rsidRPr="00AF0244">
        <w:rPr>
          <w:sz w:val="22"/>
          <w:szCs w:val="22"/>
        </w:rPr>
        <w:t>The grazing effect on soil N pools depends on the presence of an external N input. In plots receiving fertilizer or legume-associated N inputs, the effect of grazing on NH4+ and NO3- is neutral to slightly positive. In unfertilized plots, grazing is associated with statistically significant depletion of both NH4+ and NO3-, an effect that increases in magnitude through 2023.</w:t>
      </w:r>
    </w:p>
    <w:p w14:paraId="69FA7305" w14:textId="77777777" w:rsidR="00055655" w:rsidRPr="00AF0244" w:rsidRDefault="0084722B">
      <w:pPr>
        <w:pStyle w:val="Heading1"/>
        <w:spacing w:before="360" w:after="160"/>
        <w:rPr>
          <w:sz w:val="36"/>
          <w:szCs w:val="36"/>
        </w:rPr>
      </w:pPr>
      <w:r w:rsidRPr="00AF0244">
        <w:rPr>
          <w:sz w:val="36"/>
          <w:szCs w:val="36"/>
        </w:rPr>
        <w:t>Model v2.1 — Overall Summary</w:t>
      </w:r>
    </w:p>
    <w:p w14:paraId="69FA7306" w14:textId="77777777" w:rsidR="00055655" w:rsidRPr="00AF0244" w:rsidRDefault="0084722B">
      <w:pPr>
        <w:spacing w:after="160"/>
        <w:rPr>
          <w:sz w:val="22"/>
          <w:szCs w:val="22"/>
        </w:rPr>
      </w:pPr>
      <w:r w:rsidRPr="00AF0244">
        <w:rPr>
          <w:sz w:val="22"/>
          <w:szCs w:val="22"/>
        </w:rPr>
        <w:t>Three findings are highlighted from this analysis:</w:t>
      </w:r>
    </w:p>
    <w:p w14:paraId="69FA7307" w14:textId="77777777" w:rsidR="00055655" w:rsidRPr="00AF0244" w:rsidRDefault="0084722B">
      <w:pPr>
        <w:pStyle w:val="ListParagraph"/>
        <w:numPr>
          <w:ilvl w:val="0"/>
          <w:numId w:val="1"/>
        </w:numPr>
        <w:spacing w:after="80"/>
        <w:rPr>
          <w:sz w:val="22"/>
          <w:szCs w:val="22"/>
        </w:rPr>
      </w:pPr>
      <w:r w:rsidRPr="00AF0244">
        <w:rPr>
          <w:sz w:val="22"/>
          <w:szCs w:val="22"/>
        </w:rPr>
        <w:t>Year and remote sensing indices (NDVI, EVI, SAR VV) are the strongest predictors of soil N dynamics; treatment alone accounts for a small proportion of variance over the five-year period.</w:t>
      </w:r>
    </w:p>
    <w:p w14:paraId="69FA7308" w14:textId="77777777" w:rsidR="00055655" w:rsidRPr="00AF0244" w:rsidRDefault="0084722B">
      <w:pPr>
        <w:pStyle w:val="ListParagraph"/>
        <w:numPr>
          <w:ilvl w:val="0"/>
          <w:numId w:val="1"/>
        </w:numPr>
        <w:spacing w:after="80"/>
        <w:rPr>
          <w:sz w:val="22"/>
          <w:szCs w:val="22"/>
        </w:rPr>
      </w:pPr>
      <w:r w:rsidRPr="00AF0244">
        <w:rPr>
          <w:sz w:val="22"/>
          <w:szCs w:val="22"/>
        </w:rPr>
        <w:t>The SPEI drought index captures the 2021 decline in nitrogen concentrations, indicating climate variability as a confounding factor in treatment comparisons.</w:t>
      </w:r>
    </w:p>
    <w:p w14:paraId="69FA7309" w14:textId="77777777" w:rsidR="00055655" w:rsidRPr="00AF0244" w:rsidRDefault="0084722B">
      <w:pPr>
        <w:pStyle w:val="ListParagraph"/>
        <w:numPr>
          <w:ilvl w:val="0"/>
          <w:numId w:val="1"/>
        </w:numPr>
        <w:spacing w:after="80"/>
        <w:rPr>
          <w:sz w:val="22"/>
          <w:szCs w:val="22"/>
        </w:rPr>
      </w:pPr>
      <w:r w:rsidRPr="00AF0244">
        <w:rPr>
          <w:sz w:val="22"/>
          <w:szCs w:val="22"/>
        </w:rPr>
        <w:t>The grazing × treatment interaction is the most consistent biological signal in the dataset: grazing is associated with significant soil N depletion in unfertilized plots (p &lt; 0.01), while remaining neutral to slightly positive in fertilized and legume-</w:t>
      </w:r>
      <w:proofErr w:type="spellStart"/>
      <w:r w:rsidRPr="00AF0244">
        <w:rPr>
          <w:sz w:val="22"/>
          <w:szCs w:val="22"/>
        </w:rPr>
        <w:t>interseeded</w:t>
      </w:r>
      <w:proofErr w:type="spellEnd"/>
      <w:r w:rsidRPr="00AF0244">
        <w:rPr>
          <w:sz w:val="22"/>
          <w:szCs w:val="22"/>
        </w:rPr>
        <w:t xml:space="preserve"> plots.</w:t>
      </w:r>
    </w:p>
    <w:sectPr w:rsidR="00055655" w:rsidRPr="00AF02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107D3"/>
    <w:multiLevelType w:val="hybridMultilevel"/>
    <w:tmpl w:val="BB9607F6"/>
    <w:lvl w:ilvl="0" w:tplc="CA5A8C06">
      <w:start w:val="1"/>
      <w:numFmt w:val="bullet"/>
      <w:lvlText w:val="●"/>
      <w:lvlJc w:val="left"/>
      <w:pPr>
        <w:ind w:left="720" w:hanging="360"/>
      </w:pPr>
    </w:lvl>
    <w:lvl w:ilvl="1" w:tplc="4FBE8702">
      <w:start w:val="1"/>
      <w:numFmt w:val="bullet"/>
      <w:lvlText w:val="○"/>
      <w:lvlJc w:val="left"/>
      <w:pPr>
        <w:ind w:left="1440" w:hanging="360"/>
      </w:pPr>
    </w:lvl>
    <w:lvl w:ilvl="2" w:tplc="E5520E8A">
      <w:start w:val="1"/>
      <w:numFmt w:val="bullet"/>
      <w:lvlText w:val="■"/>
      <w:lvlJc w:val="left"/>
      <w:pPr>
        <w:ind w:left="2160" w:hanging="360"/>
      </w:pPr>
    </w:lvl>
    <w:lvl w:ilvl="3" w:tplc="30AC9D1E">
      <w:start w:val="1"/>
      <w:numFmt w:val="bullet"/>
      <w:lvlText w:val="●"/>
      <w:lvlJc w:val="left"/>
      <w:pPr>
        <w:ind w:left="2880" w:hanging="360"/>
      </w:pPr>
    </w:lvl>
    <w:lvl w:ilvl="4" w:tplc="0D748FF6">
      <w:start w:val="1"/>
      <w:numFmt w:val="bullet"/>
      <w:lvlText w:val="○"/>
      <w:lvlJc w:val="left"/>
      <w:pPr>
        <w:ind w:left="3600" w:hanging="360"/>
      </w:pPr>
    </w:lvl>
    <w:lvl w:ilvl="5" w:tplc="461CFDD6">
      <w:start w:val="1"/>
      <w:numFmt w:val="bullet"/>
      <w:lvlText w:val="■"/>
      <w:lvlJc w:val="left"/>
      <w:pPr>
        <w:ind w:left="4320" w:hanging="360"/>
      </w:pPr>
    </w:lvl>
    <w:lvl w:ilvl="6" w:tplc="A510D47E">
      <w:start w:val="1"/>
      <w:numFmt w:val="bullet"/>
      <w:lvlText w:val="●"/>
      <w:lvlJc w:val="left"/>
      <w:pPr>
        <w:ind w:left="5040" w:hanging="360"/>
      </w:pPr>
    </w:lvl>
    <w:lvl w:ilvl="7" w:tplc="965A93A6">
      <w:start w:val="1"/>
      <w:numFmt w:val="bullet"/>
      <w:lvlText w:val="●"/>
      <w:lvlJc w:val="left"/>
      <w:pPr>
        <w:ind w:left="5760" w:hanging="360"/>
      </w:pPr>
    </w:lvl>
    <w:lvl w:ilvl="8" w:tplc="AA52A834">
      <w:start w:val="1"/>
      <w:numFmt w:val="bullet"/>
      <w:lvlText w:val="●"/>
      <w:lvlJc w:val="left"/>
      <w:pPr>
        <w:ind w:left="6480" w:hanging="360"/>
      </w:pPr>
    </w:lvl>
  </w:abstractNum>
  <w:num w:numId="1" w16cid:durableId="771511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655"/>
    <w:rsid w:val="00055655"/>
    <w:rsid w:val="0084722B"/>
    <w:rsid w:val="00AF0244"/>
    <w:rsid w:val="00C45A1F"/>
    <w:rsid w:val="00CA0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A725A"/>
  <w15:docId w15:val="{03B3AE58-6D4B-497C-A17C-C1AE5A66C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1483</Words>
  <Characters>8455</Characters>
  <Application>Microsoft Office Word</Application>
  <DocSecurity>0</DocSecurity>
  <Lines>70</Lines>
  <Paragraphs>19</Paragraphs>
  <ScaleCrop>false</ScaleCrop>
  <Company>University of Nebraska-Lincoln</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Aldi Airori</cp:lastModifiedBy>
  <cp:revision>3</cp:revision>
  <cp:lastPrinted>2026-08-21T16:07:00Z</cp:lastPrinted>
  <dcterms:created xsi:type="dcterms:W3CDTF">2026-08-21T16:03:00Z</dcterms:created>
  <dcterms:modified xsi:type="dcterms:W3CDTF">2026-08-21T16:08:00Z</dcterms:modified>
</cp:coreProperties>
</file>