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45D6AD" w14:textId="346680F1" w:rsidR="00BF1495" w:rsidRPr="00BF1495" w:rsidRDefault="00BF1495" w:rsidP="00BF1495">
      <w:pPr>
        <w:pStyle w:val="1"/>
        <w:numPr>
          <w:ilvl w:val="0"/>
          <w:numId w:val="0"/>
        </w:numPr>
        <w:jc w:val="center"/>
      </w:pPr>
      <w:bookmarkStart w:id="0" w:name="_Hlk137364938"/>
      <w:r w:rsidRPr="00BF1495">
        <w:t>SVM-Based Diagnosis of Pneumonia with MGSPLO Wrapper Feature Selection on Blood Routine and Inflammatory Markers</w:t>
      </w:r>
    </w:p>
    <w:p w14:paraId="572E39C1" w14:textId="77777777" w:rsidR="00857A4A" w:rsidRPr="007C2868" w:rsidRDefault="00857A4A" w:rsidP="00857A4A">
      <w:pPr>
        <w:rPr>
          <w:rFonts w:ascii="Garamond" w:hAnsi="Garamond"/>
        </w:rPr>
      </w:pPr>
    </w:p>
    <w:p w14:paraId="7E6C185C" w14:textId="1A5C5BAD" w:rsidR="006B73EB" w:rsidRPr="007C2868" w:rsidRDefault="00000000" w:rsidP="00E66FA0">
      <w:pPr>
        <w:pStyle w:val="1"/>
        <w:numPr>
          <w:ilvl w:val="0"/>
          <w:numId w:val="0"/>
        </w:numPr>
      </w:pPr>
      <w:r w:rsidRPr="007C2868">
        <w:t>Abstract</w:t>
      </w:r>
    </w:p>
    <w:p w14:paraId="2ED37123" w14:textId="31AADC60" w:rsidR="00A94199" w:rsidRPr="007C2868" w:rsidRDefault="00A94199">
      <w:pPr>
        <w:ind w:firstLineChars="200" w:firstLine="420"/>
        <w:rPr>
          <w:rFonts w:ascii="Garamond" w:hAnsi="Garamond" w:cs="Garamond"/>
        </w:rPr>
      </w:pPr>
      <w:r w:rsidRPr="00A94199">
        <w:rPr>
          <w:rFonts w:ascii="Garamond" w:hAnsi="Garamond" w:cs="Garamond"/>
        </w:rPr>
        <w:t>Accurate diagnosis of pneumonia is a critical challenge in clinical practice, often complicated by the latency of imaging findings and the high dimensionality of blood biomarker data. While meta-heuristic algorithms are effective for feature selection, many standard approaches suffer from inefficient full-vector updates in high-dimensional spaces and lack momentum-based guidance during exploitation, leading to premature convergence and unstable feature subsets. To address this, we propose a novel hybrid meta-heuristic: the Multi-dimensional Gradient interaction Search Polar Lights Optimizer (MGSPLO). The proposed MGSPLO enhances search capability by integrating a Dynamic Gradient Interaction System (DGIS) inspired by the Adam optimizer to provide stable, momentum-guided convergence, alongside Starfish-inspired hybrid search patterns. This hybridization aims to adaptively navigate high-dimensional feature spaces by selecting specific dimensions to update, effectively balancing exploration and exploitation while improving the algorithm's ability to escape local optima. Finally, for the task of pneumonia detection, a wrapper-based feature selection model is proposed, which combines a binary version of MGSPLO with a Support Vector Machine (SVM) classifier. Experiments on a real-world clinical cohort utilizing blood routine and inflammatory markers demonstrate that the proposed model is highly effective, achieving superior diagnostic accuracy while identifying compact, interpretable subsets compared to other state-of-the-art methods.</w:t>
      </w:r>
    </w:p>
    <w:p w14:paraId="638988AF" w14:textId="77777777" w:rsidR="006B73EB" w:rsidRPr="007C2868" w:rsidRDefault="006B73EB">
      <w:pPr>
        <w:rPr>
          <w:rFonts w:ascii="Garamond" w:hAnsi="Garamond" w:cs="Garamond"/>
          <w:b/>
          <w:bCs/>
          <w:sz w:val="24"/>
          <w:szCs w:val="24"/>
          <w:lang w:bidi="ar"/>
        </w:rPr>
      </w:pPr>
    </w:p>
    <w:p w14:paraId="2E4D9245" w14:textId="1515C0F1" w:rsidR="006B73EB" w:rsidRDefault="00000000">
      <w:pPr>
        <w:rPr>
          <w:rFonts w:ascii="Garamond" w:hAnsi="Garamond" w:cs="Garamond"/>
        </w:rPr>
      </w:pPr>
      <w:r w:rsidRPr="007C2868">
        <w:rPr>
          <w:rFonts w:ascii="Garamond" w:hAnsi="Garamond" w:cs="Garamond"/>
          <w:b/>
          <w:bCs/>
        </w:rPr>
        <w:t>Keywords:</w:t>
      </w:r>
      <w:r w:rsidRPr="007C2868">
        <w:rPr>
          <w:rFonts w:ascii="Garamond" w:hAnsi="Garamond" w:cs="Garamond"/>
        </w:rPr>
        <w:t xml:space="preserve"> </w:t>
      </w:r>
      <w:r w:rsidR="00A94199" w:rsidRPr="00A94199">
        <w:rPr>
          <w:rFonts w:ascii="Garamond" w:hAnsi="Garamond" w:cs="Garamond"/>
        </w:rPr>
        <w:t>Pneumonia diagnosis; Feature selection; Polar Lights Optimizer; Support Vector Machine</w:t>
      </w:r>
    </w:p>
    <w:p w14:paraId="178C8C41" w14:textId="77777777" w:rsidR="00A94199" w:rsidRPr="007C2868" w:rsidRDefault="00A94199">
      <w:pPr>
        <w:rPr>
          <w:rFonts w:ascii="Garamond" w:hAnsi="Garamond" w:cs="Garamond"/>
        </w:rPr>
      </w:pPr>
    </w:p>
    <w:p w14:paraId="11EBC49B" w14:textId="368BBE40" w:rsidR="00BF1495" w:rsidRPr="00BF1495" w:rsidRDefault="00000000" w:rsidP="00BF1495">
      <w:pPr>
        <w:pStyle w:val="1"/>
      </w:pPr>
      <w:r w:rsidRPr="007C2868">
        <w:t>Introduction</w:t>
      </w:r>
    </w:p>
    <w:p w14:paraId="449402AD" w14:textId="77777777" w:rsidR="00BF1495" w:rsidRPr="00BF1495" w:rsidRDefault="00BF1495" w:rsidP="00BF1495">
      <w:pPr>
        <w:ind w:firstLine="420"/>
        <w:rPr>
          <w:rFonts w:ascii="Garamond" w:hAnsi="Garamond" w:cs="Garamond"/>
        </w:rPr>
      </w:pPr>
      <w:r w:rsidRPr="00BF1495">
        <w:rPr>
          <w:rFonts w:ascii="Garamond" w:hAnsi="Garamond" w:cs="Garamond"/>
        </w:rPr>
        <w:t>Pneumonia is a common and sometimes life</w:t>
      </w:r>
      <w:r w:rsidRPr="00BF1495">
        <w:rPr>
          <w:rFonts w:ascii="Garamond" w:hAnsi="Garamond" w:cs="Garamond"/>
        </w:rPr>
        <w:noBreakHyphen/>
        <w:t>threatening lung infection that causes major illness and death around the world [1]. Lower respiratory infections remain a leading cause of mortality across ages and regions [2]. Community</w:t>
      </w:r>
      <w:r w:rsidRPr="00BF1495">
        <w:rPr>
          <w:rFonts w:ascii="Garamond" w:hAnsi="Garamond" w:cs="Garamond"/>
        </w:rPr>
        <w:noBreakHyphen/>
        <w:t>acquired pneumonia (CAP) ranges from mild disease managed as an outpatient to severe illness with respiratory failure and sepsis that requires intensive care [3]. Recent reviews summarize this clinical spectrum and its implications for care [4]. Clinicians typically combine symptoms and signs with chest imaging and basic laboratory tests to diagnose CAP [3, 5]. Quality standards emphasize early chest radiography and timely antibiotics when pneumonia is suspected [6]. Chest X</w:t>
      </w:r>
      <w:r w:rsidRPr="00BF1495">
        <w:rPr>
          <w:rFonts w:ascii="Garamond" w:hAnsi="Garamond" w:cs="Garamond"/>
        </w:rPr>
        <w:noBreakHyphen/>
        <w:t>ray can be unavailable, inconclusive, or even negative early in the disease [7]. Computed tomography may reveal CAP when the X</w:t>
      </w:r>
      <w:r w:rsidRPr="00BF1495">
        <w:rPr>
          <w:rFonts w:ascii="Garamond" w:hAnsi="Garamond" w:cs="Garamond"/>
        </w:rPr>
        <w:noBreakHyphen/>
        <w:t>ray is negative and can support earlier decisions in the emergency department [8, 9]. These gaps sustain diagnostic uncertainty, which can both delay treatment and promote unnecessary antibiotics. There is a need for data</w:t>
      </w:r>
      <w:r w:rsidRPr="00BF1495">
        <w:rPr>
          <w:rFonts w:ascii="Garamond" w:hAnsi="Garamond" w:cs="Garamond"/>
        </w:rPr>
        <w:noBreakHyphen/>
        <w:t>driven tools that use routine clinical information to make diagnosis earlier and more reliable.</w:t>
      </w:r>
    </w:p>
    <w:p w14:paraId="7D3788C7" w14:textId="77777777" w:rsidR="00BF1495" w:rsidRPr="00BF1495" w:rsidRDefault="00BF1495" w:rsidP="00BF1495">
      <w:pPr>
        <w:ind w:firstLine="420"/>
        <w:rPr>
          <w:rFonts w:ascii="Garamond" w:hAnsi="Garamond" w:cs="Garamond"/>
        </w:rPr>
      </w:pPr>
      <w:r w:rsidRPr="00BF1495">
        <w:rPr>
          <w:rFonts w:ascii="Garamond" w:hAnsi="Garamond" w:cs="Garamond"/>
        </w:rPr>
        <w:t>Blood biomarkers of the host response are widely used in suspected pneumonia, including complete blood count (CBC) indices and acute</w:t>
      </w:r>
      <w:r w:rsidRPr="00BF1495">
        <w:rPr>
          <w:rFonts w:ascii="Garamond" w:hAnsi="Garamond" w:cs="Garamond"/>
        </w:rPr>
        <w:noBreakHyphen/>
        <w:t>phase reactants such as C</w:t>
      </w:r>
      <w:r w:rsidRPr="00BF1495">
        <w:rPr>
          <w:rFonts w:ascii="Garamond" w:hAnsi="Garamond" w:cs="Garamond"/>
        </w:rPr>
        <w:noBreakHyphen/>
        <w:t xml:space="preserve">reactive protein (CRP) and </w:t>
      </w:r>
      <w:r w:rsidRPr="00BF1495">
        <w:rPr>
          <w:rFonts w:ascii="Garamond" w:hAnsi="Garamond" w:cs="Garamond"/>
        </w:rPr>
        <w:lastRenderedPageBreak/>
        <w:t>procalcitonin (PCT) [10, 11]. PCT</w:t>
      </w:r>
      <w:r w:rsidRPr="00BF1495">
        <w:rPr>
          <w:rFonts w:ascii="Garamond" w:hAnsi="Garamond" w:cs="Garamond"/>
        </w:rPr>
        <w:noBreakHyphen/>
        <w:t>guided antibiotic strategies have been studied extensively in acute respiratory infections [12]. Leukocytosis with neutrophil predominance and raised CRP levels are common in bacterial CAP [13]. Higher CRP has also been linked to disease severity and worse outcomes [14, 15]. Ratios derived from the CBC capture inflammation in a compact form. The neutrophil</w:t>
      </w:r>
      <w:r w:rsidRPr="00BF1495">
        <w:rPr>
          <w:rFonts w:ascii="Garamond" w:hAnsi="Garamond" w:cs="Garamond"/>
        </w:rPr>
        <w:noBreakHyphen/>
        <w:t>to</w:t>
      </w:r>
      <w:r w:rsidRPr="00BF1495">
        <w:rPr>
          <w:rFonts w:ascii="Garamond" w:hAnsi="Garamond" w:cs="Garamond"/>
        </w:rPr>
        <w:noBreakHyphen/>
        <w:t>lymphocyte ratio (NLR) shows prognostic value in hospitalized CAP [16, 17]. The platelet</w:t>
      </w:r>
      <w:r w:rsidRPr="00BF1495">
        <w:rPr>
          <w:rFonts w:ascii="Garamond" w:hAnsi="Garamond" w:cs="Garamond"/>
        </w:rPr>
        <w:noBreakHyphen/>
        <w:t>to</w:t>
      </w:r>
      <w:r w:rsidRPr="00BF1495">
        <w:rPr>
          <w:rFonts w:ascii="Garamond" w:hAnsi="Garamond" w:cs="Garamond"/>
        </w:rPr>
        <w:noBreakHyphen/>
        <w:t>lymphocyte ratio (PLR) has similar associations in derivation–validation cohorts [18]. Combinations such as NLR, MLR, and PLR can also help differentiate etiologies and predict outcomes [19]. Beyond single markers, machine</w:t>
      </w:r>
      <w:r w:rsidRPr="00BF1495">
        <w:rPr>
          <w:rFonts w:ascii="Garamond" w:hAnsi="Garamond" w:cs="Garamond"/>
        </w:rPr>
        <w:noBreakHyphen/>
        <w:t>learning (ML) models can integrate multiple variables to predict pneumonia or its complications [20, 21]. Models that rely only on clinical and laboratory data have reported strong diagnostic performance [22]. In severe CAP within the ICU, ML</w:t>
      </w:r>
      <w:r w:rsidRPr="00BF1495">
        <w:rPr>
          <w:rFonts w:ascii="Garamond" w:hAnsi="Garamond" w:cs="Garamond"/>
        </w:rPr>
        <w:noBreakHyphen/>
        <w:t>based mortality prediction has also shown promise [23, 24]. Even so, many studies emphasize imaging</w:t>
      </w:r>
      <w:r w:rsidRPr="00BF1495">
        <w:rPr>
          <w:rFonts w:ascii="Garamond" w:hAnsi="Garamond" w:cs="Garamond"/>
        </w:rPr>
        <w:noBreakHyphen/>
        <w:t>derived features from chest radiography or CT [25, 26]. Other studies restrict attention to a small, hand</w:t>
      </w:r>
      <w:r w:rsidRPr="00BF1495">
        <w:rPr>
          <w:rFonts w:ascii="Garamond" w:hAnsi="Garamond" w:cs="Garamond"/>
        </w:rPr>
        <w:noBreakHyphen/>
        <w:t>picked set of lab variables, which may overlook useful signals in the full panel.</w:t>
      </w:r>
    </w:p>
    <w:p w14:paraId="56872F1B" w14:textId="77777777" w:rsidR="00BF1495" w:rsidRPr="00BF1495" w:rsidRDefault="00BF1495" w:rsidP="00BF1495">
      <w:pPr>
        <w:ind w:firstLine="420"/>
        <w:rPr>
          <w:rFonts w:ascii="Garamond" w:hAnsi="Garamond" w:cs="Garamond"/>
        </w:rPr>
      </w:pPr>
      <w:r w:rsidRPr="00BF1495">
        <w:rPr>
          <w:rFonts w:ascii="Garamond" w:hAnsi="Garamond" w:cs="Garamond"/>
        </w:rPr>
        <w:t>A modest blood panel becomes high</w:t>
      </w:r>
      <w:r w:rsidRPr="00BF1495">
        <w:rPr>
          <w:rFonts w:ascii="Garamond" w:hAnsi="Garamond" w:cs="Garamond"/>
        </w:rPr>
        <w:noBreakHyphen/>
        <w:t>dimensional once we include derived indices, ratios, and interactions [27]. Such high dimensionality increases the risk of overfitting, variance, and reduced interpretability in clinical datasets [28, 29]. Feature selection (FS) helps by identifying compact, informative subsets that preserve performance and improve clarity [27]. FS methods are usually grouped into filters, embedded methods, and wrappers [29]. Examples of embedded methods include LASSO</w:t>
      </w:r>
      <w:r w:rsidRPr="00BF1495">
        <w:rPr>
          <w:rFonts w:ascii="Garamond" w:hAnsi="Garamond" w:cs="Garamond"/>
        </w:rPr>
        <w:noBreakHyphen/>
        <w:t>regularized models and tree</w:t>
      </w:r>
      <w:r w:rsidRPr="00BF1495">
        <w:rPr>
          <w:rFonts w:ascii="Garamond" w:hAnsi="Garamond" w:cs="Garamond"/>
        </w:rPr>
        <w:noBreakHyphen/>
        <w:t>based ensembles [30, 31]. Wrapper methods evaluate candidate subsets using a downstream classifier and often perform well by capturing feature interactions, though at higher computational cost [32].</w:t>
      </w:r>
    </w:p>
    <w:p w14:paraId="1B26FF8B" w14:textId="77777777" w:rsidR="00BF1495" w:rsidRPr="00BF1495" w:rsidRDefault="00BF1495" w:rsidP="00BF1495">
      <w:pPr>
        <w:ind w:firstLine="420"/>
        <w:rPr>
          <w:rFonts w:ascii="Garamond" w:hAnsi="Garamond" w:cs="Garamond"/>
        </w:rPr>
      </w:pPr>
      <w:r w:rsidRPr="00BF1495">
        <w:rPr>
          <w:rFonts w:ascii="Garamond" w:hAnsi="Garamond" w:cs="Garamond"/>
        </w:rPr>
        <w:t>The main challenge for wrapper FS is the combinatorial search over $2^D-1$ non</w:t>
      </w:r>
      <w:r w:rsidRPr="00BF1495">
        <w:rPr>
          <w:rFonts w:ascii="Garamond" w:hAnsi="Garamond" w:cs="Garamond"/>
        </w:rPr>
        <w:noBreakHyphen/>
        <w:t>empty feature subsets [27]. Metaheuristic optimization is popular for this setting because it is flexible, derivative</w:t>
      </w:r>
      <w:r w:rsidRPr="00BF1495">
        <w:rPr>
          <w:rFonts w:ascii="Garamond" w:hAnsi="Garamond" w:cs="Garamond"/>
        </w:rPr>
        <w:noBreakHyphen/>
        <w:t>free, and able to escape local optima [33, 34]. Classic examples include Genetic Algorithms and Particle Swarm Optimization [35, 36]. Nature</w:t>
      </w:r>
      <w:r w:rsidRPr="00BF1495">
        <w:rPr>
          <w:rFonts w:ascii="Garamond" w:hAnsi="Garamond" w:cs="Garamond"/>
        </w:rPr>
        <w:noBreakHyphen/>
        <w:t xml:space="preserve">inspired methods such as the Grey Wolf Optimizer have also been adopted [37]. More recent additions include Harris Hawks Optimization and the Slime </w:t>
      </w:r>
      <w:proofErr w:type="spellStart"/>
      <w:r w:rsidRPr="00BF1495">
        <w:rPr>
          <w:rFonts w:ascii="Garamond" w:hAnsi="Garamond" w:cs="Garamond"/>
        </w:rPr>
        <w:t>Mould</w:t>
      </w:r>
      <w:proofErr w:type="spellEnd"/>
      <w:r w:rsidRPr="00BF1495">
        <w:rPr>
          <w:rFonts w:ascii="Garamond" w:hAnsi="Garamond" w:cs="Garamond"/>
        </w:rPr>
        <w:t xml:space="preserve"> Algorithm [38, 39]. These approaches have achieved strong empirical results in biomedical applications [40, 41]. At the same time, standard metaheuristics can suffer from premature convergence, unstable exploration–exploitation balance, and sensitivity to hyperparameters [42, 43]. General limits are also captured by the No Free Lunch theorems for optimization [44].</w:t>
      </w:r>
    </w:p>
    <w:p w14:paraId="42263E14" w14:textId="77777777" w:rsidR="00BF1495" w:rsidRPr="00BF1495" w:rsidRDefault="00BF1495" w:rsidP="00BF1495">
      <w:pPr>
        <w:ind w:firstLine="420"/>
        <w:rPr>
          <w:rFonts w:ascii="Garamond" w:hAnsi="Garamond" w:cs="Garamond"/>
        </w:rPr>
      </w:pPr>
      <w:r w:rsidRPr="00BF1495">
        <w:rPr>
          <w:rFonts w:ascii="Garamond" w:hAnsi="Garamond" w:cs="Garamond"/>
        </w:rPr>
        <w:t>Researchers have proposed enhanced and hybrid strategies to improve search quality. Cooperative and multi</w:t>
      </w:r>
      <w:r w:rsidRPr="00BF1495">
        <w:rPr>
          <w:rFonts w:ascii="Garamond" w:hAnsi="Garamond" w:cs="Garamond"/>
        </w:rPr>
        <w:noBreakHyphen/>
        <w:t>population learning are common examples [45]. Comprehensive</w:t>
      </w:r>
      <w:r w:rsidRPr="00BF1495">
        <w:rPr>
          <w:rFonts w:ascii="Garamond" w:hAnsi="Garamond" w:cs="Garamond"/>
        </w:rPr>
        <w:noBreakHyphen/>
        <w:t>learning and dynamic</w:t>
      </w:r>
      <w:r w:rsidRPr="00BF1495">
        <w:rPr>
          <w:rFonts w:ascii="Garamond" w:hAnsi="Garamond" w:cs="Garamond"/>
        </w:rPr>
        <w:noBreakHyphen/>
        <w:t>neighborhood variants of PSO further encourage exploration [46, 47]. Opposition</w:t>
      </w:r>
      <w:r w:rsidRPr="00BF1495">
        <w:rPr>
          <w:rFonts w:ascii="Garamond" w:hAnsi="Garamond" w:cs="Garamond"/>
        </w:rPr>
        <w:noBreakHyphen/>
        <w:t>based learning can be incorporated directly or via differential evolution schemes [48, 49]. When binary decisions are required, refined transfer functions help map continuous updates to feature inclusion [50]. Despite these advances, methods may still over</w:t>
      </w:r>
      <w:r w:rsidRPr="00BF1495">
        <w:rPr>
          <w:rFonts w:ascii="Garamond" w:hAnsi="Garamond" w:cs="Garamond"/>
        </w:rPr>
        <w:noBreakHyphen/>
        <w:t>rely on a single best solution and lose diversity, especially when each fitness evaluation retrains a classifier. In practice, this can produce unstable subsets and variable performance across folds.</w:t>
      </w:r>
    </w:p>
    <w:p w14:paraId="50286326" w14:textId="77777777" w:rsidR="00BF1495" w:rsidRPr="00BF1495" w:rsidRDefault="00BF1495" w:rsidP="00BF1495">
      <w:pPr>
        <w:ind w:firstLine="420"/>
        <w:rPr>
          <w:rFonts w:ascii="Garamond" w:hAnsi="Garamond" w:cs="Garamond"/>
        </w:rPr>
      </w:pPr>
      <w:r w:rsidRPr="00BF1495">
        <w:rPr>
          <w:rFonts w:ascii="Garamond" w:hAnsi="Garamond" w:cs="Garamond"/>
        </w:rPr>
        <w:t>We propose a Multi-dimensional Gradient interaction Search Polar Lights Optimizer (MGSPLO) for wrapper-based feature selection on blood routine and inflammatory markers. MGSPLO integrates mathematical gradient estimation with bio-inspired mechanics: (</w:t>
      </w:r>
      <w:proofErr w:type="spellStart"/>
      <w:r w:rsidRPr="00BF1495">
        <w:rPr>
          <w:rFonts w:ascii="Garamond" w:hAnsi="Garamond" w:cs="Garamond"/>
        </w:rPr>
        <w:t>i</w:t>
      </w:r>
      <w:proofErr w:type="spellEnd"/>
      <w:r w:rsidRPr="00BF1495">
        <w:rPr>
          <w:rFonts w:ascii="Garamond" w:hAnsi="Garamond" w:cs="Garamond"/>
        </w:rPr>
        <w:t xml:space="preserve">) it utilizes a Dynamic Gradient Interaction System (DGIS) inspired by the Adam optimizer, which calculates the first and second moments of the population's position to generate a momentum-guided reference point for stable convergence; (ii) it maintains population diversity via Starfish-inspired hybrid search patterns, which </w:t>
      </w:r>
      <w:r w:rsidRPr="00BF1495">
        <w:rPr>
          <w:rFonts w:ascii="Garamond" w:hAnsi="Garamond" w:cs="Garamond"/>
        </w:rPr>
        <w:lastRenderedPageBreak/>
        <w:t>adaptively switch between five-dimensional and unidimensional updates to navigate high-dimensional feature spaces efficiently; and (iii) it applies a binary mapping scheme that turns these momentum-driven continuous trajectories into probability-driven feature inclusion decisions. In our diagnostic pipeline, MGSPLO wraps a support vector machine (SVM), using cross-validated performance as the fitness signal to move toward compact, high-performing subsets.</w:t>
      </w:r>
    </w:p>
    <w:p w14:paraId="3870997F" w14:textId="77777777" w:rsidR="00BF1495" w:rsidRPr="00BF1495" w:rsidRDefault="00BF1495" w:rsidP="00BF1495">
      <w:pPr>
        <w:ind w:firstLine="420"/>
        <w:rPr>
          <w:rFonts w:ascii="Garamond" w:hAnsi="Garamond" w:cs="Garamond"/>
        </w:rPr>
      </w:pPr>
      <w:r w:rsidRPr="00BF1495">
        <w:rPr>
          <w:rFonts w:ascii="Garamond" w:hAnsi="Garamond" w:cs="Garamond"/>
        </w:rPr>
        <w:t>We study a cohort of patients evaluated for pneumonia, with age, comorbidities, blood routine indices (white blood cell and differential counts; red cell and platelet parameters) and CRP measured at presentation. From these we derive composite markers (e.g., NLR, PLR), creating a feature pool that reflects both routine clinical practice and emerging biomarker evidence. Our goals are to: (1) quantify the diagnostic value of blood routine and inflammatory markers—alone and in combination—for pneumonia detection; (2) test whether MGSPLO</w:t>
      </w:r>
      <w:r w:rsidRPr="00BF1495">
        <w:rPr>
          <w:rFonts w:ascii="Garamond" w:hAnsi="Garamond" w:cs="Garamond"/>
        </w:rPr>
        <w:noBreakHyphen/>
        <w:t>driven wrapper FS can identify small, stable, interpretable subsets that match or improve SVM performance compared with using all markers or standard FS baselines; and (3) relate the selected markers to current biomarker literature.</w:t>
      </w:r>
    </w:p>
    <w:p w14:paraId="52BD7E2B" w14:textId="77777777" w:rsidR="00BF1495" w:rsidRPr="00BF1495" w:rsidRDefault="00BF1495" w:rsidP="00BF1495">
      <w:pPr>
        <w:ind w:firstLine="420"/>
        <w:rPr>
          <w:rFonts w:ascii="Garamond" w:hAnsi="Garamond" w:cs="Garamond"/>
        </w:rPr>
      </w:pPr>
      <w:r w:rsidRPr="00BF1495">
        <w:rPr>
          <w:rFonts w:ascii="Garamond" w:hAnsi="Garamond" w:cs="Garamond"/>
        </w:rPr>
        <w:t>We list our contribution of this study as follows:</w:t>
      </w:r>
    </w:p>
    <w:p w14:paraId="2E5B3EAB" w14:textId="4895678E" w:rsidR="00BF1495" w:rsidRPr="00BF1495" w:rsidRDefault="00BF1495" w:rsidP="00BF1495">
      <w:pPr>
        <w:pStyle w:val="affe"/>
        <w:numPr>
          <w:ilvl w:val="0"/>
          <w:numId w:val="11"/>
        </w:numPr>
        <w:ind w:left="792" w:firstLineChars="0"/>
        <w:rPr>
          <w:rFonts w:ascii="Garamond" w:hAnsi="Garamond" w:cs="Garamond"/>
        </w:rPr>
      </w:pPr>
      <w:r w:rsidRPr="00BF1495">
        <w:rPr>
          <w:rFonts w:ascii="Garamond" w:hAnsi="Garamond" w:cs="Garamond"/>
        </w:rPr>
        <w:t>We introduce MGSPLO, a hybrid metaheuristic integrating \</w:t>
      </w:r>
      <w:proofErr w:type="spellStart"/>
      <w:proofErr w:type="gramStart"/>
      <w:r w:rsidRPr="00BF1495">
        <w:rPr>
          <w:rFonts w:ascii="Garamond" w:hAnsi="Garamond" w:cs="Garamond"/>
        </w:rPr>
        <w:t>textbf</w:t>
      </w:r>
      <w:proofErr w:type="spellEnd"/>
      <w:r w:rsidRPr="00BF1495">
        <w:rPr>
          <w:rFonts w:ascii="Garamond" w:hAnsi="Garamond" w:cs="Garamond"/>
        </w:rPr>
        <w:t>{</w:t>
      </w:r>
      <w:proofErr w:type="gramEnd"/>
      <w:r w:rsidRPr="00BF1495">
        <w:rPr>
          <w:rFonts w:ascii="Garamond" w:hAnsi="Garamond" w:cs="Garamond"/>
        </w:rPr>
        <w:t>Adam-inspired gradient interaction} and \</w:t>
      </w:r>
      <w:proofErr w:type="spellStart"/>
      <w:proofErr w:type="gramStart"/>
      <w:r w:rsidRPr="00BF1495">
        <w:rPr>
          <w:rFonts w:ascii="Garamond" w:hAnsi="Garamond" w:cs="Garamond"/>
        </w:rPr>
        <w:t>textbf</w:t>
      </w:r>
      <w:proofErr w:type="spellEnd"/>
      <w:r w:rsidRPr="00BF1495">
        <w:rPr>
          <w:rFonts w:ascii="Garamond" w:hAnsi="Garamond" w:cs="Garamond"/>
        </w:rPr>
        <w:t>{</w:t>
      </w:r>
      <w:proofErr w:type="gramEnd"/>
      <w:r w:rsidRPr="00BF1495">
        <w:rPr>
          <w:rFonts w:ascii="Garamond" w:hAnsi="Garamond" w:cs="Garamond"/>
        </w:rPr>
        <w:t>multi-dimensional starfish search patterns} to balance exploitation stability with exploration diversity, effectively reducing premature convergence in high-dimensional clinical feature spaces.</w:t>
      </w:r>
    </w:p>
    <w:p w14:paraId="7D7FF1F2" w14:textId="26B29558" w:rsidR="00BF1495" w:rsidRPr="00BF1495" w:rsidRDefault="00BF1495" w:rsidP="00BF1495">
      <w:pPr>
        <w:pStyle w:val="affe"/>
        <w:numPr>
          <w:ilvl w:val="0"/>
          <w:numId w:val="11"/>
        </w:numPr>
        <w:ind w:left="792" w:firstLineChars="0"/>
        <w:rPr>
          <w:rFonts w:ascii="Garamond" w:hAnsi="Garamond" w:cs="Garamond"/>
        </w:rPr>
      </w:pPr>
      <w:r w:rsidRPr="00BF1495">
        <w:rPr>
          <w:rFonts w:ascii="Garamond" w:hAnsi="Garamond" w:cs="Garamond"/>
        </w:rPr>
        <w:t>We derive a binary version of MGSPLO that maps continuous, \</w:t>
      </w:r>
      <w:proofErr w:type="spellStart"/>
      <w:proofErr w:type="gramStart"/>
      <w:r w:rsidRPr="00BF1495">
        <w:rPr>
          <w:rFonts w:ascii="Garamond" w:hAnsi="Garamond" w:cs="Garamond"/>
        </w:rPr>
        <w:t>textbf</w:t>
      </w:r>
      <w:proofErr w:type="spellEnd"/>
      <w:r w:rsidRPr="00BF1495">
        <w:rPr>
          <w:rFonts w:ascii="Garamond" w:hAnsi="Garamond" w:cs="Garamond"/>
        </w:rPr>
        <w:t>{</w:t>
      </w:r>
      <w:proofErr w:type="gramEnd"/>
      <w:r w:rsidRPr="00BF1495">
        <w:rPr>
          <w:rFonts w:ascii="Garamond" w:hAnsi="Garamond" w:cs="Garamond"/>
        </w:rPr>
        <w:t>momentum-driven search trajectories} into discrete feature selection decisions, optimizing the inclusion of blood routine and inflammatory markers.</w:t>
      </w:r>
    </w:p>
    <w:p w14:paraId="3071CA39" w14:textId="2C1813E2" w:rsidR="00BF1495" w:rsidRPr="00BF1495" w:rsidRDefault="00BF1495" w:rsidP="00BF1495">
      <w:pPr>
        <w:pStyle w:val="affe"/>
        <w:numPr>
          <w:ilvl w:val="0"/>
          <w:numId w:val="11"/>
        </w:numPr>
        <w:ind w:left="792" w:firstLineChars="0"/>
        <w:rPr>
          <w:rFonts w:ascii="Garamond" w:hAnsi="Garamond" w:cs="Garamond"/>
        </w:rPr>
      </w:pPr>
      <w:r w:rsidRPr="00BF1495">
        <w:rPr>
          <w:rFonts w:ascii="Garamond" w:hAnsi="Garamond" w:cs="Garamond"/>
        </w:rPr>
        <w:t>We build an end</w:t>
      </w:r>
      <w:r w:rsidRPr="00BF1495">
        <w:rPr>
          <w:rFonts w:ascii="Garamond" w:hAnsi="Garamond" w:cs="Garamond"/>
        </w:rPr>
        <w:noBreakHyphen/>
        <w:t>to</w:t>
      </w:r>
      <w:r w:rsidRPr="00BF1495">
        <w:rPr>
          <w:rFonts w:ascii="Garamond" w:hAnsi="Garamond" w:cs="Garamond"/>
        </w:rPr>
        <w:noBreakHyphen/>
        <w:t>end SVM pneumonia pipeline that integrates MGSPLO with cross</w:t>
      </w:r>
      <w:r w:rsidRPr="00BF1495">
        <w:rPr>
          <w:rFonts w:ascii="Garamond" w:hAnsi="Garamond" w:cs="Garamond"/>
        </w:rPr>
        <w:noBreakHyphen/>
        <w:t>validated evaluation and compare against standard FS techniques and alternative wrapper metaheuristics.</w:t>
      </w:r>
    </w:p>
    <w:p w14:paraId="1867C98C" w14:textId="32BF8072" w:rsidR="00BF1495" w:rsidRPr="00BF1495" w:rsidRDefault="00BF1495" w:rsidP="00BF1495">
      <w:pPr>
        <w:pStyle w:val="affe"/>
        <w:numPr>
          <w:ilvl w:val="0"/>
          <w:numId w:val="11"/>
        </w:numPr>
        <w:ind w:left="792" w:firstLineChars="0"/>
        <w:rPr>
          <w:rFonts w:ascii="Garamond" w:hAnsi="Garamond" w:cs="Garamond"/>
        </w:rPr>
      </w:pPr>
      <w:r w:rsidRPr="00BF1495">
        <w:rPr>
          <w:rFonts w:ascii="Garamond" w:hAnsi="Garamond" w:cs="Garamond"/>
        </w:rPr>
        <w:t>On a real</w:t>
      </w:r>
      <w:r w:rsidRPr="00BF1495">
        <w:rPr>
          <w:rFonts w:ascii="Garamond" w:hAnsi="Garamond" w:cs="Garamond"/>
        </w:rPr>
        <w:noBreakHyphen/>
        <w:t>world cohort, we show that MGSPLO–SVM achieves competitive or superior diagnostic accuracy while selecting compact, interpretable panels of routine laboratory markers, which is helpful where imaging resources are limited.</w:t>
      </w:r>
    </w:p>
    <w:p w14:paraId="3659586C" w14:textId="2680C2E9" w:rsidR="00BF1495" w:rsidRPr="00BF1495" w:rsidRDefault="00BF1495" w:rsidP="00BF1495">
      <w:pPr>
        <w:ind w:firstLine="420"/>
        <w:rPr>
          <w:rFonts w:ascii="Garamond" w:hAnsi="Garamond" w:cs="Garamond"/>
        </w:rPr>
      </w:pPr>
      <w:r w:rsidRPr="00BF1495">
        <w:rPr>
          <w:rFonts w:ascii="Garamond" w:hAnsi="Garamond" w:cs="Garamond"/>
        </w:rPr>
        <w:t>The rest of the paper is organized as follows: Section</w:t>
      </w:r>
      <w:r>
        <w:rPr>
          <w:rFonts w:ascii="Garamond" w:hAnsi="Garamond" w:cs="Garamond"/>
        </w:rPr>
        <w:t xml:space="preserve"> </w:t>
      </w:r>
      <w:r w:rsidRPr="00BF1495">
        <w:rPr>
          <w:rFonts w:ascii="Garamond" w:hAnsi="Garamond" w:cs="Garamond"/>
        </w:rPr>
        <w:t xml:space="preserve">2 </w:t>
      </w:r>
      <w:r>
        <w:rPr>
          <w:rFonts w:ascii="Garamond" w:hAnsi="Garamond" w:cs="Garamond"/>
        </w:rPr>
        <w:t>details the cohort dataset information</w:t>
      </w:r>
      <w:r w:rsidRPr="00BF1495">
        <w:rPr>
          <w:rFonts w:ascii="Garamond" w:hAnsi="Garamond" w:cs="Garamond"/>
        </w:rPr>
        <w:t>. Section</w:t>
      </w:r>
      <w:r>
        <w:rPr>
          <w:rFonts w:ascii="Garamond" w:hAnsi="Garamond" w:cs="Garamond"/>
        </w:rPr>
        <w:t xml:space="preserve"> </w:t>
      </w:r>
      <w:r w:rsidRPr="00BF1495">
        <w:rPr>
          <w:rFonts w:ascii="Garamond" w:hAnsi="Garamond" w:cs="Garamond"/>
        </w:rPr>
        <w:t>3 describes MGSPLO</w:t>
      </w:r>
      <w:r>
        <w:rPr>
          <w:rFonts w:ascii="Garamond" w:hAnsi="Garamond" w:cs="Garamond"/>
        </w:rPr>
        <w:t>. Section 4 present</w:t>
      </w:r>
      <w:r w:rsidRPr="00BF1495">
        <w:rPr>
          <w:rFonts w:ascii="Garamond" w:hAnsi="Garamond" w:cs="Garamond"/>
        </w:rPr>
        <w:t xml:space="preserve"> its binary version, and the SVM framework. Section</w:t>
      </w:r>
      <w:r>
        <w:rPr>
          <w:rFonts w:ascii="Garamond" w:hAnsi="Garamond" w:cs="Garamond"/>
        </w:rPr>
        <w:t xml:space="preserve"> 5</w:t>
      </w:r>
      <w:r w:rsidRPr="00BF1495">
        <w:rPr>
          <w:rFonts w:ascii="Garamond" w:hAnsi="Garamond" w:cs="Garamond"/>
        </w:rPr>
        <w:t xml:space="preserve"> details </w:t>
      </w:r>
      <w:r>
        <w:rPr>
          <w:rFonts w:ascii="Garamond" w:hAnsi="Garamond" w:cs="Garamond"/>
        </w:rPr>
        <w:t xml:space="preserve">numeric </w:t>
      </w:r>
      <w:r w:rsidRPr="00BF1495">
        <w:rPr>
          <w:rFonts w:ascii="Garamond" w:hAnsi="Garamond" w:cs="Garamond"/>
        </w:rPr>
        <w:t>experiments</w:t>
      </w:r>
      <w:r>
        <w:rPr>
          <w:rFonts w:ascii="Garamond" w:hAnsi="Garamond" w:cs="Garamond"/>
        </w:rPr>
        <w:t xml:space="preserve"> and result analysis</w:t>
      </w:r>
      <w:r w:rsidRPr="00BF1495">
        <w:rPr>
          <w:rFonts w:ascii="Garamond" w:hAnsi="Garamond" w:cs="Garamond"/>
        </w:rPr>
        <w:t>. Section</w:t>
      </w:r>
      <w:r>
        <w:rPr>
          <w:rFonts w:ascii="Garamond" w:hAnsi="Garamond" w:cs="Garamond"/>
        </w:rPr>
        <w:t xml:space="preserve"> 6</w:t>
      </w:r>
      <w:r w:rsidRPr="00BF1495">
        <w:rPr>
          <w:rFonts w:ascii="Garamond" w:hAnsi="Garamond" w:cs="Garamond"/>
        </w:rPr>
        <w:t xml:space="preserve"> reports </w:t>
      </w:r>
      <w:r>
        <w:rPr>
          <w:rFonts w:ascii="Garamond" w:hAnsi="Garamond" w:cs="Garamond"/>
        </w:rPr>
        <w:t>diagnosis of the pneumonia</w:t>
      </w:r>
      <w:r w:rsidRPr="00BF1495">
        <w:rPr>
          <w:rFonts w:ascii="Garamond" w:hAnsi="Garamond" w:cs="Garamond"/>
        </w:rPr>
        <w:t>. Section</w:t>
      </w:r>
      <w:r>
        <w:rPr>
          <w:rFonts w:ascii="Garamond" w:hAnsi="Garamond" w:cs="Garamond"/>
        </w:rPr>
        <w:t xml:space="preserve"> 7</w:t>
      </w:r>
      <w:r w:rsidRPr="00BF1495">
        <w:rPr>
          <w:rFonts w:ascii="Garamond" w:hAnsi="Garamond" w:cs="Garamond"/>
        </w:rPr>
        <w:t xml:space="preserve"> discusses limitations, clinical implications, and future work.</w:t>
      </w:r>
    </w:p>
    <w:p w14:paraId="04F228AC" w14:textId="77777777" w:rsidR="00BF1495" w:rsidRPr="007C2868" w:rsidRDefault="00BF1495">
      <w:pPr>
        <w:ind w:firstLine="420"/>
        <w:rPr>
          <w:rFonts w:ascii="Garamond" w:hAnsi="Garamond" w:cs="Garamond"/>
        </w:rPr>
      </w:pPr>
    </w:p>
    <w:bookmarkEnd w:id="0"/>
    <w:p w14:paraId="782D1996" w14:textId="384A7183" w:rsidR="006B73EB" w:rsidRPr="007C2868" w:rsidRDefault="007622D1" w:rsidP="00E66FA0">
      <w:pPr>
        <w:pStyle w:val="1"/>
      </w:pPr>
      <w:r w:rsidRPr="00BF1495">
        <w:t xml:space="preserve">Blood </w:t>
      </w:r>
      <w:r>
        <w:t>r</w:t>
      </w:r>
      <w:r w:rsidRPr="00BF1495">
        <w:t xml:space="preserve">outine and </w:t>
      </w:r>
      <w:r>
        <w:t>i</w:t>
      </w:r>
      <w:r w:rsidRPr="00BF1495">
        <w:t xml:space="preserve">nflammatory </w:t>
      </w:r>
      <w:r>
        <w:t>m</w:t>
      </w:r>
      <w:r w:rsidRPr="00BF1495">
        <w:t>arkers</w:t>
      </w:r>
      <w:r>
        <w:t xml:space="preserve"> dataset description</w:t>
      </w:r>
    </w:p>
    <w:p w14:paraId="3109D861" w14:textId="236A4EF5" w:rsidR="00E92AD4" w:rsidRDefault="00E92AD4">
      <w:pPr>
        <w:spacing w:line="320" w:lineRule="exact"/>
        <w:ind w:firstLine="420"/>
        <w:rPr>
          <w:rStyle w:val="apple-converted-space"/>
          <w:rFonts w:ascii="Garamond" w:eastAsia="宋体" w:hAnsi="Garamond" w:cs="Garamond"/>
          <w:szCs w:val="21"/>
          <w:shd w:val="clear" w:color="auto" w:fill="FFFFFF"/>
        </w:rPr>
      </w:pPr>
      <w:r w:rsidRPr="00E92AD4">
        <w:rPr>
          <w:rFonts w:ascii="Garamond" w:eastAsia="宋体" w:hAnsi="Garamond" w:cs="Garamond"/>
          <w:szCs w:val="21"/>
          <w:shd w:val="clear" w:color="auto" w:fill="FFFFFF"/>
        </w:rPr>
        <w:t xml:space="preserve">The dataset utilized in this study was retrospectively collected from a clinical cohort of patients evaluated for pneumonia. It comprises a total of 28 predictor features per patient, encompassing demographic information, comorbidity status, and a comprehensive panel of routine blood parameters and inflammatory biomarkers measured at the time of presentation. The dataset focuses specifically on the hemogram (complete blood count) and acute-phase reactants, which are routinely available in emergency and inpatient settings. The target variable (label) represents the clinical diagnosis, categorizing patients into pneumonia and non-pneumonia (control) groups. The feature space is high-dimensional relative to standard clinical scores, including both absolute counts and percentages for differential white blood cells, detailed red blood cell indices, and platelet parameters. This rich feature set allows the proposed MGSPLO algorithm to explore complex interactions between inflammatory, </w:t>
      </w:r>
      <w:r w:rsidRPr="00E92AD4">
        <w:rPr>
          <w:rFonts w:ascii="Garamond" w:eastAsia="宋体" w:hAnsi="Garamond" w:cs="Garamond"/>
          <w:szCs w:val="21"/>
          <w:shd w:val="clear" w:color="auto" w:fill="FFFFFF"/>
        </w:rPr>
        <w:lastRenderedPageBreak/>
        <w:t>thrombotic, and hemorheological pathways during feature selection.</w:t>
      </w:r>
    </w:p>
    <w:p w14:paraId="66C85A40" w14:textId="77777777" w:rsidR="00E92AD4" w:rsidRDefault="00E92AD4">
      <w:pPr>
        <w:spacing w:line="320" w:lineRule="exact"/>
        <w:ind w:firstLine="420"/>
        <w:rPr>
          <w:rStyle w:val="apple-converted-space"/>
          <w:rFonts w:ascii="Garamond" w:eastAsia="宋体" w:hAnsi="Garamond" w:cs="Garamond"/>
          <w:szCs w:val="21"/>
          <w:shd w:val="clear" w:color="auto" w:fill="FFFFFF"/>
        </w:rPr>
      </w:pPr>
    </w:p>
    <w:p w14:paraId="0BEFC60C" w14:textId="6D2B5E6F" w:rsidR="00BF30AF" w:rsidRDefault="00BF30AF">
      <w:pPr>
        <w:spacing w:line="320" w:lineRule="exact"/>
        <w:ind w:firstLine="420"/>
        <w:rPr>
          <w:rStyle w:val="apple-converted-space"/>
          <w:rFonts w:ascii="Garamond" w:eastAsia="宋体" w:hAnsi="Garamond" w:cs="Garamond"/>
          <w:szCs w:val="21"/>
          <w:shd w:val="clear" w:color="auto" w:fill="FFFFFF"/>
        </w:rPr>
      </w:pPr>
      <w:r w:rsidRPr="00BF30AF">
        <w:rPr>
          <w:rFonts w:ascii="Garamond" w:eastAsia="宋体" w:hAnsi="Garamond" w:cs="Garamond"/>
          <w:b/>
          <w:bCs/>
          <w:szCs w:val="21"/>
          <w:shd w:val="clear" w:color="auto" w:fill="FFFFFF"/>
        </w:rPr>
        <w:t>Table 1.</w:t>
      </w:r>
      <w:r w:rsidRPr="00BF30AF">
        <w:rPr>
          <w:rFonts w:ascii="Garamond" w:eastAsia="宋体" w:hAnsi="Garamond" w:cs="Garamond"/>
          <w:szCs w:val="21"/>
          <w:shd w:val="clear" w:color="auto" w:fill="FFFFFF"/>
        </w:rPr>
        <w:t xml:space="preserve"> Description of demographic, clinical, and laboratory features included in the dataset.</w:t>
      </w:r>
    </w:p>
    <w:tbl>
      <w:tblPr>
        <w:tblStyle w:val="aff"/>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1260"/>
        <w:gridCol w:w="2160"/>
        <w:gridCol w:w="3442"/>
      </w:tblGrid>
      <w:tr w:rsidR="007C3559" w14:paraId="09E8F35E" w14:textId="77777777" w:rsidTr="007D7088">
        <w:tc>
          <w:tcPr>
            <w:tcW w:w="1440" w:type="dxa"/>
            <w:tcBorders>
              <w:top w:val="single" w:sz="12" w:space="0" w:color="auto"/>
              <w:bottom w:val="single" w:sz="12" w:space="0" w:color="auto"/>
            </w:tcBorders>
            <w:vAlign w:val="bottom"/>
          </w:tcPr>
          <w:p w14:paraId="0759CF9F" w14:textId="02BEBE33" w:rsidR="00E92AD4" w:rsidRPr="007C3559" w:rsidRDefault="00E92AD4"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Category</w:t>
            </w:r>
          </w:p>
        </w:tc>
        <w:tc>
          <w:tcPr>
            <w:tcW w:w="1260" w:type="dxa"/>
            <w:tcBorders>
              <w:top w:val="single" w:sz="12" w:space="0" w:color="auto"/>
              <w:bottom w:val="single" w:sz="12" w:space="0" w:color="auto"/>
            </w:tcBorders>
            <w:vAlign w:val="bottom"/>
          </w:tcPr>
          <w:p w14:paraId="1B7EBEE3" w14:textId="6A934978" w:rsidR="00E92AD4" w:rsidRPr="007C3559" w:rsidRDefault="00E92AD4"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Feature Symbol</w:t>
            </w:r>
          </w:p>
        </w:tc>
        <w:tc>
          <w:tcPr>
            <w:tcW w:w="2160" w:type="dxa"/>
            <w:tcBorders>
              <w:top w:val="single" w:sz="12" w:space="0" w:color="auto"/>
              <w:bottom w:val="single" w:sz="12" w:space="0" w:color="auto"/>
            </w:tcBorders>
            <w:vAlign w:val="bottom"/>
          </w:tcPr>
          <w:p w14:paraId="686DBFD0" w14:textId="2F768179" w:rsidR="00E92AD4" w:rsidRPr="007C3559" w:rsidRDefault="00E92AD4"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Feature Name</w:t>
            </w:r>
          </w:p>
        </w:tc>
        <w:tc>
          <w:tcPr>
            <w:tcW w:w="3442" w:type="dxa"/>
            <w:tcBorders>
              <w:top w:val="single" w:sz="12" w:space="0" w:color="auto"/>
              <w:bottom w:val="single" w:sz="12" w:space="0" w:color="auto"/>
            </w:tcBorders>
            <w:vAlign w:val="bottom"/>
          </w:tcPr>
          <w:p w14:paraId="556474FD" w14:textId="7051D99E" w:rsidR="00E92AD4" w:rsidRPr="007C3559" w:rsidRDefault="00E92AD4"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Description/Unit</w:t>
            </w:r>
          </w:p>
        </w:tc>
      </w:tr>
      <w:tr w:rsidR="00BF30AF" w14:paraId="2E98E433" w14:textId="77777777" w:rsidTr="007D7088">
        <w:tc>
          <w:tcPr>
            <w:tcW w:w="1440" w:type="dxa"/>
            <w:vMerge w:val="restart"/>
            <w:tcBorders>
              <w:top w:val="single" w:sz="12" w:space="0" w:color="auto"/>
            </w:tcBorders>
            <w:vAlign w:val="center"/>
          </w:tcPr>
          <w:p w14:paraId="48CD0E60" w14:textId="0F167A5D" w:rsidR="00BF30AF" w:rsidRPr="007C3559" w:rsidRDefault="00BF30AF" w:rsidP="00BF30AF">
            <w:pPr>
              <w:spacing w:line="320" w:lineRule="exact"/>
              <w:jc w:val="center"/>
              <w:rPr>
                <w:rStyle w:val="apple-converted-space"/>
                <w:rFonts w:ascii="Garamond" w:eastAsia="宋体" w:hAnsi="Garamond" w:cs="Garamond"/>
                <w:sz w:val="14"/>
                <w:szCs w:val="14"/>
                <w:shd w:val="clear" w:color="auto" w:fill="FFFFFF"/>
              </w:rPr>
            </w:pPr>
            <w:r w:rsidRPr="007C3559">
              <w:rPr>
                <w:rFonts w:ascii="Garamond" w:hAnsi="Garamond" w:cs="Arial"/>
                <w:sz w:val="14"/>
                <w:szCs w:val="14"/>
              </w:rPr>
              <w:t>Demographics &amp; History</w:t>
            </w:r>
          </w:p>
        </w:tc>
        <w:tc>
          <w:tcPr>
            <w:tcW w:w="1260" w:type="dxa"/>
            <w:tcBorders>
              <w:top w:val="single" w:sz="12" w:space="0" w:color="auto"/>
            </w:tcBorders>
            <w:vAlign w:val="bottom"/>
          </w:tcPr>
          <w:p w14:paraId="7DAD5FAC" w14:textId="6C60EDEA"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Age</w:t>
            </w:r>
          </w:p>
        </w:tc>
        <w:tc>
          <w:tcPr>
            <w:tcW w:w="2160" w:type="dxa"/>
            <w:tcBorders>
              <w:top w:val="single" w:sz="12" w:space="0" w:color="auto"/>
            </w:tcBorders>
            <w:vAlign w:val="bottom"/>
          </w:tcPr>
          <w:p w14:paraId="7F3C51C7" w14:textId="5D9429AF"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Age</w:t>
            </w:r>
          </w:p>
        </w:tc>
        <w:tc>
          <w:tcPr>
            <w:tcW w:w="3442" w:type="dxa"/>
            <w:tcBorders>
              <w:top w:val="single" w:sz="12" w:space="0" w:color="auto"/>
            </w:tcBorders>
            <w:vAlign w:val="bottom"/>
          </w:tcPr>
          <w:p w14:paraId="481A28B8" w14:textId="18100C32"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Patient age in years</w:t>
            </w:r>
          </w:p>
        </w:tc>
      </w:tr>
      <w:tr w:rsidR="00BF30AF" w14:paraId="5AB77F99" w14:textId="77777777" w:rsidTr="007D7088">
        <w:tc>
          <w:tcPr>
            <w:tcW w:w="1440" w:type="dxa"/>
            <w:vMerge/>
            <w:vAlign w:val="bottom"/>
          </w:tcPr>
          <w:p w14:paraId="3A774BB3" w14:textId="77777777"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p>
        </w:tc>
        <w:tc>
          <w:tcPr>
            <w:tcW w:w="1260" w:type="dxa"/>
            <w:vAlign w:val="bottom"/>
          </w:tcPr>
          <w:p w14:paraId="0D9FDD55" w14:textId="3AB0AA0A"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HTN</w:t>
            </w:r>
          </w:p>
        </w:tc>
        <w:tc>
          <w:tcPr>
            <w:tcW w:w="2160" w:type="dxa"/>
            <w:vAlign w:val="bottom"/>
          </w:tcPr>
          <w:p w14:paraId="48FACE69" w14:textId="26780D3D"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Hypertension</w:t>
            </w:r>
          </w:p>
        </w:tc>
        <w:tc>
          <w:tcPr>
            <w:tcW w:w="3442" w:type="dxa"/>
            <w:vAlign w:val="bottom"/>
          </w:tcPr>
          <w:p w14:paraId="58CD6564" w14:textId="66A09B33"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Presence of hypertension (0=No, 1=Yes)</w:t>
            </w:r>
          </w:p>
        </w:tc>
      </w:tr>
      <w:tr w:rsidR="00BF30AF" w14:paraId="5A694643" w14:textId="77777777" w:rsidTr="007D7088">
        <w:tc>
          <w:tcPr>
            <w:tcW w:w="1440" w:type="dxa"/>
            <w:vMerge/>
            <w:tcBorders>
              <w:bottom w:val="single" w:sz="4" w:space="0" w:color="auto"/>
            </w:tcBorders>
            <w:vAlign w:val="bottom"/>
          </w:tcPr>
          <w:p w14:paraId="4CA6FB5B" w14:textId="77777777"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p>
        </w:tc>
        <w:tc>
          <w:tcPr>
            <w:tcW w:w="1260" w:type="dxa"/>
            <w:tcBorders>
              <w:bottom w:val="single" w:sz="4" w:space="0" w:color="auto"/>
            </w:tcBorders>
            <w:vAlign w:val="bottom"/>
          </w:tcPr>
          <w:p w14:paraId="3D05A5AE" w14:textId="3A6EDCA7"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DM</w:t>
            </w:r>
          </w:p>
        </w:tc>
        <w:tc>
          <w:tcPr>
            <w:tcW w:w="2160" w:type="dxa"/>
            <w:tcBorders>
              <w:bottom w:val="single" w:sz="4" w:space="0" w:color="auto"/>
            </w:tcBorders>
            <w:vAlign w:val="bottom"/>
          </w:tcPr>
          <w:p w14:paraId="1CB1D2F7" w14:textId="4A13C670"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Diabetes Mellitus</w:t>
            </w:r>
          </w:p>
        </w:tc>
        <w:tc>
          <w:tcPr>
            <w:tcW w:w="3442" w:type="dxa"/>
            <w:tcBorders>
              <w:bottom w:val="single" w:sz="4" w:space="0" w:color="auto"/>
            </w:tcBorders>
            <w:vAlign w:val="bottom"/>
          </w:tcPr>
          <w:p w14:paraId="6CF6FD88" w14:textId="73B0935F"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Presence of diabetes (0=No, 1=Yes)</w:t>
            </w:r>
          </w:p>
        </w:tc>
      </w:tr>
      <w:tr w:rsidR="007C3559" w14:paraId="551E4639" w14:textId="77777777" w:rsidTr="007D7088">
        <w:tc>
          <w:tcPr>
            <w:tcW w:w="1440" w:type="dxa"/>
            <w:tcBorders>
              <w:top w:val="single" w:sz="4" w:space="0" w:color="auto"/>
              <w:bottom w:val="single" w:sz="4" w:space="0" w:color="auto"/>
            </w:tcBorders>
            <w:vAlign w:val="bottom"/>
          </w:tcPr>
          <w:p w14:paraId="13B95BEC" w14:textId="581297CD" w:rsidR="00E92AD4" w:rsidRPr="007C3559" w:rsidRDefault="00E92AD4"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Inflammation</w:t>
            </w:r>
          </w:p>
        </w:tc>
        <w:tc>
          <w:tcPr>
            <w:tcW w:w="1260" w:type="dxa"/>
            <w:tcBorders>
              <w:top w:val="single" w:sz="4" w:space="0" w:color="auto"/>
              <w:bottom w:val="single" w:sz="4" w:space="0" w:color="auto"/>
            </w:tcBorders>
            <w:vAlign w:val="bottom"/>
          </w:tcPr>
          <w:p w14:paraId="49082F92" w14:textId="5C5669B7" w:rsidR="00E92AD4" w:rsidRPr="007C3559" w:rsidRDefault="00E92AD4"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CRP</w:t>
            </w:r>
          </w:p>
        </w:tc>
        <w:tc>
          <w:tcPr>
            <w:tcW w:w="2160" w:type="dxa"/>
            <w:tcBorders>
              <w:top w:val="single" w:sz="4" w:space="0" w:color="auto"/>
              <w:bottom w:val="single" w:sz="4" w:space="0" w:color="auto"/>
            </w:tcBorders>
            <w:vAlign w:val="bottom"/>
          </w:tcPr>
          <w:p w14:paraId="5A15CEC7" w14:textId="7A226DF0" w:rsidR="00E92AD4" w:rsidRPr="007C3559" w:rsidRDefault="00E92AD4"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C-Reactive Protein</w:t>
            </w:r>
          </w:p>
        </w:tc>
        <w:tc>
          <w:tcPr>
            <w:tcW w:w="3442" w:type="dxa"/>
            <w:tcBorders>
              <w:top w:val="single" w:sz="4" w:space="0" w:color="auto"/>
              <w:bottom w:val="single" w:sz="4" w:space="0" w:color="auto"/>
            </w:tcBorders>
            <w:vAlign w:val="bottom"/>
          </w:tcPr>
          <w:p w14:paraId="11AA80DD" w14:textId="15E095F0" w:rsidR="00E92AD4" w:rsidRPr="007C3559" w:rsidRDefault="00E92AD4"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Acute-phase inflammatory marker (mg/L)</w:t>
            </w:r>
          </w:p>
        </w:tc>
      </w:tr>
      <w:tr w:rsidR="00BF30AF" w14:paraId="767E9AF0" w14:textId="77777777" w:rsidTr="007D7088">
        <w:tc>
          <w:tcPr>
            <w:tcW w:w="1440" w:type="dxa"/>
            <w:vMerge w:val="restart"/>
            <w:tcBorders>
              <w:top w:val="single" w:sz="4" w:space="0" w:color="auto"/>
            </w:tcBorders>
            <w:vAlign w:val="center"/>
          </w:tcPr>
          <w:p w14:paraId="0578CB6F" w14:textId="63E4D481" w:rsidR="00BF30AF" w:rsidRPr="007C3559" w:rsidRDefault="00BF30AF" w:rsidP="00BF30AF">
            <w:pPr>
              <w:spacing w:line="320" w:lineRule="exact"/>
              <w:jc w:val="center"/>
              <w:rPr>
                <w:rStyle w:val="apple-converted-space"/>
                <w:rFonts w:ascii="Garamond" w:eastAsia="宋体" w:hAnsi="Garamond" w:cs="Garamond"/>
                <w:sz w:val="14"/>
                <w:szCs w:val="14"/>
                <w:shd w:val="clear" w:color="auto" w:fill="FFFFFF"/>
              </w:rPr>
            </w:pPr>
            <w:r w:rsidRPr="007C3559">
              <w:rPr>
                <w:rFonts w:ascii="Garamond" w:hAnsi="Garamond" w:cs="Arial"/>
                <w:sz w:val="14"/>
                <w:szCs w:val="14"/>
              </w:rPr>
              <w:t>White Blood Cells (WBC)</w:t>
            </w:r>
          </w:p>
        </w:tc>
        <w:tc>
          <w:tcPr>
            <w:tcW w:w="1260" w:type="dxa"/>
            <w:tcBorders>
              <w:top w:val="single" w:sz="4" w:space="0" w:color="auto"/>
            </w:tcBorders>
            <w:vAlign w:val="bottom"/>
          </w:tcPr>
          <w:p w14:paraId="062102D2" w14:textId="5CB93B2B"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WBC</w:t>
            </w:r>
          </w:p>
        </w:tc>
        <w:tc>
          <w:tcPr>
            <w:tcW w:w="2160" w:type="dxa"/>
            <w:tcBorders>
              <w:top w:val="single" w:sz="4" w:space="0" w:color="auto"/>
            </w:tcBorders>
            <w:vAlign w:val="bottom"/>
          </w:tcPr>
          <w:p w14:paraId="3B75ED2F" w14:textId="491FC673"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White Blood Cell Count</w:t>
            </w:r>
          </w:p>
        </w:tc>
        <w:tc>
          <w:tcPr>
            <w:tcW w:w="3442" w:type="dxa"/>
            <w:tcBorders>
              <w:top w:val="single" w:sz="4" w:space="0" w:color="auto"/>
            </w:tcBorders>
            <w:vAlign w:val="bottom"/>
          </w:tcPr>
          <w:p w14:paraId="3618F513" w14:textId="630CFDD8"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Total leukocyte count</w:t>
            </w:r>
          </w:p>
        </w:tc>
      </w:tr>
      <w:tr w:rsidR="00BF30AF" w14:paraId="5B261C1D" w14:textId="77777777" w:rsidTr="007D7088">
        <w:tc>
          <w:tcPr>
            <w:tcW w:w="1440" w:type="dxa"/>
            <w:vMerge/>
            <w:vAlign w:val="bottom"/>
          </w:tcPr>
          <w:p w14:paraId="720ADC80" w14:textId="77777777"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p>
        </w:tc>
        <w:tc>
          <w:tcPr>
            <w:tcW w:w="1260" w:type="dxa"/>
            <w:vAlign w:val="bottom"/>
          </w:tcPr>
          <w:p w14:paraId="25BA0952" w14:textId="04734008"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NEUT%</w:t>
            </w:r>
          </w:p>
        </w:tc>
        <w:tc>
          <w:tcPr>
            <w:tcW w:w="2160" w:type="dxa"/>
            <w:vAlign w:val="bottom"/>
          </w:tcPr>
          <w:p w14:paraId="6D045B23" w14:textId="546C3059"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Neutrophil Percentage</w:t>
            </w:r>
          </w:p>
        </w:tc>
        <w:tc>
          <w:tcPr>
            <w:tcW w:w="3442" w:type="dxa"/>
            <w:vAlign w:val="bottom"/>
          </w:tcPr>
          <w:p w14:paraId="5B295170" w14:textId="55879E12"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Proportion of neutrophils in WBC (%)</w:t>
            </w:r>
          </w:p>
        </w:tc>
      </w:tr>
      <w:tr w:rsidR="00BF30AF" w14:paraId="0ADD6145" w14:textId="77777777" w:rsidTr="007D7088">
        <w:tc>
          <w:tcPr>
            <w:tcW w:w="1440" w:type="dxa"/>
            <w:vMerge/>
            <w:vAlign w:val="bottom"/>
          </w:tcPr>
          <w:p w14:paraId="601169FD" w14:textId="77777777"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p>
        </w:tc>
        <w:tc>
          <w:tcPr>
            <w:tcW w:w="1260" w:type="dxa"/>
            <w:vAlign w:val="bottom"/>
          </w:tcPr>
          <w:p w14:paraId="171BE681" w14:textId="4EC80D47"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EOS%</w:t>
            </w:r>
          </w:p>
        </w:tc>
        <w:tc>
          <w:tcPr>
            <w:tcW w:w="2160" w:type="dxa"/>
            <w:vAlign w:val="bottom"/>
          </w:tcPr>
          <w:p w14:paraId="2466A34E" w14:textId="6BB2367B"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Eosinophil Percentage</w:t>
            </w:r>
          </w:p>
        </w:tc>
        <w:tc>
          <w:tcPr>
            <w:tcW w:w="3442" w:type="dxa"/>
            <w:vAlign w:val="bottom"/>
          </w:tcPr>
          <w:p w14:paraId="1093A2E8" w14:textId="2EE0F6C9"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Proportion of eosinophils in WBC (%)</w:t>
            </w:r>
          </w:p>
        </w:tc>
      </w:tr>
      <w:tr w:rsidR="00BF30AF" w14:paraId="52D7373D" w14:textId="77777777" w:rsidTr="007D7088">
        <w:tc>
          <w:tcPr>
            <w:tcW w:w="1440" w:type="dxa"/>
            <w:vMerge/>
            <w:vAlign w:val="bottom"/>
          </w:tcPr>
          <w:p w14:paraId="69E95660" w14:textId="77777777"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p>
        </w:tc>
        <w:tc>
          <w:tcPr>
            <w:tcW w:w="1260" w:type="dxa"/>
            <w:vAlign w:val="bottom"/>
          </w:tcPr>
          <w:p w14:paraId="37A39790" w14:textId="0768384B"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BASO%</w:t>
            </w:r>
          </w:p>
        </w:tc>
        <w:tc>
          <w:tcPr>
            <w:tcW w:w="2160" w:type="dxa"/>
            <w:vAlign w:val="bottom"/>
          </w:tcPr>
          <w:p w14:paraId="19FA3E5D" w14:textId="44443C5C"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Basophil Percentage</w:t>
            </w:r>
          </w:p>
        </w:tc>
        <w:tc>
          <w:tcPr>
            <w:tcW w:w="3442" w:type="dxa"/>
            <w:vAlign w:val="bottom"/>
          </w:tcPr>
          <w:p w14:paraId="30374177" w14:textId="08CC6839"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Proportion of basophils in WBC (%)</w:t>
            </w:r>
          </w:p>
        </w:tc>
      </w:tr>
      <w:tr w:rsidR="00BF30AF" w14:paraId="51B9F1AD" w14:textId="77777777" w:rsidTr="007D7088">
        <w:tc>
          <w:tcPr>
            <w:tcW w:w="1440" w:type="dxa"/>
            <w:vMerge/>
            <w:vAlign w:val="bottom"/>
          </w:tcPr>
          <w:p w14:paraId="256F042A" w14:textId="77777777"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p>
        </w:tc>
        <w:tc>
          <w:tcPr>
            <w:tcW w:w="1260" w:type="dxa"/>
            <w:vAlign w:val="bottom"/>
          </w:tcPr>
          <w:p w14:paraId="2EFF9367" w14:textId="24C6FB2C"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MONO%</w:t>
            </w:r>
          </w:p>
        </w:tc>
        <w:tc>
          <w:tcPr>
            <w:tcW w:w="2160" w:type="dxa"/>
            <w:vAlign w:val="bottom"/>
          </w:tcPr>
          <w:p w14:paraId="1DC6AF96" w14:textId="009E7DC3"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Monocyte Percentage</w:t>
            </w:r>
          </w:p>
        </w:tc>
        <w:tc>
          <w:tcPr>
            <w:tcW w:w="3442" w:type="dxa"/>
            <w:vAlign w:val="bottom"/>
          </w:tcPr>
          <w:p w14:paraId="6A4AC6CF" w14:textId="5B4B4CD9"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Proportion of monocytes in WBC (%)</w:t>
            </w:r>
          </w:p>
        </w:tc>
      </w:tr>
      <w:tr w:rsidR="00BF30AF" w14:paraId="2B16CC62" w14:textId="77777777" w:rsidTr="007D7088">
        <w:tc>
          <w:tcPr>
            <w:tcW w:w="1440" w:type="dxa"/>
            <w:vMerge/>
            <w:vAlign w:val="bottom"/>
          </w:tcPr>
          <w:p w14:paraId="65796B10" w14:textId="77777777"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p>
        </w:tc>
        <w:tc>
          <w:tcPr>
            <w:tcW w:w="1260" w:type="dxa"/>
            <w:vAlign w:val="bottom"/>
          </w:tcPr>
          <w:p w14:paraId="7E0D3042" w14:textId="72D004B6"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LYMPH%</w:t>
            </w:r>
          </w:p>
        </w:tc>
        <w:tc>
          <w:tcPr>
            <w:tcW w:w="2160" w:type="dxa"/>
            <w:vAlign w:val="bottom"/>
          </w:tcPr>
          <w:p w14:paraId="5B013FF2" w14:textId="3151A44B"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Lymphocyte Percentage</w:t>
            </w:r>
          </w:p>
        </w:tc>
        <w:tc>
          <w:tcPr>
            <w:tcW w:w="3442" w:type="dxa"/>
            <w:vAlign w:val="bottom"/>
          </w:tcPr>
          <w:p w14:paraId="59FF1D60" w14:textId="2418938F"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Proportion of lymphocytes in WBC (%)</w:t>
            </w:r>
          </w:p>
        </w:tc>
      </w:tr>
      <w:tr w:rsidR="00BF30AF" w14:paraId="7F92A618" w14:textId="77777777" w:rsidTr="007D7088">
        <w:tc>
          <w:tcPr>
            <w:tcW w:w="1440" w:type="dxa"/>
            <w:vMerge/>
            <w:vAlign w:val="bottom"/>
          </w:tcPr>
          <w:p w14:paraId="24ABA3A5" w14:textId="77777777"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p>
        </w:tc>
        <w:tc>
          <w:tcPr>
            <w:tcW w:w="1260" w:type="dxa"/>
            <w:vAlign w:val="bottom"/>
          </w:tcPr>
          <w:p w14:paraId="67B1B4D3" w14:textId="5DE1A545"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NE</w:t>
            </w:r>
          </w:p>
        </w:tc>
        <w:tc>
          <w:tcPr>
            <w:tcW w:w="2160" w:type="dxa"/>
            <w:vAlign w:val="bottom"/>
          </w:tcPr>
          <w:p w14:paraId="2772F239" w14:textId="348E3D7B"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Neutrophil Count</w:t>
            </w:r>
          </w:p>
        </w:tc>
        <w:tc>
          <w:tcPr>
            <w:tcW w:w="3442" w:type="dxa"/>
            <w:vAlign w:val="bottom"/>
          </w:tcPr>
          <w:p w14:paraId="7FC339F0" w14:textId="4FD9635C"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Absolute count of neutrophils</w:t>
            </w:r>
          </w:p>
        </w:tc>
      </w:tr>
      <w:tr w:rsidR="00BF30AF" w14:paraId="07163104" w14:textId="77777777" w:rsidTr="007D7088">
        <w:tc>
          <w:tcPr>
            <w:tcW w:w="1440" w:type="dxa"/>
            <w:vMerge/>
            <w:vAlign w:val="bottom"/>
          </w:tcPr>
          <w:p w14:paraId="37FAD4F0" w14:textId="77777777"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p>
        </w:tc>
        <w:tc>
          <w:tcPr>
            <w:tcW w:w="1260" w:type="dxa"/>
            <w:vAlign w:val="bottom"/>
          </w:tcPr>
          <w:p w14:paraId="2CC7DC85" w14:textId="61C5ABCB"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EO</w:t>
            </w:r>
          </w:p>
        </w:tc>
        <w:tc>
          <w:tcPr>
            <w:tcW w:w="2160" w:type="dxa"/>
            <w:vAlign w:val="bottom"/>
          </w:tcPr>
          <w:p w14:paraId="0A63B249" w14:textId="775C6FBF"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Eosinophil Count</w:t>
            </w:r>
          </w:p>
        </w:tc>
        <w:tc>
          <w:tcPr>
            <w:tcW w:w="3442" w:type="dxa"/>
            <w:vAlign w:val="bottom"/>
          </w:tcPr>
          <w:p w14:paraId="2DBB5770" w14:textId="3037ECE5"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Absolute count of eosinophils</w:t>
            </w:r>
          </w:p>
        </w:tc>
      </w:tr>
      <w:tr w:rsidR="00BF30AF" w14:paraId="7CBE1D42" w14:textId="77777777" w:rsidTr="007D7088">
        <w:tc>
          <w:tcPr>
            <w:tcW w:w="1440" w:type="dxa"/>
            <w:vMerge/>
            <w:vAlign w:val="bottom"/>
          </w:tcPr>
          <w:p w14:paraId="79632B4F" w14:textId="77777777"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p>
        </w:tc>
        <w:tc>
          <w:tcPr>
            <w:tcW w:w="1260" w:type="dxa"/>
            <w:vAlign w:val="bottom"/>
          </w:tcPr>
          <w:p w14:paraId="6C817320" w14:textId="6C87E66E"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MO</w:t>
            </w:r>
          </w:p>
        </w:tc>
        <w:tc>
          <w:tcPr>
            <w:tcW w:w="2160" w:type="dxa"/>
            <w:vAlign w:val="bottom"/>
          </w:tcPr>
          <w:p w14:paraId="3D2A9586" w14:textId="349FF09D"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Monocyte Count</w:t>
            </w:r>
          </w:p>
        </w:tc>
        <w:tc>
          <w:tcPr>
            <w:tcW w:w="3442" w:type="dxa"/>
            <w:vAlign w:val="bottom"/>
          </w:tcPr>
          <w:p w14:paraId="25B71C1C" w14:textId="76DE8B2D"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Absolute count of monocytes</w:t>
            </w:r>
          </w:p>
        </w:tc>
      </w:tr>
      <w:tr w:rsidR="00BF30AF" w14:paraId="6C530662" w14:textId="77777777" w:rsidTr="007D7088">
        <w:tc>
          <w:tcPr>
            <w:tcW w:w="1440" w:type="dxa"/>
            <w:vMerge/>
            <w:vAlign w:val="bottom"/>
          </w:tcPr>
          <w:p w14:paraId="24756AEF" w14:textId="77777777"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p>
        </w:tc>
        <w:tc>
          <w:tcPr>
            <w:tcW w:w="1260" w:type="dxa"/>
            <w:vAlign w:val="bottom"/>
          </w:tcPr>
          <w:p w14:paraId="47941356" w14:textId="528E3CE0"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LY</w:t>
            </w:r>
          </w:p>
        </w:tc>
        <w:tc>
          <w:tcPr>
            <w:tcW w:w="2160" w:type="dxa"/>
            <w:vAlign w:val="bottom"/>
          </w:tcPr>
          <w:p w14:paraId="16B6B325" w14:textId="35C23D36"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Lymphocyte Count</w:t>
            </w:r>
          </w:p>
        </w:tc>
        <w:tc>
          <w:tcPr>
            <w:tcW w:w="3442" w:type="dxa"/>
            <w:vAlign w:val="bottom"/>
          </w:tcPr>
          <w:p w14:paraId="7A03514E" w14:textId="77B3004E"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Absolute count of lymphocytes</w:t>
            </w:r>
          </w:p>
        </w:tc>
      </w:tr>
      <w:tr w:rsidR="00BF30AF" w14:paraId="7AEAE29C" w14:textId="77777777" w:rsidTr="007D7088">
        <w:tc>
          <w:tcPr>
            <w:tcW w:w="1440" w:type="dxa"/>
            <w:vMerge/>
            <w:tcBorders>
              <w:bottom w:val="single" w:sz="4" w:space="0" w:color="auto"/>
            </w:tcBorders>
            <w:vAlign w:val="bottom"/>
          </w:tcPr>
          <w:p w14:paraId="4828D0EB" w14:textId="77777777"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p>
        </w:tc>
        <w:tc>
          <w:tcPr>
            <w:tcW w:w="1260" w:type="dxa"/>
            <w:tcBorders>
              <w:bottom w:val="single" w:sz="4" w:space="0" w:color="auto"/>
            </w:tcBorders>
            <w:vAlign w:val="bottom"/>
          </w:tcPr>
          <w:p w14:paraId="60E38FD3" w14:textId="291F9950"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BA</w:t>
            </w:r>
          </w:p>
        </w:tc>
        <w:tc>
          <w:tcPr>
            <w:tcW w:w="2160" w:type="dxa"/>
            <w:tcBorders>
              <w:bottom w:val="single" w:sz="4" w:space="0" w:color="auto"/>
            </w:tcBorders>
            <w:vAlign w:val="bottom"/>
          </w:tcPr>
          <w:p w14:paraId="1511844C" w14:textId="3C4957F9"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Basophil Count</w:t>
            </w:r>
          </w:p>
        </w:tc>
        <w:tc>
          <w:tcPr>
            <w:tcW w:w="3442" w:type="dxa"/>
            <w:tcBorders>
              <w:bottom w:val="single" w:sz="4" w:space="0" w:color="auto"/>
            </w:tcBorders>
            <w:vAlign w:val="bottom"/>
          </w:tcPr>
          <w:p w14:paraId="5C0D07A3" w14:textId="64C0B0FD"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Absolute count of basophils</w:t>
            </w:r>
          </w:p>
        </w:tc>
      </w:tr>
      <w:tr w:rsidR="00BF30AF" w14:paraId="721AC67D" w14:textId="77777777" w:rsidTr="007D7088">
        <w:tc>
          <w:tcPr>
            <w:tcW w:w="1440" w:type="dxa"/>
            <w:vMerge w:val="restart"/>
            <w:tcBorders>
              <w:top w:val="single" w:sz="4" w:space="0" w:color="auto"/>
            </w:tcBorders>
            <w:vAlign w:val="center"/>
          </w:tcPr>
          <w:p w14:paraId="2004782E" w14:textId="4F52C954" w:rsidR="00BF30AF" w:rsidRPr="007C3559" w:rsidRDefault="00BF30AF" w:rsidP="00BF30AF">
            <w:pPr>
              <w:spacing w:line="320" w:lineRule="exact"/>
              <w:jc w:val="center"/>
              <w:rPr>
                <w:rStyle w:val="apple-converted-space"/>
                <w:rFonts w:ascii="Garamond" w:eastAsia="宋体" w:hAnsi="Garamond" w:cs="Garamond"/>
                <w:sz w:val="14"/>
                <w:szCs w:val="14"/>
                <w:shd w:val="clear" w:color="auto" w:fill="FFFFFF"/>
              </w:rPr>
            </w:pPr>
            <w:r w:rsidRPr="007C3559">
              <w:rPr>
                <w:rFonts w:ascii="Garamond" w:hAnsi="Garamond" w:cs="Arial"/>
                <w:sz w:val="14"/>
                <w:szCs w:val="14"/>
              </w:rPr>
              <w:t>Red Blood Cells (RBC)</w:t>
            </w:r>
          </w:p>
        </w:tc>
        <w:tc>
          <w:tcPr>
            <w:tcW w:w="1260" w:type="dxa"/>
            <w:tcBorders>
              <w:top w:val="single" w:sz="4" w:space="0" w:color="auto"/>
            </w:tcBorders>
            <w:vAlign w:val="bottom"/>
          </w:tcPr>
          <w:p w14:paraId="668339C7" w14:textId="3602792D"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RBC</w:t>
            </w:r>
          </w:p>
        </w:tc>
        <w:tc>
          <w:tcPr>
            <w:tcW w:w="2160" w:type="dxa"/>
            <w:tcBorders>
              <w:top w:val="single" w:sz="4" w:space="0" w:color="auto"/>
            </w:tcBorders>
            <w:vAlign w:val="bottom"/>
          </w:tcPr>
          <w:p w14:paraId="534C628E" w14:textId="17EF8F23"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Red Blood Cell Count</w:t>
            </w:r>
          </w:p>
        </w:tc>
        <w:tc>
          <w:tcPr>
            <w:tcW w:w="3442" w:type="dxa"/>
            <w:tcBorders>
              <w:top w:val="single" w:sz="4" w:space="0" w:color="auto"/>
            </w:tcBorders>
            <w:vAlign w:val="bottom"/>
          </w:tcPr>
          <w:p w14:paraId="346DC491" w14:textId="5C52F8BF"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Total erythrocyte count</w:t>
            </w:r>
          </w:p>
        </w:tc>
      </w:tr>
      <w:tr w:rsidR="00BF30AF" w14:paraId="59A3C8EF" w14:textId="77777777" w:rsidTr="007D7088">
        <w:tc>
          <w:tcPr>
            <w:tcW w:w="1440" w:type="dxa"/>
            <w:vMerge/>
            <w:vAlign w:val="bottom"/>
          </w:tcPr>
          <w:p w14:paraId="083DA51F" w14:textId="77777777"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p>
        </w:tc>
        <w:tc>
          <w:tcPr>
            <w:tcW w:w="1260" w:type="dxa"/>
            <w:vAlign w:val="bottom"/>
          </w:tcPr>
          <w:p w14:paraId="3FF4458B" w14:textId="761D98B7"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HB</w:t>
            </w:r>
          </w:p>
        </w:tc>
        <w:tc>
          <w:tcPr>
            <w:tcW w:w="2160" w:type="dxa"/>
            <w:vAlign w:val="bottom"/>
          </w:tcPr>
          <w:p w14:paraId="191CB094" w14:textId="6878A2CF"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Hemoglobin</w:t>
            </w:r>
          </w:p>
        </w:tc>
        <w:tc>
          <w:tcPr>
            <w:tcW w:w="3442" w:type="dxa"/>
            <w:vAlign w:val="bottom"/>
          </w:tcPr>
          <w:p w14:paraId="7CAED163" w14:textId="770AC2A0"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Hemoglobin concentration</w:t>
            </w:r>
          </w:p>
        </w:tc>
      </w:tr>
      <w:tr w:rsidR="00BF30AF" w14:paraId="52D42B64" w14:textId="77777777" w:rsidTr="007D7088">
        <w:tc>
          <w:tcPr>
            <w:tcW w:w="1440" w:type="dxa"/>
            <w:vMerge/>
            <w:vAlign w:val="bottom"/>
          </w:tcPr>
          <w:p w14:paraId="7B607055" w14:textId="77777777"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p>
        </w:tc>
        <w:tc>
          <w:tcPr>
            <w:tcW w:w="1260" w:type="dxa"/>
            <w:vAlign w:val="bottom"/>
          </w:tcPr>
          <w:p w14:paraId="3DC26238" w14:textId="72D975C0"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HCT</w:t>
            </w:r>
          </w:p>
        </w:tc>
        <w:tc>
          <w:tcPr>
            <w:tcW w:w="2160" w:type="dxa"/>
            <w:vAlign w:val="bottom"/>
          </w:tcPr>
          <w:p w14:paraId="653EC333" w14:textId="1B8729E2"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Hematocrit</w:t>
            </w:r>
          </w:p>
        </w:tc>
        <w:tc>
          <w:tcPr>
            <w:tcW w:w="3442" w:type="dxa"/>
            <w:vAlign w:val="bottom"/>
          </w:tcPr>
          <w:p w14:paraId="33D378F5" w14:textId="2B5E8291"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Volume percentage of RBCs in blood</w:t>
            </w:r>
          </w:p>
        </w:tc>
      </w:tr>
      <w:tr w:rsidR="00BF30AF" w14:paraId="122947DF" w14:textId="77777777" w:rsidTr="007D7088">
        <w:tc>
          <w:tcPr>
            <w:tcW w:w="1440" w:type="dxa"/>
            <w:vMerge/>
            <w:vAlign w:val="bottom"/>
          </w:tcPr>
          <w:p w14:paraId="309173BF" w14:textId="77777777"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p>
        </w:tc>
        <w:tc>
          <w:tcPr>
            <w:tcW w:w="1260" w:type="dxa"/>
            <w:vAlign w:val="bottom"/>
          </w:tcPr>
          <w:p w14:paraId="571226C0" w14:textId="63C3C8BE"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MCV</w:t>
            </w:r>
          </w:p>
        </w:tc>
        <w:tc>
          <w:tcPr>
            <w:tcW w:w="2160" w:type="dxa"/>
            <w:vAlign w:val="bottom"/>
          </w:tcPr>
          <w:p w14:paraId="6E656EB6" w14:textId="68F91995"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Mean Corpuscular Volume</w:t>
            </w:r>
          </w:p>
        </w:tc>
        <w:tc>
          <w:tcPr>
            <w:tcW w:w="3442" w:type="dxa"/>
            <w:vAlign w:val="bottom"/>
          </w:tcPr>
          <w:p w14:paraId="44552996" w14:textId="37574CEF"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Average volume of red cells</w:t>
            </w:r>
          </w:p>
        </w:tc>
      </w:tr>
      <w:tr w:rsidR="00BF30AF" w14:paraId="5DE5288B" w14:textId="77777777" w:rsidTr="007D7088">
        <w:tc>
          <w:tcPr>
            <w:tcW w:w="1440" w:type="dxa"/>
            <w:vMerge/>
            <w:vAlign w:val="bottom"/>
          </w:tcPr>
          <w:p w14:paraId="54B6EA76" w14:textId="77777777"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p>
        </w:tc>
        <w:tc>
          <w:tcPr>
            <w:tcW w:w="1260" w:type="dxa"/>
            <w:vAlign w:val="bottom"/>
          </w:tcPr>
          <w:p w14:paraId="084D9068" w14:textId="2B2F4491"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MCH</w:t>
            </w:r>
          </w:p>
        </w:tc>
        <w:tc>
          <w:tcPr>
            <w:tcW w:w="2160" w:type="dxa"/>
            <w:vAlign w:val="bottom"/>
          </w:tcPr>
          <w:p w14:paraId="22A98999" w14:textId="4F663D0D"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Mean Corpuscular Hemoglobin</w:t>
            </w:r>
          </w:p>
        </w:tc>
        <w:tc>
          <w:tcPr>
            <w:tcW w:w="3442" w:type="dxa"/>
            <w:vAlign w:val="bottom"/>
          </w:tcPr>
          <w:p w14:paraId="5D1085AD" w14:textId="2040F56A"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Average mass of hemoglobin per red cell</w:t>
            </w:r>
          </w:p>
        </w:tc>
      </w:tr>
      <w:tr w:rsidR="00BF30AF" w14:paraId="7358F0E3" w14:textId="77777777" w:rsidTr="007D7088">
        <w:tc>
          <w:tcPr>
            <w:tcW w:w="1440" w:type="dxa"/>
            <w:vMerge/>
            <w:vAlign w:val="bottom"/>
          </w:tcPr>
          <w:p w14:paraId="3B514F83" w14:textId="77777777"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p>
        </w:tc>
        <w:tc>
          <w:tcPr>
            <w:tcW w:w="1260" w:type="dxa"/>
            <w:vAlign w:val="bottom"/>
          </w:tcPr>
          <w:p w14:paraId="39642776" w14:textId="7713A73D"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MCHC</w:t>
            </w:r>
          </w:p>
        </w:tc>
        <w:tc>
          <w:tcPr>
            <w:tcW w:w="2160" w:type="dxa"/>
            <w:vAlign w:val="bottom"/>
          </w:tcPr>
          <w:p w14:paraId="524AAFA9" w14:textId="4803D728"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Mean Corpuscular Hgb Conc.</w:t>
            </w:r>
          </w:p>
        </w:tc>
        <w:tc>
          <w:tcPr>
            <w:tcW w:w="3442" w:type="dxa"/>
            <w:vAlign w:val="bottom"/>
          </w:tcPr>
          <w:p w14:paraId="1641BF6A" w14:textId="5661E715"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Concentration of hemoglobin in a given volume of RBCs</w:t>
            </w:r>
          </w:p>
        </w:tc>
      </w:tr>
      <w:tr w:rsidR="00BF30AF" w14:paraId="304FECD0" w14:textId="77777777" w:rsidTr="007D7088">
        <w:tc>
          <w:tcPr>
            <w:tcW w:w="1440" w:type="dxa"/>
            <w:vMerge/>
            <w:vAlign w:val="bottom"/>
          </w:tcPr>
          <w:p w14:paraId="361E3B30" w14:textId="77777777"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p>
        </w:tc>
        <w:tc>
          <w:tcPr>
            <w:tcW w:w="1260" w:type="dxa"/>
            <w:vAlign w:val="bottom"/>
          </w:tcPr>
          <w:p w14:paraId="40D16AB1" w14:textId="04EAEA66"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RDW</w:t>
            </w:r>
          </w:p>
        </w:tc>
        <w:tc>
          <w:tcPr>
            <w:tcW w:w="2160" w:type="dxa"/>
            <w:vAlign w:val="bottom"/>
          </w:tcPr>
          <w:p w14:paraId="3CF6E25D" w14:textId="432EEF65"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Red Cell Distribution Width</w:t>
            </w:r>
          </w:p>
        </w:tc>
        <w:tc>
          <w:tcPr>
            <w:tcW w:w="3442" w:type="dxa"/>
            <w:vAlign w:val="bottom"/>
          </w:tcPr>
          <w:p w14:paraId="6656F05C" w14:textId="7AA2D333"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Variation in red blood cell volume (CV)</w:t>
            </w:r>
          </w:p>
        </w:tc>
      </w:tr>
      <w:tr w:rsidR="00BF30AF" w14:paraId="4128DD21" w14:textId="77777777" w:rsidTr="007D7088">
        <w:tc>
          <w:tcPr>
            <w:tcW w:w="1440" w:type="dxa"/>
            <w:vMerge/>
            <w:tcBorders>
              <w:bottom w:val="single" w:sz="4" w:space="0" w:color="auto"/>
            </w:tcBorders>
            <w:vAlign w:val="bottom"/>
          </w:tcPr>
          <w:p w14:paraId="053CB6EA" w14:textId="77777777"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p>
        </w:tc>
        <w:tc>
          <w:tcPr>
            <w:tcW w:w="1260" w:type="dxa"/>
            <w:tcBorders>
              <w:bottom w:val="single" w:sz="4" w:space="0" w:color="auto"/>
            </w:tcBorders>
            <w:vAlign w:val="bottom"/>
          </w:tcPr>
          <w:p w14:paraId="0541F033" w14:textId="538D3FBE"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RDW-SD</w:t>
            </w:r>
          </w:p>
        </w:tc>
        <w:tc>
          <w:tcPr>
            <w:tcW w:w="2160" w:type="dxa"/>
            <w:tcBorders>
              <w:bottom w:val="single" w:sz="4" w:space="0" w:color="auto"/>
            </w:tcBorders>
            <w:vAlign w:val="bottom"/>
          </w:tcPr>
          <w:p w14:paraId="4DA8890D" w14:textId="6CD32B5F"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RDW Standard Deviation</w:t>
            </w:r>
          </w:p>
        </w:tc>
        <w:tc>
          <w:tcPr>
            <w:tcW w:w="3442" w:type="dxa"/>
            <w:tcBorders>
              <w:bottom w:val="single" w:sz="4" w:space="0" w:color="auto"/>
            </w:tcBorders>
            <w:vAlign w:val="bottom"/>
          </w:tcPr>
          <w:p w14:paraId="559E9E39" w14:textId="7C33C30F"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Standard deviation of RBC size distribution</w:t>
            </w:r>
          </w:p>
        </w:tc>
      </w:tr>
      <w:tr w:rsidR="00BF30AF" w14:paraId="7F171968" w14:textId="77777777" w:rsidTr="007D7088">
        <w:tc>
          <w:tcPr>
            <w:tcW w:w="1440" w:type="dxa"/>
            <w:vMerge w:val="restart"/>
            <w:tcBorders>
              <w:top w:val="single" w:sz="4" w:space="0" w:color="auto"/>
            </w:tcBorders>
            <w:vAlign w:val="center"/>
          </w:tcPr>
          <w:p w14:paraId="57B80E75" w14:textId="68CF17D9" w:rsidR="00BF30AF" w:rsidRPr="007C3559" w:rsidRDefault="00BF30AF" w:rsidP="00BF30AF">
            <w:pPr>
              <w:spacing w:line="320" w:lineRule="exact"/>
              <w:jc w:val="center"/>
              <w:rPr>
                <w:rStyle w:val="apple-converted-space"/>
                <w:rFonts w:ascii="Garamond" w:eastAsia="宋体" w:hAnsi="Garamond" w:cs="Garamond"/>
                <w:sz w:val="14"/>
                <w:szCs w:val="14"/>
                <w:shd w:val="clear" w:color="auto" w:fill="FFFFFF"/>
              </w:rPr>
            </w:pPr>
            <w:r w:rsidRPr="007C3559">
              <w:rPr>
                <w:rFonts w:ascii="Garamond" w:hAnsi="Garamond" w:cs="Arial"/>
                <w:sz w:val="14"/>
                <w:szCs w:val="14"/>
              </w:rPr>
              <w:t>Platelets</w:t>
            </w:r>
          </w:p>
        </w:tc>
        <w:tc>
          <w:tcPr>
            <w:tcW w:w="1260" w:type="dxa"/>
            <w:tcBorders>
              <w:top w:val="single" w:sz="4" w:space="0" w:color="auto"/>
            </w:tcBorders>
            <w:vAlign w:val="bottom"/>
          </w:tcPr>
          <w:p w14:paraId="4B0F85AE" w14:textId="6BD2D458"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PLT</w:t>
            </w:r>
          </w:p>
        </w:tc>
        <w:tc>
          <w:tcPr>
            <w:tcW w:w="2160" w:type="dxa"/>
            <w:tcBorders>
              <w:top w:val="single" w:sz="4" w:space="0" w:color="auto"/>
            </w:tcBorders>
            <w:vAlign w:val="bottom"/>
          </w:tcPr>
          <w:p w14:paraId="2D88429F" w14:textId="12291F1F"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Platelet Count</w:t>
            </w:r>
          </w:p>
        </w:tc>
        <w:tc>
          <w:tcPr>
            <w:tcW w:w="3442" w:type="dxa"/>
            <w:tcBorders>
              <w:top w:val="single" w:sz="4" w:space="0" w:color="auto"/>
            </w:tcBorders>
            <w:vAlign w:val="bottom"/>
          </w:tcPr>
          <w:p w14:paraId="5F70A281" w14:textId="4E9B9225"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Total platelet count</w:t>
            </w:r>
          </w:p>
        </w:tc>
      </w:tr>
      <w:tr w:rsidR="00BF30AF" w14:paraId="22CBCBFD" w14:textId="77777777" w:rsidTr="007D7088">
        <w:tc>
          <w:tcPr>
            <w:tcW w:w="1440" w:type="dxa"/>
            <w:vMerge/>
            <w:vAlign w:val="bottom"/>
          </w:tcPr>
          <w:p w14:paraId="3436B639" w14:textId="77777777"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p>
        </w:tc>
        <w:tc>
          <w:tcPr>
            <w:tcW w:w="1260" w:type="dxa"/>
            <w:vAlign w:val="bottom"/>
          </w:tcPr>
          <w:p w14:paraId="31F983E5" w14:textId="414283E3"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MPV</w:t>
            </w:r>
          </w:p>
        </w:tc>
        <w:tc>
          <w:tcPr>
            <w:tcW w:w="2160" w:type="dxa"/>
            <w:vAlign w:val="bottom"/>
          </w:tcPr>
          <w:p w14:paraId="4C45C434" w14:textId="2FCA6B44"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Mean Platelet Volume</w:t>
            </w:r>
          </w:p>
        </w:tc>
        <w:tc>
          <w:tcPr>
            <w:tcW w:w="3442" w:type="dxa"/>
            <w:vAlign w:val="bottom"/>
          </w:tcPr>
          <w:p w14:paraId="2B84DAD4" w14:textId="0381D457"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Average size of platelets</w:t>
            </w:r>
          </w:p>
        </w:tc>
      </w:tr>
      <w:tr w:rsidR="00BF30AF" w14:paraId="6F5026D4" w14:textId="77777777" w:rsidTr="007D7088">
        <w:tc>
          <w:tcPr>
            <w:tcW w:w="1440" w:type="dxa"/>
            <w:vMerge/>
            <w:vAlign w:val="bottom"/>
          </w:tcPr>
          <w:p w14:paraId="7F5D5BA2" w14:textId="77777777"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p>
        </w:tc>
        <w:tc>
          <w:tcPr>
            <w:tcW w:w="1260" w:type="dxa"/>
            <w:vAlign w:val="bottom"/>
          </w:tcPr>
          <w:p w14:paraId="3B9154EE" w14:textId="26BBCFC5"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PCT</w:t>
            </w:r>
          </w:p>
        </w:tc>
        <w:tc>
          <w:tcPr>
            <w:tcW w:w="2160" w:type="dxa"/>
            <w:vAlign w:val="bottom"/>
          </w:tcPr>
          <w:p w14:paraId="51740AB2" w14:textId="0E1E7AF5"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proofErr w:type="spellStart"/>
            <w:r w:rsidRPr="007C3559">
              <w:rPr>
                <w:rFonts w:ascii="Garamond" w:hAnsi="Garamond" w:cs="Arial"/>
                <w:sz w:val="14"/>
                <w:szCs w:val="14"/>
              </w:rPr>
              <w:t>Plateletcrit</w:t>
            </w:r>
            <w:proofErr w:type="spellEnd"/>
          </w:p>
        </w:tc>
        <w:tc>
          <w:tcPr>
            <w:tcW w:w="3442" w:type="dxa"/>
            <w:vAlign w:val="bottom"/>
          </w:tcPr>
          <w:p w14:paraId="6BCB3F81" w14:textId="425FB9EF"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Volume occupied by platelets in the blood</w:t>
            </w:r>
          </w:p>
        </w:tc>
      </w:tr>
      <w:tr w:rsidR="00BF30AF" w14:paraId="2CADCDBA" w14:textId="77777777" w:rsidTr="007D7088">
        <w:tc>
          <w:tcPr>
            <w:tcW w:w="1440" w:type="dxa"/>
            <w:vMerge/>
            <w:vAlign w:val="bottom"/>
          </w:tcPr>
          <w:p w14:paraId="70EE93AA" w14:textId="77777777"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p>
        </w:tc>
        <w:tc>
          <w:tcPr>
            <w:tcW w:w="1260" w:type="dxa"/>
            <w:vAlign w:val="bottom"/>
          </w:tcPr>
          <w:p w14:paraId="0BA3DC51" w14:textId="6D6CD0C0"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PDW</w:t>
            </w:r>
          </w:p>
        </w:tc>
        <w:tc>
          <w:tcPr>
            <w:tcW w:w="2160" w:type="dxa"/>
            <w:vAlign w:val="bottom"/>
          </w:tcPr>
          <w:p w14:paraId="2847D722" w14:textId="0291482B"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Platelet Distribution Width</w:t>
            </w:r>
          </w:p>
        </w:tc>
        <w:tc>
          <w:tcPr>
            <w:tcW w:w="3442" w:type="dxa"/>
            <w:vAlign w:val="bottom"/>
          </w:tcPr>
          <w:p w14:paraId="671506AB" w14:textId="1A8A5B30"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Variation in platelet size</w:t>
            </w:r>
          </w:p>
        </w:tc>
      </w:tr>
      <w:tr w:rsidR="00BF30AF" w14:paraId="6A00D497" w14:textId="77777777" w:rsidTr="007D7088">
        <w:tc>
          <w:tcPr>
            <w:tcW w:w="1440" w:type="dxa"/>
            <w:vMerge/>
            <w:tcBorders>
              <w:bottom w:val="single" w:sz="12" w:space="0" w:color="auto"/>
            </w:tcBorders>
            <w:vAlign w:val="bottom"/>
          </w:tcPr>
          <w:p w14:paraId="22BA18DC" w14:textId="77777777"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p>
        </w:tc>
        <w:tc>
          <w:tcPr>
            <w:tcW w:w="1260" w:type="dxa"/>
            <w:tcBorders>
              <w:bottom w:val="single" w:sz="12" w:space="0" w:color="auto"/>
            </w:tcBorders>
            <w:vAlign w:val="bottom"/>
          </w:tcPr>
          <w:p w14:paraId="585883EA" w14:textId="48D8F171"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P-LCR</w:t>
            </w:r>
          </w:p>
        </w:tc>
        <w:tc>
          <w:tcPr>
            <w:tcW w:w="2160" w:type="dxa"/>
            <w:tcBorders>
              <w:bottom w:val="single" w:sz="12" w:space="0" w:color="auto"/>
            </w:tcBorders>
            <w:vAlign w:val="bottom"/>
          </w:tcPr>
          <w:p w14:paraId="56C99999" w14:textId="45B364F3"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Platelet-Large Cell Ratio</w:t>
            </w:r>
          </w:p>
        </w:tc>
        <w:tc>
          <w:tcPr>
            <w:tcW w:w="3442" w:type="dxa"/>
            <w:tcBorders>
              <w:bottom w:val="single" w:sz="12" w:space="0" w:color="auto"/>
            </w:tcBorders>
            <w:vAlign w:val="bottom"/>
          </w:tcPr>
          <w:p w14:paraId="0F166A83" w14:textId="0E34A382"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 xml:space="preserve">Proportion of larger platelets (&gt;12 </w:t>
            </w:r>
            <w:proofErr w:type="spellStart"/>
            <w:r w:rsidRPr="007C3559">
              <w:rPr>
                <w:rFonts w:ascii="Garamond" w:hAnsi="Garamond" w:cs="Arial"/>
                <w:sz w:val="14"/>
                <w:szCs w:val="14"/>
              </w:rPr>
              <w:t>fL</w:t>
            </w:r>
            <w:proofErr w:type="spellEnd"/>
            <w:r w:rsidRPr="007C3559">
              <w:rPr>
                <w:rFonts w:ascii="Garamond" w:hAnsi="Garamond" w:cs="Arial"/>
                <w:sz w:val="14"/>
                <w:szCs w:val="14"/>
              </w:rPr>
              <w:t>)</w:t>
            </w:r>
          </w:p>
        </w:tc>
      </w:tr>
    </w:tbl>
    <w:p w14:paraId="4D277F38" w14:textId="77777777" w:rsidR="00E92AD4" w:rsidRDefault="00E92AD4">
      <w:pPr>
        <w:spacing w:line="320" w:lineRule="exact"/>
        <w:ind w:firstLine="420"/>
        <w:rPr>
          <w:rStyle w:val="apple-converted-space"/>
          <w:rFonts w:ascii="Garamond" w:eastAsia="宋体" w:hAnsi="Garamond" w:cs="Garamond"/>
          <w:szCs w:val="21"/>
          <w:shd w:val="clear" w:color="auto" w:fill="FFFFFF"/>
        </w:rPr>
      </w:pPr>
    </w:p>
    <w:p w14:paraId="1D0EBD7F" w14:textId="77777777" w:rsidR="00E92AD4" w:rsidRDefault="00E92AD4">
      <w:pPr>
        <w:spacing w:line="320" w:lineRule="exact"/>
        <w:ind w:firstLine="420"/>
        <w:rPr>
          <w:rStyle w:val="apple-converted-space"/>
          <w:rFonts w:ascii="Garamond" w:eastAsia="宋体" w:hAnsi="Garamond" w:cs="Garamond"/>
          <w:szCs w:val="21"/>
          <w:shd w:val="clear" w:color="auto" w:fill="FFFFFF"/>
        </w:rPr>
      </w:pPr>
    </w:p>
    <w:p w14:paraId="653756C7" w14:textId="77777777" w:rsidR="00E92AD4" w:rsidRPr="007C2868" w:rsidRDefault="00E92AD4">
      <w:pPr>
        <w:spacing w:line="320" w:lineRule="exact"/>
        <w:ind w:firstLine="420"/>
        <w:rPr>
          <w:rStyle w:val="apple-converted-space"/>
          <w:rFonts w:ascii="Garamond" w:eastAsia="宋体" w:hAnsi="Garamond" w:cs="Garamond"/>
          <w:szCs w:val="21"/>
          <w:shd w:val="clear" w:color="auto" w:fill="FFFFFF"/>
        </w:rPr>
      </w:pPr>
    </w:p>
    <w:p w14:paraId="6D7C0F06" w14:textId="34D6A2D3" w:rsidR="006B73EB" w:rsidRPr="007C2868" w:rsidRDefault="00A668EF" w:rsidP="00232C70">
      <w:pPr>
        <w:pStyle w:val="1"/>
      </w:pPr>
      <w:r w:rsidRPr="00A668EF">
        <w:t xml:space="preserve">The </w:t>
      </w:r>
      <w:proofErr w:type="spellStart"/>
      <w:r w:rsidRPr="00A668EF">
        <w:t>bMGSPLO</w:t>
      </w:r>
      <w:proofErr w:type="spellEnd"/>
      <w:r w:rsidRPr="00A668EF">
        <w:t xml:space="preserve">-SVM </w:t>
      </w:r>
      <w:r>
        <w:t>d</w:t>
      </w:r>
      <w:r w:rsidRPr="00A668EF">
        <w:t xml:space="preserve">iagnostic </w:t>
      </w:r>
      <w:r>
        <w:t>f</w:t>
      </w:r>
      <w:r w:rsidRPr="00A668EF">
        <w:t>ramework</w:t>
      </w:r>
    </w:p>
    <w:p w14:paraId="6308AB06" w14:textId="285D7DB6" w:rsidR="00A668EF" w:rsidRPr="00A668EF" w:rsidRDefault="00A668EF">
      <w:pPr>
        <w:ind w:firstLineChars="200" w:firstLine="420"/>
        <w:rPr>
          <w:rFonts w:ascii="Garamond" w:hAnsi="Garamond"/>
        </w:rPr>
      </w:pPr>
      <w:r w:rsidRPr="00A668EF">
        <w:rPr>
          <w:rFonts w:ascii="Garamond" w:hAnsi="Garamond"/>
        </w:rPr>
        <w:t xml:space="preserve">To tackle the complexity and collinearity inherent in clinical biomarker data, we constructed a wrapper-based feature selection pipeline: </w:t>
      </w:r>
      <w:proofErr w:type="spellStart"/>
      <w:r w:rsidRPr="00A668EF">
        <w:rPr>
          <w:rFonts w:ascii="Garamond" w:hAnsi="Garamond"/>
        </w:rPr>
        <w:t>bMGSPLO</w:t>
      </w:r>
      <w:proofErr w:type="spellEnd"/>
      <w:r w:rsidRPr="00A668EF">
        <w:rPr>
          <w:rFonts w:ascii="Garamond" w:hAnsi="Garamond"/>
        </w:rPr>
        <w:t>-SVM. This framework couples a stochastic search engine with a robust classifier to identify the most diagnostic blood parameters for pneumonia.</w:t>
      </w:r>
    </w:p>
    <w:p w14:paraId="544031ED" w14:textId="7FCB33BD" w:rsidR="00A668EF" w:rsidRPr="00A668EF" w:rsidRDefault="00A668EF">
      <w:pPr>
        <w:ind w:firstLineChars="200" w:firstLine="420"/>
        <w:rPr>
          <w:rFonts w:ascii="Garamond" w:hAnsi="Garamond"/>
        </w:rPr>
      </w:pPr>
      <w:r w:rsidRPr="00A668EF">
        <w:rPr>
          <w:rFonts w:ascii="Garamond" w:hAnsi="Garamond"/>
        </w:rPr>
        <w:t xml:space="preserve">The core of this framework is the interplay between the search strategy and the evaluator. The search is driven by our Multi-dimensional Gradient interaction Search Polar Lights Optimizer (MGSPLO), which navigates the combinatorial feature space. The evaluation is performed by a Support </w:t>
      </w:r>
      <w:r w:rsidRPr="00A668EF">
        <w:rPr>
          <w:rFonts w:ascii="Garamond" w:hAnsi="Garamond"/>
        </w:rPr>
        <w:lastRenderedPageBreak/>
        <w:t>Vector Machine (SVM). SVMs are particularly well-suited for this clinical task as they construct optimal hyperplanes to maximize the margin between patient classes (pneumonia vs. control), offering resilience against overfitting in high-dimensional biological datasets.</w:t>
      </w:r>
    </w:p>
    <w:p w14:paraId="604616E0" w14:textId="77777777" w:rsidR="00A668EF" w:rsidRPr="007C2868" w:rsidRDefault="00A668EF">
      <w:pPr>
        <w:ind w:firstLineChars="200" w:firstLine="420"/>
        <w:rPr>
          <w:rFonts w:ascii="Garamond" w:hAnsi="Garamond"/>
        </w:rPr>
      </w:pPr>
    </w:p>
    <w:p w14:paraId="3A79BC5F" w14:textId="44D822B6" w:rsidR="006B73EB" w:rsidRPr="007C2868" w:rsidRDefault="00A668EF">
      <w:pPr>
        <w:keepNext/>
        <w:keepLines/>
        <w:widowControl/>
        <w:numPr>
          <w:ilvl w:val="1"/>
          <w:numId w:val="10"/>
        </w:numPr>
        <w:snapToGrid w:val="0"/>
        <w:spacing w:before="60" w:after="60" w:line="415" w:lineRule="auto"/>
        <w:ind w:left="0"/>
        <w:outlineLvl w:val="1"/>
        <w:rPr>
          <w:rFonts w:ascii="Garamond" w:eastAsia="宋体" w:hAnsi="Garamond" w:cs="Garamond"/>
          <w:b/>
          <w:bCs/>
          <w:sz w:val="32"/>
          <w:szCs w:val="32"/>
        </w:rPr>
      </w:pPr>
      <w:r w:rsidRPr="00A668EF">
        <w:rPr>
          <w:rFonts w:ascii="Garamond" w:eastAsia="宋体" w:hAnsi="Garamond" w:cs="Garamond"/>
          <w:b/>
          <w:bCs/>
          <w:sz w:val="32"/>
          <w:szCs w:val="32"/>
        </w:rPr>
        <w:t xml:space="preserve">Mapping </w:t>
      </w:r>
      <w:r>
        <w:rPr>
          <w:rFonts w:ascii="Garamond" w:eastAsia="宋体" w:hAnsi="Garamond" w:cs="Garamond"/>
          <w:b/>
          <w:bCs/>
          <w:sz w:val="32"/>
          <w:szCs w:val="32"/>
        </w:rPr>
        <w:t>c</w:t>
      </w:r>
      <w:r w:rsidRPr="00A668EF">
        <w:rPr>
          <w:rFonts w:ascii="Garamond" w:eastAsia="宋体" w:hAnsi="Garamond" w:cs="Garamond"/>
          <w:b/>
          <w:bCs/>
          <w:sz w:val="32"/>
          <w:szCs w:val="32"/>
        </w:rPr>
        <w:t xml:space="preserve">ontinuous </w:t>
      </w:r>
      <w:r>
        <w:rPr>
          <w:rFonts w:ascii="Garamond" w:eastAsia="宋体" w:hAnsi="Garamond" w:cs="Garamond"/>
          <w:b/>
          <w:bCs/>
          <w:sz w:val="32"/>
          <w:szCs w:val="32"/>
        </w:rPr>
        <w:t>s</w:t>
      </w:r>
      <w:r w:rsidRPr="00A668EF">
        <w:rPr>
          <w:rFonts w:ascii="Garamond" w:eastAsia="宋体" w:hAnsi="Garamond" w:cs="Garamond"/>
          <w:b/>
          <w:bCs/>
          <w:sz w:val="32"/>
          <w:szCs w:val="32"/>
        </w:rPr>
        <w:t xml:space="preserve">earch to </w:t>
      </w:r>
      <w:r>
        <w:rPr>
          <w:rFonts w:ascii="Garamond" w:eastAsia="宋体" w:hAnsi="Garamond" w:cs="Garamond"/>
          <w:b/>
          <w:bCs/>
          <w:sz w:val="32"/>
          <w:szCs w:val="32"/>
        </w:rPr>
        <w:t>d</w:t>
      </w:r>
      <w:r w:rsidRPr="00A668EF">
        <w:rPr>
          <w:rFonts w:ascii="Garamond" w:eastAsia="宋体" w:hAnsi="Garamond" w:cs="Garamond"/>
          <w:b/>
          <w:bCs/>
          <w:sz w:val="32"/>
          <w:szCs w:val="32"/>
        </w:rPr>
        <w:t xml:space="preserve">iscrete </w:t>
      </w:r>
      <w:r>
        <w:rPr>
          <w:rFonts w:ascii="Garamond" w:eastAsia="宋体" w:hAnsi="Garamond" w:cs="Garamond"/>
          <w:b/>
          <w:bCs/>
          <w:sz w:val="32"/>
          <w:szCs w:val="32"/>
        </w:rPr>
        <w:t>s</w:t>
      </w:r>
      <w:r w:rsidRPr="00A668EF">
        <w:rPr>
          <w:rFonts w:ascii="Garamond" w:eastAsia="宋体" w:hAnsi="Garamond" w:cs="Garamond"/>
          <w:b/>
          <w:bCs/>
          <w:sz w:val="32"/>
          <w:szCs w:val="32"/>
        </w:rPr>
        <w:t>election</w:t>
      </w:r>
    </w:p>
    <w:p w14:paraId="60E484F3" w14:textId="0AAB7668" w:rsidR="00A668EF" w:rsidRPr="00A668EF" w:rsidRDefault="00A668EF" w:rsidP="00A668EF">
      <w:pPr>
        <w:rPr>
          <w:rFonts w:ascii="Garamond" w:hAnsi="Garamond"/>
        </w:rPr>
      </w:pPr>
      <w:r>
        <w:rPr>
          <w:rFonts w:ascii="Garamond" w:hAnsi="Garamond"/>
        </w:rPr>
        <w:tab/>
      </w:r>
      <w:r w:rsidRPr="00A668EF">
        <w:rPr>
          <w:rFonts w:ascii="Garamond" w:hAnsi="Garamond"/>
        </w:rPr>
        <w:t>Standard metaheuristics, including the original MGSPLO, operate in continuous vector spaces. However, biomarker selection is a discrete binary problem: a specific laboratory test is either part of the diagnostic panel (</w:t>
      </w:r>
      <m:oMath>
        <m:r>
          <w:rPr>
            <w:rFonts w:ascii="Cambria Math" w:hAnsi="Cambria Math"/>
          </w:rPr>
          <m:t>1</m:t>
        </m:r>
      </m:oMath>
      <w:r w:rsidRPr="00A668EF">
        <w:rPr>
          <w:rFonts w:ascii="Garamond" w:hAnsi="Garamond"/>
        </w:rPr>
        <w:t>) or it is not (</w:t>
      </w:r>
      <m:oMath>
        <m:r>
          <w:rPr>
            <w:rFonts w:ascii="Cambria Math" w:hAnsi="Cambria Math"/>
          </w:rPr>
          <m:t>0</m:t>
        </m:r>
      </m:oMath>
      <w:r w:rsidRPr="00A668EF">
        <w:rPr>
          <w:rFonts w:ascii="Garamond" w:hAnsi="Garamond"/>
        </w:rPr>
        <w:t>). To bridge this gap, we developed a binary variant (</w:t>
      </w:r>
      <w:proofErr w:type="spellStart"/>
      <w:r w:rsidRPr="00A668EF">
        <w:rPr>
          <w:rFonts w:ascii="Garamond" w:hAnsi="Garamond"/>
        </w:rPr>
        <w:t>bMGSPLO</w:t>
      </w:r>
      <w:proofErr w:type="spellEnd"/>
      <w:r w:rsidRPr="00A668EF">
        <w:rPr>
          <w:rFonts w:ascii="Garamond" w:hAnsi="Garamond"/>
        </w:rPr>
        <w:t>) that utilizes a probability-based transfer mechanism.</w:t>
      </w:r>
    </w:p>
    <w:p w14:paraId="39CD3FAF" w14:textId="7496145B" w:rsidR="00A668EF" w:rsidRPr="00A668EF" w:rsidRDefault="00A668EF" w:rsidP="00A668EF">
      <w:pPr>
        <w:rPr>
          <w:rFonts w:ascii="Garamond" w:hAnsi="Garamond"/>
        </w:rPr>
      </w:pPr>
      <w:r>
        <w:rPr>
          <w:rFonts w:ascii="Garamond" w:hAnsi="Garamond"/>
        </w:rPr>
        <w:tab/>
      </w:r>
      <w:r w:rsidRPr="00A668EF">
        <w:rPr>
          <w:rFonts w:ascii="Garamond" w:hAnsi="Garamond"/>
        </w:rPr>
        <w:t xml:space="preserve">Rather than treating position vectors as direct coordinates, we interpret them as "probabilities of inclusion." We employ a V-shaped transfer function based on the error function </w:t>
      </w:r>
      <m:oMath>
        <m:r>
          <w:rPr>
            <w:rFonts w:ascii="Cambria Math" w:hAnsi="Cambria Math"/>
          </w:rPr>
          <m:t>(erf</m:t>
        </m:r>
      </m:oMath>
      <w:r w:rsidRPr="00A668EF">
        <w:rPr>
          <w:rFonts w:ascii="Garamond" w:hAnsi="Garamond"/>
        </w:rPr>
        <w:t xml:space="preserve">) to map the continuous momentum of the agents into a probability range </w:t>
      </w:r>
      <m:oMath>
        <m:d>
          <m:dPr>
            <m:begChr m:val="["/>
            <m:endChr m:val="]"/>
            <m:ctrlPr>
              <w:rPr>
                <w:rFonts w:ascii="Cambria Math" w:hAnsi="Cambria Math"/>
                <w:i/>
              </w:rPr>
            </m:ctrlPr>
          </m:dPr>
          <m:e>
            <m:r>
              <w:rPr>
                <w:rFonts w:ascii="Cambria Math" w:hAnsi="Cambria Math"/>
              </w:rPr>
              <m:t>0,1</m:t>
            </m:r>
          </m:e>
        </m:d>
      </m:oMath>
      <w:r w:rsidRPr="00A668EF">
        <w:rPr>
          <w:rFonts w:ascii="Garamond" w:hAnsi="Garamond"/>
        </w:rPr>
        <w:t>.</w:t>
      </w:r>
    </w:p>
    <w:p w14:paraId="1210FB83" w14:textId="476F7502" w:rsidR="00A668EF" w:rsidRDefault="00A668EF" w:rsidP="00A668EF">
      <w:pPr>
        <w:rPr>
          <w:rFonts w:ascii="Garamond" w:hAnsi="Garamond"/>
        </w:rPr>
      </w:pPr>
      <w:r>
        <w:rPr>
          <w:rFonts w:ascii="Garamond" w:hAnsi="Garamond"/>
        </w:rPr>
        <w:tab/>
      </w:r>
      <w:r w:rsidRPr="00A668EF">
        <w:rPr>
          <w:rFonts w:ascii="Garamond" w:hAnsi="Garamond"/>
        </w:rPr>
        <w:t xml:space="preserve">The transfer probability </w:t>
      </w:r>
      <m:oMath>
        <m:r>
          <w:rPr>
            <w:rFonts w:ascii="Cambria Math" w:hAnsi="Cambria Math"/>
          </w:rPr>
          <m:t>T</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d</m:t>
                </m:r>
              </m:sup>
            </m:sSubSup>
            <m:d>
              <m:dPr>
                <m:ctrlPr>
                  <w:rPr>
                    <w:rFonts w:ascii="Cambria Math" w:hAnsi="Cambria Math"/>
                    <w:i/>
                  </w:rPr>
                </m:ctrlPr>
              </m:dPr>
              <m:e>
                <m:r>
                  <w:rPr>
                    <w:rFonts w:ascii="Cambria Math" w:hAnsi="Cambria Math"/>
                  </w:rPr>
                  <m:t>t</m:t>
                </m:r>
              </m:e>
            </m:d>
          </m:e>
        </m:d>
      </m:oMath>
      <w:r w:rsidRPr="00A668EF">
        <w:rPr>
          <w:rFonts w:ascii="Garamond" w:hAnsi="Garamond"/>
        </w:rPr>
        <w:t xml:space="preserve"> for the </w:t>
      </w:r>
      <m:oMath>
        <m:r>
          <w:rPr>
            <w:rFonts w:ascii="Cambria Math" w:hAnsi="Cambria Math"/>
          </w:rPr>
          <m:t>i</m:t>
        </m:r>
      </m:oMath>
      <w:r w:rsidRPr="00A668EF">
        <w:rPr>
          <w:rFonts w:ascii="Garamond" w:hAnsi="Garamond"/>
        </w:rPr>
        <w:t xml:space="preserve">-th agent in dimension </w:t>
      </w:r>
      <m:oMath>
        <m:r>
          <w:rPr>
            <w:rFonts w:ascii="Cambria Math" w:hAnsi="Cambria Math"/>
          </w:rPr>
          <m:t>d</m:t>
        </m:r>
      </m:oMath>
      <w:r w:rsidRPr="00A668EF">
        <w:rPr>
          <w:rFonts w:ascii="Garamond" w:hAnsi="Garamond"/>
        </w:rPr>
        <w:t xml:space="preserve"> is calculated as:</w:t>
      </w:r>
    </w:p>
    <w:tbl>
      <w:tblPr>
        <w:tblStyle w:val="aff"/>
        <w:tblW w:w="5065" w:type="pct"/>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5"/>
        <w:gridCol w:w="6719"/>
        <w:gridCol w:w="850"/>
      </w:tblGrid>
      <w:tr w:rsidR="00A668EF" w:rsidRPr="007C2868" w14:paraId="42DC9878" w14:textId="77777777" w:rsidTr="00487D31">
        <w:tc>
          <w:tcPr>
            <w:tcW w:w="845" w:type="dxa"/>
            <w:vAlign w:val="center"/>
          </w:tcPr>
          <w:p w14:paraId="59FFF1D2" w14:textId="77777777" w:rsidR="00A668EF" w:rsidRPr="007C2868" w:rsidRDefault="00A668EF" w:rsidP="00487D31">
            <w:pPr>
              <w:rPr>
                <w:rFonts w:ascii="Garamond" w:hAnsi="Garamond" w:cs="Garamond"/>
                <w:szCs w:val="21"/>
              </w:rPr>
            </w:pPr>
          </w:p>
        </w:tc>
        <w:tc>
          <w:tcPr>
            <w:tcW w:w="6719" w:type="dxa"/>
            <w:vAlign w:val="center"/>
          </w:tcPr>
          <w:p w14:paraId="4AECDB3B" w14:textId="2E188AC1" w:rsidR="00A668EF" w:rsidRPr="007C2868" w:rsidRDefault="00A668EF" w:rsidP="00487D31">
            <w:pPr>
              <w:pStyle w:val="FirstParagraph"/>
              <w:rPr>
                <w:rFonts w:ascii="Garamond" w:hAnsi="Garamond" w:cs="Garamond"/>
                <w:i/>
                <w:szCs w:val="21"/>
              </w:rPr>
            </w:pPr>
            <m:oMathPara>
              <m:oMath>
                <m:r>
                  <w:rPr>
                    <w:rFonts w:ascii="Cambria Math" w:hAnsi="Cambria Math"/>
                  </w:rPr>
                  <m:t>T</m:t>
                </m:r>
                <m:d>
                  <m:dPr>
                    <m:ctrlPr>
                      <w:rPr>
                        <w:rFonts w:ascii="Cambria Math" w:hAnsi="Cambria Math"/>
                      </w:rPr>
                    </m:ctrlPr>
                  </m:dPr>
                  <m:e>
                    <m:sSubSup>
                      <m:sSubSupPr>
                        <m:ctrlPr>
                          <w:rPr>
                            <w:rFonts w:ascii="Cambria Math" w:hAnsi="Cambria Math"/>
                          </w:rPr>
                        </m:ctrlPr>
                      </m:sSubSupPr>
                      <m:e>
                        <m:r>
                          <w:rPr>
                            <w:rFonts w:ascii="Cambria Math" w:hAnsi="Cambria Math"/>
                          </w:rPr>
                          <m:t>x</m:t>
                        </m:r>
                      </m:e>
                      <m:sub>
                        <m:r>
                          <w:rPr>
                            <w:rFonts w:ascii="Cambria Math" w:hAnsi="Cambria Math"/>
                          </w:rPr>
                          <m:t>i</m:t>
                        </m:r>
                        <m:ctrlPr>
                          <w:rPr>
                            <w:rFonts w:ascii="Cambria Math" w:hAnsi="Cambria Math"/>
                            <w:i/>
                          </w:rPr>
                        </m:ctrlPr>
                      </m:sub>
                      <m:sup>
                        <m:r>
                          <m:rPr>
                            <m:sty m:val="p"/>
                          </m:rPr>
                          <w:rPr>
                            <w:rFonts w:ascii="Cambria Math" w:hAnsi="Cambria Math"/>
                          </w:rPr>
                          <m:t>d</m:t>
                        </m:r>
                      </m:sup>
                    </m:sSubSup>
                    <m:d>
                      <m:dPr>
                        <m:ctrlPr>
                          <w:rPr>
                            <w:rFonts w:ascii="Cambria Math" w:hAnsi="Cambria Math"/>
                          </w:rPr>
                        </m:ctrlPr>
                      </m:dPr>
                      <m:e>
                        <m:r>
                          <m:rPr>
                            <m:sty m:val="p"/>
                          </m:rPr>
                          <w:rPr>
                            <w:rFonts w:ascii="Cambria Math" w:hAnsi="Cambria Math"/>
                          </w:rPr>
                          <m:t>t</m:t>
                        </m:r>
                      </m:e>
                    </m:d>
                  </m:e>
                </m:d>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erf</m:t>
                    </m:r>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π</m:t>
                                </m:r>
                              </m:e>
                            </m:rad>
                          </m:num>
                          <m:den>
                            <m:r>
                              <m:rPr>
                                <m:sty m:val="p"/>
                              </m:rPr>
                              <w:rPr>
                                <w:rFonts w:ascii="Cambria Math" w:hAnsi="Cambria Math"/>
                              </w:rPr>
                              <m:t>2</m:t>
                            </m:r>
                          </m:den>
                        </m:f>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d</m:t>
                            </m:r>
                          </m:sup>
                        </m:sSubSup>
                        <m:r>
                          <w:rPr>
                            <w:rFonts w:ascii="Cambria Math" w:hAnsi="Cambria Math"/>
                          </w:rPr>
                          <m:t>(t)</m:t>
                        </m:r>
                      </m:e>
                    </m:d>
                  </m:e>
                </m:d>
              </m:oMath>
            </m:oMathPara>
          </w:p>
        </w:tc>
        <w:tc>
          <w:tcPr>
            <w:tcW w:w="850" w:type="dxa"/>
            <w:vAlign w:val="center"/>
          </w:tcPr>
          <w:p w14:paraId="7BA34D62" w14:textId="77777777" w:rsidR="00A668EF" w:rsidRPr="007C2868" w:rsidRDefault="00A668EF" w:rsidP="00487D31">
            <w:pPr>
              <w:pStyle w:val="a7"/>
              <w:ind w:left="0"/>
              <w:jc w:val="center"/>
            </w:pPr>
            <w:r w:rsidRPr="007C2868">
              <w:t>(</w:t>
            </w:r>
            <w:r>
              <w:fldChar w:fldCharType="begin"/>
            </w:r>
            <w:r>
              <w:instrText xml:space="preserve"> SEQ Equation \* ARABIC </w:instrText>
            </w:r>
            <w:r>
              <w:fldChar w:fldCharType="separate"/>
            </w:r>
            <w:r w:rsidRPr="007C2868">
              <w:rPr>
                <w:noProof/>
              </w:rPr>
              <w:t>16</w:t>
            </w:r>
            <w:r>
              <w:rPr>
                <w:noProof/>
              </w:rPr>
              <w:fldChar w:fldCharType="end"/>
            </w:r>
            <w:r w:rsidRPr="007C2868">
              <w:t>)</w:t>
            </w:r>
          </w:p>
        </w:tc>
      </w:tr>
    </w:tbl>
    <w:p w14:paraId="17B1BD49" w14:textId="350F9E2A" w:rsidR="00A668EF" w:rsidRPr="00A668EF" w:rsidRDefault="00A668EF" w:rsidP="00A668EF">
      <w:pPr>
        <w:rPr>
          <w:rFonts w:ascii="Garamond" w:hAnsi="Garamond"/>
        </w:rPr>
      </w:pPr>
      <w:r>
        <w:rPr>
          <w:rFonts w:ascii="Garamond" w:hAnsi="Garamond"/>
        </w:rPr>
        <w:tab/>
      </w:r>
      <w:r w:rsidRPr="00A668EF">
        <w:rPr>
          <w:rFonts w:ascii="Garamond" w:hAnsi="Garamond"/>
        </w:rPr>
        <w:t xml:space="preserve">This probability determines the feature's binary state </w:t>
      </w:r>
      <m:oMath>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d</m:t>
            </m:r>
          </m:sup>
        </m:sSubSup>
        <m:d>
          <m:dPr>
            <m:ctrlPr>
              <w:rPr>
                <w:rFonts w:ascii="Cambria Math" w:hAnsi="Cambria Math"/>
                <w:i/>
              </w:rPr>
            </m:ctrlPr>
          </m:dPr>
          <m:e>
            <m:r>
              <w:rPr>
                <w:rFonts w:ascii="Cambria Math" w:hAnsi="Cambria Math"/>
              </w:rPr>
              <m:t>t+1</m:t>
            </m:r>
          </m:e>
        </m:d>
      </m:oMath>
      <w:r w:rsidRPr="00A668EF">
        <w:rPr>
          <w:rFonts w:ascii="Garamond" w:hAnsi="Garamond"/>
        </w:rPr>
        <w:t xml:space="preserve"> for the next iteration. A feature is activated only if the transfer probability exceeds a specific threshold:</w:t>
      </w:r>
    </w:p>
    <w:tbl>
      <w:tblPr>
        <w:tblStyle w:val="aff"/>
        <w:tblW w:w="5065" w:type="pct"/>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
        <w:gridCol w:w="6613"/>
        <w:gridCol w:w="978"/>
      </w:tblGrid>
      <w:tr w:rsidR="00A668EF" w:rsidRPr="00D239B9" w14:paraId="76A69EFF" w14:textId="77777777" w:rsidTr="00680199">
        <w:tc>
          <w:tcPr>
            <w:tcW w:w="823" w:type="dxa"/>
            <w:vAlign w:val="center"/>
          </w:tcPr>
          <w:p w14:paraId="0A612BD8" w14:textId="77777777" w:rsidR="00A668EF" w:rsidRPr="00082377" w:rsidRDefault="00A668EF" w:rsidP="00487D31">
            <w:pPr>
              <w:spacing w:line="320" w:lineRule="exact"/>
              <w:ind w:firstLineChars="200" w:firstLine="420"/>
            </w:pPr>
          </w:p>
        </w:tc>
        <w:tc>
          <w:tcPr>
            <w:tcW w:w="6613" w:type="dxa"/>
            <w:vAlign w:val="center"/>
          </w:tcPr>
          <w:p w14:paraId="4CDBC40D" w14:textId="3E45393B" w:rsidR="00A668EF" w:rsidRPr="00082377" w:rsidRDefault="00A668EF" w:rsidP="00487D31">
            <w:pPr>
              <w:ind w:firstLineChars="200" w:firstLine="420"/>
            </w:pPr>
            <m:oMathPara>
              <m:oMath>
                <m:sSubSup>
                  <m:sSubSupPr>
                    <m:ctrlPr>
                      <w:rPr>
                        <w:rFonts w:ascii="Cambria Math" w:hAnsi="Cambria Math"/>
                      </w:rPr>
                    </m:ctrlPr>
                  </m:sSubSupPr>
                  <m:e>
                    <m:r>
                      <w:rPr>
                        <w:rFonts w:ascii="Cambria Math" w:hAnsi="Cambria Math"/>
                      </w:rPr>
                      <m:t>X</m:t>
                    </m:r>
                    <m:ctrlPr>
                      <w:rPr>
                        <w:rFonts w:ascii="Cambria Math" w:hAnsi="Cambria Math"/>
                        <w:i/>
                      </w:rPr>
                    </m:ctrlPr>
                  </m:e>
                  <m:sub>
                    <m:r>
                      <w:rPr>
                        <w:rFonts w:ascii="Cambria Math" w:hAnsi="Cambria Math"/>
                      </w:rPr>
                      <m:t>i</m:t>
                    </m:r>
                    <m:ctrlPr>
                      <w:rPr>
                        <w:rFonts w:ascii="Cambria Math" w:hAnsi="Cambria Math"/>
                        <w:i/>
                      </w:rPr>
                    </m:ctrlPr>
                  </m:sub>
                  <m:sup>
                    <m:r>
                      <m:rPr>
                        <m:sty m:val="p"/>
                      </m:rPr>
                      <w:rPr>
                        <w:rFonts w:ascii="Cambria Math" w:hAnsi="Cambria Math"/>
                      </w:rPr>
                      <m:t>d</m:t>
                    </m:r>
                  </m:sup>
                </m:sSubSup>
                <m:r>
                  <m:rPr>
                    <m:sty m:val="p"/>
                  </m:rPr>
                  <w:rPr>
                    <w:rFonts w:ascii="Cambria Math" w:hAnsi="Cambria Math"/>
                  </w:rPr>
                  <m:t>(t+1)</m:t>
                </m:r>
                <m:r>
                  <m:rPr>
                    <m:sty m:val="p"/>
                  </m:rPr>
                  <w:rPr>
                    <w:rFonts w:ascii="Cambria Math" w:hAnsi="Cambria Math"/>
                  </w:rPr>
                  <m:t>=</m:t>
                </m:r>
                <m:d>
                  <m:dPr>
                    <m:begChr m:val="{"/>
                    <m:endChr m:val=""/>
                    <m:ctrlPr>
                      <w:rPr>
                        <w:rFonts w:ascii="Cambria Math" w:hAnsi="Cambria Math"/>
                      </w:rPr>
                    </m:ctrlPr>
                  </m:dPr>
                  <m:e>
                    <m:m>
                      <m:mPr>
                        <m:mcs>
                          <m:mc>
                            <m:mcPr>
                              <m:count m:val="2"/>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 xml:space="preserve">if </m:t>
                          </m:r>
                          <m:r>
                            <w:rPr>
                              <w:rFonts w:ascii="Cambria Math" w:hAnsi="Cambria Math"/>
                            </w:rPr>
                            <m:t>T</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d</m:t>
                                  </m:r>
                                </m:sup>
                              </m:sSubSup>
                              <m:d>
                                <m:dPr>
                                  <m:ctrlPr>
                                    <w:rPr>
                                      <w:rFonts w:ascii="Cambria Math" w:hAnsi="Cambria Math"/>
                                      <w:i/>
                                    </w:rPr>
                                  </m:ctrlPr>
                                </m:dPr>
                                <m:e>
                                  <m:r>
                                    <w:rPr>
                                      <w:rFonts w:ascii="Cambria Math" w:hAnsi="Cambria Math"/>
                                    </w:rPr>
                                    <m:t>t</m:t>
                                  </m:r>
                                </m:e>
                              </m:d>
                            </m:e>
                          </m:d>
                          <m:r>
                            <m:rPr>
                              <m:sty m:val="p"/>
                            </m:rPr>
                            <w:rPr>
                              <w:rFonts w:ascii="Cambria Math" w:hAnsi="Cambria Math"/>
                            </w:rPr>
                            <m:t>≥0</m:t>
                          </m:r>
                        </m:e>
                      </m:mr>
                      <m:mr>
                        <m:e>
                          <m:r>
                            <m:rPr>
                              <m:sty m:val="p"/>
                            </m:rPr>
                            <w:rPr>
                              <w:rFonts w:ascii="Cambria Math" w:hAnsi="Cambria Math"/>
                            </w:rPr>
                            <m:t>0,</m:t>
                          </m:r>
                        </m:e>
                        <m:e>
                          <m:r>
                            <w:rPr>
                              <w:rFonts w:ascii="Cambria Math" w:hAnsi="Cambria Math"/>
                            </w:rPr>
                            <m:t>otherwise</m:t>
                          </m:r>
                        </m:e>
                      </m:mr>
                    </m:m>
                  </m:e>
                </m:d>
              </m:oMath>
            </m:oMathPara>
          </w:p>
        </w:tc>
        <w:tc>
          <w:tcPr>
            <w:tcW w:w="978" w:type="dxa"/>
            <w:vAlign w:val="center"/>
          </w:tcPr>
          <w:p w14:paraId="25FD049C" w14:textId="77777777" w:rsidR="00A668EF" w:rsidRPr="00D239B9" w:rsidRDefault="00A668EF" w:rsidP="00487D31">
            <w:pPr>
              <w:spacing w:line="320" w:lineRule="exact"/>
              <w:ind w:firstLineChars="200" w:firstLine="420"/>
              <w:rPr>
                <w:szCs w:val="21"/>
                <w14:ligatures w14:val="standardContextual"/>
              </w:rPr>
            </w:pPr>
            <w:bookmarkStart w:id="1" w:name="_Ref166529178"/>
            <w:r w:rsidRPr="00082377">
              <w:rPr>
                <w:szCs w:val="21"/>
                <w14:ligatures w14:val="standardContextual"/>
              </w:rPr>
              <w:t>(</w:t>
            </w:r>
            <w:r w:rsidRPr="00082377">
              <w:fldChar w:fldCharType="begin"/>
            </w:r>
            <w:r w:rsidRPr="00082377">
              <w:rPr>
                <w:szCs w:val="21"/>
                <w14:ligatures w14:val="standardContextual"/>
              </w:rPr>
              <w:instrText xml:space="preserve"> SEQ Equation \* ARABIC </w:instrText>
            </w:r>
            <w:r w:rsidRPr="00082377">
              <w:fldChar w:fldCharType="separate"/>
            </w:r>
            <w:r>
              <w:rPr>
                <w:noProof/>
                <w:szCs w:val="21"/>
                <w14:ligatures w14:val="standardContextual"/>
              </w:rPr>
              <w:t>19</w:t>
            </w:r>
            <w:r w:rsidRPr="00082377">
              <w:fldChar w:fldCharType="end"/>
            </w:r>
            <w:r w:rsidRPr="00082377">
              <w:rPr>
                <w:szCs w:val="21"/>
                <w14:ligatures w14:val="standardContextual"/>
              </w:rPr>
              <w:t>)</w:t>
            </w:r>
            <w:bookmarkEnd w:id="1"/>
          </w:p>
        </w:tc>
      </w:tr>
    </w:tbl>
    <w:p w14:paraId="634B476C" w14:textId="25E78FCD" w:rsidR="00A668EF" w:rsidRPr="00A668EF" w:rsidRDefault="00680199" w:rsidP="00A668EF">
      <w:pPr>
        <w:rPr>
          <w:rFonts w:ascii="Garamond" w:hAnsi="Garamond"/>
        </w:rPr>
      </w:pPr>
      <w:r>
        <w:rPr>
          <w:rFonts w:ascii="Garamond" w:hAnsi="Garamond"/>
        </w:rPr>
        <w:tab/>
      </w:r>
      <w:r w:rsidRPr="00680199">
        <w:rPr>
          <w:rFonts w:ascii="Garamond" w:hAnsi="Garamond"/>
        </w:rPr>
        <w:t>This strategy ensures that the Adam-inspired gradient momentum and Starfish exploration patterns effectively translate into intelligent decisions about which biomarkers to keep or discard.</w:t>
      </w:r>
    </w:p>
    <w:p w14:paraId="6AB29798" w14:textId="77777777" w:rsidR="00A668EF" w:rsidRPr="007C2868" w:rsidRDefault="00A668EF">
      <w:pPr>
        <w:rPr>
          <w:rFonts w:ascii="Garamond" w:hAnsi="Garamond"/>
        </w:rPr>
      </w:pPr>
    </w:p>
    <w:p w14:paraId="7CB946C9" w14:textId="149AA90B" w:rsidR="006B73EB" w:rsidRPr="007C2868" w:rsidRDefault="00680199">
      <w:pPr>
        <w:keepNext/>
        <w:keepLines/>
        <w:widowControl/>
        <w:numPr>
          <w:ilvl w:val="1"/>
          <w:numId w:val="10"/>
        </w:numPr>
        <w:snapToGrid w:val="0"/>
        <w:spacing w:before="60" w:after="60" w:line="415" w:lineRule="auto"/>
        <w:ind w:left="0"/>
        <w:outlineLvl w:val="1"/>
        <w:rPr>
          <w:rFonts w:ascii="Garamond" w:eastAsia="宋体" w:hAnsi="Garamond" w:cs="Garamond"/>
          <w:b/>
          <w:bCs/>
          <w:sz w:val="32"/>
          <w:szCs w:val="32"/>
        </w:rPr>
      </w:pPr>
      <w:r w:rsidRPr="00680199">
        <w:rPr>
          <w:rFonts w:ascii="Garamond" w:eastAsia="宋体" w:hAnsi="Garamond" w:cs="Garamond"/>
          <w:b/>
          <w:bCs/>
          <w:sz w:val="32"/>
          <w:szCs w:val="32"/>
        </w:rPr>
        <w:t xml:space="preserve">Optimizing for </w:t>
      </w:r>
      <w:r>
        <w:rPr>
          <w:rFonts w:ascii="Garamond" w:eastAsia="宋体" w:hAnsi="Garamond" w:cs="Garamond"/>
          <w:b/>
          <w:bCs/>
          <w:sz w:val="32"/>
          <w:szCs w:val="32"/>
        </w:rPr>
        <w:t>c</w:t>
      </w:r>
      <w:r w:rsidRPr="00680199">
        <w:rPr>
          <w:rFonts w:ascii="Garamond" w:eastAsia="宋体" w:hAnsi="Garamond" w:cs="Garamond"/>
          <w:b/>
          <w:bCs/>
          <w:sz w:val="32"/>
          <w:szCs w:val="32"/>
        </w:rPr>
        <w:t xml:space="preserve">linical </w:t>
      </w:r>
      <w:r>
        <w:rPr>
          <w:rFonts w:ascii="Garamond" w:eastAsia="宋体" w:hAnsi="Garamond" w:cs="Garamond"/>
          <w:b/>
          <w:bCs/>
          <w:sz w:val="32"/>
          <w:szCs w:val="32"/>
        </w:rPr>
        <w:t>s</w:t>
      </w:r>
      <w:r w:rsidRPr="00680199">
        <w:rPr>
          <w:rFonts w:ascii="Garamond" w:eastAsia="宋体" w:hAnsi="Garamond" w:cs="Garamond"/>
          <w:b/>
          <w:bCs/>
          <w:sz w:val="32"/>
          <w:szCs w:val="32"/>
        </w:rPr>
        <w:t>afety</w:t>
      </w:r>
    </w:p>
    <w:p w14:paraId="064B7C47" w14:textId="740049E0" w:rsidR="00680199" w:rsidRDefault="00680199">
      <w:pPr>
        <w:ind w:firstLineChars="200" w:firstLine="420"/>
        <w:rPr>
          <w:rFonts w:ascii="Garamond" w:hAnsi="Garamond"/>
        </w:rPr>
      </w:pPr>
      <w:r w:rsidRPr="00680199">
        <w:rPr>
          <w:rFonts w:ascii="Garamond" w:hAnsi="Garamond"/>
        </w:rPr>
        <w:t>In a wrapper framework, the fitness function acts as the navigational compass. For medical diagnostics, the cost of a false negative (missing a pneumonia diagnosis) is high. Therefore, our objective function is designed to prioritize predictive accuracy above all else, while applying a gentle penalty for model complexity to encourage interpretability.</w:t>
      </w:r>
    </w:p>
    <w:p w14:paraId="6ADD7E75" w14:textId="395A0F51" w:rsidR="006B73EB" w:rsidRPr="007C2868" w:rsidRDefault="00680199">
      <w:pPr>
        <w:ind w:firstLineChars="200" w:firstLine="420"/>
        <w:rPr>
          <w:rFonts w:ascii="Garamond" w:hAnsi="Garamond"/>
        </w:rPr>
      </w:pPr>
      <w:r w:rsidRPr="00680199">
        <w:rPr>
          <w:rFonts w:ascii="Garamond" w:hAnsi="Garamond"/>
        </w:rPr>
        <w:t>The fitness of any given feature subset is evaluated using the following weighted cost function:</w:t>
      </w:r>
    </w:p>
    <w:tbl>
      <w:tblPr>
        <w:tblStyle w:val="aff"/>
        <w:tblW w:w="5065" w:type="pct"/>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5"/>
        <w:gridCol w:w="6719"/>
        <w:gridCol w:w="850"/>
      </w:tblGrid>
      <w:tr w:rsidR="006B73EB" w:rsidRPr="007C2868" w14:paraId="79BFD7FC" w14:textId="77777777" w:rsidTr="000C741E">
        <w:tc>
          <w:tcPr>
            <w:tcW w:w="845" w:type="dxa"/>
            <w:vAlign w:val="center"/>
          </w:tcPr>
          <w:p w14:paraId="4E494F01" w14:textId="77777777" w:rsidR="006B73EB" w:rsidRPr="007C2868" w:rsidRDefault="006B73EB">
            <w:pPr>
              <w:rPr>
                <w:rFonts w:ascii="Garamond" w:hAnsi="Garamond" w:cs="Garamond"/>
                <w:szCs w:val="21"/>
              </w:rPr>
            </w:pPr>
          </w:p>
        </w:tc>
        <w:tc>
          <w:tcPr>
            <w:tcW w:w="6719" w:type="dxa"/>
            <w:vAlign w:val="center"/>
          </w:tcPr>
          <w:p w14:paraId="6D68C6FB" w14:textId="2E8EFEC0" w:rsidR="006B73EB" w:rsidRPr="007C2868" w:rsidRDefault="00000000">
            <w:pPr>
              <w:pStyle w:val="FirstParagraph"/>
              <w:rPr>
                <w:rFonts w:ascii="Garamond" w:hAnsi="Garamond" w:cs="Garamond"/>
                <w:i/>
                <w:szCs w:val="21"/>
              </w:rPr>
            </w:pPr>
            <m:oMathPara>
              <m:oMath>
                <m:r>
                  <m:rPr>
                    <m:sty m:val="p"/>
                  </m:rPr>
                  <w:rPr>
                    <w:rFonts w:ascii="Cambria Math" w:hAnsi="Cambria Math"/>
                  </w:rPr>
                  <m:t>Fitness=</m:t>
                </m:r>
                <m:r>
                  <w:rPr>
                    <w:rFonts w:ascii="Cambria Math" w:hAnsi="Cambria Math" w:cs="Cambria Math"/>
                  </w:rPr>
                  <m:t>α</m:t>
                </m:r>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R</m:t>
                    </m:r>
                  </m:sub>
                </m:sSub>
                <m:r>
                  <w:rPr>
                    <w:rFonts w:ascii="Cambria Math" w:hAnsi="Cambria Math"/>
                  </w:rPr>
                  <m:t>(D)</m:t>
                </m:r>
                <m:r>
                  <w:rPr>
                    <w:rFonts w:ascii="Cambria Math" w:hAnsi="Cambria Math"/>
                  </w:rPr>
                  <m:t>+</m:t>
                </m:r>
                <m:r>
                  <m:rPr>
                    <m:sty m:val="p"/>
                  </m:rPr>
                  <w:rPr>
                    <w:rFonts w:ascii="Cambria Math" w:hAnsi="Cambria Math"/>
                  </w:rPr>
                  <m:t>(1</m:t>
                </m:r>
                <m:r>
                  <w:rPr>
                    <w:rFonts w:ascii="Cambria Math" w:hAnsi="Cambria Math"/>
                  </w:rPr>
                  <m:t>-</m:t>
                </m:r>
                <m:r>
                  <w:rPr>
                    <w:rFonts w:ascii="Cambria Math" w:hAnsi="Cambria Math" w:cs="Cambria Math"/>
                  </w:rPr>
                  <m:t>α</m:t>
                </m:r>
                <m:r>
                  <m:rPr>
                    <m:sty m:val="p"/>
                  </m:rPr>
                  <w:rPr>
                    <w:rFonts w:ascii="Cambria Math" w:hAnsi="Cambria Math"/>
                  </w:rPr>
                  <m:t>)</m:t>
                </m:r>
                <m:r>
                  <w:rPr>
                    <w:rFonts w:ascii="Cambria Math" w:hAnsi="Cambria Math"/>
                  </w:rPr>
                  <m:t>⋅</m:t>
                </m:r>
                <m:f>
                  <m:fPr>
                    <m:ctrlPr>
                      <w:rPr>
                        <w:rFonts w:ascii="Cambria Math" w:hAnsi="Cambria Math"/>
                      </w:rPr>
                    </m:ctrlPr>
                  </m:fPr>
                  <m:num>
                    <m:r>
                      <w:rPr>
                        <w:rFonts w:ascii="Cambria Math" w:hAnsi="Cambria Math"/>
                      </w:rPr>
                      <m:t>|S|</m:t>
                    </m:r>
                  </m:num>
                  <m:den>
                    <m:r>
                      <m:rPr>
                        <m:sty m:val="p"/>
                      </m:rPr>
                      <w:rPr>
                        <w:rFonts w:ascii="Cambria Math" w:hAnsi="Cambria Math"/>
                      </w:rPr>
                      <m:t>|F|</m:t>
                    </m:r>
                  </m:den>
                </m:f>
              </m:oMath>
            </m:oMathPara>
          </w:p>
        </w:tc>
        <w:tc>
          <w:tcPr>
            <w:tcW w:w="850" w:type="dxa"/>
            <w:vAlign w:val="center"/>
          </w:tcPr>
          <w:p w14:paraId="67A6816B" w14:textId="01BBCF88" w:rsidR="006B73EB" w:rsidRPr="007C2868" w:rsidRDefault="000C741E" w:rsidP="000C741E">
            <w:pPr>
              <w:pStyle w:val="a7"/>
              <w:ind w:left="0"/>
              <w:jc w:val="center"/>
            </w:pPr>
            <w:r w:rsidRPr="007C2868">
              <w:t>(</w:t>
            </w:r>
            <w:r>
              <w:fldChar w:fldCharType="begin"/>
            </w:r>
            <w:r>
              <w:instrText xml:space="preserve"> SEQ Equation \* ARABIC </w:instrText>
            </w:r>
            <w:r>
              <w:fldChar w:fldCharType="separate"/>
            </w:r>
            <w:r w:rsidRPr="007C2868">
              <w:rPr>
                <w:noProof/>
              </w:rPr>
              <w:t>17</w:t>
            </w:r>
            <w:r>
              <w:rPr>
                <w:noProof/>
              </w:rPr>
              <w:fldChar w:fldCharType="end"/>
            </w:r>
            <w:r w:rsidRPr="007C2868">
              <w:t>)</w:t>
            </w:r>
          </w:p>
        </w:tc>
      </w:tr>
    </w:tbl>
    <w:p w14:paraId="18E25435" w14:textId="4C3F6FC4" w:rsidR="00680199" w:rsidRPr="00680199" w:rsidRDefault="00000000" w:rsidP="00680199">
      <w:pPr>
        <w:tabs>
          <w:tab w:val="center" w:pos="4800"/>
          <w:tab w:val="right" w:pos="9500"/>
        </w:tabs>
        <w:rPr>
          <w:rFonts w:ascii="Garamond" w:hAnsi="Garamond"/>
        </w:rPr>
      </w:pPr>
      <w:r w:rsidRPr="00680199">
        <w:rPr>
          <w:rFonts w:ascii="Garamond" w:hAnsi="Garamond"/>
        </w:rPr>
        <w:t xml:space="preserve">where </w:t>
      </w:r>
      <m:oMath>
        <m:sSub>
          <m:sSubPr>
            <m:ctrlPr>
              <w:rPr>
                <w:rFonts w:ascii="Cambria Math" w:hAnsi="Cambria Math"/>
                <w:i/>
              </w:rPr>
            </m:ctrlPr>
          </m:sSubPr>
          <m:e>
            <m:r>
              <w:rPr>
                <w:rFonts w:ascii="Cambria Math" w:hAnsi="Cambria Math"/>
              </w:rPr>
              <m:t>E</m:t>
            </m:r>
          </m:e>
          <m:sub>
            <m:r>
              <w:rPr>
                <w:rFonts w:ascii="Cambria Math" w:hAnsi="Cambria Math"/>
              </w:rPr>
              <m:t>R</m:t>
            </m:r>
          </m:sub>
        </m:sSub>
        <m:d>
          <m:dPr>
            <m:ctrlPr>
              <w:rPr>
                <w:rFonts w:ascii="Cambria Math" w:hAnsi="Cambria Math"/>
                <w:i/>
              </w:rPr>
            </m:ctrlPr>
          </m:dPr>
          <m:e>
            <m:r>
              <w:rPr>
                <w:rFonts w:ascii="Cambria Math" w:hAnsi="Cambria Math"/>
              </w:rPr>
              <m:t>D</m:t>
            </m:r>
          </m:e>
        </m:d>
      </m:oMath>
      <w:r w:rsidR="00680199" w:rsidRPr="00680199">
        <w:rPr>
          <w:rFonts w:ascii="Garamond" w:hAnsi="Garamond"/>
        </w:rPr>
        <w:t xml:space="preserve"> represents the classification error rate of the SVM on validation data, </w:t>
      </w:r>
      <m:oMath>
        <m:d>
          <m:dPr>
            <m:begChr m:val="|"/>
            <m:endChr m:val="|"/>
            <m:ctrlPr>
              <w:rPr>
                <w:rFonts w:ascii="Cambria Math" w:hAnsi="Cambria Math"/>
                <w:i/>
              </w:rPr>
            </m:ctrlPr>
          </m:dPr>
          <m:e>
            <m:r>
              <w:rPr>
                <w:rFonts w:ascii="Cambria Math" w:hAnsi="Cambria Math"/>
              </w:rPr>
              <m:t>S</m:t>
            </m:r>
          </m:e>
        </m:d>
      </m:oMath>
      <w:r w:rsidR="00680199" w:rsidRPr="00680199">
        <w:rPr>
          <w:rFonts w:ascii="Garamond" w:hAnsi="Garamond"/>
        </w:rPr>
        <w:t xml:space="preserve"> is the count of selected biomarkers, and </w:t>
      </w:r>
      <m:oMath>
        <m:d>
          <m:dPr>
            <m:begChr m:val="|"/>
            <m:endChr m:val="|"/>
            <m:ctrlPr>
              <w:rPr>
                <w:rFonts w:ascii="Cambria Math" w:hAnsi="Cambria Math"/>
                <w:i/>
              </w:rPr>
            </m:ctrlPr>
          </m:dPr>
          <m:e>
            <m:r>
              <w:rPr>
                <w:rFonts w:ascii="Cambria Math" w:hAnsi="Cambria Math"/>
              </w:rPr>
              <m:t>F</m:t>
            </m:r>
          </m:e>
        </m:d>
      </m:oMath>
      <w:r w:rsidR="00680199" w:rsidRPr="00680199">
        <w:rPr>
          <w:rFonts w:ascii="Garamond" w:hAnsi="Garamond"/>
        </w:rPr>
        <w:t xml:space="preserve"> is the total number of available features. We set the weighting parameter </w:t>
      </w:r>
      <m:oMath>
        <m:r>
          <w:rPr>
            <w:rFonts w:ascii="Cambria Math" w:hAnsi="Cambria Math"/>
          </w:rPr>
          <m:t>α</m:t>
        </m:r>
        <m:r>
          <w:rPr>
            <w:rFonts w:ascii="Cambria Math" w:hAnsi="Cambria Math"/>
          </w:rPr>
          <m:t xml:space="preserve"> = 0.95.</m:t>
        </m:r>
      </m:oMath>
      <w:r w:rsidR="00680199" w:rsidRPr="00680199">
        <w:rPr>
          <w:rFonts w:ascii="Garamond" w:hAnsi="Garamond"/>
        </w:rPr>
        <w:t xml:space="preserve"> This configuration forces the optimizer to aggressively minimize diagnostic error, only removing features if doing so maintains or enhances the SVM's ability to distinguish pneumonia patients.</w:t>
      </w:r>
    </w:p>
    <w:p w14:paraId="4FCDD0E3" w14:textId="3DC5420E" w:rsidR="006B73EB" w:rsidRPr="007C2868" w:rsidRDefault="006B73EB">
      <w:pPr>
        <w:tabs>
          <w:tab w:val="center" w:pos="4800"/>
          <w:tab w:val="right" w:pos="9500"/>
        </w:tabs>
        <w:rPr>
          <w:rFonts w:ascii="Garamond" w:hAnsi="Garamond"/>
        </w:rPr>
      </w:pPr>
    </w:p>
    <w:p w14:paraId="25D37580" w14:textId="679CE128" w:rsidR="006B73EB" w:rsidRPr="007C2868" w:rsidRDefault="00680199">
      <w:pPr>
        <w:keepNext/>
        <w:keepLines/>
        <w:widowControl/>
        <w:numPr>
          <w:ilvl w:val="1"/>
          <w:numId w:val="10"/>
        </w:numPr>
        <w:snapToGrid w:val="0"/>
        <w:spacing w:before="60" w:after="60" w:line="415" w:lineRule="auto"/>
        <w:ind w:left="0"/>
        <w:outlineLvl w:val="1"/>
        <w:rPr>
          <w:rFonts w:ascii="Garamond" w:eastAsia="宋体" w:hAnsi="Garamond" w:cs="Garamond"/>
          <w:b/>
          <w:bCs/>
          <w:sz w:val="32"/>
          <w:szCs w:val="32"/>
        </w:rPr>
      </w:pPr>
      <w:r w:rsidRPr="00680199">
        <w:rPr>
          <w:rFonts w:ascii="Garamond" w:eastAsia="宋体" w:hAnsi="Garamond" w:cs="Garamond"/>
          <w:b/>
          <w:bCs/>
          <w:sz w:val="32"/>
          <w:szCs w:val="32"/>
        </w:rPr>
        <w:lastRenderedPageBreak/>
        <w:t xml:space="preserve">Validation </w:t>
      </w:r>
      <w:r>
        <w:rPr>
          <w:rFonts w:ascii="Garamond" w:eastAsia="宋体" w:hAnsi="Garamond" w:cs="Garamond"/>
          <w:b/>
          <w:bCs/>
          <w:sz w:val="32"/>
          <w:szCs w:val="32"/>
        </w:rPr>
        <w:t>p</w:t>
      </w:r>
      <w:r w:rsidRPr="00680199">
        <w:rPr>
          <w:rFonts w:ascii="Garamond" w:eastAsia="宋体" w:hAnsi="Garamond" w:cs="Garamond"/>
          <w:b/>
          <w:bCs/>
          <w:sz w:val="32"/>
          <w:szCs w:val="32"/>
        </w:rPr>
        <w:t xml:space="preserve">ipeline and </w:t>
      </w:r>
      <w:r>
        <w:rPr>
          <w:rFonts w:ascii="Garamond" w:eastAsia="宋体" w:hAnsi="Garamond" w:cs="Garamond"/>
          <w:b/>
          <w:bCs/>
          <w:sz w:val="32"/>
          <w:szCs w:val="32"/>
        </w:rPr>
        <w:t>w</w:t>
      </w:r>
      <w:r w:rsidRPr="00680199">
        <w:rPr>
          <w:rFonts w:ascii="Garamond" w:eastAsia="宋体" w:hAnsi="Garamond" w:cs="Garamond"/>
          <w:b/>
          <w:bCs/>
          <w:sz w:val="32"/>
          <w:szCs w:val="32"/>
        </w:rPr>
        <w:t>orkflow</w:t>
      </w:r>
    </w:p>
    <w:p w14:paraId="4D0478DE" w14:textId="4F8C9BEF" w:rsidR="00680199" w:rsidRDefault="00703270">
      <w:pPr>
        <w:ind w:firstLineChars="200" w:firstLine="420"/>
        <w:rPr>
          <w:rFonts w:ascii="Garamond" w:hAnsi="Garamond" w:cs="Garamond"/>
        </w:rPr>
      </w:pPr>
      <w:r w:rsidRPr="007C2868">
        <w:rPr>
          <w:rFonts w:ascii="Garamond" w:hAnsi="Garamond" w:cs="Garamond"/>
          <w:noProof/>
        </w:rPr>
        <w:drawing>
          <wp:anchor distT="0" distB="0" distL="114300" distR="114300" simplePos="0" relativeHeight="251658240" behindDoc="0" locked="0" layoutInCell="1" allowOverlap="1" wp14:anchorId="37FC68BB" wp14:editId="080217CB">
            <wp:simplePos x="0" y="0"/>
            <wp:positionH relativeFrom="margin">
              <wp:posOffset>1192530</wp:posOffset>
            </wp:positionH>
            <wp:positionV relativeFrom="margin">
              <wp:posOffset>3883829</wp:posOffset>
            </wp:positionV>
            <wp:extent cx="2858770" cy="5344160"/>
            <wp:effectExtent l="0" t="0" r="0" b="8890"/>
            <wp:wrapSquare wrapText="bothSides"/>
            <wp:docPr id="732671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671306" name="Picture 1"/>
                    <pic:cNvPicPr>
                      <a:picLocks noChangeAspect="1"/>
                    </pic:cNvPicPr>
                  </pic:nvPicPr>
                  <pic:blipFill>
                    <a:blip r:embed="rId8"/>
                    <a:stretch>
                      <a:fillRect/>
                    </a:stretch>
                  </pic:blipFill>
                  <pic:spPr>
                    <a:xfrm>
                      <a:off x="0" y="0"/>
                      <a:ext cx="2858770" cy="5344160"/>
                    </a:xfrm>
                    <a:prstGeom prst="rect">
                      <a:avLst/>
                    </a:prstGeom>
                  </pic:spPr>
                </pic:pic>
              </a:graphicData>
            </a:graphic>
            <wp14:sizeRelH relativeFrom="margin">
              <wp14:pctWidth>0</wp14:pctWidth>
            </wp14:sizeRelH>
            <wp14:sizeRelV relativeFrom="margin">
              <wp14:pctHeight>0</wp14:pctHeight>
            </wp14:sizeRelV>
          </wp:anchor>
        </w:drawing>
      </w:r>
      <w:r w:rsidR="00680339" w:rsidRPr="00680339">
        <w:rPr>
          <w:rFonts w:ascii="Garamond" w:hAnsi="Garamond" w:cs="Garamond"/>
        </w:rPr>
        <w:t xml:space="preserve">The experimental procedure for the proposed </w:t>
      </w:r>
      <w:proofErr w:type="spellStart"/>
      <w:r w:rsidR="00680339" w:rsidRPr="00680339">
        <w:rPr>
          <w:rFonts w:ascii="Garamond" w:hAnsi="Garamond" w:cs="Garamond"/>
        </w:rPr>
        <w:t>bMGSPLO</w:t>
      </w:r>
      <w:proofErr w:type="spellEnd"/>
      <w:r w:rsidR="00680339" w:rsidRPr="00680339">
        <w:rPr>
          <w:rFonts w:ascii="Garamond" w:hAnsi="Garamond" w:cs="Garamond"/>
        </w:rPr>
        <w:t xml:space="preserve">-SVM framework is structured as a systematic, iterative pipeline designed to extract the most diagnostic biomarkers from the clinical dataset. As illustrated in the workflow diagram above, the process begins with data preprocessing and normalization to ensure consistent scaling across all features. To validate the model's robustness, the dataset is partitioned using a tenfold cross-validation scheme, where the algorithm is trained on nine folds and tested on the remaining one in each rotation. Within each training iteration, the </w:t>
      </w:r>
      <w:proofErr w:type="spellStart"/>
      <w:r w:rsidR="00680339" w:rsidRPr="00680339">
        <w:rPr>
          <w:rFonts w:ascii="Garamond" w:hAnsi="Garamond" w:cs="Garamond"/>
        </w:rPr>
        <w:t>bMGSPLO</w:t>
      </w:r>
      <w:proofErr w:type="spellEnd"/>
      <w:r w:rsidR="00680339" w:rsidRPr="00680339">
        <w:rPr>
          <w:rFonts w:ascii="Garamond" w:hAnsi="Garamond" w:cs="Garamond"/>
        </w:rPr>
        <w:t xml:space="preserve"> optimizer initializes a population of search agents that explore the feature space using a hybrid mechanism: the Adam-inspired dynamic gradient interaction system handles exploitation by guiding agents toward promising solutions with momentum, while Starfish-inspired multi-dimensional search patterns manage exploration to prevent local stagnation. These continuous search trajectories are mapped into discrete binary feature subsets via a V-shaped transfer function, which determines whether a specific blood marker is included in the diagnostic panel. Each candidate subset is then evaluated by training a Support Vector Machine (SVM) classifier, with the resulting classification error on the validation fold serving as the primary feedback signal for the fitness function. This optimization loop continues until the maximum number of iterations is reached, at which point the optimal feature subset for that fold is recorded; the final diagnostic panel and performance metrics are derived by averaging the results across all ten cross-validation folds to ensure the identified markers are clinically reliable.</w:t>
      </w:r>
    </w:p>
    <w:tbl>
      <w:tblPr>
        <w:tblStyle w:val="aff"/>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96"/>
      </w:tblGrid>
      <w:tr w:rsidR="00703270" w14:paraId="1CAD56B1" w14:textId="77777777" w:rsidTr="00703270">
        <w:tc>
          <w:tcPr>
            <w:tcW w:w="8296" w:type="dxa"/>
          </w:tcPr>
          <w:p w14:paraId="7E5EFA18" w14:textId="4A5C3C92" w:rsidR="00703270" w:rsidRDefault="00703270">
            <w:pPr>
              <w:rPr>
                <w:rFonts w:ascii="Garamond" w:hAnsi="Garamond" w:cs="Garamond"/>
              </w:rPr>
            </w:pPr>
          </w:p>
        </w:tc>
      </w:tr>
    </w:tbl>
    <w:p w14:paraId="7D7D5A99" w14:textId="77777777" w:rsidR="00703270" w:rsidRPr="007C2868" w:rsidRDefault="00703270">
      <w:pPr>
        <w:ind w:firstLineChars="200" w:firstLine="420"/>
        <w:rPr>
          <w:rFonts w:ascii="Garamond" w:hAnsi="Garamond" w:cs="Garamond"/>
        </w:rPr>
      </w:pPr>
    </w:p>
    <w:p w14:paraId="10636698" w14:textId="226D7DBE" w:rsidR="006B73EB" w:rsidRPr="007C2868" w:rsidRDefault="006B73EB">
      <w:pPr>
        <w:rPr>
          <w:rFonts w:ascii="Garamond" w:hAnsi="Garamond" w:cs="Garamond"/>
        </w:rPr>
      </w:pPr>
    </w:p>
    <w:p w14:paraId="506381CD" w14:textId="5BC79C97" w:rsidR="006B73EB" w:rsidRPr="007C2868" w:rsidRDefault="00000000" w:rsidP="00CB2596">
      <w:pPr>
        <w:adjustRightInd w:val="0"/>
        <w:snapToGrid w:val="0"/>
        <w:spacing w:line="320" w:lineRule="exact"/>
        <w:jc w:val="center"/>
        <w:rPr>
          <w:rFonts w:ascii="Garamond" w:eastAsia="宋体" w:hAnsi="Garamond" w:cs="Garamond"/>
        </w:rPr>
      </w:pPr>
      <w:bookmarkStart w:id="2" w:name="_Ref167213469"/>
      <w:r w:rsidRPr="007C2868">
        <w:rPr>
          <w:rFonts w:ascii="Garamond" w:hAnsi="Garamond" w:cs="Garamond"/>
          <w:b/>
          <w:bCs/>
          <w:color w:val="000000" w:themeColor="text1"/>
        </w:rPr>
        <w:t xml:space="preserve">Fig. </w:t>
      </w:r>
      <w:r w:rsidRPr="007C2868">
        <w:rPr>
          <w:rFonts w:ascii="Garamond" w:hAnsi="Garamond" w:cs="Garamond"/>
          <w:b/>
          <w:bCs/>
          <w:color w:val="000000" w:themeColor="text1"/>
        </w:rPr>
        <w:fldChar w:fldCharType="begin"/>
      </w:r>
      <w:r w:rsidRPr="007C2868">
        <w:rPr>
          <w:rFonts w:ascii="Garamond" w:hAnsi="Garamond" w:cs="Garamond"/>
          <w:b/>
          <w:bCs/>
          <w:color w:val="000000" w:themeColor="text1"/>
        </w:rPr>
        <w:instrText xml:space="preserve"> SEQ Fig. \* ARABIC </w:instrText>
      </w:r>
      <w:r w:rsidRPr="007C2868">
        <w:rPr>
          <w:rFonts w:ascii="Garamond" w:hAnsi="Garamond" w:cs="Garamond"/>
          <w:b/>
          <w:bCs/>
          <w:color w:val="000000" w:themeColor="text1"/>
        </w:rPr>
        <w:fldChar w:fldCharType="separate"/>
      </w:r>
      <w:r w:rsidR="000C741E" w:rsidRPr="007C2868">
        <w:rPr>
          <w:rFonts w:ascii="Garamond" w:hAnsi="Garamond" w:cs="Garamond"/>
          <w:b/>
          <w:bCs/>
          <w:noProof/>
          <w:color w:val="000000" w:themeColor="text1"/>
        </w:rPr>
        <w:t>2</w:t>
      </w:r>
      <w:r w:rsidRPr="007C2868">
        <w:rPr>
          <w:rFonts w:ascii="Garamond" w:hAnsi="Garamond" w:cs="Garamond"/>
          <w:b/>
          <w:bCs/>
          <w:color w:val="000000" w:themeColor="text1"/>
        </w:rPr>
        <w:fldChar w:fldCharType="end"/>
      </w:r>
      <w:bookmarkEnd w:id="2"/>
      <w:r w:rsidRPr="007C2868">
        <w:rPr>
          <w:rFonts w:ascii="Garamond" w:hAnsi="Garamond" w:cs="Garamond"/>
          <w:b/>
          <w:bCs/>
          <w:color w:val="000000" w:themeColor="text1"/>
        </w:rPr>
        <w:t>.</w:t>
      </w:r>
      <w:r w:rsidRPr="007C2868">
        <w:rPr>
          <w:rFonts w:ascii="Garamond" w:eastAsia="宋体" w:hAnsi="Garamond" w:cs="Garamond"/>
          <w:szCs w:val="24"/>
        </w:rPr>
        <w:t xml:space="preserve"> Framework of </w:t>
      </w:r>
      <w:proofErr w:type="spellStart"/>
      <w:r w:rsidR="00703270">
        <w:rPr>
          <w:rFonts w:ascii="Garamond" w:eastAsia="宋体" w:hAnsi="Garamond" w:cs="Garamond" w:hint="eastAsia"/>
          <w:szCs w:val="24"/>
        </w:rPr>
        <w:t>bMGSPLO</w:t>
      </w:r>
      <w:proofErr w:type="spellEnd"/>
      <w:r w:rsidRPr="007C2868">
        <w:rPr>
          <w:rFonts w:ascii="Garamond" w:eastAsia="宋体" w:hAnsi="Garamond" w:cs="Garamond"/>
          <w:szCs w:val="24"/>
        </w:rPr>
        <w:t>-</w:t>
      </w:r>
      <w:r w:rsidR="00703270">
        <w:rPr>
          <w:rFonts w:ascii="Garamond" w:eastAsia="宋体" w:hAnsi="Garamond" w:cs="Garamond" w:hint="eastAsia"/>
          <w:szCs w:val="24"/>
        </w:rPr>
        <w:t>SVM</w:t>
      </w:r>
      <w:r w:rsidRPr="007C2868">
        <w:rPr>
          <w:rFonts w:ascii="Garamond" w:eastAsia="宋体" w:hAnsi="Garamond" w:cs="Garamond"/>
          <w:szCs w:val="24"/>
        </w:rPr>
        <w:t>.</w:t>
      </w:r>
    </w:p>
    <w:p w14:paraId="5D58A7F7" w14:textId="77777777" w:rsidR="006B73EB" w:rsidRPr="007C2868" w:rsidRDefault="006B73EB">
      <w:pPr>
        <w:rPr>
          <w:rFonts w:ascii="Garamond" w:hAnsi="Garamond" w:cs="Garamond"/>
          <w:szCs w:val="21"/>
        </w:rPr>
      </w:pPr>
    </w:p>
    <w:p w14:paraId="2D308D37" w14:textId="77777777" w:rsidR="006B73EB" w:rsidRPr="007C2868" w:rsidRDefault="00000000" w:rsidP="00EF7203">
      <w:pPr>
        <w:pStyle w:val="1"/>
        <w:numPr>
          <w:ilvl w:val="0"/>
          <w:numId w:val="0"/>
        </w:numPr>
      </w:pPr>
      <w:r w:rsidRPr="007C2868">
        <w:t>Reference</w:t>
      </w:r>
    </w:p>
    <w:p w14:paraId="59F495A6" w14:textId="77777777" w:rsidR="00905207" w:rsidRPr="007C2868" w:rsidRDefault="00000000" w:rsidP="00905207">
      <w:pPr>
        <w:pStyle w:val="EndNoteBibliography"/>
        <w:ind w:left="720" w:hanging="720"/>
        <w:rPr>
          <w:rFonts w:ascii="Garamond" w:hAnsi="Garamond"/>
          <w:noProof/>
        </w:rPr>
      </w:pPr>
      <w:r w:rsidRPr="007C2868">
        <w:rPr>
          <w:rFonts w:ascii="Garamond" w:hAnsi="Garamond" w:cs="Garamond"/>
          <w:sz w:val="21"/>
          <w:szCs w:val="21"/>
        </w:rPr>
        <w:fldChar w:fldCharType="begin"/>
      </w:r>
      <w:r w:rsidRPr="007C2868">
        <w:rPr>
          <w:rFonts w:ascii="Garamond" w:hAnsi="Garamond" w:cs="Garamond"/>
          <w:sz w:val="21"/>
          <w:szCs w:val="21"/>
        </w:rPr>
        <w:instrText xml:space="preserve"> ADDIN EN.REFLIST </w:instrText>
      </w:r>
      <w:r w:rsidRPr="007C2868">
        <w:rPr>
          <w:rFonts w:ascii="Garamond" w:hAnsi="Garamond" w:cs="Garamond"/>
          <w:sz w:val="21"/>
          <w:szCs w:val="21"/>
        </w:rPr>
        <w:fldChar w:fldCharType="separate"/>
      </w:r>
      <w:r w:rsidR="00905207" w:rsidRPr="007C2868">
        <w:rPr>
          <w:rFonts w:ascii="Garamond" w:hAnsi="Garamond"/>
          <w:noProof/>
        </w:rPr>
        <w:t>1.</w:t>
      </w:r>
      <w:r w:rsidR="00905207" w:rsidRPr="007C2868">
        <w:rPr>
          <w:rFonts w:ascii="Garamond" w:hAnsi="Garamond"/>
          <w:noProof/>
        </w:rPr>
        <w:tab/>
        <w:t xml:space="preserve">Yu, H. and V. Nozick, </w:t>
      </w:r>
      <w:r w:rsidR="00905207" w:rsidRPr="007C2868">
        <w:rPr>
          <w:rFonts w:ascii="Garamond" w:hAnsi="Garamond"/>
          <w:i/>
          <w:noProof/>
        </w:rPr>
        <w:t>A review of bankruptcy forecasting: Theories, models, and techniques.</w:t>
      </w:r>
      <w:r w:rsidR="00905207" w:rsidRPr="007C2868">
        <w:rPr>
          <w:rFonts w:ascii="Garamond" w:hAnsi="Garamond"/>
          <w:noProof/>
        </w:rPr>
        <w:t xml:space="preserve"> Accounting and Auditing with Application, 2025. </w:t>
      </w:r>
      <w:r w:rsidR="00905207" w:rsidRPr="007C2868">
        <w:rPr>
          <w:rFonts w:ascii="Garamond" w:hAnsi="Garamond"/>
          <w:b/>
          <w:noProof/>
        </w:rPr>
        <w:t>2</w:t>
      </w:r>
      <w:r w:rsidR="00905207" w:rsidRPr="007C2868">
        <w:rPr>
          <w:rFonts w:ascii="Garamond" w:hAnsi="Garamond"/>
          <w:noProof/>
        </w:rPr>
        <w:t>(1): p. 23–32-23–32.</w:t>
      </w:r>
    </w:p>
    <w:p w14:paraId="5A3E4E81" w14:textId="77777777" w:rsidR="00905207" w:rsidRPr="007C2868" w:rsidRDefault="00905207" w:rsidP="00905207">
      <w:pPr>
        <w:pStyle w:val="EndNoteBibliography"/>
        <w:ind w:left="720" w:hanging="720"/>
        <w:rPr>
          <w:rFonts w:ascii="Garamond" w:hAnsi="Garamond"/>
          <w:noProof/>
        </w:rPr>
      </w:pPr>
      <w:r w:rsidRPr="007C2868">
        <w:rPr>
          <w:rFonts w:ascii="Garamond" w:hAnsi="Garamond"/>
          <w:noProof/>
        </w:rPr>
        <w:t>2.</w:t>
      </w:r>
      <w:r w:rsidRPr="007C2868">
        <w:rPr>
          <w:rFonts w:ascii="Garamond" w:hAnsi="Garamond"/>
          <w:noProof/>
        </w:rPr>
        <w:tab/>
        <w:t xml:space="preserve">Bellovary, J.L., D.E. Giacomino, and M.D. Akers, </w:t>
      </w:r>
      <w:r w:rsidRPr="007C2868">
        <w:rPr>
          <w:rFonts w:ascii="Garamond" w:hAnsi="Garamond"/>
          <w:i/>
          <w:noProof/>
        </w:rPr>
        <w:t>A review of bankruptcy prediction studies: 1930 to present.</w:t>
      </w:r>
      <w:r w:rsidRPr="007C2868">
        <w:rPr>
          <w:rFonts w:ascii="Garamond" w:hAnsi="Garamond"/>
          <w:noProof/>
        </w:rPr>
        <w:t xml:space="preserve"> Journal of Financial Education, 2007. </w:t>
      </w:r>
      <w:r w:rsidRPr="007C2868">
        <w:rPr>
          <w:rFonts w:ascii="Garamond" w:hAnsi="Garamond"/>
          <w:b/>
          <w:noProof/>
        </w:rPr>
        <w:t>33</w:t>
      </w:r>
      <w:r w:rsidRPr="007C2868">
        <w:rPr>
          <w:rFonts w:ascii="Garamond" w:hAnsi="Garamond"/>
          <w:noProof/>
        </w:rPr>
        <w:t>: p. 1–42-1–42.</w:t>
      </w:r>
    </w:p>
    <w:p w14:paraId="12D33BD4" w14:textId="77777777" w:rsidR="00905207" w:rsidRPr="007C2868" w:rsidRDefault="00905207" w:rsidP="00905207">
      <w:pPr>
        <w:pStyle w:val="EndNoteBibliography"/>
        <w:ind w:left="720" w:hanging="720"/>
        <w:rPr>
          <w:rFonts w:ascii="Garamond" w:hAnsi="Garamond"/>
          <w:noProof/>
        </w:rPr>
      </w:pPr>
      <w:r w:rsidRPr="007C2868">
        <w:rPr>
          <w:rFonts w:ascii="Garamond" w:hAnsi="Garamond"/>
          <w:noProof/>
        </w:rPr>
        <w:t>3.</w:t>
      </w:r>
      <w:r w:rsidRPr="007C2868">
        <w:rPr>
          <w:rFonts w:ascii="Garamond" w:hAnsi="Garamond"/>
          <w:noProof/>
        </w:rPr>
        <w:tab/>
        <w:t xml:space="preserve">Nguyen, H.H., J.L. Viviani, and S. Ben Jabeur, </w:t>
      </w:r>
      <w:r w:rsidRPr="007C2868">
        <w:rPr>
          <w:rFonts w:ascii="Garamond" w:hAnsi="Garamond"/>
          <w:i/>
          <w:noProof/>
        </w:rPr>
        <w:t>Bankruptcy prediction using machine learning and Shapley additive explanations.</w:t>
      </w:r>
      <w:r w:rsidRPr="007C2868">
        <w:rPr>
          <w:rFonts w:ascii="Garamond" w:hAnsi="Garamond"/>
          <w:noProof/>
        </w:rPr>
        <w:t xml:space="preserve"> Review of Quantitative Finance and Accounting, 2025. </w:t>
      </w:r>
      <w:r w:rsidRPr="007C2868">
        <w:rPr>
          <w:rFonts w:ascii="Garamond" w:hAnsi="Garamond"/>
          <w:b/>
          <w:noProof/>
        </w:rPr>
        <w:t>65</w:t>
      </w:r>
      <w:r w:rsidRPr="007C2868">
        <w:rPr>
          <w:rFonts w:ascii="Garamond" w:hAnsi="Garamond"/>
          <w:noProof/>
        </w:rPr>
        <w:t>: p. 107–148-107–148.</w:t>
      </w:r>
    </w:p>
    <w:p w14:paraId="5291092E" w14:textId="77777777" w:rsidR="00905207" w:rsidRPr="007C2868" w:rsidRDefault="00905207" w:rsidP="00905207">
      <w:pPr>
        <w:pStyle w:val="EndNoteBibliography"/>
        <w:ind w:left="720" w:hanging="720"/>
        <w:rPr>
          <w:rFonts w:ascii="Garamond" w:hAnsi="Garamond"/>
          <w:noProof/>
        </w:rPr>
      </w:pPr>
      <w:r w:rsidRPr="007C2868">
        <w:rPr>
          <w:rFonts w:ascii="Garamond" w:hAnsi="Garamond"/>
          <w:noProof/>
        </w:rPr>
        <w:t>4.</w:t>
      </w:r>
      <w:r w:rsidRPr="007C2868">
        <w:rPr>
          <w:rFonts w:ascii="Garamond" w:hAnsi="Garamond"/>
          <w:noProof/>
        </w:rPr>
        <w:tab/>
        <w:t xml:space="preserve">Narvekar, A. and D. Guha, </w:t>
      </w:r>
      <w:r w:rsidRPr="007C2868">
        <w:rPr>
          <w:rFonts w:ascii="Garamond" w:hAnsi="Garamond"/>
          <w:i/>
          <w:noProof/>
        </w:rPr>
        <w:t>Bankruptcy prediction using machine learning and an application to the case of the COVID-19 recession.</w:t>
      </w:r>
      <w:r w:rsidRPr="007C2868">
        <w:rPr>
          <w:rFonts w:ascii="Garamond" w:hAnsi="Garamond"/>
          <w:noProof/>
        </w:rPr>
        <w:t xml:space="preserve"> Data Science in Finance and Economics, 2021. </w:t>
      </w:r>
      <w:r w:rsidRPr="007C2868">
        <w:rPr>
          <w:rFonts w:ascii="Garamond" w:hAnsi="Garamond"/>
          <w:b/>
          <w:noProof/>
        </w:rPr>
        <w:t>1</w:t>
      </w:r>
      <w:r w:rsidRPr="007C2868">
        <w:rPr>
          <w:rFonts w:ascii="Garamond" w:hAnsi="Garamond"/>
          <w:noProof/>
        </w:rPr>
        <w:t>(2): p. 180–195-180–195.</w:t>
      </w:r>
    </w:p>
    <w:p w14:paraId="53992AF0" w14:textId="77777777" w:rsidR="00905207" w:rsidRPr="007C2868" w:rsidRDefault="00905207" w:rsidP="00905207">
      <w:pPr>
        <w:pStyle w:val="EndNoteBibliography"/>
        <w:ind w:left="720" w:hanging="720"/>
        <w:rPr>
          <w:rFonts w:ascii="Garamond" w:hAnsi="Garamond"/>
          <w:noProof/>
        </w:rPr>
      </w:pPr>
      <w:r w:rsidRPr="007C2868">
        <w:rPr>
          <w:rFonts w:ascii="Garamond" w:hAnsi="Garamond"/>
          <w:noProof/>
        </w:rPr>
        <w:t>5.</w:t>
      </w:r>
      <w:r w:rsidRPr="007C2868">
        <w:rPr>
          <w:rFonts w:ascii="Garamond" w:hAnsi="Garamond"/>
          <w:noProof/>
        </w:rPr>
        <w:tab/>
        <w:t xml:space="preserve">Song, H. and X. Zhao, </w:t>
      </w:r>
      <w:r w:rsidRPr="007C2868">
        <w:rPr>
          <w:rFonts w:ascii="Garamond" w:hAnsi="Garamond"/>
          <w:i/>
          <w:noProof/>
        </w:rPr>
        <w:t>The unexpected consequences of company bankruptcy: An investigation into the spillover effect of local economic liquidation.</w:t>
      </w:r>
      <w:r w:rsidRPr="007C2868">
        <w:rPr>
          <w:rFonts w:ascii="Garamond" w:hAnsi="Garamond"/>
          <w:noProof/>
        </w:rPr>
        <w:t xml:space="preserve"> Finance Research Letters, 2024. </w:t>
      </w:r>
      <w:r w:rsidRPr="007C2868">
        <w:rPr>
          <w:rFonts w:ascii="Garamond" w:hAnsi="Garamond"/>
          <w:b/>
          <w:noProof/>
        </w:rPr>
        <w:t>61</w:t>
      </w:r>
      <w:r w:rsidRPr="007C2868">
        <w:rPr>
          <w:rFonts w:ascii="Garamond" w:hAnsi="Garamond"/>
          <w:noProof/>
        </w:rPr>
        <w:t>: p. 104992-104992.</w:t>
      </w:r>
    </w:p>
    <w:p w14:paraId="784FFC1F" w14:textId="77777777" w:rsidR="00905207" w:rsidRPr="007C2868" w:rsidRDefault="00905207" w:rsidP="00905207">
      <w:pPr>
        <w:pStyle w:val="EndNoteBibliography"/>
        <w:ind w:left="720" w:hanging="720"/>
        <w:rPr>
          <w:rFonts w:ascii="Garamond" w:hAnsi="Garamond"/>
          <w:noProof/>
        </w:rPr>
      </w:pPr>
      <w:r w:rsidRPr="007C2868">
        <w:rPr>
          <w:rFonts w:ascii="Garamond" w:hAnsi="Garamond"/>
          <w:noProof/>
        </w:rPr>
        <w:t>6.</w:t>
      </w:r>
      <w:r w:rsidRPr="007C2868">
        <w:rPr>
          <w:rFonts w:ascii="Garamond" w:hAnsi="Garamond"/>
          <w:noProof/>
        </w:rPr>
        <w:tab/>
        <w:t xml:space="preserve">Ji, Y., et al., </w:t>
      </w:r>
      <w:r w:rsidRPr="007C2868">
        <w:rPr>
          <w:rFonts w:ascii="Garamond" w:hAnsi="Garamond"/>
          <w:i/>
          <w:noProof/>
        </w:rPr>
        <w:t>Advancing bankruptcy prediction: a study on an improved rime optimization algorithm and its application in feature selection.</w:t>
      </w:r>
      <w:r w:rsidRPr="007C2868">
        <w:rPr>
          <w:rFonts w:ascii="Garamond" w:hAnsi="Garamond"/>
          <w:noProof/>
        </w:rPr>
        <w:t xml:space="preserve"> International Journal of Machine Learning and Cybernetics, 2025. </w:t>
      </w:r>
      <w:r w:rsidRPr="007C2868">
        <w:rPr>
          <w:rFonts w:ascii="Garamond" w:hAnsi="Garamond"/>
          <w:b/>
          <w:noProof/>
        </w:rPr>
        <w:t>16</w:t>
      </w:r>
      <w:r w:rsidRPr="007C2868">
        <w:rPr>
          <w:rFonts w:ascii="Garamond" w:hAnsi="Garamond"/>
          <w:noProof/>
        </w:rPr>
        <w:t>: p. 3461–3499-3461–3499.</w:t>
      </w:r>
    </w:p>
    <w:p w14:paraId="57A2FC01" w14:textId="77777777" w:rsidR="00905207" w:rsidRPr="007C2868" w:rsidRDefault="00905207" w:rsidP="00905207">
      <w:pPr>
        <w:pStyle w:val="EndNoteBibliography"/>
        <w:ind w:left="720" w:hanging="720"/>
        <w:rPr>
          <w:rFonts w:ascii="Garamond" w:hAnsi="Garamond"/>
          <w:noProof/>
        </w:rPr>
      </w:pPr>
      <w:r w:rsidRPr="007C2868">
        <w:rPr>
          <w:rFonts w:ascii="Garamond" w:hAnsi="Garamond"/>
          <w:noProof/>
        </w:rPr>
        <w:t>7.</w:t>
      </w:r>
      <w:r w:rsidRPr="007C2868">
        <w:rPr>
          <w:rFonts w:ascii="Garamond" w:hAnsi="Garamond"/>
          <w:noProof/>
        </w:rPr>
        <w:tab/>
        <w:t xml:space="preserve">Beaver, W.H., </w:t>
      </w:r>
      <w:r w:rsidRPr="007C2868">
        <w:rPr>
          <w:rFonts w:ascii="Garamond" w:hAnsi="Garamond"/>
          <w:i/>
          <w:noProof/>
        </w:rPr>
        <w:t>Financial ratios as predictors of failure.</w:t>
      </w:r>
      <w:r w:rsidRPr="007C2868">
        <w:rPr>
          <w:rFonts w:ascii="Garamond" w:hAnsi="Garamond"/>
          <w:noProof/>
        </w:rPr>
        <w:t xml:space="preserve"> Journal of accounting research, 1966. </w:t>
      </w:r>
      <w:r w:rsidRPr="007C2868">
        <w:rPr>
          <w:rFonts w:ascii="Garamond" w:hAnsi="Garamond"/>
          <w:b/>
          <w:noProof/>
        </w:rPr>
        <w:t>4</w:t>
      </w:r>
      <w:r w:rsidRPr="007C2868">
        <w:rPr>
          <w:rFonts w:ascii="Garamond" w:hAnsi="Garamond"/>
          <w:noProof/>
        </w:rPr>
        <w:t>: p. 71–111-71–111.</w:t>
      </w:r>
    </w:p>
    <w:p w14:paraId="07918D5F" w14:textId="77777777" w:rsidR="00905207" w:rsidRPr="007C2868" w:rsidRDefault="00905207" w:rsidP="00905207">
      <w:pPr>
        <w:pStyle w:val="EndNoteBibliography"/>
        <w:ind w:left="720" w:hanging="720"/>
        <w:rPr>
          <w:rFonts w:ascii="Garamond" w:hAnsi="Garamond"/>
          <w:noProof/>
        </w:rPr>
      </w:pPr>
      <w:r w:rsidRPr="007C2868">
        <w:rPr>
          <w:rFonts w:ascii="Garamond" w:hAnsi="Garamond"/>
          <w:noProof/>
        </w:rPr>
        <w:t>8.</w:t>
      </w:r>
      <w:r w:rsidRPr="007C2868">
        <w:rPr>
          <w:rFonts w:ascii="Garamond" w:hAnsi="Garamond"/>
          <w:noProof/>
        </w:rPr>
        <w:tab/>
        <w:t xml:space="preserve">Altman, E.I., </w:t>
      </w:r>
      <w:r w:rsidRPr="007C2868">
        <w:rPr>
          <w:rFonts w:ascii="Garamond" w:hAnsi="Garamond"/>
          <w:i/>
          <w:noProof/>
        </w:rPr>
        <w:t>Financial ratios, discriminant analysis and the prediction of corporate bankruptcy.</w:t>
      </w:r>
      <w:r w:rsidRPr="007C2868">
        <w:rPr>
          <w:rFonts w:ascii="Garamond" w:hAnsi="Garamond"/>
          <w:noProof/>
        </w:rPr>
        <w:t xml:space="preserve"> The journal of finance, 1968. </w:t>
      </w:r>
      <w:r w:rsidRPr="007C2868">
        <w:rPr>
          <w:rFonts w:ascii="Garamond" w:hAnsi="Garamond"/>
          <w:b/>
          <w:noProof/>
        </w:rPr>
        <w:t>23</w:t>
      </w:r>
      <w:r w:rsidRPr="007C2868">
        <w:rPr>
          <w:rFonts w:ascii="Garamond" w:hAnsi="Garamond"/>
          <w:noProof/>
        </w:rPr>
        <w:t>(4): p. 589–609-589–609.</w:t>
      </w:r>
    </w:p>
    <w:p w14:paraId="3252AE8C" w14:textId="77777777" w:rsidR="00905207" w:rsidRPr="007C2868" w:rsidRDefault="00905207" w:rsidP="00905207">
      <w:pPr>
        <w:pStyle w:val="EndNoteBibliography"/>
        <w:ind w:left="720" w:hanging="720"/>
        <w:rPr>
          <w:rFonts w:ascii="Garamond" w:hAnsi="Garamond"/>
          <w:noProof/>
        </w:rPr>
      </w:pPr>
      <w:r w:rsidRPr="007C2868">
        <w:rPr>
          <w:rFonts w:ascii="Garamond" w:hAnsi="Garamond"/>
          <w:noProof/>
        </w:rPr>
        <w:t>9.</w:t>
      </w:r>
      <w:r w:rsidRPr="007C2868">
        <w:rPr>
          <w:rFonts w:ascii="Garamond" w:hAnsi="Garamond"/>
          <w:noProof/>
        </w:rPr>
        <w:tab/>
        <w:t xml:space="preserve">Ohlson, J.A., </w:t>
      </w:r>
      <w:r w:rsidRPr="007C2868">
        <w:rPr>
          <w:rFonts w:ascii="Garamond" w:hAnsi="Garamond"/>
          <w:i/>
          <w:noProof/>
        </w:rPr>
        <w:t>Financial ratios and the probabilistic prediction of bankruptcy.</w:t>
      </w:r>
      <w:r w:rsidRPr="007C2868">
        <w:rPr>
          <w:rFonts w:ascii="Garamond" w:hAnsi="Garamond"/>
          <w:noProof/>
        </w:rPr>
        <w:t xml:space="preserve"> Journal of accounting research, 1980. </w:t>
      </w:r>
      <w:r w:rsidRPr="007C2868">
        <w:rPr>
          <w:rFonts w:ascii="Garamond" w:hAnsi="Garamond"/>
          <w:b/>
          <w:noProof/>
        </w:rPr>
        <w:t>18</w:t>
      </w:r>
      <w:r w:rsidRPr="007C2868">
        <w:rPr>
          <w:rFonts w:ascii="Garamond" w:hAnsi="Garamond"/>
          <w:noProof/>
        </w:rPr>
        <w:t>(1): p. 109–131-109–131.</w:t>
      </w:r>
    </w:p>
    <w:p w14:paraId="590880B1" w14:textId="77777777" w:rsidR="00905207" w:rsidRPr="007C2868" w:rsidRDefault="00905207" w:rsidP="00905207">
      <w:pPr>
        <w:pStyle w:val="EndNoteBibliography"/>
        <w:ind w:left="720" w:hanging="720"/>
        <w:rPr>
          <w:rFonts w:ascii="Garamond" w:hAnsi="Garamond"/>
          <w:noProof/>
        </w:rPr>
      </w:pPr>
      <w:r w:rsidRPr="007C2868">
        <w:rPr>
          <w:rFonts w:ascii="Garamond" w:hAnsi="Garamond"/>
          <w:noProof/>
        </w:rPr>
        <w:t>10.</w:t>
      </w:r>
      <w:r w:rsidRPr="007C2868">
        <w:rPr>
          <w:rFonts w:ascii="Garamond" w:hAnsi="Garamond"/>
          <w:noProof/>
        </w:rPr>
        <w:tab/>
        <w:t xml:space="preserve">Singh, G. and R. Mahajan, </w:t>
      </w:r>
      <w:r w:rsidRPr="007C2868">
        <w:rPr>
          <w:rFonts w:ascii="Garamond" w:hAnsi="Garamond"/>
          <w:i/>
          <w:noProof/>
        </w:rPr>
        <w:t>Predictive Analytics: A Review of Bankruptcy Prediction Models.</w:t>
      </w:r>
      <w:r w:rsidRPr="007C2868">
        <w:rPr>
          <w:rFonts w:ascii="Garamond" w:hAnsi="Garamond"/>
          <w:noProof/>
        </w:rPr>
        <w:t xml:space="preserve"> International Journal for Multidisciplinary Research, 2024. </w:t>
      </w:r>
      <w:r w:rsidRPr="007C2868">
        <w:rPr>
          <w:rFonts w:ascii="Garamond" w:hAnsi="Garamond"/>
          <w:b/>
          <w:noProof/>
        </w:rPr>
        <w:t>6</w:t>
      </w:r>
      <w:r w:rsidRPr="007C2868">
        <w:rPr>
          <w:rFonts w:ascii="Garamond" w:hAnsi="Garamond"/>
          <w:noProof/>
        </w:rPr>
        <w:t>(4).</w:t>
      </w:r>
    </w:p>
    <w:p w14:paraId="7970F6AA" w14:textId="77777777" w:rsidR="00905207" w:rsidRPr="007C2868" w:rsidRDefault="00905207" w:rsidP="00905207">
      <w:pPr>
        <w:pStyle w:val="EndNoteBibliography"/>
        <w:ind w:left="720" w:hanging="720"/>
        <w:rPr>
          <w:rFonts w:ascii="Garamond" w:hAnsi="Garamond"/>
          <w:noProof/>
        </w:rPr>
      </w:pPr>
      <w:r w:rsidRPr="007C2868">
        <w:rPr>
          <w:rFonts w:ascii="Garamond" w:hAnsi="Garamond"/>
          <w:noProof/>
        </w:rPr>
        <w:t>11.</w:t>
      </w:r>
      <w:r w:rsidRPr="007C2868">
        <w:rPr>
          <w:rFonts w:ascii="Garamond" w:hAnsi="Garamond"/>
          <w:noProof/>
        </w:rPr>
        <w:tab/>
        <w:t xml:space="preserve">Balcaen, S. and H. Ooghe, </w:t>
      </w:r>
      <w:r w:rsidRPr="007C2868">
        <w:rPr>
          <w:rFonts w:ascii="Garamond" w:hAnsi="Garamond"/>
          <w:i/>
          <w:noProof/>
        </w:rPr>
        <w:t>35 years of studies on business failure: an overview of the classic statistical methodologies and their related problems.</w:t>
      </w:r>
      <w:r w:rsidRPr="007C2868">
        <w:rPr>
          <w:rFonts w:ascii="Garamond" w:hAnsi="Garamond"/>
          <w:noProof/>
        </w:rPr>
        <w:t xml:space="preserve"> The British Accounting Review, 2006. </w:t>
      </w:r>
      <w:r w:rsidRPr="007C2868">
        <w:rPr>
          <w:rFonts w:ascii="Garamond" w:hAnsi="Garamond"/>
          <w:b/>
          <w:noProof/>
        </w:rPr>
        <w:t>38</w:t>
      </w:r>
      <w:r w:rsidRPr="007C2868">
        <w:rPr>
          <w:rFonts w:ascii="Garamond" w:hAnsi="Garamond"/>
          <w:noProof/>
        </w:rPr>
        <w:t>(1): p. 63–93-63–93.</w:t>
      </w:r>
    </w:p>
    <w:p w14:paraId="03CCFDEC" w14:textId="77777777" w:rsidR="00905207" w:rsidRPr="007C2868" w:rsidRDefault="00905207" w:rsidP="00905207">
      <w:pPr>
        <w:pStyle w:val="EndNoteBibliography"/>
        <w:ind w:left="720" w:hanging="720"/>
        <w:rPr>
          <w:rFonts w:ascii="Garamond" w:hAnsi="Garamond"/>
          <w:noProof/>
        </w:rPr>
      </w:pPr>
      <w:r w:rsidRPr="007C2868">
        <w:rPr>
          <w:rFonts w:ascii="Garamond" w:hAnsi="Garamond"/>
          <w:noProof/>
        </w:rPr>
        <w:t>12.</w:t>
      </w:r>
      <w:r w:rsidRPr="007C2868">
        <w:rPr>
          <w:rFonts w:ascii="Garamond" w:hAnsi="Garamond"/>
          <w:noProof/>
        </w:rPr>
        <w:tab/>
        <w:t xml:space="preserve">Kotsiantis, S.B., et al. </w:t>
      </w:r>
      <w:r w:rsidRPr="007C2868">
        <w:rPr>
          <w:rFonts w:ascii="Garamond" w:hAnsi="Garamond"/>
          <w:i/>
          <w:noProof/>
        </w:rPr>
        <w:t>Efficiency of machine learning techniques in bankruptcy prediction</w:t>
      </w:r>
      <w:r w:rsidRPr="007C2868">
        <w:rPr>
          <w:rFonts w:ascii="Garamond" w:hAnsi="Garamond"/>
          <w:noProof/>
        </w:rPr>
        <w:t xml:space="preserve">. in </w:t>
      </w:r>
      <w:r w:rsidRPr="007C2868">
        <w:rPr>
          <w:rFonts w:ascii="Garamond" w:hAnsi="Garamond"/>
          <w:i/>
          <w:noProof/>
        </w:rPr>
        <w:t>2nd International Conference on Enterprise Systems and Accounting</w:t>
      </w:r>
      <w:r w:rsidRPr="007C2868">
        <w:rPr>
          <w:rFonts w:ascii="Garamond" w:hAnsi="Garamond"/>
          <w:noProof/>
        </w:rPr>
        <w:t>.</w:t>
      </w:r>
    </w:p>
    <w:p w14:paraId="30D2B565" w14:textId="77777777" w:rsidR="00905207" w:rsidRPr="007C2868" w:rsidRDefault="00905207" w:rsidP="00905207">
      <w:pPr>
        <w:pStyle w:val="EndNoteBibliography"/>
        <w:ind w:left="720" w:hanging="720"/>
        <w:rPr>
          <w:rFonts w:ascii="Garamond" w:hAnsi="Garamond"/>
          <w:noProof/>
        </w:rPr>
      </w:pPr>
      <w:r w:rsidRPr="007C2868">
        <w:rPr>
          <w:rFonts w:ascii="Garamond" w:hAnsi="Garamond"/>
          <w:noProof/>
        </w:rPr>
        <w:t>13.</w:t>
      </w:r>
      <w:r w:rsidRPr="007C2868">
        <w:rPr>
          <w:rFonts w:ascii="Garamond" w:hAnsi="Garamond"/>
          <w:noProof/>
        </w:rPr>
        <w:tab/>
        <w:t xml:space="preserve">Saxena, K. and S. Tiwari. </w:t>
      </w:r>
      <w:r w:rsidRPr="007C2868">
        <w:rPr>
          <w:rFonts w:ascii="Garamond" w:hAnsi="Garamond"/>
          <w:i/>
          <w:noProof/>
        </w:rPr>
        <w:t>Bankruptcy Prediction Using Machine Learning</w:t>
      </w:r>
      <w:r w:rsidRPr="007C2868">
        <w:rPr>
          <w:rFonts w:ascii="Garamond" w:hAnsi="Garamond"/>
          <w:noProof/>
        </w:rPr>
        <w:t xml:space="preserve">. in </w:t>
      </w:r>
      <w:r w:rsidRPr="007C2868">
        <w:rPr>
          <w:rFonts w:ascii="Garamond" w:hAnsi="Garamond"/>
          <w:i/>
          <w:noProof/>
        </w:rPr>
        <w:t>2024 11th International Conference on Reliability, Infocom Technologies and Optimization (Trends and Future Directions) (ICRITO)</w:t>
      </w:r>
      <w:r w:rsidRPr="007C2868">
        <w:rPr>
          <w:rFonts w:ascii="Garamond" w:hAnsi="Garamond"/>
          <w:noProof/>
        </w:rPr>
        <w:t>.</w:t>
      </w:r>
    </w:p>
    <w:p w14:paraId="0CA23220" w14:textId="77777777" w:rsidR="00905207" w:rsidRPr="007C2868" w:rsidRDefault="00905207" w:rsidP="00905207">
      <w:pPr>
        <w:pStyle w:val="EndNoteBibliography"/>
        <w:ind w:left="720" w:hanging="720"/>
        <w:rPr>
          <w:rFonts w:ascii="Garamond" w:hAnsi="Garamond"/>
          <w:noProof/>
        </w:rPr>
      </w:pPr>
      <w:r w:rsidRPr="007C2868">
        <w:rPr>
          <w:rFonts w:ascii="Garamond" w:hAnsi="Garamond"/>
          <w:noProof/>
        </w:rPr>
        <w:t>14.</w:t>
      </w:r>
      <w:r w:rsidRPr="007C2868">
        <w:rPr>
          <w:rFonts w:ascii="Garamond" w:hAnsi="Garamond"/>
          <w:noProof/>
        </w:rPr>
        <w:tab/>
        <w:t xml:space="preserve">Barboza, F., H. Kimura, and E. Altman, </w:t>
      </w:r>
      <w:r w:rsidRPr="007C2868">
        <w:rPr>
          <w:rFonts w:ascii="Garamond" w:hAnsi="Garamond"/>
          <w:i/>
          <w:noProof/>
        </w:rPr>
        <w:t>Machine learning models and bankruptcy prediction.</w:t>
      </w:r>
      <w:r w:rsidRPr="007C2868">
        <w:rPr>
          <w:rFonts w:ascii="Garamond" w:hAnsi="Garamond"/>
          <w:noProof/>
        </w:rPr>
        <w:t xml:space="preserve"> Expert Systems with Applications, 2017. </w:t>
      </w:r>
      <w:r w:rsidRPr="007C2868">
        <w:rPr>
          <w:rFonts w:ascii="Garamond" w:hAnsi="Garamond"/>
          <w:b/>
          <w:noProof/>
        </w:rPr>
        <w:t>83</w:t>
      </w:r>
      <w:r w:rsidRPr="007C2868">
        <w:rPr>
          <w:rFonts w:ascii="Garamond" w:hAnsi="Garamond"/>
          <w:noProof/>
        </w:rPr>
        <w:t>: p. 405–417-405–417.</w:t>
      </w:r>
    </w:p>
    <w:p w14:paraId="0E268A25" w14:textId="77777777" w:rsidR="00905207" w:rsidRPr="007C2868" w:rsidRDefault="00905207" w:rsidP="00905207">
      <w:pPr>
        <w:pStyle w:val="EndNoteBibliography"/>
        <w:ind w:left="720" w:hanging="720"/>
        <w:rPr>
          <w:rFonts w:ascii="Garamond" w:hAnsi="Garamond"/>
          <w:noProof/>
        </w:rPr>
      </w:pPr>
      <w:r w:rsidRPr="007C2868">
        <w:rPr>
          <w:rFonts w:ascii="Garamond" w:hAnsi="Garamond"/>
          <w:noProof/>
        </w:rPr>
        <w:t>15.</w:t>
      </w:r>
      <w:r w:rsidRPr="007C2868">
        <w:rPr>
          <w:rFonts w:ascii="Garamond" w:hAnsi="Garamond"/>
          <w:noProof/>
        </w:rPr>
        <w:tab/>
        <w:t xml:space="preserve">Qu, Y., et al., </w:t>
      </w:r>
      <w:r w:rsidRPr="007C2868">
        <w:rPr>
          <w:rFonts w:ascii="Garamond" w:hAnsi="Garamond"/>
          <w:i/>
          <w:noProof/>
        </w:rPr>
        <w:t>Review of bankruptcy prediction using machine learning and deep learning techniques.</w:t>
      </w:r>
      <w:r w:rsidRPr="007C2868">
        <w:rPr>
          <w:rFonts w:ascii="Garamond" w:hAnsi="Garamond"/>
          <w:noProof/>
        </w:rPr>
        <w:t xml:space="preserve"> Procedia Computer Science, 2019. </w:t>
      </w:r>
      <w:r w:rsidRPr="007C2868">
        <w:rPr>
          <w:rFonts w:ascii="Garamond" w:hAnsi="Garamond"/>
          <w:b/>
          <w:noProof/>
        </w:rPr>
        <w:t>162</w:t>
      </w:r>
      <w:r w:rsidRPr="007C2868">
        <w:rPr>
          <w:rFonts w:ascii="Garamond" w:hAnsi="Garamond"/>
          <w:noProof/>
        </w:rPr>
        <w:t>: p. 895–899-895–899.</w:t>
      </w:r>
    </w:p>
    <w:p w14:paraId="401CB4CB" w14:textId="77777777" w:rsidR="00905207" w:rsidRPr="007C2868" w:rsidRDefault="00905207" w:rsidP="00905207">
      <w:pPr>
        <w:pStyle w:val="EndNoteBibliography"/>
        <w:ind w:left="720" w:hanging="720"/>
        <w:rPr>
          <w:rFonts w:ascii="Garamond" w:hAnsi="Garamond"/>
          <w:noProof/>
        </w:rPr>
      </w:pPr>
      <w:r w:rsidRPr="007C2868">
        <w:rPr>
          <w:rFonts w:ascii="Garamond" w:hAnsi="Garamond"/>
          <w:noProof/>
        </w:rPr>
        <w:t>16.</w:t>
      </w:r>
      <w:r w:rsidRPr="007C2868">
        <w:rPr>
          <w:rFonts w:ascii="Garamond" w:hAnsi="Garamond"/>
          <w:noProof/>
        </w:rPr>
        <w:tab/>
        <w:t xml:space="preserve">Dasilas, A. and A. Rigani, </w:t>
      </w:r>
      <w:r w:rsidRPr="007C2868">
        <w:rPr>
          <w:rFonts w:ascii="Garamond" w:hAnsi="Garamond"/>
          <w:i/>
          <w:noProof/>
        </w:rPr>
        <w:t>Machine learning techniques in bankruptcy prediction: A systematic literature review.</w:t>
      </w:r>
      <w:r w:rsidRPr="007C2868">
        <w:rPr>
          <w:rFonts w:ascii="Garamond" w:hAnsi="Garamond"/>
          <w:noProof/>
        </w:rPr>
        <w:t xml:space="preserve"> Expert Systems with Applications, 2024. </w:t>
      </w:r>
      <w:r w:rsidRPr="007C2868">
        <w:rPr>
          <w:rFonts w:ascii="Garamond" w:hAnsi="Garamond"/>
          <w:b/>
          <w:noProof/>
        </w:rPr>
        <w:t>255</w:t>
      </w:r>
      <w:r w:rsidRPr="007C2868">
        <w:rPr>
          <w:rFonts w:ascii="Garamond" w:hAnsi="Garamond"/>
          <w:noProof/>
        </w:rPr>
        <w:t>: p. 124761-124761.</w:t>
      </w:r>
    </w:p>
    <w:p w14:paraId="3675F479" w14:textId="77777777" w:rsidR="00905207" w:rsidRPr="007C2868" w:rsidRDefault="00905207" w:rsidP="00905207">
      <w:pPr>
        <w:pStyle w:val="EndNoteBibliography"/>
        <w:ind w:left="720" w:hanging="720"/>
        <w:rPr>
          <w:rFonts w:ascii="Garamond" w:hAnsi="Garamond"/>
          <w:noProof/>
        </w:rPr>
      </w:pPr>
      <w:r w:rsidRPr="007C2868">
        <w:rPr>
          <w:rFonts w:ascii="Garamond" w:hAnsi="Garamond"/>
          <w:noProof/>
        </w:rPr>
        <w:t>17.</w:t>
      </w:r>
      <w:r w:rsidRPr="007C2868">
        <w:rPr>
          <w:rFonts w:ascii="Garamond" w:hAnsi="Garamond"/>
          <w:noProof/>
        </w:rPr>
        <w:tab/>
        <w:t xml:space="preserve">Alaka, H.A., et al., </w:t>
      </w:r>
      <w:r w:rsidRPr="007C2868">
        <w:rPr>
          <w:rFonts w:ascii="Garamond" w:hAnsi="Garamond"/>
          <w:i/>
          <w:noProof/>
        </w:rPr>
        <w:t>Systematic review of bankruptcy prediction models: Towards a framework for tool selection.</w:t>
      </w:r>
      <w:r w:rsidRPr="007C2868">
        <w:rPr>
          <w:rFonts w:ascii="Garamond" w:hAnsi="Garamond"/>
          <w:noProof/>
        </w:rPr>
        <w:t xml:space="preserve"> Expert systems with applications, 2018. </w:t>
      </w:r>
      <w:r w:rsidRPr="007C2868">
        <w:rPr>
          <w:rFonts w:ascii="Garamond" w:hAnsi="Garamond"/>
          <w:b/>
          <w:noProof/>
        </w:rPr>
        <w:t>94</w:t>
      </w:r>
      <w:r w:rsidRPr="007C2868">
        <w:rPr>
          <w:rFonts w:ascii="Garamond" w:hAnsi="Garamond"/>
          <w:noProof/>
        </w:rPr>
        <w:t>: p. 164–184-164–184.</w:t>
      </w:r>
    </w:p>
    <w:p w14:paraId="7AA4706B" w14:textId="77777777" w:rsidR="00905207" w:rsidRPr="007C2868" w:rsidRDefault="00905207" w:rsidP="00905207">
      <w:pPr>
        <w:pStyle w:val="EndNoteBibliography"/>
        <w:ind w:left="720" w:hanging="720"/>
        <w:rPr>
          <w:rFonts w:ascii="Garamond" w:hAnsi="Garamond"/>
          <w:noProof/>
        </w:rPr>
      </w:pPr>
      <w:r w:rsidRPr="007C2868">
        <w:rPr>
          <w:rFonts w:ascii="Garamond" w:hAnsi="Garamond"/>
          <w:noProof/>
        </w:rPr>
        <w:t>18.</w:t>
      </w:r>
      <w:r w:rsidRPr="007C2868">
        <w:rPr>
          <w:rFonts w:ascii="Garamond" w:hAnsi="Garamond"/>
          <w:noProof/>
        </w:rPr>
        <w:tab/>
        <w:t xml:space="preserve">Odom, M.D. and R. Sharda. </w:t>
      </w:r>
      <w:r w:rsidRPr="007C2868">
        <w:rPr>
          <w:rFonts w:ascii="Garamond" w:hAnsi="Garamond"/>
          <w:i/>
          <w:noProof/>
        </w:rPr>
        <w:t>A neural network model for bankruptcy prediction</w:t>
      </w:r>
      <w:r w:rsidRPr="007C2868">
        <w:rPr>
          <w:rFonts w:ascii="Garamond" w:hAnsi="Garamond"/>
          <w:noProof/>
        </w:rPr>
        <w:t xml:space="preserve">. in </w:t>
      </w:r>
      <w:r w:rsidRPr="007C2868">
        <w:rPr>
          <w:rFonts w:ascii="Garamond" w:hAnsi="Garamond"/>
          <w:i/>
          <w:noProof/>
        </w:rPr>
        <w:t>1990 IJCNN international joint conference on neural networks</w:t>
      </w:r>
      <w:r w:rsidRPr="007C2868">
        <w:rPr>
          <w:rFonts w:ascii="Garamond" w:hAnsi="Garamond"/>
          <w:noProof/>
        </w:rPr>
        <w:t>.</w:t>
      </w:r>
    </w:p>
    <w:p w14:paraId="2EBBAC5B" w14:textId="77777777" w:rsidR="00905207" w:rsidRPr="007C2868" w:rsidRDefault="00905207" w:rsidP="00905207">
      <w:pPr>
        <w:pStyle w:val="EndNoteBibliography"/>
        <w:ind w:left="720" w:hanging="720"/>
        <w:rPr>
          <w:rFonts w:ascii="Garamond" w:hAnsi="Garamond"/>
          <w:noProof/>
        </w:rPr>
      </w:pPr>
      <w:r w:rsidRPr="007C2868">
        <w:rPr>
          <w:rFonts w:ascii="Garamond" w:hAnsi="Garamond"/>
          <w:noProof/>
        </w:rPr>
        <w:t>19.</w:t>
      </w:r>
      <w:r w:rsidRPr="007C2868">
        <w:rPr>
          <w:rFonts w:ascii="Garamond" w:hAnsi="Garamond"/>
          <w:noProof/>
        </w:rPr>
        <w:tab/>
        <w:t xml:space="preserve">du Jardin, P., </w:t>
      </w:r>
      <w:r w:rsidRPr="007C2868">
        <w:rPr>
          <w:rFonts w:ascii="Garamond" w:hAnsi="Garamond"/>
          <w:i/>
          <w:noProof/>
        </w:rPr>
        <w:t xml:space="preserve">Predicting bankruptcy using neural networks and other classification methods: the influence of </w:t>
      </w:r>
      <w:r w:rsidRPr="007C2868">
        <w:rPr>
          <w:rFonts w:ascii="Garamond" w:hAnsi="Garamond"/>
          <w:i/>
          <w:noProof/>
        </w:rPr>
        <w:lastRenderedPageBreak/>
        <w:t>variable selection techniques on model accuracy.</w:t>
      </w:r>
      <w:r w:rsidRPr="007C2868">
        <w:rPr>
          <w:rFonts w:ascii="Garamond" w:hAnsi="Garamond"/>
          <w:noProof/>
        </w:rPr>
        <w:t xml:space="preserve"> Neurocomputing, 2010. </w:t>
      </w:r>
      <w:r w:rsidRPr="007C2868">
        <w:rPr>
          <w:rFonts w:ascii="Garamond" w:hAnsi="Garamond"/>
          <w:b/>
          <w:noProof/>
        </w:rPr>
        <w:t>73</w:t>
      </w:r>
      <w:r w:rsidRPr="007C2868">
        <w:rPr>
          <w:rFonts w:ascii="Garamond" w:hAnsi="Garamond"/>
          <w:noProof/>
        </w:rPr>
        <w:t>(10-12): p. 2047–2060-2047–2060.</w:t>
      </w:r>
    </w:p>
    <w:p w14:paraId="754D2412" w14:textId="77777777" w:rsidR="00905207" w:rsidRPr="007C2868" w:rsidRDefault="00905207" w:rsidP="00905207">
      <w:pPr>
        <w:pStyle w:val="EndNoteBibliography"/>
        <w:ind w:left="720" w:hanging="720"/>
        <w:rPr>
          <w:rFonts w:ascii="Garamond" w:hAnsi="Garamond"/>
          <w:noProof/>
        </w:rPr>
      </w:pPr>
      <w:r w:rsidRPr="007C2868">
        <w:rPr>
          <w:rFonts w:ascii="Garamond" w:hAnsi="Garamond"/>
          <w:noProof/>
        </w:rPr>
        <w:t>20.</w:t>
      </w:r>
      <w:r w:rsidRPr="007C2868">
        <w:rPr>
          <w:rFonts w:ascii="Garamond" w:hAnsi="Garamond"/>
          <w:noProof/>
        </w:rPr>
        <w:tab/>
        <w:t xml:space="preserve">Cortes, C. and V. Vapnik, </w:t>
      </w:r>
      <w:r w:rsidRPr="007C2868">
        <w:rPr>
          <w:rFonts w:ascii="Garamond" w:hAnsi="Garamond"/>
          <w:i/>
          <w:noProof/>
        </w:rPr>
        <w:t>Support-vector networks.</w:t>
      </w:r>
      <w:r w:rsidRPr="007C2868">
        <w:rPr>
          <w:rFonts w:ascii="Garamond" w:hAnsi="Garamond"/>
          <w:noProof/>
        </w:rPr>
        <w:t xml:space="preserve"> Machine learning, 1995. </w:t>
      </w:r>
      <w:r w:rsidRPr="007C2868">
        <w:rPr>
          <w:rFonts w:ascii="Garamond" w:hAnsi="Garamond"/>
          <w:b/>
          <w:noProof/>
        </w:rPr>
        <w:t>20</w:t>
      </w:r>
      <w:r w:rsidRPr="007C2868">
        <w:rPr>
          <w:rFonts w:ascii="Garamond" w:hAnsi="Garamond"/>
          <w:noProof/>
        </w:rPr>
        <w:t>(3): p. 273–297-273–297.</w:t>
      </w:r>
    </w:p>
    <w:p w14:paraId="75336A39" w14:textId="77777777" w:rsidR="00905207" w:rsidRPr="007C2868" w:rsidRDefault="00905207" w:rsidP="00905207">
      <w:pPr>
        <w:pStyle w:val="EndNoteBibliography"/>
        <w:ind w:left="720" w:hanging="720"/>
        <w:rPr>
          <w:rFonts w:ascii="Garamond" w:hAnsi="Garamond"/>
          <w:noProof/>
        </w:rPr>
      </w:pPr>
      <w:r w:rsidRPr="007C2868">
        <w:rPr>
          <w:rFonts w:ascii="Garamond" w:hAnsi="Garamond"/>
          <w:noProof/>
        </w:rPr>
        <w:t>21.</w:t>
      </w:r>
      <w:r w:rsidRPr="007C2868">
        <w:rPr>
          <w:rFonts w:ascii="Garamond" w:hAnsi="Garamond"/>
          <w:noProof/>
        </w:rPr>
        <w:tab/>
        <w:t xml:space="preserve">Min, J.H. and Y.-C. Lee, </w:t>
      </w:r>
      <w:r w:rsidRPr="007C2868">
        <w:rPr>
          <w:rFonts w:ascii="Garamond" w:hAnsi="Garamond"/>
          <w:i/>
          <w:noProof/>
        </w:rPr>
        <w:t>Bankruptcy prediction using support vector machine with optimal choice of kernel function parameters.</w:t>
      </w:r>
      <w:r w:rsidRPr="007C2868">
        <w:rPr>
          <w:rFonts w:ascii="Garamond" w:hAnsi="Garamond"/>
          <w:noProof/>
        </w:rPr>
        <w:t xml:space="preserve"> Expert systems with applications, 2005. </w:t>
      </w:r>
      <w:r w:rsidRPr="007C2868">
        <w:rPr>
          <w:rFonts w:ascii="Garamond" w:hAnsi="Garamond"/>
          <w:b/>
          <w:noProof/>
        </w:rPr>
        <w:t>28</w:t>
      </w:r>
      <w:r w:rsidRPr="007C2868">
        <w:rPr>
          <w:rFonts w:ascii="Garamond" w:hAnsi="Garamond"/>
          <w:noProof/>
        </w:rPr>
        <w:t>(4): p. 603–614-603–614.</w:t>
      </w:r>
    </w:p>
    <w:p w14:paraId="25196D35" w14:textId="77777777" w:rsidR="00905207" w:rsidRPr="007C2868" w:rsidRDefault="00905207" w:rsidP="00905207">
      <w:pPr>
        <w:pStyle w:val="EndNoteBibliography"/>
        <w:ind w:left="720" w:hanging="720"/>
        <w:rPr>
          <w:rFonts w:ascii="Garamond" w:hAnsi="Garamond"/>
          <w:noProof/>
        </w:rPr>
      </w:pPr>
      <w:r w:rsidRPr="007C2868">
        <w:rPr>
          <w:rFonts w:ascii="Garamond" w:hAnsi="Garamond"/>
          <w:noProof/>
        </w:rPr>
        <w:t>22.</w:t>
      </w:r>
      <w:r w:rsidRPr="007C2868">
        <w:rPr>
          <w:rFonts w:ascii="Garamond" w:hAnsi="Garamond"/>
          <w:noProof/>
        </w:rPr>
        <w:tab/>
        <w:t xml:space="preserve">Cui, L., et al., </w:t>
      </w:r>
      <w:r w:rsidRPr="007C2868">
        <w:rPr>
          <w:rFonts w:ascii="Garamond" w:hAnsi="Garamond"/>
          <w:i/>
          <w:noProof/>
        </w:rPr>
        <w:t>A modified efficient KNN method for antenna optimization and design.</w:t>
      </w:r>
      <w:r w:rsidRPr="007C2868">
        <w:rPr>
          <w:rFonts w:ascii="Garamond" w:hAnsi="Garamond"/>
          <w:noProof/>
        </w:rPr>
        <w:t xml:space="preserve"> IEEE Transactions on Antennas and Propagation, 2020. </w:t>
      </w:r>
      <w:r w:rsidRPr="007C2868">
        <w:rPr>
          <w:rFonts w:ascii="Garamond" w:hAnsi="Garamond"/>
          <w:b/>
          <w:noProof/>
        </w:rPr>
        <w:t>68</w:t>
      </w:r>
      <w:r w:rsidRPr="007C2868">
        <w:rPr>
          <w:rFonts w:ascii="Garamond" w:hAnsi="Garamond"/>
          <w:noProof/>
        </w:rPr>
        <w:t>(10): p. 6858–6866-6858–6866.</w:t>
      </w:r>
    </w:p>
    <w:p w14:paraId="3D52EAE1" w14:textId="77777777" w:rsidR="00905207" w:rsidRPr="007C2868" w:rsidRDefault="00905207" w:rsidP="00905207">
      <w:pPr>
        <w:pStyle w:val="EndNoteBibliography"/>
        <w:ind w:left="720" w:hanging="720"/>
        <w:rPr>
          <w:rFonts w:ascii="Garamond" w:hAnsi="Garamond"/>
          <w:noProof/>
        </w:rPr>
      </w:pPr>
      <w:r w:rsidRPr="007C2868">
        <w:rPr>
          <w:rFonts w:ascii="Garamond" w:hAnsi="Garamond"/>
          <w:noProof/>
        </w:rPr>
        <w:t>23.</w:t>
      </w:r>
      <w:r w:rsidRPr="007C2868">
        <w:rPr>
          <w:rFonts w:ascii="Garamond" w:hAnsi="Garamond"/>
          <w:noProof/>
        </w:rPr>
        <w:tab/>
        <w:t xml:space="preserve">Breiman, L., </w:t>
      </w:r>
      <w:r w:rsidRPr="007C2868">
        <w:rPr>
          <w:rFonts w:ascii="Garamond" w:hAnsi="Garamond"/>
          <w:i/>
          <w:noProof/>
        </w:rPr>
        <w:t>Random forests.</w:t>
      </w:r>
      <w:r w:rsidRPr="007C2868">
        <w:rPr>
          <w:rFonts w:ascii="Garamond" w:hAnsi="Garamond"/>
          <w:noProof/>
        </w:rPr>
        <w:t xml:space="preserve"> Machine learning, 2001. </w:t>
      </w:r>
      <w:r w:rsidRPr="007C2868">
        <w:rPr>
          <w:rFonts w:ascii="Garamond" w:hAnsi="Garamond"/>
          <w:b/>
          <w:noProof/>
        </w:rPr>
        <w:t>45</w:t>
      </w:r>
      <w:r w:rsidRPr="007C2868">
        <w:rPr>
          <w:rFonts w:ascii="Garamond" w:hAnsi="Garamond"/>
          <w:noProof/>
        </w:rPr>
        <w:t>(1): p. 5–32-5–32.</w:t>
      </w:r>
    </w:p>
    <w:p w14:paraId="7B79475B" w14:textId="77777777" w:rsidR="00905207" w:rsidRPr="007C2868" w:rsidRDefault="00905207" w:rsidP="00905207">
      <w:pPr>
        <w:pStyle w:val="EndNoteBibliography"/>
        <w:ind w:left="720" w:hanging="720"/>
        <w:rPr>
          <w:rFonts w:ascii="Garamond" w:hAnsi="Garamond"/>
          <w:noProof/>
        </w:rPr>
      </w:pPr>
      <w:r w:rsidRPr="007C2868">
        <w:rPr>
          <w:rFonts w:ascii="Garamond" w:hAnsi="Garamond"/>
          <w:noProof/>
        </w:rPr>
        <w:t>24.</w:t>
      </w:r>
      <w:r w:rsidRPr="007C2868">
        <w:rPr>
          <w:rFonts w:ascii="Garamond" w:hAnsi="Garamond"/>
          <w:noProof/>
        </w:rPr>
        <w:tab/>
        <w:t xml:space="preserve">Jones, S., D. Johnstone, and R. Wilson, </w:t>
      </w:r>
      <w:r w:rsidRPr="007C2868">
        <w:rPr>
          <w:rFonts w:ascii="Garamond" w:hAnsi="Garamond"/>
          <w:i/>
          <w:noProof/>
        </w:rPr>
        <w:t>Predicting corporate bankruptcy: An evaluation of alternative statistical frameworks.</w:t>
      </w:r>
      <w:r w:rsidRPr="007C2868">
        <w:rPr>
          <w:rFonts w:ascii="Garamond" w:hAnsi="Garamond"/>
          <w:noProof/>
        </w:rPr>
        <w:t xml:space="preserve"> Journal of Business Finance &amp; Accounting, 2017. </w:t>
      </w:r>
      <w:r w:rsidRPr="007C2868">
        <w:rPr>
          <w:rFonts w:ascii="Garamond" w:hAnsi="Garamond"/>
          <w:b/>
          <w:noProof/>
        </w:rPr>
        <w:t>44</w:t>
      </w:r>
      <w:r w:rsidRPr="007C2868">
        <w:rPr>
          <w:rFonts w:ascii="Garamond" w:hAnsi="Garamond"/>
          <w:noProof/>
        </w:rPr>
        <w:t>(1-2): p. 3–34-3–34.</w:t>
      </w:r>
    </w:p>
    <w:p w14:paraId="323C2DA5" w14:textId="77777777" w:rsidR="00905207" w:rsidRPr="007C2868" w:rsidRDefault="00905207" w:rsidP="00905207">
      <w:pPr>
        <w:pStyle w:val="EndNoteBibliography"/>
        <w:ind w:left="720" w:hanging="720"/>
        <w:rPr>
          <w:rFonts w:ascii="Garamond" w:hAnsi="Garamond"/>
          <w:noProof/>
        </w:rPr>
      </w:pPr>
      <w:r w:rsidRPr="007C2868">
        <w:rPr>
          <w:rFonts w:ascii="Garamond" w:hAnsi="Garamond"/>
          <w:noProof/>
        </w:rPr>
        <w:t>25.</w:t>
      </w:r>
      <w:r w:rsidRPr="007C2868">
        <w:rPr>
          <w:rFonts w:ascii="Garamond" w:hAnsi="Garamond"/>
          <w:noProof/>
        </w:rPr>
        <w:tab/>
        <w:t xml:space="preserve">Sun, Z.-L., et al., </w:t>
      </w:r>
      <w:r w:rsidRPr="007C2868">
        <w:rPr>
          <w:rFonts w:ascii="Garamond" w:hAnsi="Garamond"/>
          <w:i/>
          <w:noProof/>
        </w:rPr>
        <w:t>An improved random forest based on the classification accuracy and correlation measurement of decision trees.</w:t>
      </w:r>
      <w:r w:rsidRPr="007C2868">
        <w:rPr>
          <w:rFonts w:ascii="Garamond" w:hAnsi="Garamond"/>
          <w:noProof/>
        </w:rPr>
        <w:t xml:space="preserve"> Expert Systems with Applications, 2024. </w:t>
      </w:r>
      <w:r w:rsidRPr="007C2868">
        <w:rPr>
          <w:rFonts w:ascii="Garamond" w:hAnsi="Garamond"/>
          <w:b/>
          <w:noProof/>
        </w:rPr>
        <w:t>237</w:t>
      </w:r>
      <w:r w:rsidRPr="007C2868">
        <w:rPr>
          <w:rFonts w:ascii="Garamond" w:hAnsi="Garamond"/>
          <w:noProof/>
        </w:rPr>
        <w:t>: p. 121549-121549.</w:t>
      </w:r>
    </w:p>
    <w:p w14:paraId="7B4CBB25" w14:textId="77777777" w:rsidR="00905207" w:rsidRPr="007C2868" w:rsidRDefault="00905207" w:rsidP="00905207">
      <w:pPr>
        <w:pStyle w:val="EndNoteBibliography"/>
        <w:ind w:left="720" w:hanging="720"/>
        <w:rPr>
          <w:rFonts w:ascii="Garamond" w:hAnsi="Garamond"/>
          <w:noProof/>
        </w:rPr>
      </w:pPr>
      <w:r w:rsidRPr="007C2868">
        <w:rPr>
          <w:rFonts w:ascii="Garamond" w:hAnsi="Garamond"/>
          <w:noProof/>
        </w:rPr>
        <w:t>26.</w:t>
      </w:r>
      <w:r w:rsidRPr="007C2868">
        <w:rPr>
          <w:rFonts w:ascii="Garamond" w:hAnsi="Garamond"/>
          <w:noProof/>
        </w:rPr>
        <w:tab/>
        <w:t xml:space="preserve">Karabadji, N.E.I., et al., </w:t>
      </w:r>
      <w:r w:rsidRPr="007C2868">
        <w:rPr>
          <w:rFonts w:ascii="Garamond" w:hAnsi="Garamond"/>
          <w:i/>
          <w:noProof/>
        </w:rPr>
        <w:t>Accuracy and diversity-aware multi-objective approach for random forest construction.</w:t>
      </w:r>
      <w:r w:rsidRPr="007C2868">
        <w:rPr>
          <w:rFonts w:ascii="Garamond" w:hAnsi="Garamond"/>
          <w:noProof/>
        </w:rPr>
        <w:t xml:space="preserve"> Expert Systems with Applications, 2023. </w:t>
      </w:r>
      <w:r w:rsidRPr="007C2868">
        <w:rPr>
          <w:rFonts w:ascii="Garamond" w:hAnsi="Garamond"/>
          <w:b/>
          <w:noProof/>
        </w:rPr>
        <w:t>225</w:t>
      </w:r>
      <w:r w:rsidRPr="007C2868">
        <w:rPr>
          <w:rFonts w:ascii="Garamond" w:hAnsi="Garamond"/>
          <w:noProof/>
        </w:rPr>
        <w:t>: p. 120138-120138.</w:t>
      </w:r>
    </w:p>
    <w:p w14:paraId="2311A393" w14:textId="77777777" w:rsidR="00905207" w:rsidRPr="007C2868" w:rsidRDefault="00905207" w:rsidP="00905207">
      <w:pPr>
        <w:pStyle w:val="EndNoteBibliography"/>
        <w:ind w:left="720" w:hanging="720"/>
        <w:rPr>
          <w:rFonts w:ascii="Garamond" w:hAnsi="Garamond"/>
          <w:noProof/>
        </w:rPr>
      </w:pPr>
      <w:r w:rsidRPr="007C2868">
        <w:rPr>
          <w:rFonts w:ascii="Garamond" w:hAnsi="Garamond"/>
          <w:noProof/>
        </w:rPr>
        <w:t>27.</w:t>
      </w:r>
      <w:r w:rsidRPr="007C2868">
        <w:rPr>
          <w:rFonts w:ascii="Garamond" w:hAnsi="Garamond"/>
          <w:noProof/>
        </w:rPr>
        <w:tab/>
        <w:t xml:space="preserve">Zhao, J., et al., </w:t>
      </w:r>
      <w:r w:rsidRPr="007C2868">
        <w:rPr>
          <w:rFonts w:ascii="Garamond" w:hAnsi="Garamond"/>
          <w:i/>
          <w:noProof/>
        </w:rPr>
        <w:t>Enhanced PSO feature selection with Runge-Kutta and Gaussian sampling for precise gastric cancer recurrence prediction.</w:t>
      </w:r>
      <w:r w:rsidRPr="007C2868">
        <w:rPr>
          <w:rFonts w:ascii="Garamond" w:hAnsi="Garamond"/>
          <w:noProof/>
        </w:rPr>
        <w:t xml:space="preserve"> Computers in Biology and Medicine, 2024. </w:t>
      </w:r>
      <w:r w:rsidRPr="007C2868">
        <w:rPr>
          <w:rFonts w:ascii="Garamond" w:hAnsi="Garamond"/>
          <w:b/>
          <w:noProof/>
        </w:rPr>
        <w:t>175</w:t>
      </w:r>
      <w:r w:rsidRPr="007C2868">
        <w:rPr>
          <w:rFonts w:ascii="Garamond" w:hAnsi="Garamond"/>
          <w:noProof/>
        </w:rPr>
        <w:t>: p. 108422-108422.</w:t>
      </w:r>
    </w:p>
    <w:p w14:paraId="66949131" w14:textId="77777777" w:rsidR="00905207" w:rsidRPr="007C2868" w:rsidRDefault="00905207" w:rsidP="00905207">
      <w:pPr>
        <w:pStyle w:val="EndNoteBibliography"/>
        <w:ind w:left="720" w:hanging="720"/>
        <w:rPr>
          <w:rFonts w:ascii="Garamond" w:hAnsi="Garamond"/>
          <w:noProof/>
        </w:rPr>
      </w:pPr>
      <w:r w:rsidRPr="007C2868">
        <w:rPr>
          <w:rFonts w:ascii="Garamond" w:hAnsi="Garamond"/>
          <w:noProof/>
        </w:rPr>
        <w:t>28.</w:t>
      </w:r>
      <w:r w:rsidRPr="007C2868">
        <w:rPr>
          <w:rFonts w:ascii="Garamond" w:hAnsi="Garamond"/>
          <w:noProof/>
        </w:rPr>
        <w:tab/>
        <w:t xml:space="preserve">Rostami, M., et al., </w:t>
      </w:r>
      <w:r w:rsidRPr="007C2868">
        <w:rPr>
          <w:rFonts w:ascii="Garamond" w:hAnsi="Garamond"/>
          <w:i/>
          <w:noProof/>
        </w:rPr>
        <w:t>Review of swarm intelligence-based feature selection methods.</w:t>
      </w:r>
      <w:r w:rsidRPr="007C2868">
        <w:rPr>
          <w:rFonts w:ascii="Garamond" w:hAnsi="Garamond"/>
          <w:noProof/>
        </w:rPr>
        <w:t xml:space="preserve"> Engineering Applications of Artificial Intelligence, 2021. </w:t>
      </w:r>
      <w:r w:rsidRPr="007C2868">
        <w:rPr>
          <w:rFonts w:ascii="Garamond" w:hAnsi="Garamond"/>
          <w:b/>
          <w:noProof/>
        </w:rPr>
        <w:t>100</w:t>
      </w:r>
      <w:r w:rsidRPr="007C2868">
        <w:rPr>
          <w:rFonts w:ascii="Garamond" w:hAnsi="Garamond"/>
          <w:noProof/>
        </w:rPr>
        <w:t>: p. 104210-104210.</w:t>
      </w:r>
    </w:p>
    <w:p w14:paraId="7B0246F3" w14:textId="77777777" w:rsidR="00905207" w:rsidRPr="007C2868" w:rsidRDefault="00905207" w:rsidP="00905207">
      <w:pPr>
        <w:pStyle w:val="EndNoteBibliography"/>
        <w:ind w:left="720" w:hanging="720"/>
        <w:rPr>
          <w:rFonts w:ascii="Garamond" w:hAnsi="Garamond"/>
          <w:noProof/>
        </w:rPr>
      </w:pPr>
      <w:r w:rsidRPr="007C2868">
        <w:rPr>
          <w:rFonts w:ascii="Garamond" w:hAnsi="Garamond"/>
          <w:noProof/>
        </w:rPr>
        <w:t>29.</w:t>
      </w:r>
      <w:r w:rsidRPr="007C2868">
        <w:rPr>
          <w:rFonts w:ascii="Garamond" w:hAnsi="Garamond"/>
          <w:noProof/>
        </w:rPr>
        <w:tab/>
        <w:t xml:space="preserve">Jović, A., K. Brkić, and N. Bogunović. </w:t>
      </w:r>
      <w:r w:rsidRPr="007C2868">
        <w:rPr>
          <w:rFonts w:ascii="Garamond" w:hAnsi="Garamond"/>
          <w:i/>
          <w:noProof/>
        </w:rPr>
        <w:t>A review of feature selection methods with applications</w:t>
      </w:r>
      <w:r w:rsidRPr="007C2868">
        <w:rPr>
          <w:rFonts w:ascii="Garamond" w:hAnsi="Garamond"/>
          <w:noProof/>
        </w:rPr>
        <w:t xml:space="preserve">. in </w:t>
      </w:r>
      <w:r w:rsidRPr="007C2868">
        <w:rPr>
          <w:rFonts w:ascii="Garamond" w:hAnsi="Garamond"/>
          <w:i/>
          <w:noProof/>
        </w:rPr>
        <w:t>2015 38th international convention on information and communication technology, electronics and microelectronics (MIPRO)</w:t>
      </w:r>
      <w:r w:rsidRPr="007C2868">
        <w:rPr>
          <w:rFonts w:ascii="Garamond" w:hAnsi="Garamond"/>
          <w:noProof/>
        </w:rPr>
        <w:t>.</w:t>
      </w:r>
    </w:p>
    <w:p w14:paraId="4F680B4B" w14:textId="77777777" w:rsidR="00905207" w:rsidRPr="007C2868" w:rsidRDefault="00905207" w:rsidP="00905207">
      <w:pPr>
        <w:pStyle w:val="EndNoteBibliography"/>
        <w:ind w:left="720" w:hanging="720"/>
        <w:rPr>
          <w:rFonts w:ascii="Garamond" w:hAnsi="Garamond"/>
          <w:noProof/>
        </w:rPr>
      </w:pPr>
      <w:r w:rsidRPr="007C2868">
        <w:rPr>
          <w:rFonts w:ascii="Garamond" w:hAnsi="Garamond"/>
          <w:noProof/>
        </w:rPr>
        <w:t>30.</w:t>
      </w:r>
      <w:r w:rsidRPr="007C2868">
        <w:rPr>
          <w:rFonts w:ascii="Garamond" w:hAnsi="Garamond"/>
          <w:noProof/>
        </w:rPr>
        <w:tab/>
        <w:t xml:space="preserve">Chikan, F. and L. Czap. </w:t>
      </w:r>
      <w:r w:rsidRPr="007C2868">
        <w:rPr>
          <w:rFonts w:ascii="Garamond" w:hAnsi="Garamond"/>
          <w:i/>
          <w:noProof/>
        </w:rPr>
        <w:t>Feature selection with NP-hard wrapper method</w:t>
      </w:r>
      <w:r w:rsidRPr="007C2868">
        <w:rPr>
          <w:rFonts w:ascii="Garamond" w:hAnsi="Garamond"/>
          <w:noProof/>
        </w:rPr>
        <w:t xml:space="preserve">. in </w:t>
      </w:r>
      <w:r w:rsidRPr="007C2868">
        <w:rPr>
          <w:rFonts w:ascii="Garamond" w:hAnsi="Garamond"/>
          <w:i/>
          <w:noProof/>
        </w:rPr>
        <w:t>2015 16th international Carpathian control conference (ICCC)</w:t>
      </w:r>
      <w:r w:rsidRPr="007C2868">
        <w:rPr>
          <w:rFonts w:ascii="Garamond" w:hAnsi="Garamond"/>
          <w:noProof/>
        </w:rPr>
        <w:t>.</w:t>
      </w:r>
    </w:p>
    <w:p w14:paraId="085B8063" w14:textId="77777777" w:rsidR="00905207" w:rsidRPr="007C2868" w:rsidRDefault="00905207" w:rsidP="00905207">
      <w:pPr>
        <w:pStyle w:val="EndNoteBibliography"/>
        <w:ind w:left="720" w:hanging="720"/>
        <w:rPr>
          <w:rFonts w:ascii="Garamond" w:hAnsi="Garamond"/>
          <w:noProof/>
        </w:rPr>
      </w:pPr>
      <w:r w:rsidRPr="007C2868">
        <w:rPr>
          <w:rFonts w:ascii="Garamond" w:hAnsi="Garamond"/>
          <w:noProof/>
        </w:rPr>
        <w:t>31.</w:t>
      </w:r>
      <w:r w:rsidRPr="007C2868">
        <w:rPr>
          <w:rFonts w:ascii="Garamond" w:hAnsi="Garamond"/>
          <w:noProof/>
        </w:rPr>
        <w:tab/>
        <w:t xml:space="preserve">Nssibi, M., G. Manita, and O. Korbaa, </w:t>
      </w:r>
      <w:r w:rsidRPr="007C2868">
        <w:rPr>
          <w:rFonts w:ascii="Garamond" w:hAnsi="Garamond"/>
          <w:i/>
          <w:noProof/>
        </w:rPr>
        <w:t>Advances in nature-inspired metaheuristic optimization for feature selection problem: a comprehensive survey.</w:t>
      </w:r>
      <w:r w:rsidRPr="007C2868">
        <w:rPr>
          <w:rFonts w:ascii="Garamond" w:hAnsi="Garamond"/>
          <w:noProof/>
        </w:rPr>
        <w:t xml:space="preserve"> Computer Science Review, 2023. </w:t>
      </w:r>
      <w:r w:rsidRPr="007C2868">
        <w:rPr>
          <w:rFonts w:ascii="Garamond" w:hAnsi="Garamond"/>
          <w:b/>
          <w:noProof/>
        </w:rPr>
        <w:t>49</w:t>
      </w:r>
      <w:r w:rsidRPr="007C2868">
        <w:rPr>
          <w:rFonts w:ascii="Garamond" w:hAnsi="Garamond"/>
          <w:noProof/>
        </w:rPr>
        <w:t>: p. 100559-100559.</w:t>
      </w:r>
    </w:p>
    <w:p w14:paraId="00071DBC" w14:textId="77777777" w:rsidR="00905207" w:rsidRPr="007C2868" w:rsidRDefault="00905207" w:rsidP="00905207">
      <w:pPr>
        <w:pStyle w:val="EndNoteBibliography"/>
        <w:ind w:left="720" w:hanging="720"/>
        <w:rPr>
          <w:rFonts w:ascii="Garamond" w:hAnsi="Garamond"/>
          <w:noProof/>
        </w:rPr>
      </w:pPr>
      <w:r w:rsidRPr="007C2868">
        <w:rPr>
          <w:rFonts w:ascii="Garamond" w:hAnsi="Garamond"/>
          <w:noProof/>
        </w:rPr>
        <w:t>32.</w:t>
      </w:r>
      <w:r w:rsidRPr="007C2868">
        <w:rPr>
          <w:rFonts w:ascii="Garamond" w:hAnsi="Garamond"/>
          <w:noProof/>
        </w:rPr>
        <w:tab/>
        <w:t xml:space="preserve">Beheshti, Z., </w:t>
      </w:r>
      <w:r w:rsidRPr="007C2868">
        <w:rPr>
          <w:rFonts w:ascii="Garamond" w:hAnsi="Garamond"/>
          <w:i/>
          <w:noProof/>
        </w:rPr>
        <w:t>A fuzzy transfer function based on the behavior of meta-heuristic algorithm and its application for high-dimensional feature selection problems.</w:t>
      </w:r>
      <w:r w:rsidRPr="007C2868">
        <w:rPr>
          <w:rFonts w:ascii="Garamond" w:hAnsi="Garamond"/>
          <w:noProof/>
        </w:rPr>
        <w:t xml:space="preserve"> Knowledge-Based Systems, 2024. </w:t>
      </w:r>
      <w:r w:rsidRPr="007C2868">
        <w:rPr>
          <w:rFonts w:ascii="Garamond" w:hAnsi="Garamond"/>
          <w:b/>
          <w:noProof/>
        </w:rPr>
        <w:t>284</w:t>
      </w:r>
      <w:r w:rsidRPr="007C2868">
        <w:rPr>
          <w:rFonts w:ascii="Garamond" w:hAnsi="Garamond"/>
          <w:noProof/>
        </w:rPr>
        <w:t>: p. 111191-111191.</w:t>
      </w:r>
    </w:p>
    <w:p w14:paraId="7119BCC0" w14:textId="77777777" w:rsidR="00905207" w:rsidRPr="007C2868" w:rsidRDefault="00905207" w:rsidP="00905207">
      <w:pPr>
        <w:pStyle w:val="EndNoteBibliography"/>
        <w:ind w:left="720" w:hanging="720"/>
        <w:rPr>
          <w:rFonts w:ascii="Garamond" w:hAnsi="Garamond"/>
          <w:noProof/>
        </w:rPr>
      </w:pPr>
      <w:r w:rsidRPr="007C2868">
        <w:rPr>
          <w:rFonts w:ascii="Garamond" w:hAnsi="Garamond"/>
          <w:noProof/>
        </w:rPr>
        <w:t>33.</w:t>
      </w:r>
      <w:r w:rsidRPr="007C2868">
        <w:rPr>
          <w:rFonts w:ascii="Garamond" w:hAnsi="Garamond"/>
          <w:noProof/>
        </w:rPr>
        <w:tab/>
        <w:t xml:space="preserve">Marini, F. and B. Walczak, </w:t>
      </w:r>
      <w:r w:rsidRPr="007C2868">
        <w:rPr>
          <w:rFonts w:ascii="Garamond" w:hAnsi="Garamond"/>
          <w:i/>
          <w:noProof/>
        </w:rPr>
        <w:t>Particle swarm optimization (PSO). A tutorial.</w:t>
      </w:r>
      <w:r w:rsidRPr="007C2868">
        <w:rPr>
          <w:rFonts w:ascii="Garamond" w:hAnsi="Garamond"/>
          <w:noProof/>
        </w:rPr>
        <w:t xml:space="preserve"> Chemometrics and Intelligent Laboratory Systems, 2015. </w:t>
      </w:r>
      <w:r w:rsidRPr="007C2868">
        <w:rPr>
          <w:rFonts w:ascii="Garamond" w:hAnsi="Garamond"/>
          <w:b/>
          <w:noProof/>
        </w:rPr>
        <w:t>149</w:t>
      </w:r>
      <w:r w:rsidRPr="007C2868">
        <w:rPr>
          <w:rFonts w:ascii="Garamond" w:hAnsi="Garamond"/>
          <w:noProof/>
        </w:rPr>
        <w:t>: p. 153–165-153–165.</w:t>
      </w:r>
    </w:p>
    <w:p w14:paraId="63F63365" w14:textId="77777777" w:rsidR="00905207" w:rsidRPr="007C2868" w:rsidRDefault="00905207" w:rsidP="00905207">
      <w:pPr>
        <w:pStyle w:val="EndNoteBibliography"/>
        <w:ind w:left="720" w:hanging="720"/>
        <w:rPr>
          <w:rFonts w:ascii="Garamond" w:hAnsi="Garamond"/>
          <w:noProof/>
        </w:rPr>
      </w:pPr>
      <w:r w:rsidRPr="007C2868">
        <w:rPr>
          <w:rFonts w:ascii="Garamond" w:hAnsi="Garamond"/>
          <w:noProof/>
        </w:rPr>
        <w:t>34.</w:t>
      </w:r>
      <w:r w:rsidRPr="007C2868">
        <w:rPr>
          <w:rFonts w:ascii="Garamond" w:hAnsi="Garamond"/>
          <w:noProof/>
        </w:rPr>
        <w:tab/>
        <w:t xml:space="preserve">Harik, G.R., F.G. Lobo, and D.E. Goldberg, </w:t>
      </w:r>
      <w:r w:rsidRPr="007C2868">
        <w:rPr>
          <w:rFonts w:ascii="Garamond" w:hAnsi="Garamond"/>
          <w:i/>
          <w:noProof/>
        </w:rPr>
        <w:t>The compact genetic algorithm.</w:t>
      </w:r>
      <w:r w:rsidRPr="007C2868">
        <w:rPr>
          <w:rFonts w:ascii="Garamond" w:hAnsi="Garamond"/>
          <w:noProof/>
        </w:rPr>
        <w:t xml:space="preserve"> IEEE Transactions on Evolutionary Computation, 1999. </w:t>
      </w:r>
      <w:r w:rsidRPr="007C2868">
        <w:rPr>
          <w:rFonts w:ascii="Garamond" w:hAnsi="Garamond"/>
          <w:b/>
          <w:noProof/>
        </w:rPr>
        <w:t>3</w:t>
      </w:r>
      <w:r w:rsidRPr="007C2868">
        <w:rPr>
          <w:rFonts w:ascii="Garamond" w:hAnsi="Garamond"/>
          <w:noProof/>
        </w:rPr>
        <w:t>(4): p. 287–297-287–297.</w:t>
      </w:r>
    </w:p>
    <w:p w14:paraId="61078762" w14:textId="77777777" w:rsidR="00905207" w:rsidRPr="007C2868" w:rsidRDefault="00905207" w:rsidP="00905207">
      <w:pPr>
        <w:pStyle w:val="EndNoteBibliography"/>
        <w:ind w:left="720" w:hanging="720"/>
        <w:rPr>
          <w:rFonts w:ascii="Garamond" w:hAnsi="Garamond"/>
          <w:noProof/>
        </w:rPr>
      </w:pPr>
      <w:r w:rsidRPr="007C2868">
        <w:rPr>
          <w:rFonts w:ascii="Garamond" w:hAnsi="Garamond"/>
          <w:noProof/>
        </w:rPr>
        <w:t>35.</w:t>
      </w:r>
      <w:r w:rsidRPr="007C2868">
        <w:rPr>
          <w:rFonts w:ascii="Garamond" w:hAnsi="Garamond"/>
          <w:noProof/>
        </w:rPr>
        <w:tab/>
        <w:t xml:space="preserve">Mirjalili, S. and A. Lewis, </w:t>
      </w:r>
      <w:r w:rsidRPr="007C2868">
        <w:rPr>
          <w:rFonts w:ascii="Garamond" w:hAnsi="Garamond"/>
          <w:i/>
          <w:noProof/>
        </w:rPr>
        <w:t>The whale optimization algorithm.</w:t>
      </w:r>
      <w:r w:rsidRPr="007C2868">
        <w:rPr>
          <w:rFonts w:ascii="Garamond" w:hAnsi="Garamond"/>
          <w:noProof/>
        </w:rPr>
        <w:t xml:space="preserve"> Advances in engineering software, 2016. </w:t>
      </w:r>
      <w:r w:rsidRPr="007C2868">
        <w:rPr>
          <w:rFonts w:ascii="Garamond" w:hAnsi="Garamond"/>
          <w:b/>
          <w:noProof/>
        </w:rPr>
        <w:t>95</w:t>
      </w:r>
      <w:r w:rsidRPr="007C2868">
        <w:rPr>
          <w:rFonts w:ascii="Garamond" w:hAnsi="Garamond"/>
          <w:noProof/>
        </w:rPr>
        <w:t>: p. 51–67-51–67.</w:t>
      </w:r>
    </w:p>
    <w:p w14:paraId="03DCE423" w14:textId="77777777" w:rsidR="00905207" w:rsidRPr="007C2868" w:rsidRDefault="00905207" w:rsidP="00905207">
      <w:pPr>
        <w:pStyle w:val="EndNoteBibliography"/>
        <w:ind w:left="720" w:hanging="720"/>
        <w:rPr>
          <w:rFonts w:ascii="Garamond" w:hAnsi="Garamond"/>
          <w:noProof/>
        </w:rPr>
      </w:pPr>
      <w:r w:rsidRPr="007C2868">
        <w:rPr>
          <w:rFonts w:ascii="Garamond" w:hAnsi="Garamond"/>
          <w:noProof/>
        </w:rPr>
        <w:t>36.</w:t>
      </w:r>
      <w:r w:rsidRPr="007C2868">
        <w:rPr>
          <w:rFonts w:ascii="Garamond" w:hAnsi="Garamond"/>
          <w:noProof/>
        </w:rPr>
        <w:tab/>
        <w:t xml:space="preserve">Mirjalili, S., S.M. Mirjalili, and A. Lewis, </w:t>
      </w:r>
      <w:r w:rsidRPr="007C2868">
        <w:rPr>
          <w:rFonts w:ascii="Garamond" w:hAnsi="Garamond"/>
          <w:i/>
          <w:noProof/>
        </w:rPr>
        <w:t>Grey wolf optimizer.</w:t>
      </w:r>
      <w:r w:rsidRPr="007C2868">
        <w:rPr>
          <w:rFonts w:ascii="Garamond" w:hAnsi="Garamond"/>
          <w:noProof/>
        </w:rPr>
        <w:t xml:space="preserve"> Advances in engineering software, 2014. </w:t>
      </w:r>
      <w:r w:rsidRPr="007C2868">
        <w:rPr>
          <w:rFonts w:ascii="Garamond" w:hAnsi="Garamond"/>
          <w:b/>
          <w:noProof/>
        </w:rPr>
        <w:t>69</w:t>
      </w:r>
      <w:r w:rsidRPr="007C2868">
        <w:rPr>
          <w:rFonts w:ascii="Garamond" w:hAnsi="Garamond"/>
          <w:noProof/>
        </w:rPr>
        <w:t>: p. 46–61-46–61.</w:t>
      </w:r>
    </w:p>
    <w:p w14:paraId="54B8CAB8" w14:textId="77777777" w:rsidR="00905207" w:rsidRPr="007C2868" w:rsidRDefault="00905207" w:rsidP="00905207">
      <w:pPr>
        <w:pStyle w:val="EndNoteBibliography"/>
        <w:ind w:left="720" w:hanging="720"/>
        <w:rPr>
          <w:rFonts w:ascii="Garamond" w:hAnsi="Garamond"/>
          <w:noProof/>
        </w:rPr>
      </w:pPr>
      <w:r w:rsidRPr="007C2868">
        <w:rPr>
          <w:rFonts w:ascii="Garamond" w:hAnsi="Garamond"/>
          <w:noProof/>
        </w:rPr>
        <w:t>37.</w:t>
      </w:r>
      <w:r w:rsidRPr="007C2868">
        <w:rPr>
          <w:rFonts w:ascii="Garamond" w:hAnsi="Garamond"/>
          <w:noProof/>
        </w:rPr>
        <w:tab/>
        <w:t xml:space="preserve">Heidari, A.A., et al., </w:t>
      </w:r>
      <w:r w:rsidRPr="007C2868">
        <w:rPr>
          <w:rFonts w:ascii="Garamond" w:hAnsi="Garamond"/>
          <w:i/>
          <w:noProof/>
        </w:rPr>
        <w:t>Harris hawks optimization: Algorithm and applications.</w:t>
      </w:r>
      <w:r w:rsidRPr="007C2868">
        <w:rPr>
          <w:rFonts w:ascii="Garamond" w:hAnsi="Garamond"/>
          <w:noProof/>
        </w:rPr>
        <w:t xml:space="preserve"> Future Generation Computer Systems, 2019. </w:t>
      </w:r>
      <w:r w:rsidRPr="007C2868">
        <w:rPr>
          <w:rFonts w:ascii="Garamond" w:hAnsi="Garamond"/>
          <w:b/>
          <w:noProof/>
        </w:rPr>
        <w:t>97</w:t>
      </w:r>
      <w:r w:rsidRPr="007C2868">
        <w:rPr>
          <w:rFonts w:ascii="Garamond" w:hAnsi="Garamond"/>
          <w:noProof/>
        </w:rPr>
        <w:t>: p. 849–872-849–872.</w:t>
      </w:r>
    </w:p>
    <w:p w14:paraId="22DA2CF2" w14:textId="77777777" w:rsidR="00905207" w:rsidRPr="007C2868" w:rsidRDefault="00905207" w:rsidP="00905207">
      <w:pPr>
        <w:pStyle w:val="EndNoteBibliography"/>
        <w:ind w:left="720" w:hanging="720"/>
        <w:rPr>
          <w:rFonts w:ascii="Garamond" w:hAnsi="Garamond"/>
          <w:noProof/>
        </w:rPr>
      </w:pPr>
      <w:r w:rsidRPr="007C2868">
        <w:rPr>
          <w:rFonts w:ascii="Garamond" w:hAnsi="Garamond"/>
          <w:noProof/>
        </w:rPr>
        <w:t>38.</w:t>
      </w:r>
      <w:r w:rsidRPr="007C2868">
        <w:rPr>
          <w:rFonts w:ascii="Garamond" w:hAnsi="Garamond"/>
          <w:noProof/>
        </w:rPr>
        <w:tab/>
        <w:t xml:space="preserve">Su, H., et al., </w:t>
      </w:r>
      <w:r w:rsidRPr="007C2868">
        <w:rPr>
          <w:rFonts w:ascii="Garamond" w:hAnsi="Garamond"/>
          <w:i/>
          <w:noProof/>
        </w:rPr>
        <w:t>RIME: A physics-based optimization.</w:t>
      </w:r>
      <w:r w:rsidRPr="007C2868">
        <w:rPr>
          <w:rFonts w:ascii="Garamond" w:hAnsi="Garamond"/>
          <w:noProof/>
        </w:rPr>
        <w:t xml:space="preserve"> Neurocomputing, 2023. </w:t>
      </w:r>
      <w:r w:rsidRPr="007C2868">
        <w:rPr>
          <w:rFonts w:ascii="Garamond" w:hAnsi="Garamond"/>
          <w:b/>
          <w:noProof/>
        </w:rPr>
        <w:t>532</w:t>
      </w:r>
      <w:r w:rsidRPr="007C2868">
        <w:rPr>
          <w:rFonts w:ascii="Garamond" w:hAnsi="Garamond"/>
          <w:noProof/>
        </w:rPr>
        <w:t>: p. 183–214-183–214.</w:t>
      </w:r>
    </w:p>
    <w:p w14:paraId="657E8980" w14:textId="77777777" w:rsidR="00905207" w:rsidRPr="007C2868" w:rsidRDefault="00905207" w:rsidP="00905207">
      <w:pPr>
        <w:pStyle w:val="EndNoteBibliography"/>
        <w:ind w:left="720" w:hanging="720"/>
        <w:rPr>
          <w:rFonts w:ascii="Garamond" w:hAnsi="Garamond"/>
          <w:noProof/>
        </w:rPr>
      </w:pPr>
      <w:r w:rsidRPr="007C2868">
        <w:rPr>
          <w:rFonts w:ascii="Garamond" w:hAnsi="Garamond"/>
          <w:noProof/>
        </w:rPr>
        <w:t>39.</w:t>
      </w:r>
      <w:r w:rsidRPr="007C2868">
        <w:rPr>
          <w:rFonts w:ascii="Garamond" w:hAnsi="Garamond"/>
          <w:noProof/>
        </w:rPr>
        <w:tab/>
        <w:t xml:space="preserve">Wolpert, D.H. and W.G. Macready, </w:t>
      </w:r>
      <w:r w:rsidRPr="007C2868">
        <w:rPr>
          <w:rFonts w:ascii="Garamond" w:hAnsi="Garamond"/>
          <w:i/>
          <w:noProof/>
        </w:rPr>
        <w:t>No free lunch theorems for optimization.</w:t>
      </w:r>
      <w:r w:rsidRPr="007C2868">
        <w:rPr>
          <w:rFonts w:ascii="Garamond" w:hAnsi="Garamond"/>
          <w:noProof/>
        </w:rPr>
        <w:t xml:space="preserve"> IEEE transactions on evolutionary computation, 1997. </w:t>
      </w:r>
      <w:r w:rsidRPr="007C2868">
        <w:rPr>
          <w:rFonts w:ascii="Garamond" w:hAnsi="Garamond"/>
          <w:b/>
          <w:noProof/>
        </w:rPr>
        <w:t>1</w:t>
      </w:r>
      <w:r w:rsidRPr="007C2868">
        <w:rPr>
          <w:rFonts w:ascii="Garamond" w:hAnsi="Garamond"/>
          <w:noProof/>
        </w:rPr>
        <w:t>(1): p. 67–82-67–82.</w:t>
      </w:r>
    </w:p>
    <w:p w14:paraId="0B373F97" w14:textId="77777777" w:rsidR="00905207" w:rsidRPr="007C2868" w:rsidRDefault="00905207" w:rsidP="00905207">
      <w:pPr>
        <w:pStyle w:val="EndNoteBibliography"/>
        <w:ind w:left="720" w:hanging="720"/>
        <w:rPr>
          <w:rFonts w:ascii="Garamond" w:hAnsi="Garamond"/>
          <w:noProof/>
        </w:rPr>
      </w:pPr>
      <w:r w:rsidRPr="007C2868">
        <w:rPr>
          <w:rFonts w:ascii="Garamond" w:hAnsi="Garamond"/>
          <w:noProof/>
        </w:rPr>
        <w:t>40.</w:t>
      </w:r>
      <w:r w:rsidRPr="007C2868">
        <w:rPr>
          <w:rFonts w:ascii="Garamond" w:hAnsi="Garamond"/>
          <w:noProof/>
        </w:rPr>
        <w:tab/>
        <w:t xml:space="preserve">Wang, J., et al., </w:t>
      </w:r>
      <w:r w:rsidRPr="007C2868">
        <w:rPr>
          <w:rFonts w:ascii="Garamond" w:hAnsi="Garamond"/>
          <w:i/>
          <w:noProof/>
        </w:rPr>
        <w:t>The status-based optimization: Algorithm and comprehensive performance analysis.</w:t>
      </w:r>
      <w:r w:rsidRPr="007C2868">
        <w:rPr>
          <w:rFonts w:ascii="Garamond" w:hAnsi="Garamond"/>
          <w:noProof/>
        </w:rPr>
        <w:t xml:space="preserve"> Neurocomputing, 2025. </w:t>
      </w:r>
      <w:r w:rsidRPr="007C2868">
        <w:rPr>
          <w:rFonts w:ascii="Garamond" w:hAnsi="Garamond"/>
          <w:b/>
          <w:noProof/>
        </w:rPr>
        <w:t>647</w:t>
      </w:r>
      <w:r w:rsidRPr="007C2868">
        <w:rPr>
          <w:rFonts w:ascii="Garamond" w:hAnsi="Garamond"/>
          <w:noProof/>
        </w:rPr>
        <w:t>: p. 130603.</w:t>
      </w:r>
    </w:p>
    <w:p w14:paraId="2C7D8EC4" w14:textId="77777777" w:rsidR="00905207" w:rsidRPr="007C2868" w:rsidRDefault="00905207" w:rsidP="00905207">
      <w:pPr>
        <w:pStyle w:val="EndNoteBibliography"/>
        <w:ind w:left="720" w:hanging="720"/>
        <w:rPr>
          <w:rFonts w:ascii="Garamond" w:hAnsi="Garamond"/>
          <w:noProof/>
        </w:rPr>
      </w:pPr>
      <w:r w:rsidRPr="007C2868">
        <w:rPr>
          <w:rFonts w:ascii="Garamond" w:hAnsi="Garamond"/>
          <w:noProof/>
        </w:rPr>
        <w:t>41.</w:t>
      </w:r>
      <w:r w:rsidRPr="007C2868">
        <w:rPr>
          <w:rFonts w:ascii="Garamond" w:hAnsi="Garamond"/>
          <w:noProof/>
        </w:rPr>
        <w:tab/>
        <w:t xml:space="preserve">Houssein, E.H., M.M. Emam, and A.-A.A. Ali, </w:t>
      </w:r>
      <w:r w:rsidRPr="007C2868">
        <w:rPr>
          <w:rFonts w:ascii="Garamond" w:hAnsi="Garamond"/>
          <w:i/>
          <w:noProof/>
        </w:rPr>
        <w:t>An efficient Status-Based parallel-population optimizer for feature selection.</w:t>
      </w:r>
      <w:r w:rsidRPr="007C2868">
        <w:rPr>
          <w:rFonts w:ascii="Garamond" w:hAnsi="Garamond"/>
          <w:noProof/>
        </w:rPr>
        <w:t xml:space="preserve"> IEEE Access, 2021. </w:t>
      </w:r>
      <w:r w:rsidRPr="007C2868">
        <w:rPr>
          <w:rFonts w:ascii="Garamond" w:hAnsi="Garamond"/>
          <w:b/>
          <w:noProof/>
        </w:rPr>
        <w:t>9</w:t>
      </w:r>
      <w:r w:rsidRPr="007C2868">
        <w:rPr>
          <w:rFonts w:ascii="Garamond" w:hAnsi="Garamond"/>
          <w:noProof/>
        </w:rPr>
        <w:t>: p. 50929–50943-50929–50943.</w:t>
      </w:r>
    </w:p>
    <w:p w14:paraId="339BF23D" w14:textId="77777777" w:rsidR="00905207" w:rsidRPr="007C2868" w:rsidRDefault="00905207" w:rsidP="00905207">
      <w:pPr>
        <w:pStyle w:val="EndNoteBibliography"/>
        <w:ind w:left="720" w:hanging="720"/>
        <w:rPr>
          <w:rFonts w:ascii="Garamond" w:hAnsi="Garamond"/>
          <w:noProof/>
        </w:rPr>
      </w:pPr>
      <w:r w:rsidRPr="007C2868">
        <w:rPr>
          <w:rFonts w:ascii="Garamond" w:hAnsi="Garamond"/>
          <w:noProof/>
        </w:rPr>
        <w:t>42.</w:t>
      </w:r>
      <w:r w:rsidRPr="007C2868">
        <w:rPr>
          <w:rFonts w:ascii="Garamond" w:hAnsi="Garamond"/>
          <w:noProof/>
        </w:rPr>
        <w:tab/>
        <w:t xml:space="preserve">Wang, R.-B., et al., </w:t>
      </w:r>
      <w:r w:rsidRPr="007C2868">
        <w:rPr>
          <w:rFonts w:ascii="Garamond" w:hAnsi="Garamond"/>
          <w:i/>
          <w:noProof/>
        </w:rPr>
        <w:t xml:space="preserve">The Animated Oat Optimization Algorithm: A nature-inspired metaheuristic for engineering </w:t>
      </w:r>
      <w:r w:rsidRPr="007C2868">
        <w:rPr>
          <w:rFonts w:ascii="Garamond" w:hAnsi="Garamond"/>
          <w:i/>
          <w:noProof/>
        </w:rPr>
        <w:lastRenderedPageBreak/>
        <w:t>optimization and a case study on Wireless Sensor Networks.</w:t>
      </w:r>
      <w:r w:rsidRPr="007C2868">
        <w:rPr>
          <w:rFonts w:ascii="Garamond" w:hAnsi="Garamond"/>
          <w:noProof/>
        </w:rPr>
        <w:t xml:space="preserve"> Knowledge-Based Systems, 2025. </w:t>
      </w:r>
      <w:r w:rsidRPr="007C2868">
        <w:rPr>
          <w:rFonts w:ascii="Garamond" w:hAnsi="Garamond"/>
          <w:b/>
          <w:noProof/>
        </w:rPr>
        <w:t>318</w:t>
      </w:r>
      <w:r w:rsidRPr="007C2868">
        <w:rPr>
          <w:rFonts w:ascii="Garamond" w:hAnsi="Garamond"/>
          <w:noProof/>
        </w:rPr>
        <w:t>: p. 113589.</w:t>
      </w:r>
    </w:p>
    <w:p w14:paraId="6C040C38" w14:textId="77777777" w:rsidR="00905207" w:rsidRPr="007C2868" w:rsidRDefault="00905207" w:rsidP="00905207">
      <w:pPr>
        <w:pStyle w:val="EndNoteBibliography"/>
        <w:ind w:left="720" w:hanging="720"/>
        <w:rPr>
          <w:rFonts w:ascii="Garamond" w:hAnsi="Garamond"/>
          <w:noProof/>
        </w:rPr>
      </w:pPr>
      <w:r w:rsidRPr="007C2868">
        <w:rPr>
          <w:rFonts w:ascii="Garamond" w:hAnsi="Garamond"/>
          <w:noProof/>
        </w:rPr>
        <w:t>43.</w:t>
      </w:r>
      <w:r w:rsidRPr="007C2868">
        <w:rPr>
          <w:rFonts w:ascii="Garamond" w:hAnsi="Garamond"/>
          <w:noProof/>
        </w:rPr>
        <w:tab/>
        <w:t xml:space="preserve">Zheng, B., et al., </w:t>
      </w:r>
      <w:r w:rsidRPr="007C2868">
        <w:rPr>
          <w:rFonts w:ascii="Garamond" w:hAnsi="Garamond"/>
          <w:i/>
          <w:noProof/>
        </w:rPr>
        <w:t>The moss growth optimization (MGO): concepts and performance.</w:t>
      </w:r>
      <w:r w:rsidRPr="007C2868">
        <w:rPr>
          <w:rFonts w:ascii="Garamond" w:hAnsi="Garamond"/>
          <w:noProof/>
        </w:rPr>
        <w:t xml:space="preserve"> Journal of Computational Design and Engineering, 2024. </w:t>
      </w:r>
      <w:r w:rsidRPr="007C2868">
        <w:rPr>
          <w:rFonts w:ascii="Garamond" w:hAnsi="Garamond"/>
          <w:b/>
          <w:noProof/>
        </w:rPr>
        <w:t>11</w:t>
      </w:r>
      <w:r w:rsidRPr="007C2868">
        <w:rPr>
          <w:rFonts w:ascii="Garamond" w:hAnsi="Garamond"/>
          <w:noProof/>
        </w:rPr>
        <w:t>(5): p. 184-221.</w:t>
      </w:r>
    </w:p>
    <w:p w14:paraId="52A6C11A" w14:textId="77777777" w:rsidR="00905207" w:rsidRPr="007C2868" w:rsidRDefault="00905207" w:rsidP="00905207">
      <w:pPr>
        <w:pStyle w:val="EndNoteBibliography"/>
        <w:ind w:left="720" w:hanging="720"/>
        <w:rPr>
          <w:rFonts w:ascii="Garamond" w:hAnsi="Garamond"/>
          <w:noProof/>
        </w:rPr>
      </w:pPr>
      <w:r w:rsidRPr="007C2868">
        <w:rPr>
          <w:rFonts w:ascii="Garamond" w:hAnsi="Garamond"/>
          <w:noProof/>
        </w:rPr>
        <w:t>44.</w:t>
      </w:r>
      <w:r w:rsidRPr="007C2868">
        <w:rPr>
          <w:rFonts w:ascii="Garamond" w:hAnsi="Garamond"/>
          <w:noProof/>
        </w:rPr>
        <w:tab/>
        <w:t xml:space="preserve">Wang, J., et al., </w:t>
      </w:r>
      <w:r w:rsidRPr="007C2868">
        <w:rPr>
          <w:rFonts w:ascii="Garamond" w:hAnsi="Garamond"/>
          <w:i/>
          <w:noProof/>
        </w:rPr>
        <w:t>The Status-based Optimization: Algorithm and comprehensive performance analysis.</w:t>
      </w:r>
      <w:r w:rsidRPr="007C2868">
        <w:rPr>
          <w:rFonts w:ascii="Garamond" w:hAnsi="Garamond"/>
          <w:noProof/>
        </w:rPr>
        <w:t xml:space="preserve"> Neurocomputing, 2025: p. 130603.</w:t>
      </w:r>
    </w:p>
    <w:p w14:paraId="0C702BCF" w14:textId="77777777" w:rsidR="00905207" w:rsidRPr="007C2868" w:rsidRDefault="00905207" w:rsidP="00905207">
      <w:pPr>
        <w:pStyle w:val="EndNoteBibliography"/>
        <w:ind w:left="720" w:hanging="720"/>
        <w:rPr>
          <w:rFonts w:ascii="Garamond" w:hAnsi="Garamond"/>
          <w:noProof/>
        </w:rPr>
      </w:pPr>
      <w:r w:rsidRPr="007C2868">
        <w:rPr>
          <w:rFonts w:ascii="Garamond" w:hAnsi="Garamond"/>
          <w:noProof/>
        </w:rPr>
        <w:t>45.</w:t>
      </w:r>
      <w:r w:rsidRPr="007C2868">
        <w:rPr>
          <w:rFonts w:ascii="Garamond" w:hAnsi="Garamond"/>
          <w:noProof/>
        </w:rPr>
        <w:tab/>
        <w:t xml:space="preserve">Wang, R.-B., et al., </w:t>
      </w:r>
      <w:r w:rsidRPr="007C2868">
        <w:rPr>
          <w:rFonts w:ascii="Garamond" w:hAnsi="Garamond"/>
          <w:i/>
          <w:noProof/>
        </w:rPr>
        <w:t>The Animated Oat Optimization Algorithm: A nature-inspired metaheuristic for engineering optimization and a case study on Wireless Sensor Networks.</w:t>
      </w:r>
      <w:r w:rsidRPr="007C2868">
        <w:rPr>
          <w:rFonts w:ascii="Garamond" w:hAnsi="Garamond"/>
          <w:noProof/>
        </w:rPr>
        <w:t xml:space="preserve"> Knowledge-Based Systems, 2025: p. 113589.</w:t>
      </w:r>
    </w:p>
    <w:p w14:paraId="219948F8" w14:textId="77777777" w:rsidR="00905207" w:rsidRPr="007C2868" w:rsidRDefault="00905207" w:rsidP="00905207">
      <w:pPr>
        <w:pStyle w:val="EndNoteBibliography"/>
        <w:ind w:left="720" w:hanging="720"/>
        <w:rPr>
          <w:rFonts w:ascii="Garamond" w:hAnsi="Garamond"/>
          <w:noProof/>
        </w:rPr>
      </w:pPr>
      <w:r w:rsidRPr="007C2868">
        <w:rPr>
          <w:rFonts w:ascii="Garamond" w:hAnsi="Garamond"/>
          <w:noProof/>
        </w:rPr>
        <w:t>46.</w:t>
      </w:r>
      <w:r w:rsidRPr="007C2868">
        <w:rPr>
          <w:rFonts w:ascii="Garamond" w:hAnsi="Garamond"/>
          <w:noProof/>
        </w:rPr>
        <w:tab/>
        <w:t xml:space="preserve">Mirjalili, S. and A. Lewis, </w:t>
      </w:r>
      <w:r w:rsidRPr="007C2868">
        <w:rPr>
          <w:rFonts w:ascii="Garamond" w:hAnsi="Garamond"/>
          <w:i/>
          <w:noProof/>
        </w:rPr>
        <w:t>S-shaped versus V-shaped transfer functions for binary Particle Swarm Optimization.</w:t>
      </w:r>
      <w:r w:rsidRPr="007C2868">
        <w:rPr>
          <w:rFonts w:ascii="Garamond" w:hAnsi="Garamond"/>
          <w:noProof/>
        </w:rPr>
        <w:t xml:space="preserve"> Swarm and Evolutionary Computation, 2013. </w:t>
      </w:r>
      <w:r w:rsidRPr="007C2868">
        <w:rPr>
          <w:rFonts w:ascii="Garamond" w:hAnsi="Garamond"/>
          <w:b/>
          <w:noProof/>
        </w:rPr>
        <w:t>9</w:t>
      </w:r>
      <w:r w:rsidRPr="007C2868">
        <w:rPr>
          <w:rFonts w:ascii="Garamond" w:hAnsi="Garamond"/>
          <w:noProof/>
        </w:rPr>
        <w:t>: p. 1-14.</w:t>
      </w:r>
    </w:p>
    <w:p w14:paraId="7710A030" w14:textId="77777777" w:rsidR="00905207" w:rsidRPr="007C2868" w:rsidRDefault="00905207" w:rsidP="00905207">
      <w:pPr>
        <w:pStyle w:val="EndNoteBibliography"/>
        <w:ind w:left="720" w:hanging="720"/>
        <w:rPr>
          <w:rFonts w:ascii="Garamond" w:hAnsi="Garamond"/>
          <w:noProof/>
        </w:rPr>
      </w:pPr>
      <w:r w:rsidRPr="007C2868">
        <w:rPr>
          <w:rFonts w:ascii="Garamond" w:hAnsi="Garamond"/>
          <w:noProof/>
        </w:rPr>
        <w:t>47.</w:t>
      </w:r>
      <w:r w:rsidRPr="007C2868">
        <w:rPr>
          <w:rFonts w:ascii="Garamond" w:hAnsi="Garamond"/>
          <w:noProof/>
        </w:rPr>
        <w:tab/>
        <w:t xml:space="preserve">Wu, G., R. Mallipeddi, and P.N. Suganthan, </w:t>
      </w:r>
      <w:r w:rsidRPr="007C2868">
        <w:rPr>
          <w:rFonts w:ascii="Garamond" w:hAnsi="Garamond"/>
          <w:i/>
          <w:noProof/>
        </w:rPr>
        <w:t>Problem definitions and evaluation criteria for the CEC 2017 competition on constrained real-parameter optimization.</w:t>
      </w:r>
      <w:r w:rsidRPr="007C2868">
        <w:rPr>
          <w:rFonts w:ascii="Garamond" w:hAnsi="Garamond"/>
          <w:noProof/>
        </w:rPr>
        <w:t xml:space="preserve"> National University of Defense Technology, Changsha, Hunan, PR China and Kyungpook National University, Daegu, South Korea and Nanyang Technological University, Singapore, Technical Report, 2017.</w:t>
      </w:r>
    </w:p>
    <w:p w14:paraId="5FD079FF" w14:textId="77777777" w:rsidR="00905207" w:rsidRPr="007C2868" w:rsidRDefault="00905207" w:rsidP="00905207">
      <w:pPr>
        <w:pStyle w:val="EndNoteBibliography"/>
        <w:ind w:left="720" w:hanging="720"/>
        <w:rPr>
          <w:rFonts w:ascii="Garamond" w:hAnsi="Garamond"/>
          <w:noProof/>
        </w:rPr>
      </w:pPr>
      <w:r w:rsidRPr="007C2868">
        <w:rPr>
          <w:rFonts w:ascii="Garamond" w:hAnsi="Garamond"/>
          <w:noProof/>
        </w:rPr>
        <w:t>48.</w:t>
      </w:r>
      <w:r w:rsidRPr="007C2868">
        <w:rPr>
          <w:rFonts w:ascii="Garamond" w:hAnsi="Garamond"/>
          <w:noProof/>
        </w:rPr>
        <w:tab/>
        <w:t xml:space="preserve">Derrac, J., et al., </w:t>
      </w:r>
      <w:r w:rsidRPr="007C2868">
        <w:rPr>
          <w:rFonts w:ascii="Garamond" w:hAnsi="Garamond"/>
          <w:i/>
          <w:noProof/>
        </w:rPr>
        <w:t>A practical tutorial on the use of nonparametric statistical tests as a methodology for comparing evolutionary and swarm intelligence algorithms.</w:t>
      </w:r>
      <w:r w:rsidRPr="007C2868">
        <w:rPr>
          <w:rFonts w:ascii="Garamond" w:hAnsi="Garamond"/>
          <w:noProof/>
        </w:rPr>
        <w:t xml:space="preserve"> Swarm and Evolutionary Computation, 2011. </w:t>
      </w:r>
      <w:r w:rsidRPr="007C2868">
        <w:rPr>
          <w:rFonts w:ascii="Garamond" w:hAnsi="Garamond"/>
          <w:b/>
          <w:noProof/>
        </w:rPr>
        <w:t>1</w:t>
      </w:r>
      <w:r w:rsidRPr="007C2868">
        <w:rPr>
          <w:rFonts w:ascii="Garamond" w:hAnsi="Garamond"/>
          <w:noProof/>
        </w:rPr>
        <w:t>(1): p. 3-18.</w:t>
      </w:r>
    </w:p>
    <w:p w14:paraId="7B2F8C25" w14:textId="77777777" w:rsidR="00905207" w:rsidRPr="007C2868" w:rsidRDefault="00905207" w:rsidP="00905207">
      <w:pPr>
        <w:pStyle w:val="EndNoteBibliography"/>
        <w:ind w:left="720" w:hanging="720"/>
        <w:rPr>
          <w:rFonts w:ascii="Garamond" w:hAnsi="Garamond"/>
          <w:noProof/>
        </w:rPr>
      </w:pPr>
      <w:r w:rsidRPr="007C2868">
        <w:rPr>
          <w:rFonts w:ascii="Garamond" w:hAnsi="Garamond"/>
          <w:noProof/>
        </w:rPr>
        <w:t>49.</w:t>
      </w:r>
      <w:r w:rsidRPr="007C2868">
        <w:rPr>
          <w:rFonts w:ascii="Garamond" w:hAnsi="Garamond"/>
          <w:noProof/>
        </w:rPr>
        <w:tab/>
        <w:t xml:space="preserve">Liang, J.J., et al., </w:t>
      </w:r>
      <w:r w:rsidRPr="007C2868">
        <w:rPr>
          <w:rFonts w:ascii="Garamond" w:hAnsi="Garamond"/>
          <w:i/>
          <w:noProof/>
        </w:rPr>
        <w:t>Comprehensive learning particle swarm optimizer for global optimization of multimodal functions.</w:t>
      </w:r>
      <w:r w:rsidRPr="007C2868">
        <w:rPr>
          <w:rFonts w:ascii="Garamond" w:hAnsi="Garamond"/>
          <w:noProof/>
        </w:rPr>
        <w:t xml:space="preserve"> IEEE transactions on evolutionary computation, 2006. </w:t>
      </w:r>
      <w:r w:rsidRPr="007C2868">
        <w:rPr>
          <w:rFonts w:ascii="Garamond" w:hAnsi="Garamond"/>
          <w:b/>
          <w:noProof/>
        </w:rPr>
        <w:t>10</w:t>
      </w:r>
      <w:r w:rsidRPr="007C2868">
        <w:rPr>
          <w:rFonts w:ascii="Garamond" w:hAnsi="Garamond"/>
          <w:noProof/>
        </w:rPr>
        <w:t>(3): p. 281-295.</w:t>
      </w:r>
    </w:p>
    <w:p w14:paraId="75D0BDB2" w14:textId="77777777" w:rsidR="00905207" w:rsidRPr="007C2868" w:rsidRDefault="00905207" w:rsidP="00905207">
      <w:pPr>
        <w:pStyle w:val="EndNoteBibliography"/>
        <w:ind w:left="720" w:hanging="720"/>
        <w:rPr>
          <w:rFonts w:ascii="Garamond" w:hAnsi="Garamond"/>
          <w:noProof/>
        </w:rPr>
      </w:pPr>
      <w:r w:rsidRPr="007C2868">
        <w:rPr>
          <w:rFonts w:ascii="Garamond" w:hAnsi="Garamond"/>
          <w:noProof/>
        </w:rPr>
        <w:t>50.</w:t>
      </w:r>
      <w:r w:rsidRPr="007C2868">
        <w:rPr>
          <w:rFonts w:ascii="Garamond" w:hAnsi="Garamond"/>
          <w:noProof/>
        </w:rPr>
        <w:tab/>
        <w:t xml:space="preserve">Abd Elaziz, M., D. Oliva, and S. Xiong, </w:t>
      </w:r>
      <w:r w:rsidRPr="007C2868">
        <w:rPr>
          <w:rFonts w:ascii="Garamond" w:hAnsi="Garamond"/>
          <w:i/>
          <w:noProof/>
        </w:rPr>
        <w:t>An improved Opposition-Based Sine Cosine Algorithm for global optimization.</w:t>
      </w:r>
      <w:r w:rsidRPr="007C2868">
        <w:rPr>
          <w:rFonts w:ascii="Garamond" w:hAnsi="Garamond"/>
          <w:noProof/>
        </w:rPr>
        <w:t xml:space="preserve"> Expert Systems with Applications, 2017. </w:t>
      </w:r>
      <w:r w:rsidRPr="007C2868">
        <w:rPr>
          <w:rFonts w:ascii="Garamond" w:hAnsi="Garamond"/>
          <w:b/>
          <w:noProof/>
        </w:rPr>
        <w:t>90</w:t>
      </w:r>
      <w:r w:rsidRPr="007C2868">
        <w:rPr>
          <w:rFonts w:ascii="Garamond" w:hAnsi="Garamond"/>
          <w:noProof/>
        </w:rPr>
        <w:t>: p. 484-500.</w:t>
      </w:r>
    </w:p>
    <w:p w14:paraId="05B71CC8" w14:textId="77777777" w:rsidR="00905207" w:rsidRPr="007C2868" w:rsidRDefault="00905207" w:rsidP="00905207">
      <w:pPr>
        <w:pStyle w:val="EndNoteBibliography"/>
        <w:ind w:left="720" w:hanging="720"/>
        <w:rPr>
          <w:rFonts w:ascii="Garamond" w:hAnsi="Garamond"/>
          <w:noProof/>
        </w:rPr>
      </w:pPr>
      <w:r w:rsidRPr="007C2868">
        <w:rPr>
          <w:rFonts w:ascii="Garamond" w:hAnsi="Garamond"/>
          <w:noProof/>
        </w:rPr>
        <w:t>51.</w:t>
      </w:r>
      <w:r w:rsidRPr="007C2868">
        <w:rPr>
          <w:rFonts w:ascii="Garamond" w:hAnsi="Garamond"/>
          <w:noProof/>
        </w:rPr>
        <w:tab/>
        <w:t xml:space="preserve">Teng, Z.-j., J.-l. Lv, and L.-w. Guo, </w:t>
      </w:r>
      <w:r w:rsidRPr="007C2868">
        <w:rPr>
          <w:rFonts w:ascii="Garamond" w:hAnsi="Garamond"/>
          <w:i/>
          <w:noProof/>
        </w:rPr>
        <w:t>An improved hybrid grey wolf optimization algorithm.</w:t>
      </w:r>
      <w:r w:rsidRPr="007C2868">
        <w:rPr>
          <w:rFonts w:ascii="Garamond" w:hAnsi="Garamond"/>
          <w:noProof/>
        </w:rPr>
        <w:t xml:space="preserve"> Soft computing, 2019. </w:t>
      </w:r>
      <w:r w:rsidRPr="007C2868">
        <w:rPr>
          <w:rFonts w:ascii="Garamond" w:hAnsi="Garamond"/>
          <w:b/>
          <w:noProof/>
        </w:rPr>
        <w:t>23</w:t>
      </w:r>
      <w:r w:rsidRPr="007C2868">
        <w:rPr>
          <w:rFonts w:ascii="Garamond" w:hAnsi="Garamond"/>
          <w:noProof/>
        </w:rPr>
        <w:t>: p. 6617-6631.</w:t>
      </w:r>
    </w:p>
    <w:p w14:paraId="5DCAF632" w14:textId="77777777" w:rsidR="00905207" w:rsidRPr="007C2868" w:rsidRDefault="00905207" w:rsidP="00905207">
      <w:pPr>
        <w:pStyle w:val="EndNoteBibliography"/>
        <w:ind w:left="720" w:hanging="720"/>
        <w:rPr>
          <w:rFonts w:ascii="Garamond" w:hAnsi="Garamond"/>
          <w:noProof/>
        </w:rPr>
      </w:pPr>
      <w:r w:rsidRPr="007C2868">
        <w:rPr>
          <w:rFonts w:ascii="Garamond" w:hAnsi="Garamond"/>
          <w:noProof/>
        </w:rPr>
        <w:t>52.</w:t>
      </w:r>
      <w:r w:rsidRPr="007C2868">
        <w:rPr>
          <w:rFonts w:ascii="Garamond" w:hAnsi="Garamond"/>
          <w:noProof/>
        </w:rPr>
        <w:tab/>
        <w:t xml:space="preserve">Fister Jr, I., D. Fister, and X.-S. Yang, </w:t>
      </w:r>
      <w:r w:rsidRPr="007C2868">
        <w:rPr>
          <w:rFonts w:ascii="Garamond" w:hAnsi="Garamond"/>
          <w:i/>
          <w:noProof/>
        </w:rPr>
        <w:t>A hybrid bat algorithm.</w:t>
      </w:r>
      <w:r w:rsidRPr="007C2868">
        <w:rPr>
          <w:rFonts w:ascii="Garamond" w:hAnsi="Garamond"/>
          <w:noProof/>
        </w:rPr>
        <w:t xml:space="preserve"> arXiv preprint arXiv:1303.6310, 2013.</w:t>
      </w:r>
    </w:p>
    <w:p w14:paraId="7FBE32E4" w14:textId="77777777" w:rsidR="00905207" w:rsidRPr="007C2868" w:rsidRDefault="00905207" w:rsidP="00905207">
      <w:pPr>
        <w:pStyle w:val="EndNoteBibliography"/>
        <w:ind w:left="720" w:hanging="720"/>
        <w:rPr>
          <w:rFonts w:ascii="Garamond" w:hAnsi="Garamond"/>
          <w:noProof/>
        </w:rPr>
      </w:pPr>
      <w:r w:rsidRPr="007C2868">
        <w:rPr>
          <w:rFonts w:ascii="Garamond" w:hAnsi="Garamond"/>
          <w:noProof/>
        </w:rPr>
        <w:t>53.</w:t>
      </w:r>
      <w:r w:rsidRPr="007C2868">
        <w:rPr>
          <w:rFonts w:ascii="Garamond" w:hAnsi="Garamond"/>
          <w:noProof/>
        </w:rPr>
        <w:tab/>
        <w:t xml:space="preserve">Li, S., et al., </w:t>
      </w:r>
      <w:r w:rsidRPr="007C2868">
        <w:rPr>
          <w:rFonts w:ascii="Garamond" w:hAnsi="Garamond"/>
          <w:i/>
          <w:noProof/>
        </w:rPr>
        <w:t>Slime mould algorithm: A new method for stochastic optimization.</w:t>
      </w:r>
      <w:r w:rsidRPr="007C2868">
        <w:rPr>
          <w:rFonts w:ascii="Garamond" w:hAnsi="Garamond"/>
          <w:noProof/>
        </w:rPr>
        <w:t xml:space="preserve"> Future Generation Computer Systems, 2020. </w:t>
      </w:r>
      <w:r w:rsidRPr="007C2868">
        <w:rPr>
          <w:rFonts w:ascii="Garamond" w:hAnsi="Garamond"/>
          <w:b/>
          <w:noProof/>
        </w:rPr>
        <w:t>111</w:t>
      </w:r>
      <w:r w:rsidRPr="007C2868">
        <w:rPr>
          <w:rFonts w:ascii="Garamond" w:hAnsi="Garamond"/>
          <w:noProof/>
        </w:rPr>
        <w:t>: p. 300-323.</w:t>
      </w:r>
    </w:p>
    <w:p w14:paraId="7D87B702" w14:textId="77777777" w:rsidR="00905207" w:rsidRPr="007C2868" w:rsidRDefault="00905207" w:rsidP="00905207">
      <w:pPr>
        <w:pStyle w:val="EndNoteBibliography"/>
        <w:ind w:left="720" w:hanging="720"/>
        <w:rPr>
          <w:rFonts w:ascii="Garamond" w:hAnsi="Garamond"/>
          <w:noProof/>
        </w:rPr>
      </w:pPr>
      <w:r w:rsidRPr="007C2868">
        <w:rPr>
          <w:rFonts w:ascii="Garamond" w:hAnsi="Garamond"/>
          <w:noProof/>
        </w:rPr>
        <w:t>54.</w:t>
      </w:r>
      <w:r w:rsidRPr="007C2868">
        <w:rPr>
          <w:rFonts w:ascii="Garamond" w:hAnsi="Garamond"/>
          <w:noProof/>
        </w:rPr>
        <w:tab/>
        <w:t xml:space="preserve">Su, H., et al., </w:t>
      </w:r>
      <w:r w:rsidRPr="007C2868">
        <w:rPr>
          <w:rFonts w:ascii="Garamond" w:hAnsi="Garamond"/>
          <w:i/>
          <w:noProof/>
        </w:rPr>
        <w:t>RIME: A physics-based optimization.</w:t>
      </w:r>
      <w:r w:rsidRPr="007C2868">
        <w:rPr>
          <w:rFonts w:ascii="Garamond" w:hAnsi="Garamond"/>
          <w:noProof/>
        </w:rPr>
        <w:t xml:space="preserve"> Neurocomputing, 2023. </w:t>
      </w:r>
      <w:r w:rsidRPr="007C2868">
        <w:rPr>
          <w:rFonts w:ascii="Garamond" w:hAnsi="Garamond"/>
          <w:b/>
          <w:noProof/>
        </w:rPr>
        <w:t>532</w:t>
      </w:r>
      <w:r w:rsidRPr="007C2868">
        <w:rPr>
          <w:rFonts w:ascii="Garamond" w:hAnsi="Garamond"/>
          <w:noProof/>
        </w:rPr>
        <w:t>: p. 183-214.</w:t>
      </w:r>
    </w:p>
    <w:p w14:paraId="42CA7215" w14:textId="77777777" w:rsidR="00905207" w:rsidRPr="007C2868" w:rsidRDefault="00905207" w:rsidP="00905207">
      <w:pPr>
        <w:pStyle w:val="EndNoteBibliography"/>
        <w:ind w:left="720" w:hanging="720"/>
        <w:rPr>
          <w:rFonts w:ascii="Garamond" w:hAnsi="Garamond"/>
          <w:noProof/>
        </w:rPr>
      </w:pPr>
      <w:r w:rsidRPr="007C2868">
        <w:rPr>
          <w:rFonts w:ascii="Garamond" w:hAnsi="Garamond"/>
          <w:noProof/>
        </w:rPr>
        <w:t>55.</w:t>
      </w:r>
      <w:r w:rsidRPr="007C2868">
        <w:rPr>
          <w:rFonts w:ascii="Garamond" w:hAnsi="Garamond"/>
          <w:noProof/>
        </w:rPr>
        <w:tab/>
        <w:t xml:space="preserve">Kennedy, J. and R. Eberhart. </w:t>
      </w:r>
      <w:r w:rsidRPr="007C2868">
        <w:rPr>
          <w:rFonts w:ascii="Garamond" w:hAnsi="Garamond"/>
          <w:i/>
          <w:noProof/>
        </w:rPr>
        <w:t>Particle swarm optimization</w:t>
      </w:r>
      <w:r w:rsidRPr="007C2868">
        <w:rPr>
          <w:rFonts w:ascii="Garamond" w:hAnsi="Garamond"/>
          <w:noProof/>
        </w:rPr>
        <w:t xml:space="preserve">. in </w:t>
      </w:r>
      <w:r w:rsidRPr="007C2868">
        <w:rPr>
          <w:rFonts w:ascii="Garamond" w:hAnsi="Garamond"/>
          <w:i/>
          <w:noProof/>
        </w:rPr>
        <w:t>Proceedings of ICNN'95-international conference on neural networks</w:t>
      </w:r>
      <w:r w:rsidRPr="007C2868">
        <w:rPr>
          <w:rFonts w:ascii="Garamond" w:hAnsi="Garamond"/>
          <w:noProof/>
        </w:rPr>
        <w:t>. 1995. IEEE.</w:t>
      </w:r>
    </w:p>
    <w:p w14:paraId="42F1C8C5" w14:textId="77777777" w:rsidR="00905207" w:rsidRPr="007C2868" w:rsidRDefault="00905207" w:rsidP="00905207">
      <w:pPr>
        <w:pStyle w:val="EndNoteBibliography"/>
        <w:ind w:left="720" w:hanging="720"/>
        <w:rPr>
          <w:rFonts w:ascii="Garamond" w:hAnsi="Garamond"/>
          <w:noProof/>
        </w:rPr>
      </w:pPr>
      <w:r w:rsidRPr="007C2868">
        <w:rPr>
          <w:rFonts w:ascii="Garamond" w:hAnsi="Garamond"/>
          <w:noProof/>
        </w:rPr>
        <w:t>56.</w:t>
      </w:r>
      <w:r w:rsidRPr="007C2868">
        <w:rPr>
          <w:rFonts w:ascii="Garamond" w:hAnsi="Garamond"/>
          <w:noProof/>
        </w:rPr>
        <w:tab/>
        <w:t xml:space="preserve">Heidari, A.A., et al., </w:t>
      </w:r>
      <w:r w:rsidRPr="007C2868">
        <w:rPr>
          <w:rFonts w:ascii="Garamond" w:hAnsi="Garamond"/>
          <w:i/>
          <w:noProof/>
        </w:rPr>
        <w:t>Harris hawks optimization: Algorithm and applications.</w:t>
      </w:r>
      <w:r w:rsidRPr="007C2868">
        <w:rPr>
          <w:rFonts w:ascii="Garamond" w:hAnsi="Garamond"/>
          <w:noProof/>
        </w:rPr>
        <w:t xml:space="preserve"> Future Generation Computer Systems, 2019. </w:t>
      </w:r>
      <w:r w:rsidRPr="007C2868">
        <w:rPr>
          <w:rFonts w:ascii="Garamond" w:hAnsi="Garamond"/>
          <w:b/>
          <w:noProof/>
        </w:rPr>
        <w:t>97</w:t>
      </w:r>
      <w:r w:rsidRPr="007C2868">
        <w:rPr>
          <w:rFonts w:ascii="Garamond" w:hAnsi="Garamond"/>
          <w:noProof/>
        </w:rPr>
        <w:t>: p. 849-872.</w:t>
      </w:r>
    </w:p>
    <w:p w14:paraId="0EFE4F77" w14:textId="77777777" w:rsidR="00905207" w:rsidRPr="007C2868" w:rsidRDefault="00905207" w:rsidP="00905207">
      <w:pPr>
        <w:pStyle w:val="EndNoteBibliography"/>
        <w:ind w:left="720" w:hanging="720"/>
        <w:rPr>
          <w:rFonts w:ascii="Garamond" w:hAnsi="Garamond"/>
          <w:noProof/>
        </w:rPr>
      </w:pPr>
      <w:r w:rsidRPr="007C2868">
        <w:rPr>
          <w:rFonts w:ascii="Garamond" w:hAnsi="Garamond"/>
          <w:noProof/>
        </w:rPr>
        <w:t>57.</w:t>
      </w:r>
      <w:r w:rsidRPr="007C2868">
        <w:rPr>
          <w:rFonts w:ascii="Garamond" w:hAnsi="Garamond"/>
          <w:noProof/>
        </w:rPr>
        <w:tab/>
        <w:t xml:space="preserve">Ke, G., et al., </w:t>
      </w:r>
      <w:r w:rsidRPr="007C2868">
        <w:rPr>
          <w:rFonts w:ascii="Garamond" w:hAnsi="Garamond"/>
          <w:i/>
          <w:noProof/>
        </w:rPr>
        <w:t>LightGBM: a highly efficient gradient boosting decision tree</w:t>
      </w:r>
      <w:r w:rsidRPr="007C2868">
        <w:rPr>
          <w:rFonts w:ascii="Garamond" w:hAnsi="Garamond"/>
          <w:noProof/>
        </w:rPr>
        <w:t xml:space="preserve">, in </w:t>
      </w:r>
      <w:r w:rsidRPr="007C2868">
        <w:rPr>
          <w:rFonts w:ascii="Garamond" w:hAnsi="Garamond"/>
          <w:i/>
          <w:noProof/>
        </w:rPr>
        <w:t>Proceedings of the 31st International Conference on Neural Information Processing Systems</w:t>
      </w:r>
      <w:r w:rsidRPr="007C2868">
        <w:rPr>
          <w:rFonts w:ascii="Garamond" w:hAnsi="Garamond"/>
          <w:noProof/>
        </w:rPr>
        <w:t>. 2017, Curran Associates Inc.: Long Beach, California, USA. p. 3149–3157.</w:t>
      </w:r>
    </w:p>
    <w:p w14:paraId="64F053A1" w14:textId="77777777" w:rsidR="00905207" w:rsidRPr="007C2868" w:rsidRDefault="00905207" w:rsidP="00905207">
      <w:pPr>
        <w:pStyle w:val="EndNoteBibliography"/>
        <w:ind w:left="720" w:hanging="720"/>
        <w:rPr>
          <w:rFonts w:ascii="Garamond" w:hAnsi="Garamond"/>
          <w:noProof/>
        </w:rPr>
      </w:pPr>
      <w:r w:rsidRPr="007C2868">
        <w:rPr>
          <w:rFonts w:ascii="Garamond" w:hAnsi="Garamond"/>
          <w:noProof/>
        </w:rPr>
        <w:t>58.</w:t>
      </w:r>
      <w:r w:rsidRPr="007C2868">
        <w:rPr>
          <w:rFonts w:ascii="Garamond" w:hAnsi="Garamond"/>
          <w:noProof/>
        </w:rPr>
        <w:tab/>
        <w:t xml:space="preserve">Chen, T. and C. Guestrin, </w:t>
      </w:r>
      <w:r w:rsidRPr="007C2868">
        <w:rPr>
          <w:rFonts w:ascii="Garamond" w:hAnsi="Garamond"/>
          <w:i/>
          <w:noProof/>
        </w:rPr>
        <w:t>XGBoost: A Scalable Tree Boosting System</w:t>
      </w:r>
      <w:r w:rsidRPr="007C2868">
        <w:rPr>
          <w:rFonts w:ascii="Garamond" w:hAnsi="Garamond"/>
          <w:noProof/>
        </w:rPr>
        <w:t xml:space="preserve">, in </w:t>
      </w:r>
      <w:r w:rsidRPr="007C2868">
        <w:rPr>
          <w:rFonts w:ascii="Garamond" w:hAnsi="Garamond"/>
          <w:i/>
          <w:noProof/>
        </w:rPr>
        <w:t>Proceedings of the 22nd ACM SIGKDD International Conference on Knowledge Discovery and Data Mining</w:t>
      </w:r>
      <w:r w:rsidRPr="007C2868">
        <w:rPr>
          <w:rFonts w:ascii="Garamond" w:hAnsi="Garamond"/>
          <w:noProof/>
        </w:rPr>
        <w:t>. 2016, Association for Computing Machinery: San Francisco, California, USA. p. 785–794.</w:t>
      </w:r>
    </w:p>
    <w:p w14:paraId="1F30C9EC" w14:textId="77777777" w:rsidR="00905207" w:rsidRPr="007C2868" w:rsidRDefault="00905207" w:rsidP="00905207">
      <w:pPr>
        <w:pStyle w:val="EndNoteBibliography"/>
        <w:ind w:left="720" w:hanging="720"/>
        <w:rPr>
          <w:rFonts w:ascii="Garamond" w:hAnsi="Garamond"/>
          <w:noProof/>
        </w:rPr>
      </w:pPr>
      <w:r w:rsidRPr="007C2868">
        <w:rPr>
          <w:rFonts w:ascii="Garamond" w:hAnsi="Garamond"/>
          <w:noProof/>
        </w:rPr>
        <w:t>59.</w:t>
      </w:r>
      <w:r w:rsidRPr="007C2868">
        <w:rPr>
          <w:rFonts w:ascii="Garamond" w:hAnsi="Garamond"/>
          <w:noProof/>
        </w:rPr>
        <w:tab/>
        <w:t xml:space="preserve">Freund, Y. and R.E. Schapire, </w:t>
      </w:r>
      <w:r w:rsidRPr="007C2868">
        <w:rPr>
          <w:rFonts w:ascii="Garamond" w:hAnsi="Garamond"/>
          <w:i/>
          <w:noProof/>
        </w:rPr>
        <w:t>A Decision-Theoretic Generalization of On-Line Learning and an Application to Boosting.</w:t>
      </w:r>
      <w:r w:rsidRPr="007C2868">
        <w:rPr>
          <w:rFonts w:ascii="Garamond" w:hAnsi="Garamond"/>
          <w:noProof/>
        </w:rPr>
        <w:t xml:space="preserve"> Journal of Computer and System Sciences, 1997. </w:t>
      </w:r>
      <w:r w:rsidRPr="007C2868">
        <w:rPr>
          <w:rFonts w:ascii="Garamond" w:hAnsi="Garamond"/>
          <w:b/>
          <w:noProof/>
        </w:rPr>
        <w:t>55</w:t>
      </w:r>
      <w:r w:rsidRPr="007C2868">
        <w:rPr>
          <w:rFonts w:ascii="Garamond" w:hAnsi="Garamond"/>
          <w:noProof/>
        </w:rPr>
        <w:t>(1): p. 119-139.</w:t>
      </w:r>
    </w:p>
    <w:p w14:paraId="16878A02" w14:textId="77777777" w:rsidR="00905207" w:rsidRPr="007C2868" w:rsidRDefault="00905207" w:rsidP="00905207">
      <w:pPr>
        <w:pStyle w:val="EndNoteBibliography"/>
        <w:ind w:left="720" w:hanging="720"/>
        <w:rPr>
          <w:rFonts w:ascii="Garamond" w:hAnsi="Garamond"/>
          <w:noProof/>
        </w:rPr>
      </w:pPr>
      <w:r w:rsidRPr="007C2868">
        <w:rPr>
          <w:rFonts w:ascii="Garamond" w:hAnsi="Garamond"/>
          <w:noProof/>
        </w:rPr>
        <w:t>60.</w:t>
      </w:r>
      <w:r w:rsidRPr="007C2868">
        <w:rPr>
          <w:rFonts w:ascii="Garamond" w:hAnsi="Garamond"/>
          <w:noProof/>
        </w:rPr>
        <w:tab/>
        <w:t xml:space="preserve">Krzywinski, M. and N. Altman, </w:t>
      </w:r>
      <w:r w:rsidRPr="007C2868">
        <w:rPr>
          <w:rFonts w:ascii="Garamond" w:hAnsi="Garamond"/>
          <w:i/>
          <w:noProof/>
        </w:rPr>
        <w:t>Classification and regression trees.</w:t>
      </w:r>
      <w:r w:rsidRPr="007C2868">
        <w:rPr>
          <w:rFonts w:ascii="Garamond" w:hAnsi="Garamond"/>
          <w:noProof/>
        </w:rPr>
        <w:t xml:space="preserve"> Nature Methods, 2017. </w:t>
      </w:r>
      <w:r w:rsidRPr="007C2868">
        <w:rPr>
          <w:rFonts w:ascii="Garamond" w:hAnsi="Garamond"/>
          <w:b/>
          <w:noProof/>
        </w:rPr>
        <w:t>14</w:t>
      </w:r>
      <w:r w:rsidRPr="007C2868">
        <w:rPr>
          <w:rFonts w:ascii="Garamond" w:hAnsi="Garamond"/>
          <w:noProof/>
        </w:rPr>
        <w:t>(8): p. 757-758.</w:t>
      </w:r>
    </w:p>
    <w:p w14:paraId="41D38009" w14:textId="77777777" w:rsidR="00905207" w:rsidRPr="007C2868" w:rsidRDefault="00905207" w:rsidP="00905207">
      <w:pPr>
        <w:pStyle w:val="EndNoteBibliography"/>
        <w:ind w:left="720" w:hanging="720"/>
        <w:rPr>
          <w:rFonts w:ascii="Garamond" w:hAnsi="Garamond"/>
          <w:noProof/>
        </w:rPr>
      </w:pPr>
      <w:r w:rsidRPr="007C2868">
        <w:rPr>
          <w:rFonts w:ascii="Garamond" w:hAnsi="Garamond"/>
          <w:noProof/>
        </w:rPr>
        <w:t>61.</w:t>
      </w:r>
      <w:r w:rsidRPr="007C2868">
        <w:rPr>
          <w:rFonts w:ascii="Garamond" w:hAnsi="Garamond"/>
          <w:noProof/>
        </w:rPr>
        <w:tab/>
        <w:t xml:space="preserve">Memiş, S., S. Enginoğlu, and U. Erkan, </w:t>
      </w:r>
      <w:r w:rsidRPr="007C2868">
        <w:rPr>
          <w:rFonts w:ascii="Garamond" w:hAnsi="Garamond"/>
          <w:i/>
          <w:noProof/>
        </w:rPr>
        <w:t>Fuzzy parameterized fuzzy soft k-nearest neighbor classifier.</w:t>
      </w:r>
      <w:r w:rsidRPr="007C2868">
        <w:rPr>
          <w:rFonts w:ascii="Garamond" w:hAnsi="Garamond"/>
          <w:noProof/>
        </w:rPr>
        <w:t xml:space="preserve"> Neurocomputing, 2022. </w:t>
      </w:r>
      <w:r w:rsidRPr="007C2868">
        <w:rPr>
          <w:rFonts w:ascii="Garamond" w:hAnsi="Garamond"/>
          <w:b/>
          <w:noProof/>
        </w:rPr>
        <w:t>500</w:t>
      </w:r>
      <w:r w:rsidRPr="007C2868">
        <w:rPr>
          <w:rFonts w:ascii="Garamond" w:hAnsi="Garamond"/>
          <w:noProof/>
        </w:rPr>
        <w:t>: p. 351-378.</w:t>
      </w:r>
    </w:p>
    <w:p w14:paraId="2B2E7A74" w14:textId="77777777" w:rsidR="00905207" w:rsidRPr="007C2868" w:rsidRDefault="00905207" w:rsidP="00905207">
      <w:pPr>
        <w:pStyle w:val="EndNoteBibliography"/>
        <w:ind w:left="720" w:hanging="720"/>
        <w:rPr>
          <w:rFonts w:ascii="Garamond" w:hAnsi="Garamond"/>
          <w:noProof/>
        </w:rPr>
      </w:pPr>
      <w:r w:rsidRPr="007C2868">
        <w:rPr>
          <w:rFonts w:ascii="Garamond" w:hAnsi="Garamond"/>
          <w:noProof/>
        </w:rPr>
        <w:t>62.</w:t>
      </w:r>
      <w:r w:rsidRPr="007C2868">
        <w:rPr>
          <w:rFonts w:ascii="Garamond" w:hAnsi="Garamond"/>
          <w:noProof/>
        </w:rPr>
        <w:tab/>
        <w:t xml:space="preserve">Ahmadianfar, I., et al., </w:t>
      </w:r>
      <w:r w:rsidRPr="007C2868">
        <w:rPr>
          <w:rFonts w:ascii="Garamond" w:hAnsi="Garamond"/>
          <w:i/>
          <w:noProof/>
        </w:rPr>
        <w:t xml:space="preserve">RUN beyond the metaphor: An efficient optimization algorithm based on Runge Kutta </w:t>
      </w:r>
      <w:r w:rsidRPr="007C2868">
        <w:rPr>
          <w:rFonts w:ascii="Garamond" w:hAnsi="Garamond"/>
          <w:i/>
          <w:noProof/>
        </w:rPr>
        <w:lastRenderedPageBreak/>
        <w:t>method.</w:t>
      </w:r>
      <w:r w:rsidRPr="007C2868">
        <w:rPr>
          <w:rFonts w:ascii="Garamond" w:hAnsi="Garamond"/>
          <w:noProof/>
        </w:rPr>
        <w:t xml:space="preserve"> Expert Systems with Applications, 2021. </w:t>
      </w:r>
      <w:r w:rsidRPr="007C2868">
        <w:rPr>
          <w:rFonts w:ascii="Garamond" w:hAnsi="Garamond"/>
          <w:b/>
          <w:noProof/>
        </w:rPr>
        <w:t>181</w:t>
      </w:r>
      <w:r w:rsidRPr="007C2868">
        <w:rPr>
          <w:rFonts w:ascii="Garamond" w:hAnsi="Garamond"/>
          <w:noProof/>
        </w:rPr>
        <w:t>: p. 115079.</w:t>
      </w:r>
    </w:p>
    <w:p w14:paraId="2B667710" w14:textId="77777777" w:rsidR="00905207" w:rsidRPr="007C2868" w:rsidRDefault="00905207" w:rsidP="00905207">
      <w:pPr>
        <w:pStyle w:val="EndNoteBibliography"/>
        <w:ind w:left="720" w:hanging="720"/>
        <w:rPr>
          <w:rFonts w:ascii="Garamond" w:hAnsi="Garamond"/>
          <w:noProof/>
        </w:rPr>
      </w:pPr>
      <w:r w:rsidRPr="007C2868">
        <w:rPr>
          <w:rFonts w:ascii="Garamond" w:hAnsi="Garamond"/>
          <w:noProof/>
        </w:rPr>
        <w:t>63.</w:t>
      </w:r>
      <w:r w:rsidRPr="007C2868">
        <w:rPr>
          <w:rFonts w:ascii="Garamond" w:hAnsi="Garamond"/>
          <w:noProof/>
        </w:rPr>
        <w:tab/>
        <w:t xml:space="preserve">Mirjalili, S., </w:t>
      </w:r>
      <w:r w:rsidRPr="007C2868">
        <w:rPr>
          <w:rFonts w:ascii="Garamond" w:hAnsi="Garamond"/>
          <w:i/>
          <w:noProof/>
        </w:rPr>
        <w:t>Moth-flame optimization algorithm: A novel nature-inspired heuristic paradigm.</w:t>
      </w:r>
      <w:r w:rsidRPr="007C2868">
        <w:rPr>
          <w:rFonts w:ascii="Garamond" w:hAnsi="Garamond"/>
          <w:noProof/>
        </w:rPr>
        <w:t xml:space="preserve"> Knowledge-Based Systems, 2015. </w:t>
      </w:r>
      <w:r w:rsidRPr="007C2868">
        <w:rPr>
          <w:rFonts w:ascii="Garamond" w:hAnsi="Garamond"/>
          <w:b/>
          <w:noProof/>
        </w:rPr>
        <w:t>89</w:t>
      </w:r>
      <w:r w:rsidRPr="007C2868">
        <w:rPr>
          <w:rFonts w:ascii="Garamond" w:hAnsi="Garamond"/>
          <w:noProof/>
        </w:rPr>
        <w:t>: p. 228-249.</w:t>
      </w:r>
    </w:p>
    <w:p w14:paraId="075123F0" w14:textId="77777777" w:rsidR="00905207" w:rsidRPr="007C2868" w:rsidRDefault="00905207" w:rsidP="00905207">
      <w:pPr>
        <w:pStyle w:val="EndNoteBibliography"/>
        <w:ind w:left="720" w:hanging="720"/>
        <w:rPr>
          <w:rFonts w:ascii="Garamond" w:hAnsi="Garamond"/>
          <w:noProof/>
        </w:rPr>
      </w:pPr>
      <w:r w:rsidRPr="007C2868">
        <w:rPr>
          <w:rFonts w:ascii="Garamond" w:hAnsi="Garamond"/>
          <w:noProof/>
        </w:rPr>
        <w:t>64.</w:t>
      </w:r>
      <w:r w:rsidRPr="007C2868">
        <w:rPr>
          <w:rFonts w:ascii="Garamond" w:hAnsi="Garamond"/>
          <w:noProof/>
        </w:rPr>
        <w:tab/>
        <w:t xml:space="preserve">Socha, K. and M. Dorigo, </w:t>
      </w:r>
      <w:r w:rsidRPr="007C2868">
        <w:rPr>
          <w:rFonts w:ascii="Garamond" w:hAnsi="Garamond"/>
          <w:i/>
          <w:noProof/>
        </w:rPr>
        <w:t>Ant colony optimization for continuous domains.</w:t>
      </w:r>
      <w:r w:rsidRPr="007C2868">
        <w:rPr>
          <w:rFonts w:ascii="Garamond" w:hAnsi="Garamond"/>
          <w:noProof/>
        </w:rPr>
        <w:t xml:space="preserve"> European Journal of Operational Research, 2008. </w:t>
      </w:r>
      <w:r w:rsidRPr="007C2868">
        <w:rPr>
          <w:rFonts w:ascii="Garamond" w:hAnsi="Garamond"/>
          <w:b/>
          <w:noProof/>
        </w:rPr>
        <w:t>185</w:t>
      </w:r>
      <w:r w:rsidRPr="007C2868">
        <w:rPr>
          <w:rFonts w:ascii="Garamond" w:hAnsi="Garamond"/>
          <w:noProof/>
        </w:rPr>
        <w:t>(3): p. 1155-1173.</w:t>
      </w:r>
    </w:p>
    <w:p w14:paraId="75C9DD61" w14:textId="77777777" w:rsidR="00905207" w:rsidRPr="007C2868" w:rsidRDefault="00905207" w:rsidP="00905207">
      <w:pPr>
        <w:pStyle w:val="EndNoteBibliography"/>
        <w:ind w:left="720" w:hanging="720"/>
        <w:rPr>
          <w:rFonts w:ascii="Garamond" w:hAnsi="Garamond"/>
          <w:noProof/>
        </w:rPr>
      </w:pPr>
      <w:r w:rsidRPr="007C2868">
        <w:rPr>
          <w:rFonts w:ascii="Garamond" w:hAnsi="Garamond"/>
          <w:noProof/>
        </w:rPr>
        <w:t>65.</w:t>
      </w:r>
      <w:r w:rsidRPr="007C2868">
        <w:rPr>
          <w:rFonts w:ascii="Garamond" w:hAnsi="Garamond"/>
          <w:noProof/>
        </w:rPr>
        <w:tab/>
        <w:t xml:space="preserve">Ahmadianfar, I., et al., </w:t>
      </w:r>
      <w:r w:rsidRPr="007C2868">
        <w:rPr>
          <w:rFonts w:ascii="Garamond" w:hAnsi="Garamond"/>
          <w:i/>
          <w:noProof/>
        </w:rPr>
        <w:t>INFO: An efficient optimization algorithm based on weighted mean of vectors.</w:t>
      </w:r>
      <w:r w:rsidRPr="007C2868">
        <w:rPr>
          <w:rFonts w:ascii="Garamond" w:hAnsi="Garamond"/>
          <w:noProof/>
        </w:rPr>
        <w:t xml:space="preserve"> Expert Systems with Applications, 2022. </w:t>
      </w:r>
      <w:r w:rsidRPr="007C2868">
        <w:rPr>
          <w:rFonts w:ascii="Garamond" w:hAnsi="Garamond"/>
          <w:b/>
          <w:noProof/>
        </w:rPr>
        <w:t>195</w:t>
      </w:r>
      <w:r w:rsidRPr="007C2868">
        <w:rPr>
          <w:rFonts w:ascii="Garamond" w:hAnsi="Garamond"/>
          <w:noProof/>
        </w:rPr>
        <w:t>: p. 116516.</w:t>
      </w:r>
    </w:p>
    <w:p w14:paraId="76060694" w14:textId="77777777" w:rsidR="00905207" w:rsidRPr="007C2868" w:rsidRDefault="00905207" w:rsidP="00905207">
      <w:pPr>
        <w:pStyle w:val="EndNoteBibliography"/>
        <w:ind w:left="720" w:hanging="720"/>
        <w:rPr>
          <w:rFonts w:ascii="Garamond" w:hAnsi="Garamond"/>
          <w:noProof/>
        </w:rPr>
      </w:pPr>
      <w:r w:rsidRPr="007C2868">
        <w:rPr>
          <w:rFonts w:ascii="Garamond" w:hAnsi="Garamond"/>
          <w:noProof/>
        </w:rPr>
        <w:t>66.</w:t>
      </w:r>
      <w:r w:rsidRPr="007C2868">
        <w:rPr>
          <w:rFonts w:ascii="Garamond" w:hAnsi="Garamond"/>
          <w:noProof/>
        </w:rPr>
        <w:tab/>
        <w:t xml:space="preserve">Yuan, C., et al., </w:t>
      </w:r>
      <w:r w:rsidRPr="007C2868">
        <w:rPr>
          <w:rFonts w:ascii="Garamond" w:hAnsi="Garamond"/>
          <w:i/>
          <w:noProof/>
        </w:rPr>
        <w:t>Polar lights optimizer: Algorithm and applications in image segmentation and feature selection.</w:t>
      </w:r>
      <w:r w:rsidRPr="007C2868">
        <w:rPr>
          <w:rFonts w:ascii="Garamond" w:hAnsi="Garamond"/>
          <w:noProof/>
        </w:rPr>
        <w:t xml:space="preserve"> Neurocomputing, 2024. </w:t>
      </w:r>
      <w:r w:rsidRPr="007C2868">
        <w:rPr>
          <w:rFonts w:ascii="Garamond" w:hAnsi="Garamond"/>
          <w:b/>
          <w:noProof/>
        </w:rPr>
        <w:t>607</w:t>
      </w:r>
      <w:r w:rsidRPr="007C2868">
        <w:rPr>
          <w:rFonts w:ascii="Garamond" w:hAnsi="Garamond"/>
          <w:noProof/>
        </w:rPr>
        <w:t>: p. 128427.</w:t>
      </w:r>
    </w:p>
    <w:p w14:paraId="6B45ACB3" w14:textId="6D9B3325" w:rsidR="006B73EB" w:rsidRPr="007C2868" w:rsidRDefault="00000000">
      <w:pPr>
        <w:pStyle w:val="EndNoteBibliography"/>
        <w:rPr>
          <w:rFonts w:ascii="Garamond" w:hAnsi="Garamond" w:cs="Garamond"/>
        </w:rPr>
      </w:pPr>
      <w:r w:rsidRPr="007C2868">
        <w:rPr>
          <w:rFonts w:ascii="Garamond" w:hAnsi="Garamond" w:cs="Garamond"/>
          <w:sz w:val="21"/>
          <w:szCs w:val="21"/>
        </w:rPr>
        <w:fldChar w:fldCharType="end"/>
      </w:r>
      <w:r w:rsidRPr="007C2868">
        <w:rPr>
          <w:rFonts w:ascii="Garamond" w:hAnsi="Garamond" w:cs="Garamond"/>
        </w:rPr>
        <w:fldChar w:fldCharType="begin"/>
      </w:r>
      <w:r w:rsidRPr="007C2868">
        <w:rPr>
          <w:rFonts w:ascii="Garamond" w:hAnsi="Garamond" w:cs="Garamond"/>
        </w:rPr>
        <w:instrText xml:space="preserve"> ADDIN </w:instrText>
      </w:r>
      <w:r w:rsidRPr="007C2868">
        <w:rPr>
          <w:rFonts w:ascii="Garamond" w:hAnsi="Garamond" w:cs="Garamond"/>
        </w:rPr>
        <w:fldChar w:fldCharType="separate"/>
      </w:r>
      <w:r w:rsidRPr="007C2868">
        <w:rPr>
          <w:rFonts w:ascii="Garamond" w:hAnsi="Garamond" w:cs="Garamond"/>
        </w:rPr>
        <w:fldChar w:fldCharType="end"/>
      </w:r>
    </w:p>
    <w:sectPr w:rsidR="006B73EB" w:rsidRPr="007C2868">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A5E052" w14:textId="77777777" w:rsidR="00701304" w:rsidRDefault="00701304" w:rsidP="00905207">
      <w:r>
        <w:separator/>
      </w:r>
    </w:p>
  </w:endnote>
  <w:endnote w:type="continuationSeparator" w:id="0">
    <w:p w14:paraId="72D8D4DA" w14:textId="77777777" w:rsidR="00701304" w:rsidRDefault="00701304" w:rsidP="0090520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Courier">
    <w:panose1 w:val="02070409020205020404"/>
    <w:charset w:val="00"/>
    <w:family w:val="auto"/>
    <w:pitch w:val="default"/>
    <w:sig w:usb0="00000000" w:usb1="00000000" w:usb2="00000000" w:usb3="00000000" w:csb0="00000001" w:csb1="00000000"/>
  </w:font>
  <w:font w:name="黑体">
    <w:altName w:val="SimHei"/>
    <w:panose1 w:val="02010609060101010101"/>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TATOM K+ Optima">
    <w:altName w:val="微软雅黑"/>
    <w:charset w:val="86"/>
    <w:family w:val="roman"/>
    <w:pitch w:val="default"/>
    <w:sig w:usb0="00000000" w:usb1="00000000" w:usb2="00000010" w:usb3="00000000" w:csb0="00040000" w:csb1="00000000"/>
  </w:font>
  <w:font w:name="仿宋_GB2312">
    <w:altName w:val="仿宋"/>
    <w:charset w:val="86"/>
    <w:family w:val="modern"/>
    <w:pitch w:val="default"/>
    <w:sig w:usb0="00000000" w:usb1="00000000" w:usb2="00000000" w:usb3="00000000" w:csb0="00040000" w:csb1="00000000"/>
  </w:font>
  <w:font w:name="MinionPro-It">
    <w:altName w:val="Cambria"/>
    <w:charset w:val="00"/>
    <w:family w:val="roman"/>
    <w:pitch w:val="default"/>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3A65AB" w14:textId="77777777" w:rsidR="00701304" w:rsidRDefault="00701304" w:rsidP="00905207">
      <w:r>
        <w:separator/>
      </w:r>
    </w:p>
  </w:footnote>
  <w:footnote w:type="continuationSeparator" w:id="0">
    <w:p w14:paraId="10C5F0FC" w14:textId="77777777" w:rsidR="00701304" w:rsidRDefault="00701304" w:rsidP="0090520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FFFFF7E"/>
    <w:lvl w:ilvl="0">
      <w:start w:val="1"/>
      <w:numFmt w:val="decimal"/>
      <w:pStyle w:val="3"/>
      <w:lvlText w:val="%1."/>
      <w:lvlJc w:val="left"/>
      <w:pPr>
        <w:tabs>
          <w:tab w:val="left" w:pos="1080"/>
        </w:tabs>
        <w:ind w:left="1080" w:hanging="360"/>
      </w:pPr>
    </w:lvl>
  </w:abstractNum>
  <w:abstractNum w:abstractNumId="1" w15:restartNumberingAfterBreak="0">
    <w:nsid w:val="FFFFFF7F"/>
    <w:multiLevelType w:val="singleLevel"/>
    <w:tmpl w:val="FFFFFF7F"/>
    <w:lvl w:ilvl="0">
      <w:start w:val="1"/>
      <w:numFmt w:val="decimal"/>
      <w:pStyle w:val="2"/>
      <w:lvlText w:val="%1."/>
      <w:lvlJc w:val="left"/>
      <w:pPr>
        <w:tabs>
          <w:tab w:val="left" w:pos="720"/>
        </w:tabs>
        <w:ind w:left="720" w:hanging="360"/>
      </w:pPr>
    </w:lvl>
  </w:abstractNum>
  <w:abstractNum w:abstractNumId="2" w15:restartNumberingAfterBreak="0">
    <w:nsid w:val="FFFFFF82"/>
    <w:multiLevelType w:val="singleLevel"/>
    <w:tmpl w:val="FFFFFF82"/>
    <w:lvl w:ilvl="0">
      <w:start w:val="1"/>
      <w:numFmt w:val="bullet"/>
      <w:pStyle w:val="30"/>
      <w:lvlText w:val=""/>
      <w:lvlJc w:val="left"/>
      <w:pPr>
        <w:tabs>
          <w:tab w:val="left" w:pos="1080"/>
        </w:tabs>
        <w:ind w:left="1080" w:hanging="360"/>
      </w:pPr>
      <w:rPr>
        <w:rFonts w:ascii="Symbol" w:hAnsi="Symbol" w:hint="default"/>
      </w:rPr>
    </w:lvl>
  </w:abstractNum>
  <w:abstractNum w:abstractNumId="3" w15:restartNumberingAfterBreak="0">
    <w:nsid w:val="FFFFFF83"/>
    <w:multiLevelType w:val="singleLevel"/>
    <w:tmpl w:val="FFFFFF83"/>
    <w:lvl w:ilvl="0">
      <w:start w:val="1"/>
      <w:numFmt w:val="bullet"/>
      <w:pStyle w:val="20"/>
      <w:lvlText w:val=""/>
      <w:lvlJc w:val="left"/>
      <w:pPr>
        <w:tabs>
          <w:tab w:val="left" w:pos="720"/>
        </w:tabs>
        <w:ind w:left="720" w:hanging="360"/>
      </w:pPr>
      <w:rPr>
        <w:rFonts w:ascii="Symbol" w:hAnsi="Symbol" w:hint="default"/>
      </w:rPr>
    </w:lvl>
  </w:abstractNum>
  <w:abstractNum w:abstractNumId="4" w15:restartNumberingAfterBreak="0">
    <w:nsid w:val="FFFFFF88"/>
    <w:multiLevelType w:val="singleLevel"/>
    <w:tmpl w:val="FFFFFF88"/>
    <w:lvl w:ilvl="0">
      <w:start w:val="1"/>
      <w:numFmt w:val="decimal"/>
      <w:pStyle w:val="a"/>
      <w:lvlText w:val="%1."/>
      <w:lvlJc w:val="left"/>
      <w:pPr>
        <w:tabs>
          <w:tab w:val="left" w:pos="360"/>
        </w:tabs>
        <w:ind w:left="360" w:hanging="360"/>
      </w:pPr>
    </w:lvl>
  </w:abstractNum>
  <w:abstractNum w:abstractNumId="5" w15:restartNumberingAfterBreak="0">
    <w:nsid w:val="FFFFFF89"/>
    <w:multiLevelType w:val="singleLevel"/>
    <w:tmpl w:val="FFFFFF89"/>
    <w:lvl w:ilvl="0">
      <w:start w:val="1"/>
      <w:numFmt w:val="bullet"/>
      <w:pStyle w:val="a0"/>
      <w:lvlText w:val=""/>
      <w:lvlJc w:val="left"/>
      <w:pPr>
        <w:tabs>
          <w:tab w:val="left" w:pos="360"/>
        </w:tabs>
        <w:ind w:left="360" w:hanging="360"/>
      </w:pPr>
      <w:rPr>
        <w:rFonts w:ascii="Symbol" w:hAnsi="Symbol" w:hint="default"/>
      </w:rPr>
    </w:lvl>
  </w:abstractNum>
  <w:abstractNum w:abstractNumId="6" w15:restartNumberingAfterBreak="0">
    <w:nsid w:val="0F4C0364"/>
    <w:multiLevelType w:val="hybridMultilevel"/>
    <w:tmpl w:val="6986A240"/>
    <w:lvl w:ilvl="0" w:tplc="9C260E00">
      <w:start w:val="1"/>
      <w:numFmt w:val="bullet"/>
      <w:lvlText w:val=""/>
      <w:lvlJc w:val="left"/>
      <w:pPr>
        <w:ind w:left="1152" w:hanging="360"/>
      </w:pPr>
      <w:rPr>
        <w:rFonts w:ascii="Wingdings" w:hAnsi="Wingdings"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7" w15:restartNumberingAfterBreak="0">
    <w:nsid w:val="45340BF5"/>
    <w:multiLevelType w:val="multilevel"/>
    <w:tmpl w:val="F95838DC"/>
    <w:lvl w:ilvl="0">
      <w:start w:val="1"/>
      <w:numFmt w:val="decimal"/>
      <w:pStyle w:val="1"/>
      <w:suff w:val="space"/>
      <w:lvlText w:val="%1"/>
      <w:lvlJc w:val="left"/>
      <w:pPr>
        <w:ind w:left="-420" w:firstLine="0"/>
      </w:pPr>
      <w:rPr>
        <w:rFonts w:ascii="Times New Roman" w:hAnsi="Times New Roman" w:cs="Times New Roman" w:hint="default"/>
      </w:rPr>
    </w:lvl>
    <w:lvl w:ilvl="1">
      <w:start w:val="1"/>
      <w:numFmt w:val="decimal"/>
      <w:pStyle w:val="21"/>
      <w:suff w:val="space"/>
      <w:lvlText w:val="%1.%2"/>
      <w:lvlJc w:val="left"/>
      <w:pPr>
        <w:ind w:left="-420" w:firstLine="0"/>
      </w:pPr>
      <w:rPr>
        <w:rFonts w:ascii="Times New Roman" w:hAnsi="Times New Roman" w:cs="Times New Roman" w:hint="default"/>
      </w:rPr>
    </w:lvl>
    <w:lvl w:ilvl="2">
      <w:start w:val="1"/>
      <w:numFmt w:val="decimal"/>
      <w:pStyle w:val="31"/>
      <w:suff w:val="space"/>
      <w:lvlText w:val="%1.%2.%3"/>
      <w:lvlJc w:val="left"/>
      <w:pPr>
        <w:ind w:left="-420" w:firstLine="0"/>
      </w:pPr>
      <w:rPr>
        <w:rFonts w:ascii="Times New Roman" w:hAnsi="Times New Roman" w:cs="Times New Roman" w:hint="default"/>
      </w:rPr>
    </w:lvl>
    <w:lvl w:ilvl="3">
      <w:start w:val="1"/>
      <w:numFmt w:val="decimal"/>
      <w:suff w:val="space"/>
      <w:lvlText w:val="%1.%2.%3.%4"/>
      <w:lvlJc w:val="left"/>
      <w:pPr>
        <w:ind w:left="-420" w:firstLine="0"/>
      </w:pPr>
      <w:rPr>
        <w:rFonts w:ascii="Times New Roman" w:hAnsi="Times New Roman" w:cs="Times New Roman" w:hint="default"/>
      </w:rPr>
    </w:lvl>
    <w:lvl w:ilvl="4">
      <w:start w:val="1"/>
      <w:numFmt w:val="decimal"/>
      <w:suff w:val="space"/>
      <w:lvlText w:val="%1.%2.%3.%4.%5"/>
      <w:lvlJc w:val="left"/>
      <w:pPr>
        <w:ind w:left="-420" w:firstLine="0"/>
      </w:pPr>
      <w:rPr>
        <w:rFonts w:ascii="Times New Roman" w:hAnsi="Times New Roman" w:cs="Times New Roman" w:hint="default"/>
      </w:rPr>
    </w:lvl>
    <w:lvl w:ilvl="5">
      <w:start w:val="1"/>
      <w:numFmt w:val="decimal"/>
      <w:suff w:val="space"/>
      <w:lvlText w:val="%1.%2.%3.%4.%5.%6"/>
      <w:lvlJc w:val="left"/>
      <w:pPr>
        <w:ind w:left="-420" w:firstLine="0"/>
      </w:pPr>
      <w:rPr>
        <w:rFonts w:ascii="Times New Roman" w:hAnsi="Times New Roman" w:cs="Times New Roman" w:hint="default"/>
      </w:rPr>
    </w:lvl>
    <w:lvl w:ilvl="6">
      <w:start w:val="1"/>
      <w:numFmt w:val="decimal"/>
      <w:suff w:val="space"/>
      <w:lvlText w:val="%1.%2.%3.%4.%5.%6.%7"/>
      <w:lvlJc w:val="left"/>
      <w:pPr>
        <w:ind w:left="-420" w:firstLine="0"/>
      </w:pPr>
      <w:rPr>
        <w:rFonts w:ascii="Times New Roman" w:hAnsi="Times New Roman" w:cs="Times New Roman" w:hint="default"/>
      </w:rPr>
    </w:lvl>
    <w:lvl w:ilvl="7">
      <w:start w:val="1"/>
      <w:numFmt w:val="decimal"/>
      <w:suff w:val="space"/>
      <w:lvlText w:val="%1.%2.%3.%4.%5.%6.%7.%8"/>
      <w:lvlJc w:val="left"/>
      <w:pPr>
        <w:ind w:left="-420" w:firstLine="0"/>
      </w:pPr>
      <w:rPr>
        <w:rFonts w:ascii="Times New Roman" w:hAnsi="Times New Roman" w:cs="Times New Roman" w:hint="default"/>
      </w:rPr>
    </w:lvl>
    <w:lvl w:ilvl="8">
      <w:start w:val="1"/>
      <w:numFmt w:val="decimal"/>
      <w:suff w:val="space"/>
      <w:lvlText w:val="%1.%2.%3.%4.%5.%6.%7.%8.%9"/>
      <w:lvlJc w:val="left"/>
      <w:pPr>
        <w:ind w:left="-420" w:firstLine="0"/>
      </w:pPr>
      <w:rPr>
        <w:rFonts w:ascii="Times New Roman" w:hAnsi="Times New Roman" w:cs="Times New Roman" w:hint="default"/>
      </w:rPr>
    </w:lvl>
  </w:abstractNum>
  <w:abstractNum w:abstractNumId="8" w15:restartNumberingAfterBreak="0">
    <w:nsid w:val="4C3B2C9D"/>
    <w:multiLevelType w:val="multilevel"/>
    <w:tmpl w:val="748E0A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4FA2944"/>
    <w:multiLevelType w:val="hybridMultilevel"/>
    <w:tmpl w:val="94FE4C28"/>
    <w:lvl w:ilvl="0" w:tplc="9C260E00">
      <w:start w:val="1"/>
      <w:numFmt w:val="bullet"/>
      <w:lvlText w:val=""/>
      <w:lvlJc w:val="left"/>
      <w:pPr>
        <w:ind w:left="1140" w:hanging="360"/>
      </w:pPr>
      <w:rPr>
        <w:rFonts w:ascii="Wingdings" w:hAnsi="Wingdings"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10" w15:restartNumberingAfterBreak="0">
    <w:nsid w:val="659D0EC3"/>
    <w:multiLevelType w:val="multilevel"/>
    <w:tmpl w:val="659D0EC3"/>
    <w:lvl w:ilvl="0">
      <w:start w:val="1"/>
      <w:numFmt w:val="decimal"/>
      <w:lvlText w:val="%1."/>
      <w:lvlJc w:val="left"/>
      <w:pPr>
        <w:ind w:left="360" w:hanging="360"/>
      </w:pPr>
      <w:rPr>
        <w:rFonts w:hint="default"/>
        <w:b w:val="0"/>
        <w:bCs/>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11" w15:restartNumberingAfterBreak="0">
    <w:nsid w:val="7237672A"/>
    <w:multiLevelType w:val="multilevel"/>
    <w:tmpl w:val="7237672A"/>
    <w:lvl w:ilvl="0">
      <w:start w:val="1"/>
      <w:numFmt w:val="decimal"/>
      <w:lvlText w:val="%1."/>
      <w:lvlJc w:val="left"/>
      <w:pPr>
        <w:ind w:left="780" w:hanging="360"/>
      </w:pPr>
      <w:rPr>
        <w:rFonts w:hint="default"/>
      </w:rPr>
    </w:lvl>
    <w:lvl w:ilvl="1">
      <w:start w:val="1"/>
      <w:numFmt w:val="lowerLetter"/>
      <w:lvlText w:val="%2)"/>
      <w:lvlJc w:val="left"/>
      <w:pPr>
        <w:ind w:left="1300" w:hanging="440"/>
      </w:pPr>
    </w:lvl>
    <w:lvl w:ilvl="2">
      <w:start w:val="1"/>
      <w:numFmt w:val="lowerRoman"/>
      <w:lvlText w:val="%3."/>
      <w:lvlJc w:val="right"/>
      <w:pPr>
        <w:ind w:left="1740" w:hanging="440"/>
      </w:pPr>
    </w:lvl>
    <w:lvl w:ilvl="3">
      <w:start w:val="1"/>
      <w:numFmt w:val="decimal"/>
      <w:lvlText w:val="%4."/>
      <w:lvlJc w:val="left"/>
      <w:pPr>
        <w:ind w:left="2180" w:hanging="440"/>
      </w:pPr>
    </w:lvl>
    <w:lvl w:ilvl="4">
      <w:start w:val="1"/>
      <w:numFmt w:val="lowerLetter"/>
      <w:lvlText w:val="%5)"/>
      <w:lvlJc w:val="left"/>
      <w:pPr>
        <w:ind w:left="2620" w:hanging="440"/>
      </w:pPr>
    </w:lvl>
    <w:lvl w:ilvl="5">
      <w:start w:val="1"/>
      <w:numFmt w:val="lowerRoman"/>
      <w:lvlText w:val="%6."/>
      <w:lvlJc w:val="right"/>
      <w:pPr>
        <w:ind w:left="3060" w:hanging="440"/>
      </w:pPr>
    </w:lvl>
    <w:lvl w:ilvl="6">
      <w:start w:val="1"/>
      <w:numFmt w:val="decimal"/>
      <w:lvlText w:val="%7."/>
      <w:lvlJc w:val="left"/>
      <w:pPr>
        <w:ind w:left="3500" w:hanging="440"/>
      </w:pPr>
    </w:lvl>
    <w:lvl w:ilvl="7">
      <w:start w:val="1"/>
      <w:numFmt w:val="lowerLetter"/>
      <w:lvlText w:val="%8)"/>
      <w:lvlJc w:val="left"/>
      <w:pPr>
        <w:ind w:left="3940" w:hanging="440"/>
      </w:pPr>
    </w:lvl>
    <w:lvl w:ilvl="8">
      <w:start w:val="1"/>
      <w:numFmt w:val="lowerRoman"/>
      <w:lvlText w:val="%9."/>
      <w:lvlJc w:val="right"/>
      <w:pPr>
        <w:ind w:left="4380" w:hanging="440"/>
      </w:pPr>
    </w:lvl>
  </w:abstractNum>
  <w:num w:numId="1" w16cid:durableId="260382034">
    <w:abstractNumId w:val="7"/>
  </w:num>
  <w:num w:numId="2" w16cid:durableId="799496879">
    <w:abstractNumId w:val="1"/>
  </w:num>
  <w:num w:numId="3" w16cid:durableId="1638416045">
    <w:abstractNumId w:val="4"/>
  </w:num>
  <w:num w:numId="4" w16cid:durableId="1908371445">
    <w:abstractNumId w:val="5"/>
  </w:num>
  <w:num w:numId="5" w16cid:durableId="1902444982">
    <w:abstractNumId w:val="2"/>
  </w:num>
  <w:num w:numId="6" w16cid:durableId="229124465">
    <w:abstractNumId w:val="0"/>
  </w:num>
  <w:num w:numId="7" w16cid:durableId="2036072641">
    <w:abstractNumId w:val="3"/>
  </w:num>
  <w:num w:numId="8" w16cid:durableId="561717817">
    <w:abstractNumId w:val="11"/>
  </w:num>
  <w:num w:numId="9" w16cid:durableId="65419251">
    <w:abstractNumId w:val="10"/>
  </w:num>
  <w:num w:numId="10" w16cid:durableId="209632359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2124574623">
    <w:abstractNumId w:val="9"/>
  </w:num>
  <w:num w:numId="12" w16cid:durableId="150876118">
    <w:abstractNumId w:val="8"/>
  </w:num>
  <w:num w:numId="13" w16cid:durableId="176915649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bordersDoNotSurroundHeader/>
  <w:bordersDoNotSurroundFooter/>
  <w:hideSpellingErrors/>
  <w:hideGrammaticalErrors/>
  <w:proofState w:spelling="clean" w:grammar="clean"/>
  <w:defaultTabStop w:val="420"/>
  <w:drawingGridHorizontalSpacing w:val="105"/>
  <w:drawingGridVerticalSpacing w:val="156"/>
  <w:noPunctuationKerning/>
  <w:characterSpacingControl w:val="doNotCompress"/>
  <w:hdrShapeDefaults>
    <o:shapedefaults v:ext="edit" spidmax="2050"/>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NjAzMzUyNrUwNTM1MzNW0lEKTi0uzszPAykwNqoFAFGR+estAAAA"/>
    <w:docVar w:name="commondata" w:val="eyJoZGlkIjoiNjQxOGU0ZTg4Y2VlYjU3MGZhYThiYjQ0ZGFjNmQ1OGEifQ=="/>
    <w:docVar w:name="EN.InstantFormat" w:val="&lt;ENInstantFormat&gt;&lt;Enabled&gt;0&lt;/Enabled&gt;&lt;ScanUnformatted&gt;1&lt;/ScanUnformatted&gt;&lt;ScanChanges&gt;1&lt;/ScanChanges&gt;&lt;Suspended&gt;0&lt;/Suspended&gt;&lt;/ENInstantFormat&gt;"/>
    <w:docVar w:name="EN.Layout" w:val="&lt;ENLayout&gt;&lt;Style&gt;Numbered&lt;/Style&gt;&lt;LeftDelim&gt;{&lt;/LeftDelim&gt;&lt;RightDelim&gt;}&lt;/RightDelim&gt;&lt;FontName&gt;Calibri&lt;/FontName&gt;&lt;FontSize&gt;10&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s5a20zarpzsevlesazbv5rr650rzwz2f2t2a&quot;&gt;Echo&amp;apos;s Library&lt;record-ids&gt;&lt;item&gt;442&lt;/item&gt;&lt;item&gt;595&lt;/item&gt;&lt;item&gt;1239&lt;/item&gt;&lt;item&gt;1314&lt;/item&gt;&lt;item&gt;1386&lt;/item&gt;&lt;item&gt;1493&lt;/item&gt;&lt;item&gt;1716&lt;/item&gt;&lt;item&gt;1777&lt;/item&gt;&lt;item&gt;1778&lt;/item&gt;&lt;item&gt;1808&lt;/item&gt;&lt;item&gt;1880&lt;/item&gt;&lt;item&gt;2030&lt;/item&gt;&lt;item&gt;2070&lt;/item&gt;&lt;item&gt;2111&lt;/item&gt;&lt;/record-ids&gt;&lt;/item&gt;&lt;/Libraries&gt;"/>
  </w:docVars>
  <w:rsids>
    <w:rsidRoot w:val="001714F0"/>
    <w:rsid w:val="000009DD"/>
    <w:rsid w:val="000033E6"/>
    <w:rsid w:val="00005B02"/>
    <w:rsid w:val="00006A80"/>
    <w:rsid w:val="0001276B"/>
    <w:rsid w:val="0001280F"/>
    <w:rsid w:val="00013757"/>
    <w:rsid w:val="000143F2"/>
    <w:rsid w:val="00017A47"/>
    <w:rsid w:val="00020B39"/>
    <w:rsid w:val="00022475"/>
    <w:rsid w:val="000232C7"/>
    <w:rsid w:val="00023F1D"/>
    <w:rsid w:val="000247EA"/>
    <w:rsid w:val="0002787A"/>
    <w:rsid w:val="0003222D"/>
    <w:rsid w:val="0003243A"/>
    <w:rsid w:val="0003796E"/>
    <w:rsid w:val="0004052D"/>
    <w:rsid w:val="00040C70"/>
    <w:rsid w:val="000414A3"/>
    <w:rsid w:val="00041E01"/>
    <w:rsid w:val="00045DAB"/>
    <w:rsid w:val="0004642F"/>
    <w:rsid w:val="00046A02"/>
    <w:rsid w:val="00046C30"/>
    <w:rsid w:val="000521DD"/>
    <w:rsid w:val="00052E32"/>
    <w:rsid w:val="00054D6F"/>
    <w:rsid w:val="00055734"/>
    <w:rsid w:val="00055A39"/>
    <w:rsid w:val="0005790B"/>
    <w:rsid w:val="00061FB5"/>
    <w:rsid w:val="000639A4"/>
    <w:rsid w:val="0006609E"/>
    <w:rsid w:val="00071428"/>
    <w:rsid w:val="00071DB9"/>
    <w:rsid w:val="00073D16"/>
    <w:rsid w:val="00074D35"/>
    <w:rsid w:val="00076BCA"/>
    <w:rsid w:val="000777A6"/>
    <w:rsid w:val="00080027"/>
    <w:rsid w:val="00080684"/>
    <w:rsid w:val="00083A51"/>
    <w:rsid w:val="0008767C"/>
    <w:rsid w:val="00091DE8"/>
    <w:rsid w:val="00095A02"/>
    <w:rsid w:val="00095FF2"/>
    <w:rsid w:val="00097D71"/>
    <w:rsid w:val="000A0971"/>
    <w:rsid w:val="000A0BFA"/>
    <w:rsid w:val="000A1358"/>
    <w:rsid w:val="000A1A8F"/>
    <w:rsid w:val="000A2AC8"/>
    <w:rsid w:val="000A4815"/>
    <w:rsid w:val="000A5DD2"/>
    <w:rsid w:val="000A66AF"/>
    <w:rsid w:val="000A710B"/>
    <w:rsid w:val="000B0D74"/>
    <w:rsid w:val="000B4C7F"/>
    <w:rsid w:val="000B609D"/>
    <w:rsid w:val="000B6D4D"/>
    <w:rsid w:val="000B7779"/>
    <w:rsid w:val="000B79DA"/>
    <w:rsid w:val="000C019D"/>
    <w:rsid w:val="000C1F86"/>
    <w:rsid w:val="000C1FFE"/>
    <w:rsid w:val="000C200F"/>
    <w:rsid w:val="000C2423"/>
    <w:rsid w:val="000C37E7"/>
    <w:rsid w:val="000C4104"/>
    <w:rsid w:val="000C4F08"/>
    <w:rsid w:val="000C58E8"/>
    <w:rsid w:val="000C6970"/>
    <w:rsid w:val="000C741E"/>
    <w:rsid w:val="000C7598"/>
    <w:rsid w:val="000C7B0A"/>
    <w:rsid w:val="000C7F86"/>
    <w:rsid w:val="000D541C"/>
    <w:rsid w:val="000D598E"/>
    <w:rsid w:val="000D6F71"/>
    <w:rsid w:val="000D7435"/>
    <w:rsid w:val="000D7512"/>
    <w:rsid w:val="000D79A7"/>
    <w:rsid w:val="000E1642"/>
    <w:rsid w:val="000E19DD"/>
    <w:rsid w:val="000E1C84"/>
    <w:rsid w:val="000E5475"/>
    <w:rsid w:val="000E70CA"/>
    <w:rsid w:val="000E7FA0"/>
    <w:rsid w:val="000F0457"/>
    <w:rsid w:val="000F1981"/>
    <w:rsid w:val="000F2F7D"/>
    <w:rsid w:val="000F3054"/>
    <w:rsid w:val="000F467F"/>
    <w:rsid w:val="00100029"/>
    <w:rsid w:val="00100BEB"/>
    <w:rsid w:val="00102022"/>
    <w:rsid w:val="00103A6D"/>
    <w:rsid w:val="00103D46"/>
    <w:rsid w:val="001049C2"/>
    <w:rsid w:val="00107064"/>
    <w:rsid w:val="001071DF"/>
    <w:rsid w:val="00111488"/>
    <w:rsid w:val="00114422"/>
    <w:rsid w:val="00115A47"/>
    <w:rsid w:val="001162BC"/>
    <w:rsid w:val="00116D5B"/>
    <w:rsid w:val="00120CB3"/>
    <w:rsid w:val="0012156F"/>
    <w:rsid w:val="001225A9"/>
    <w:rsid w:val="00122EB9"/>
    <w:rsid w:val="00125AB7"/>
    <w:rsid w:val="00125D84"/>
    <w:rsid w:val="00127DAA"/>
    <w:rsid w:val="00130B2A"/>
    <w:rsid w:val="00130CBD"/>
    <w:rsid w:val="001319C1"/>
    <w:rsid w:val="00132199"/>
    <w:rsid w:val="00132EE7"/>
    <w:rsid w:val="001346F2"/>
    <w:rsid w:val="001353D9"/>
    <w:rsid w:val="00135894"/>
    <w:rsid w:val="00136C5F"/>
    <w:rsid w:val="00143637"/>
    <w:rsid w:val="00144BB0"/>
    <w:rsid w:val="001454B1"/>
    <w:rsid w:val="00146584"/>
    <w:rsid w:val="0014689B"/>
    <w:rsid w:val="00146FC5"/>
    <w:rsid w:val="00150354"/>
    <w:rsid w:val="001505D9"/>
    <w:rsid w:val="00153B45"/>
    <w:rsid w:val="0015404F"/>
    <w:rsid w:val="001545C3"/>
    <w:rsid w:val="001556BC"/>
    <w:rsid w:val="00155C7A"/>
    <w:rsid w:val="00156158"/>
    <w:rsid w:val="00156D12"/>
    <w:rsid w:val="001579EB"/>
    <w:rsid w:val="00160B97"/>
    <w:rsid w:val="00160BE0"/>
    <w:rsid w:val="00161190"/>
    <w:rsid w:val="00163D5C"/>
    <w:rsid w:val="00164019"/>
    <w:rsid w:val="00164562"/>
    <w:rsid w:val="00170070"/>
    <w:rsid w:val="001708D0"/>
    <w:rsid w:val="00170B2C"/>
    <w:rsid w:val="001714F0"/>
    <w:rsid w:val="0017251D"/>
    <w:rsid w:val="00173E6F"/>
    <w:rsid w:val="00173FFC"/>
    <w:rsid w:val="0017410C"/>
    <w:rsid w:val="0017590B"/>
    <w:rsid w:val="0017615C"/>
    <w:rsid w:val="0017645C"/>
    <w:rsid w:val="00181307"/>
    <w:rsid w:val="00184133"/>
    <w:rsid w:val="00184E5D"/>
    <w:rsid w:val="00185B27"/>
    <w:rsid w:val="0018604F"/>
    <w:rsid w:val="001865EA"/>
    <w:rsid w:val="0019041B"/>
    <w:rsid w:val="001904A1"/>
    <w:rsid w:val="00191075"/>
    <w:rsid w:val="0019159B"/>
    <w:rsid w:val="00192BAF"/>
    <w:rsid w:val="00194446"/>
    <w:rsid w:val="00194614"/>
    <w:rsid w:val="00194BFF"/>
    <w:rsid w:val="001950F3"/>
    <w:rsid w:val="00195775"/>
    <w:rsid w:val="00195DE4"/>
    <w:rsid w:val="00197178"/>
    <w:rsid w:val="001A2A62"/>
    <w:rsid w:val="001A68C1"/>
    <w:rsid w:val="001A6E8E"/>
    <w:rsid w:val="001A702F"/>
    <w:rsid w:val="001B143B"/>
    <w:rsid w:val="001B1EE5"/>
    <w:rsid w:val="001B1F88"/>
    <w:rsid w:val="001B1FC8"/>
    <w:rsid w:val="001B2339"/>
    <w:rsid w:val="001B2C52"/>
    <w:rsid w:val="001B3C74"/>
    <w:rsid w:val="001B7979"/>
    <w:rsid w:val="001B7A86"/>
    <w:rsid w:val="001C0407"/>
    <w:rsid w:val="001C0CF2"/>
    <w:rsid w:val="001C2CB4"/>
    <w:rsid w:val="001C37BF"/>
    <w:rsid w:val="001C713F"/>
    <w:rsid w:val="001D0352"/>
    <w:rsid w:val="001D0A3B"/>
    <w:rsid w:val="001D4D71"/>
    <w:rsid w:val="001D5AAD"/>
    <w:rsid w:val="001E0982"/>
    <w:rsid w:val="001E0B9F"/>
    <w:rsid w:val="001E0F60"/>
    <w:rsid w:val="001E131F"/>
    <w:rsid w:val="001E42A7"/>
    <w:rsid w:val="001E6EA6"/>
    <w:rsid w:val="001F1004"/>
    <w:rsid w:val="001F1642"/>
    <w:rsid w:val="001F1837"/>
    <w:rsid w:val="001F2100"/>
    <w:rsid w:val="001F2708"/>
    <w:rsid w:val="001F3EE5"/>
    <w:rsid w:val="001F44BB"/>
    <w:rsid w:val="001F458A"/>
    <w:rsid w:val="001F5753"/>
    <w:rsid w:val="001F65E8"/>
    <w:rsid w:val="001F7993"/>
    <w:rsid w:val="002025CD"/>
    <w:rsid w:val="00203B4E"/>
    <w:rsid w:val="00210CD9"/>
    <w:rsid w:val="002118ED"/>
    <w:rsid w:val="0021459E"/>
    <w:rsid w:val="00215F3B"/>
    <w:rsid w:val="00216B9D"/>
    <w:rsid w:val="0021735A"/>
    <w:rsid w:val="00217BB5"/>
    <w:rsid w:val="00220572"/>
    <w:rsid w:val="00220CF8"/>
    <w:rsid w:val="002219CA"/>
    <w:rsid w:val="00222203"/>
    <w:rsid w:val="0022345C"/>
    <w:rsid w:val="002246CD"/>
    <w:rsid w:val="00226075"/>
    <w:rsid w:val="002267FF"/>
    <w:rsid w:val="00226B40"/>
    <w:rsid w:val="00226BE8"/>
    <w:rsid w:val="002279CC"/>
    <w:rsid w:val="0023266D"/>
    <w:rsid w:val="00232C70"/>
    <w:rsid w:val="00233CBA"/>
    <w:rsid w:val="0023503B"/>
    <w:rsid w:val="0023684C"/>
    <w:rsid w:val="00240757"/>
    <w:rsid w:val="00242B0E"/>
    <w:rsid w:val="002438F8"/>
    <w:rsid w:val="00244777"/>
    <w:rsid w:val="002458CD"/>
    <w:rsid w:val="00245C23"/>
    <w:rsid w:val="00247DEF"/>
    <w:rsid w:val="00253142"/>
    <w:rsid w:val="00256E34"/>
    <w:rsid w:val="00257105"/>
    <w:rsid w:val="002607F3"/>
    <w:rsid w:val="00261A06"/>
    <w:rsid w:val="00262773"/>
    <w:rsid w:val="002647DE"/>
    <w:rsid w:val="0026500D"/>
    <w:rsid w:val="00265F4F"/>
    <w:rsid w:val="002676AF"/>
    <w:rsid w:val="00272148"/>
    <w:rsid w:val="002754E5"/>
    <w:rsid w:val="00275A3D"/>
    <w:rsid w:val="00280396"/>
    <w:rsid w:val="00280F71"/>
    <w:rsid w:val="00281539"/>
    <w:rsid w:val="0028229C"/>
    <w:rsid w:val="002824C7"/>
    <w:rsid w:val="00283BAF"/>
    <w:rsid w:val="0028570E"/>
    <w:rsid w:val="00285EF1"/>
    <w:rsid w:val="00286A20"/>
    <w:rsid w:val="0029001B"/>
    <w:rsid w:val="00290F23"/>
    <w:rsid w:val="00292935"/>
    <w:rsid w:val="002939A2"/>
    <w:rsid w:val="0029462D"/>
    <w:rsid w:val="0029527D"/>
    <w:rsid w:val="002963C7"/>
    <w:rsid w:val="002A06CE"/>
    <w:rsid w:val="002A2332"/>
    <w:rsid w:val="002A3510"/>
    <w:rsid w:val="002A3F31"/>
    <w:rsid w:val="002A5839"/>
    <w:rsid w:val="002A5B08"/>
    <w:rsid w:val="002A5EE1"/>
    <w:rsid w:val="002A6206"/>
    <w:rsid w:val="002A7A7C"/>
    <w:rsid w:val="002B11CB"/>
    <w:rsid w:val="002B1374"/>
    <w:rsid w:val="002B4367"/>
    <w:rsid w:val="002B4DCB"/>
    <w:rsid w:val="002B5C1E"/>
    <w:rsid w:val="002C1671"/>
    <w:rsid w:val="002C1F72"/>
    <w:rsid w:val="002C4B3A"/>
    <w:rsid w:val="002C60F6"/>
    <w:rsid w:val="002C65F2"/>
    <w:rsid w:val="002C71E8"/>
    <w:rsid w:val="002C7789"/>
    <w:rsid w:val="002D0754"/>
    <w:rsid w:val="002D0B90"/>
    <w:rsid w:val="002D2D96"/>
    <w:rsid w:val="002D30AE"/>
    <w:rsid w:val="002D37B0"/>
    <w:rsid w:val="002D7A92"/>
    <w:rsid w:val="002E05EE"/>
    <w:rsid w:val="002E2CC0"/>
    <w:rsid w:val="002E2D11"/>
    <w:rsid w:val="002E68BC"/>
    <w:rsid w:val="002E6FAD"/>
    <w:rsid w:val="002E7A60"/>
    <w:rsid w:val="002F0728"/>
    <w:rsid w:val="002F1D62"/>
    <w:rsid w:val="002F219D"/>
    <w:rsid w:val="002F33D3"/>
    <w:rsid w:val="002F410B"/>
    <w:rsid w:val="002F4439"/>
    <w:rsid w:val="002F44DA"/>
    <w:rsid w:val="002F55D8"/>
    <w:rsid w:val="002F68EA"/>
    <w:rsid w:val="002F69D2"/>
    <w:rsid w:val="00305592"/>
    <w:rsid w:val="00306FE1"/>
    <w:rsid w:val="00307F89"/>
    <w:rsid w:val="003105AB"/>
    <w:rsid w:val="00311910"/>
    <w:rsid w:val="003133FA"/>
    <w:rsid w:val="003148E9"/>
    <w:rsid w:val="00314C24"/>
    <w:rsid w:val="00315F3D"/>
    <w:rsid w:val="003162F0"/>
    <w:rsid w:val="00316429"/>
    <w:rsid w:val="003207BE"/>
    <w:rsid w:val="0032200B"/>
    <w:rsid w:val="00324959"/>
    <w:rsid w:val="0032556A"/>
    <w:rsid w:val="00325DA8"/>
    <w:rsid w:val="00327283"/>
    <w:rsid w:val="00327F0C"/>
    <w:rsid w:val="00327F56"/>
    <w:rsid w:val="00330D8A"/>
    <w:rsid w:val="00340291"/>
    <w:rsid w:val="003421B6"/>
    <w:rsid w:val="00342A26"/>
    <w:rsid w:val="00344277"/>
    <w:rsid w:val="003459A4"/>
    <w:rsid w:val="00351F04"/>
    <w:rsid w:val="00352997"/>
    <w:rsid w:val="00352D44"/>
    <w:rsid w:val="0035335F"/>
    <w:rsid w:val="003533EC"/>
    <w:rsid w:val="003539BF"/>
    <w:rsid w:val="00354133"/>
    <w:rsid w:val="0035579F"/>
    <w:rsid w:val="00355AF6"/>
    <w:rsid w:val="00360AB9"/>
    <w:rsid w:val="0036154D"/>
    <w:rsid w:val="00361730"/>
    <w:rsid w:val="0036177C"/>
    <w:rsid w:val="00363140"/>
    <w:rsid w:val="003634A6"/>
    <w:rsid w:val="0036358A"/>
    <w:rsid w:val="00365794"/>
    <w:rsid w:val="00365AF6"/>
    <w:rsid w:val="00367BB3"/>
    <w:rsid w:val="00373F0D"/>
    <w:rsid w:val="00375DD9"/>
    <w:rsid w:val="00376393"/>
    <w:rsid w:val="003766EF"/>
    <w:rsid w:val="00377758"/>
    <w:rsid w:val="00380AE4"/>
    <w:rsid w:val="0038109C"/>
    <w:rsid w:val="003822D0"/>
    <w:rsid w:val="00383139"/>
    <w:rsid w:val="003852B7"/>
    <w:rsid w:val="00385F58"/>
    <w:rsid w:val="003866F8"/>
    <w:rsid w:val="00386813"/>
    <w:rsid w:val="00386AA8"/>
    <w:rsid w:val="00391C24"/>
    <w:rsid w:val="00391FE6"/>
    <w:rsid w:val="00392819"/>
    <w:rsid w:val="0039283E"/>
    <w:rsid w:val="00393042"/>
    <w:rsid w:val="003931DD"/>
    <w:rsid w:val="00393DFD"/>
    <w:rsid w:val="00393EE4"/>
    <w:rsid w:val="00397711"/>
    <w:rsid w:val="003A0BBB"/>
    <w:rsid w:val="003A125D"/>
    <w:rsid w:val="003A1AD9"/>
    <w:rsid w:val="003A25EF"/>
    <w:rsid w:val="003A58D2"/>
    <w:rsid w:val="003A64C8"/>
    <w:rsid w:val="003A7D14"/>
    <w:rsid w:val="003B0CE5"/>
    <w:rsid w:val="003B11C8"/>
    <w:rsid w:val="003B1280"/>
    <w:rsid w:val="003B20CE"/>
    <w:rsid w:val="003B2B7D"/>
    <w:rsid w:val="003B32A9"/>
    <w:rsid w:val="003B3FC7"/>
    <w:rsid w:val="003B448C"/>
    <w:rsid w:val="003C0D60"/>
    <w:rsid w:val="003C115F"/>
    <w:rsid w:val="003C1D84"/>
    <w:rsid w:val="003C3A6F"/>
    <w:rsid w:val="003C62BF"/>
    <w:rsid w:val="003C676F"/>
    <w:rsid w:val="003D03B2"/>
    <w:rsid w:val="003D0807"/>
    <w:rsid w:val="003D4B27"/>
    <w:rsid w:val="003D5501"/>
    <w:rsid w:val="003D5FA2"/>
    <w:rsid w:val="003D6689"/>
    <w:rsid w:val="003D775C"/>
    <w:rsid w:val="003D7774"/>
    <w:rsid w:val="003D7C1C"/>
    <w:rsid w:val="003E1169"/>
    <w:rsid w:val="003E1806"/>
    <w:rsid w:val="003E241C"/>
    <w:rsid w:val="003E47ED"/>
    <w:rsid w:val="003E4AD5"/>
    <w:rsid w:val="003E555C"/>
    <w:rsid w:val="003E7546"/>
    <w:rsid w:val="003E77B3"/>
    <w:rsid w:val="003F0718"/>
    <w:rsid w:val="003F0CBB"/>
    <w:rsid w:val="003F0D58"/>
    <w:rsid w:val="003F2C8C"/>
    <w:rsid w:val="003F49AA"/>
    <w:rsid w:val="003F6130"/>
    <w:rsid w:val="00401862"/>
    <w:rsid w:val="00405863"/>
    <w:rsid w:val="00406E82"/>
    <w:rsid w:val="00407F2E"/>
    <w:rsid w:val="0041035C"/>
    <w:rsid w:val="00412531"/>
    <w:rsid w:val="00414E0D"/>
    <w:rsid w:val="00416021"/>
    <w:rsid w:val="004200A0"/>
    <w:rsid w:val="00422753"/>
    <w:rsid w:val="004247A1"/>
    <w:rsid w:val="00424BFD"/>
    <w:rsid w:val="00424EFA"/>
    <w:rsid w:val="00425158"/>
    <w:rsid w:val="00425DFC"/>
    <w:rsid w:val="004278AA"/>
    <w:rsid w:val="00432361"/>
    <w:rsid w:val="00432793"/>
    <w:rsid w:val="004340D0"/>
    <w:rsid w:val="004407BF"/>
    <w:rsid w:val="0044129A"/>
    <w:rsid w:val="00441793"/>
    <w:rsid w:val="0044399C"/>
    <w:rsid w:val="00446D37"/>
    <w:rsid w:val="00447AD1"/>
    <w:rsid w:val="004512D2"/>
    <w:rsid w:val="004539E2"/>
    <w:rsid w:val="00453CE0"/>
    <w:rsid w:val="00455682"/>
    <w:rsid w:val="00456CC9"/>
    <w:rsid w:val="004607B5"/>
    <w:rsid w:val="00462D6E"/>
    <w:rsid w:val="0046406B"/>
    <w:rsid w:val="00465826"/>
    <w:rsid w:val="0046799F"/>
    <w:rsid w:val="00470A0B"/>
    <w:rsid w:val="004716B9"/>
    <w:rsid w:val="00471799"/>
    <w:rsid w:val="00472D70"/>
    <w:rsid w:val="00473E1E"/>
    <w:rsid w:val="00473FD2"/>
    <w:rsid w:val="00477DF4"/>
    <w:rsid w:val="00481CA3"/>
    <w:rsid w:val="00482971"/>
    <w:rsid w:val="004834A0"/>
    <w:rsid w:val="004858E3"/>
    <w:rsid w:val="00485B90"/>
    <w:rsid w:val="00486471"/>
    <w:rsid w:val="00490294"/>
    <w:rsid w:val="00494504"/>
    <w:rsid w:val="00494F95"/>
    <w:rsid w:val="0049588B"/>
    <w:rsid w:val="004A0237"/>
    <w:rsid w:val="004A0ACF"/>
    <w:rsid w:val="004A16EA"/>
    <w:rsid w:val="004A2C80"/>
    <w:rsid w:val="004A3859"/>
    <w:rsid w:val="004A3C32"/>
    <w:rsid w:val="004A544F"/>
    <w:rsid w:val="004A5E30"/>
    <w:rsid w:val="004A6826"/>
    <w:rsid w:val="004A6882"/>
    <w:rsid w:val="004A7351"/>
    <w:rsid w:val="004B075D"/>
    <w:rsid w:val="004B1B2A"/>
    <w:rsid w:val="004B28F4"/>
    <w:rsid w:val="004B33E5"/>
    <w:rsid w:val="004B3FE8"/>
    <w:rsid w:val="004B4B1B"/>
    <w:rsid w:val="004B67FC"/>
    <w:rsid w:val="004B70C2"/>
    <w:rsid w:val="004B7E78"/>
    <w:rsid w:val="004C1C39"/>
    <w:rsid w:val="004C3250"/>
    <w:rsid w:val="004D25B1"/>
    <w:rsid w:val="004D2A5A"/>
    <w:rsid w:val="004D3544"/>
    <w:rsid w:val="004D3C23"/>
    <w:rsid w:val="004D4D02"/>
    <w:rsid w:val="004E1722"/>
    <w:rsid w:val="004E18EA"/>
    <w:rsid w:val="004E23C3"/>
    <w:rsid w:val="004E28F3"/>
    <w:rsid w:val="004E41C7"/>
    <w:rsid w:val="004E6A71"/>
    <w:rsid w:val="004F2656"/>
    <w:rsid w:val="004F38E4"/>
    <w:rsid w:val="004F6EC6"/>
    <w:rsid w:val="004F7A4B"/>
    <w:rsid w:val="00501879"/>
    <w:rsid w:val="005019F1"/>
    <w:rsid w:val="005025FC"/>
    <w:rsid w:val="00502881"/>
    <w:rsid w:val="00506BE6"/>
    <w:rsid w:val="00506CBA"/>
    <w:rsid w:val="0050710A"/>
    <w:rsid w:val="00510F3C"/>
    <w:rsid w:val="00512094"/>
    <w:rsid w:val="00512665"/>
    <w:rsid w:val="00512CB6"/>
    <w:rsid w:val="005149E8"/>
    <w:rsid w:val="00515C3F"/>
    <w:rsid w:val="0051608A"/>
    <w:rsid w:val="0051671A"/>
    <w:rsid w:val="00521B3C"/>
    <w:rsid w:val="00522BD4"/>
    <w:rsid w:val="005235F2"/>
    <w:rsid w:val="00524177"/>
    <w:rsid w:val="005242FA"/>
    <w:rsid w:val="00530403"/>
    <w:rsid w:val="00531187"/>
    <w:rsid w:val="00531B5E"/>
    <w:rsid w:val="00532BAF"/>
    <w:rsid w:val="00533F34"/>
    <w:rsid w:val="00536DC3"/>
    <w:rsid w:val="0054055D"/>
    <w:rsid w:val="00542200"/>
    <w:rsid w:val="005425AA"/>
    <w:rsid w:val="0054391B"/>
    <w:rsid w:val="0054423B"/>
    <w:rsid w:val="00544EFB"/>
    <w:rsid w:val="0054572E"/>
    <w:rsid w:val="00547928"/>
    <w:rsid w:val="005507A4"/>
    <w:rsid w:val="00552ECB"/>
    <w:rsid w:val="00557388"/>
    <w:rsid w:val="005614D9"/>
    <w:rsid w:val="005641A8"/>
    <w:rsid w:val="00564BBD"/>
    <w:rsid w:val="00566F54"/>
    <w:rsid w:val="0056736B"/>
    <w:rsid w:val="00571FB9"/>
    <w:rsid w:val="00572019"/>
    <w:rsid w:val="00572B16"/>
    <w:rsid w:val="005738ED"/>
    <w:rsid w:val="005739E5"/>
    <w:rsid w:val="005745EA"/>
    <w:rsid w:val="005753EE"/>
    <w:rsid w:val="005757BE"/>
    <w:rsid w:val="00575F26"/>
    <w:rsid w:val="005770C9"/>
    <w:rsid w:val="00577B9B"/>
    <w:rsid w:val="00580722"/>
    <w:rsid w:val="00580FFD"/>
    <w:rsid w:val="00581F54"/>
    <w:rsid w:val="00584AF4"/>
    <w:rsid w:val="00584C29"/>
    <w:rsid w:val="00584CAE"/>
    <w:rsid w:val="005866BF"/>
    <w:rsid w:val="00587BF9"/>
    <w:rsid w:val="0059022E"/>
    <w:rsid w:val="0059027C"/>
    <w:rsid w:val="00590A50"/>
    <w:rsid w:val="00590E02"/>
    <w:rsid w:val="00592573"/>
    <w:rsid w:val="00593907"/>
    <w:rsid w:val="005950DA"/>
    <w:rsid w:val="00595B74"/>
    <w:rsid w:val="0059649E"/>
    <w:rsid w:val="005978F7"/>
    <w:rsid w:val="00597BE4"/>
    <w:rsid w:val="005A00B4"/>
    <w:rsid w:val="005A0786"/>
    <w:rsid w:val="005A3206"/>
    <w:rsid w:val="005A5659"/>
    <w:rsid w:val="005A6782"/>
    <w:rsid w:val="005A7DDB"/>
    <w:rsid w:val="005B0018"/>
    <w:rsid w:val="005B1645"/>
    <w:rsid w:val="005B71C0"/>
    <w:rsid w:val="005B75EA"/>
    <w:rsid w:val="005C7073"/>
    <w:rsid w:val="005C7AB1"/>
    <w:rsid w:val="005D06BF"/>
    <w:rsid w:val="005D3F25"/>
    <w:rsid w:val="005D422F"/>
    <w:rsid w:val="005D4559"/>
    <w:rsid w:val="005D53C3"/>
    <w:rsid w:val="005D5BA7"/>
    <w:rsid w:val="005D6969"/>
    <w:rsid w:val="005E1210"/>
    <w:rsid w:val="005E15A3"/>
    <w:rsid w:val="005E1B45"/>
    <w:rsid w:val="005E1FDF"/>
    <w:rsid w:val="005E22D9"/>
    <w:rsid w:val="005E466B"/>
    <w:rsid w:val="005E58F4"/>
    <w:rsid w:val="005E648F"/>
    <w:rsid w:val="005F3D1B"/>
    <w:rsid w:val="005F3D91"/>
    <w:rsid w:val="005F53E4"/>
    <w:rsid w:val="005F6999"/>
    <w:rsid w:val="005F72CE"/>
    <w:rsid w:val="006010C8"/>
    <w:rsid w:val="00604E17"/>
    <w:rsid w:val="00607771"/>
    <w:rsid w:val="00617674"/>
    <w:rsid w:val="0062253C"/>
    <w:rsid w:val="006238FD"/>
    <w:rsid w:val="00626EC0"/>
    <w:rsid w:val="00627024"/>
    <w:rsid w:val="00630723"/>
    <w:rsid w:val="0063077D"/>
    <w:rsid w:val="0063268F"/>
    <w:rsid w:val="00632F6D"/>
    <w:rsid w:val="006335F5"/>
    <w:rsid w:val="006341EF"/>
    <w:rsid w:val="00634252"/>
    <w:rsid w:val="0063663D"/>
    <w:rsid w:val="00640C5B"/>
    <w:rsid w:val="00641769"/>
    <w:rsid w:val="0064442E"/>
    <w:rsid w:val="00645CE1"/>
    <w:rsid w:val="00646452"/>
    <w:rsid w:val="0065006A"/>
    <w:rsid w:val="006526BA"/>
    <w:rsid w:val="00652DF4"/>
    <w:rsid w:val="006558B3"/>
    <w:rsid w:val="00656302"/>
    <w:rsid w:val="00660F51"/>
    <w:rsid w:val="0066268E"/>
    <w:rsid w:val="00663F73"/>
    <w:rsid w:val="00664373"/>
    <w:rsid w:val="006646E5"/>
    <w:rsid w:val="00665306"/>
    <w:rsid w:val="006653B2"/>
    <w:rsid w:val="0066663D"/>
    <w:rsid w:val="00666A3E"/>
    <w:rsid w:val="00667725"/>
    <w:rsid w:val="00667D51"/>
    <w:rsid w:val="00670577"/>
    <w:rsid w:val="006712A4"/>
    <w:rsid w:val="006713AA"/>
    <w:rsid w:val="00672988"/>
    <w:rsid w:val="0067474D"/>
    <w:rsid w:val="006773B5"/>
    <w:rsid w:val="00680199"/>
    <w:rsid w:val="00680339"/>
    <w:rsid w:val="00680755"/>
    <w:rsid w:val="006818BA"/>
    <w:rsid w:val="00682398"/>
    <w:rsid w:val="0068490C"/>
    <w:rsid w:val="00685C54"/>
    <w:rsid w:val="00685EEC"/>
    <w:rsid w:val="0068756E"/>
    <w:rsid w:val="00687B3F"/>
    <w:rsid w:val="006900E1"/>
    <w:rsid w:val="00690975"/>
    <w:rsid w:val="006917B6"/>
    <w:rsid w:val="0069207A"/>
    <w:rsid w:val="00694999"/>
    <w:rsid w:val="006974AF"/>
    <w:rsid w:val="006A1CEC"/>
    <w:rsid w:val="006A21CC"/>
    <w:rsid w:val="006A4E6B"/>
    <w:rsid w:val="006A5809"/>
    <w:rsid w:val="006A6C12"/>
    <w:rsid w:val="006B00C9"/>
    <w:rsid w:val="006B04A6"/>
    <w:rsid w:val="006B163B"/>
    <w:rsid w:val="006B1AFE"/>
    <w:rsid w:val="006B2B67"/>
    <w:rsid w:val="006B3440"/>
    <w:rsid w:val="006B4396"/>
    <w:rsid w:val="006B55E4"/>
    <w:rsid w:val="006B5CD7"/>
    <w:rsid w:val="006B673C"/>
    <w:rsid w:val="006B73EB"/>
    <w:rsid w:val="006B7636"/>
    <w:rsid w:val="006C2317"/>
    <w:rsid w:val="006C32A9"/>
    <w:rsid w:val="006C3931"/>
    <w:rsid w:val="006C4498"/>
    <w:rsid w:val="006C71C9"/>
    <w:rsid w:val="006C7418"/>
    <w:rsid w:val="006D0940"/>
    <w:rsid w:val="006D0B75"/>
    <w:rsid w:val="006D140A"/>
    <w:rsid w:val="006D524A"/>
    <w:rsid w:val="006D6750"/>
    <w:rsid w:val="006D748B"/>
    <w:rsid w:val="006E0CF0"/>
    <w:rsid w:val="006E15E8"/>
    <w:rsid w:val="006E1EAB"/>
    <w:rsid w:val="006E4DD9"/>
    <w:rsid w:val="006E500D"/>
    <w:rsid w:val="006E685C"/>
    <w:rsid w:val="006E6B86"/>
    <w:rsid w:val="006E6C4A"/>
    <w:rsid w:val="006F130A"/>
    <w:rsid w:val="006F1D79"/>
    <w:rsid w:val="006F4ADE"/>
    <w:rsid w:val="006F4EB0"/>
    <w:rsid w:val="006F4F72"/>
    <w:rsid w:val="006F5AF4"/>
    <w:rsid w:val="007000C5"/>
    <w:rsid w:val="00701304"/>
    <w:rsid w:val="00701334"/>
    <w:rsid w:val="007016A2"/>
    <w:rsid w:val="00703270"/>
    <w:rsid w:val="00703B12"/>
    <w:rsid w:val="0071415B"/>
    <w:rsid w:val="00714D8F"/>
    <w:rsid w:val="007164BD"/>
    <w:rsid w:val="00716A9D"/>
    <w:rsid w:val="007176AF"/>
    <w:rsid w:val="00720944"/>
    <w:rsid w:val="0072207B"/>
    <w:rsid w:val="00723E1B"/>
    <w:rsid w:val="007243BC"/>
    <w:rsid w:val="00724773"/>
    <w:rsid w:val="00726C4B"/>
    <w:rsid w:val="00726DD1"/>
    <w:rsid w:val="00730D89"/>
    <w:rsid w:val="007313E6"/>
    <w:rsid w:val="00731CDB"/>
    <w:rsid w:val="007416C8"/>
    <w:rsid w:val="00741AE2"/>
    <w:rsid w:val="007423E3"/>
    <w:rsid w:val="007436AE"/>
    <w:rsid w:val="0074455D"/>
    <w:rsid w:val="007449EB"/>
    <w:rsid w:val="00744D38"/>
    <w:rsid w:val="00746B2E"/>
    <w:rsid w:val="00750421"/>
    <w:rsid w:val="0075058C"/>
    <w:rsid w:val="00750845"/>
    <w:rsid w:val="00750886"/>
    <w:rsid w:val="0075468A"/>
    <w:rsid w:val="00755961"/>
    <w:rsid w:val="00760997"/>
    <w:rsid w:val="00760DF3"/>
    <w:rsid w:val="007622D1"/>
    <w:rsid w:val="007624F8"/>
    <w:rsid w:val="00765DD9"/>
    <w:rsid w:val="00767F81"/>
    <w:rsid w:val="007701CA"/>
    <w:rsid w:val="00771A61"/>
    <w:rsid w:val="007728D3"/>
    <w:rsid w:val="00772B5D"/>
    <w:rsid w:val="00772D2C"/>
    <w:rsid w:val="007735C5"/>
    <w:rsid w:val="007738C1"/>
    <w:rsid w:val="00774052"/>
    <w:rsid w:val="00774E17"/>
    <w:rsid w:val="007752CF"/>
    <w:rsid w:val="00776526"/>
    <w:rsid w:val="00776F90"/>
    <w:rsid w:val="0078074C"/>
    <w:rsid w:val="00780B0E"/>
    <w:rsid w:val="00782D00"/>
    <w:rsid w:val="00784075"/>
    <w:rsid w:val="00784B30"/>
    <w:rsid w:val="0079268E"/>
    <w:rsid w:val="007940F1"/>
    <w:rsid w:val="00795222"/>
    <w:rsid w:val="00797333"/>
    <w:rsid w:val="007A0F4B"/>
    <w:rsid w:val="007A1E05"/>
    <w:rsid w:val="007A5FBA"/>
    <w:rsid w:val="007B093C"/>
    <w:rsid w:val="007B1FAB"/>
    <w:rsid w:val="007B330A"/>
    <w:rsid w:val="007B3742"/>
    <w:rsid w:val="007B4984"/>
    <w:rsid w:val="007B4C35"/>
    <w:rsid w:val="007B642A"/>
    <w:rsid w:val="007C0617"/>
    <w:rsid w:val="007C1227"/>
    <w:rsid w:val="007C192B"/>
    <w:rsid w:val="007C1F55"/>
    <w:rsid w:val="007C2868"/>
    <w:rsid w:val="007C3559"/>
    <w:rsid w:val="007C4853"/>
    <w:rsid w:val="007C4A3C"/>
    <w:rsid w:val="007C4B4E"/>
    <w:rsid w:val="007C5AD2"/>
    <w:rsid w:val="007C7DFD"/>
    <w:rsid w:val="007D7088"/>
    <w:rsid w:val="007E16EC"/>
    <w:rsid w:val="007E39E0"/>
    <w:rsid w:val="007E53CD"/>
    <w:rsid w:val="007E5412"/>
    <w:rsid w:val="007E6680"/>
    <w:rsid w:val="007E66C3"/>
    <w:rsid w:val="007F09AF"/>
    <w:rsid w:val="007F135E"/>
    <w:rsid w:val="007F21B1"/>
    <w:rsid w:val="007F22FD"/>
    <w:rsid w:val="007F2C9B"/>
    <w:rsid w:val="007F4003"/>
    <w:rsid w:val="007F6165"/>
    <w:rsid w:val="007F7B18"/>
    <w:rsid w:val="00802F39"/>
    <w:rsid w:val="00803165"/>
    <w:rsid w:val="0080398A"/>
    <w:rsid w:val="008040B1"/>
    <w:rsid w:val="00804A81"/>
    <w:rsid w:val="00805477"/>
    <w:rsid w:val="008069F9"/>
    <w:rsid w:val="00807F47"/>
    <w:rsid w:val="0081199C"/>
    <w:rsid w:val="008126B6"/>
    <w:rsid w:val="008136C9"/>
    <w:rsid w:val="008136E2"/>
    <w:rsid w:val="008164C8"/>
    <w:rsid w:val="00821428"/>
    <w:rsid w:val="008254E5"/>
    <w:rsid w:val="0082743F"/>
    <w:rsid w:val="0083177A"/>
    <w:rsid w:val="00831F68"/>
    <w:rsid w:val="00836720"/>
    <w:rsid w:val="00836D4F"/>
    <w:rsid w:val="00840640"/>
    <w:rsid w:val="008414A5"/>
    <w:rsid w:val="008415B2"/>
    <w:rsid w:val="008428E0"/>
    <w:rsid w:val="008447A8"/>
    <w:rsid w:val="00850632"/>
    <w:rsid w:val="00851600"/>
    <w:rsid w:val="008525C3"/>
    <w:rsid w:val="0085310C"/>
    <w:rsid w:val="00856E50"/>
    <w:rsid w:val="00857A4A"/>
    <w:rsid w:val="00860170"/>
    <w:rsid w:val="00860362"/>
    <w:rsid w:val="00861AAD"/>
    <w:rsid w:val="00863C7E"/>
    <w:rsid w:val="0086482E"/>
    <w:rsid w:val="00866515"/>
    <w:rsid w:val="00867CCB"/>
    <w:rsid w:val="00870D9D"/>
    <w:rsid w:val="0087169B"/>
    <w:rsid w:val="0087184C"/>
    <w:rsid w:val="00871AFE"/>
    <w:rsid w:val="00874309"/>
    <w:rsid w:val="008748BF"/>
    <w:rsid w:val="00875C9B"/>
    <w:rsid w:val="00876FCF"/>
    <w:rsid w:val="00877387"/>
    <w:rsid w:val="00877572"/>
    <w:rsid w:val="0087760D"/>
    <w:rsid w:val="0088079C"/>
    <w:rsid w:val="00883DBB"/>
    <w:rsid w:val="00885A85"/>
    <w:rsid w:val="00886640"/>
    <w:rsid w:val="00887E92"/>
    <w:rsid w:val="0089119B"/>
    <w:rsid w:val="0089194E"/>
    <w:rsid w:val="00892835"/>
    <w:rsid w:val="008944D4"/>
    <w:rsid w:val="00894821"/>
    <w:rsid w:val="00895CD0"/>
    <w:rsid w:val="008964EC"/>
    <w:rsid w:val="0089797C"/>
    <w:rsid w:val="008A037B"/>
    <w:rsid w:val="008A3632"/>
    <w:rsid w:val="008A64C3"/>
    <w:rsid w:val="008B0A47"/>
    <w:rsid w:val="008B18C0"/>
    <w:rsid w:val="008B33AE"/>
    <w:rsid w:val="008B581F"/>
    <w:rsid w:val="008B72FF"/>
    <w:rsid w:val="008B741A"/>
    <w:rsid w:val="008C14DB"/>
    <w:rsid w:val="008C2C78"/>
    <w:rsid w:val="008C5249"/>
    <w:rsid w:val="008C537B"/>
    <w:rsid w:val="008C6205"/>
    <w:rsid w:val="008C74B8"/>
    <w:rsid w:val="008D0C5A"/>
    <w:rsid w:val="008D2194"/>
    <w:rsid w:val="008D2A77"/>
    <w:rsid w:val="008D4968"/>
    <w:rsid w:val="008D562A"/>
    <w:rsid w:val="008D58FD"/>
    <w:rsid w:val="008E1042"/>
    <w:rsid w:val="008E317C"/>
    <w:rsid w:val="008E3424"/>
    <w:rsid w:val="008E47B7"/>
    <w:rsid w:val="008E521C"/>
    <w:rsid w:val="008E580F"/>
    <w:rsid w:val="008E78E9"/>
    <w:rsid w:val="008F1FDA"/>
    <w:rsid w:val="00901388"/>
    <w:rsid w:val="009013A1"/>
    <w:rsid w:val="0090166C"/>
    <w:rsid w:val="009019E8"/>
    <w:rsid w:val="00902E98"/>
    <w:rsid w:val="009034D4"/>
    <w:rsid w:val="00905207"/>
    <w:rsid w:val="00905338"/>
    <w:rsid w:val="009056E1"/>
    <w:rsid w:val="009062A1"/>
    <w:rsid w:val="00907CC0"/>
    <w:rsid w:val="0091075B"/>
    <w:rsid w:val="0091089F"/>
    <w:rsid w:val="00912687"/>
    <w:rsid w:val="00913606"/>
    <w:rsid w:val="00915714"/>
    <w:rsid w:val="00915E1B"/>
    <w:rsid w:val="009165C6"/>
    <w:rsid w:val="009179DA"/>
    <w:rsid w:val="0092031D"/>
    <w:rsid w:val="00926FA0"/>
    <w:rsid w:val="0092706A"/>
    <w:rsid w:val="00933231"/>
    <w:rsid w:val="00933C2A"/>
    <w:rsid w:val="0093471A"/>
    <w:rsid w:val="00935CD7"/>
    <w:rsid w:val="00936633"/>
    <w:rsid w:val="00936740"/>
    <w:rsid w:val="0094135E"/>
    <w:rsid w:val="0094147E"/>
    <w:rsid w:val="009418D0"/>
    <w:rsid w:val="009433E4"/>
    <w:rsid w:val="009439BF"/>
    <w:rsid w:val="009460CF"/>
    <w:rsid w:val="0094639F"/>
    <w:rsid w:val="00946B00"/>
    <w:rsid w:val="0095099E"/>
    <w:rsid w:val="00950CAD"/>
    <w:rsid w:val="00952132"/>
    <w:rsid w:val="009529D7"/>
    <w:rsid w:val="009544D6"/>
    <w:rsid w:val="009548A9"/>
    <w:rsid w:val="00961255"/>
    <w:rsid w:val="0096164A"/>
    <w:rsid w:val="00961DAD"/>
    <w:rsid w:val="0096273A"/>
    <w:rsid w:val="00963C0B"/>
    <w:rsid w:val="0096439E"/>
    <w:rsid w:val="0097024D"/>
    <w:rsid w:val="00974A92"/>
    <w:rsid w:val="00974DA1"/>
    <w:rsid w:val="00975DA0"/>
    <w:rsid w:val="0097622C"/>
    <w:rsid w:val="0097697C"/>
    <w:rsid w:val="00977553"/>
    <w:rsid w:val="00977CB7"/>
    <w:rsid w:val="00977E5F"/>
    <w:rsid w:val="00977F4A"/>
    <w:rsid w:val="0098127D"/>
    <w:rsid w:val="009821A0"/>
    <w:rsid w:val="00982C13"/>
    <w:rsid w:val="00991372"/>
    <w:rsid w:val="00991BF5"/>
    <w:rsid w:val="0099265E"/>
    <w:rsid w:val="009944F0"/>
    <w:rsid w:val="00996C27"/>
    <w:rsid w:val="0099704F"/>
    <w:rsid w:val="009A3122"/>
    <w:rsid w:val="009A4397"/>
    <w:rsid w:val="009A60A3"/>
    <w:rsid w:val="009B1B59"/>
    <w:rsid w:val="009B3557"/>
    <w:rsid w:val="009B6D1C"/>
    <w:rsid w:val="009C04AF"/>
    <w:rsid w:val="009C183D"/>
    <w:rsid w:val="009C26C5"/>
    <w:rsid w:val="009C4D9E"/>
    <w:rsid w:val="009C7C08"/>
    <w:rsid w:val="009D0BD0"/>
    <w:rsid w:val="009D1667"/>
    <w:rsid w:val="009D2C1B"/>
    <w:rsid w:val="009D39EE"/>
    <w:rsid w:val="009D5A4C"/>
    <w:rsid w:val="009D7378"/>
    <w:rsid w:val="009E05C2"/>
    <w:rsid w:val="009E2990"/>
    <w:rsid w:val="009E3FF8"/>
    <w:rsid w:val="009E5A90"/>
    <w:rsid w:val="009E67C6"/>
    <w:rsid w:val="009F2E2B"/>
    <w:rsid w:val="009F3D57"/>
    <w:rsid w:val="009F4455"/>
    <w:rsid w:val="009F731B"/>
    <w:rsid w:val="009F7A74"/>
    <w:rsid w:val="009F7FE0"/>
    <w:rsid w:val="00A027E9"/>
    <w:rsid w:val="00A04393"/>
    <w:rsid w:val="00A047EB"/>
    <w:rsid w:val="00A04D88"/>
    <w:rsid w:val="00A062DC"/>
    <w:rsid w:val="00A07263"/>
    <w:rsid w:val="00A118B0"/>
    <w:rsid w:val="00A11CA0"/>
    <w:rsid w:val="00A127EF"/>
    <w:rsid w:val="00A137FA"/>
    <w:rsid w:val="00A15812"/>
    <w:rsid w:val="00A212D3"/>
    <w:rsid w:val="00A2251A"/>
    <w:rsid w:val="00A2366B"/>
    <w:rsid w:val="00A23BCD"/>
    <w:rsid w:val="00A241B6"/>
    <w:rsid w:val="00A24499"/>
    <w:rsid w:val="00A26F3E"/>
    <w:rsid w:val="00A31521"/>
    <w:rsid w:val="00A31ADF"/>
    <w:rsid w:val="00A31D25"/>
    <w:rsid w:val="00A34CD7"/>
    <w:rsid w:val="00A36E39"/>
    <w:rsid w:val="00A40B8F"/>
    <w:rsid w:val="00A422D3"/>
    <w:rsid w:val="00A42AD9"/>
    <w:rsid w:val="00A434CA"/>
    <w:rsid w:val="00A45583"/>
    <w:rsid w:val="00A4623F"/>
    <w:rsid w:val="00A469FD"/>
    <w:rsid w:val="00A47473"/>
    <w:rsid w:val="00A52008"/>
    <w:rsid w:val="00A53C3E"/>
    <w:rsid w:val="00A55E11"/>
    <w:rsid w:val="00A56FEA"/>
    <w:rsid w:val="00A5710E"/>
    <w:rsid w:val="00A579C3"/>
    <w:rsid w:val="00A6057A"/>
    <w:rsid w:val="00A61521"/>
    <w:rsid w:val="00A61609"/>
    <w:rsid w:val="00A617D9"/>
    <w:rsid w:val="00A61B29"/>
    <w:rsid w:val="00A61CFA"/>
    <w:rsid w:val="00A62618"/>
    <w:rsid w:val="00A62B68"/>
    <w:rsid w:val="00A6343F"/>
    <w:rsid w:val="00A641A2"/>
    <w:rsid w:val="00A6532B"/>
    <w:rsid w:val="00A668EF"/>
    <w:rsid w:val="00A72D53"/>
    <w:rsid w:val="00A737A2"/>
    <w:rsid w:val="00A745C9"/>
    <w:rsid w:val="00A74A87"/>
    <w:rsid w:val="00A81F9D"/>
    <w:rsid w:val="00A82A72"/>
    <w:rsid w:val="00A8331D"/>
    <w:rsid w:val="00A83632"/>
    <w:rsid w:val="00A845A3"/>
    <w:rsid w:val="00A858EE"/>
    <w:rsid w:val="00A85A57"/>
    <w:rsid w:val="00A936E8"/>
    <w:rsid w:val="00A94199"/>
    <w:rsid w:val="00A961D2"/>
    <w:rsid w:val="00A97E0D"/>
    <w:rsid w:val="00AA02F6"/>
    <w:rsid w:val="00AA1124"/>
    <w:rsid w:val="00AA5F37"/>
    <w:rsid w:val="00AA5FAF"/>
    <w:rsid w:val="00AA6051"/>
    <w:rsid w:val="00AA63CD"/>
    <w:rsid w:val="00AA6EC5"/>
    <w:rsid w:val="00AA79A3"/>
    <w:rsid w:val="00AB1FB2"/>
    <w:rsid w:val="00AB2193"/>
    <w:rsid w:val="00AB56AD"/>
    <w:rsid w:val="00AB7060"/>
    <w:rsid w:val="00AB7587"/>
    <w:rsid w:val="00AB787B"/>
    <w:rsid w:val="00AB7BE4"/>
    <w:rsid w:val="00AC5E3E"/>
    <w:rsid w:val="00AC6E56"/>
    <w:rsid w:val="00AC6F3D"/>
    <w:rsid w:val="00AC786A"/>
    <w:rsid w:val="00AD0DE0"/>
    <w:rsid w:val="00AD0F2F"/>
    <w:rsid w:val="00AD559B"/>
    <w:rsid w:val="00AD5D7B"/>
    <w:rsid w:val="00AD702C"/>
    <w:rsid w:val="00AD7170"/>
    <w:rsid w:val="00AE079F"/>
    <w:rsid w:val="00AE388F"/>
    <w:rsid w:val="00AE466F"/>
    <w:rsid w:val="00AE76C1"/>
    <w:rsid w:val="00AF084E"/>
    <w:rsid w:val="00AF271D"/>
    <w:rsid w:val="00AF2C9C"/>
    <w:rsid w:val="00AF4169"/>
    <w:rsid w:val="00AF5BEF"/>
    <w:rsid w:val="00AF6BB8"/>
    <w:rsid w:val="00B00007"/>
    <w:rsid w:val="00B04C46"/>
    <w:rsid w:val="00B04FA5"/>
    <w:rsid w:val="00B11C27"/>
    <w:rsid w:val="00B1200B"/>
    <w:rsid w:val="00B130AF"/>
    <w:rsid w:val="00B13316"/>
    <w:rsid w:val="00B13FB6"/>
    <w:rsid w:val="00B14FE2"/>
    <w:rsid w:val="00B16649"/>
    <w:rsid w:val="00B17695"/>
    <w:rsid w:val="00B17C78"/>
    <w:rsid w:val="00B23DBA"/>
    <w:rsid w:val="00B243F1"/>
    <w:rsid w:val="00B25B49"/>
    <w:rsid w:val="00B304F5"/>
    <w:rsid w:val="00B30544"/>
    <w:rsid w:val="00B305D2"/>
    <w:rsid w:val="00B3072C"/>
    <w:rsid w:val="00B31BE9"/>
    <w:rsid w:val="00B3262F"/>
    <w:rsid w:val="00B3365B"/>
    <w:rsid w:val="00B33B55"/>
    <w:rsid w:val="00B34D79"/>
    <w:rsid w:val="00B35DC6"/>
    <w:rsid w:val="00B3664D"/>
    <w:rsid w:val="00B3763F"/>
    <w:rsid w:val="00B37CB9"/>
    <w:rsid w:val="00B37E75"/>
    <w:rsid w:val="00B43C80"/>
    <w:rsid w:val="00B4510A"/>
    <w:rsid w:val="00B464D3"/>
    <w:rsid w:val="00B46615"/>
    <w:rsid w:val="00B47373"/>
    <w:rsid w:val="00B510C4"/>
    <w:rsid w:val="00B512E0"/>
    <w:rsid w:val="00B52591"/>
    <w:rsid w:val="00B573FA"/>
    <w:rsid w:val="00B61E36"/>
    <w:rsid w:val="00B62387"/>
    <w:rsid w:val="00B636DC"/>
    <w:rsid w:val="00B6486C"/>
    <w:rsid w:val="00B64B3B"/>
    <w:rsid w:val="00B6572D"/>
    <w:rsid w:val="00B66B48"/>
    <w:rsid w:val="00B67AE9"/>
    <w:rsid w:val="00B72E2D"/>
    <w:rsid w:val="00B751AB"/>
    <w:rsid w:val="00B758A0"/>
    <w:rsid w:val="00B76EFC"/>
    <w:rsid w:val="00B81086"/>
    <w:rsid w:val="00B81A1B"/>
    <w:rsid w:val="00B8490A"/>
    <w:rsid w:val="00B853F7"/>
    <w:rsid w:val="00B86579"/>
    <w:rsid w:val="00B9216B"/>
    <w:rsid w:val="00B922D2"/>
    <w:rsid w:val="00B930A1"/>
    <w:rsid w:val="00B93C16"/>
    <w:rsid w:val="00B941DD"/>
    <w:rsid w:val="00B94EB0"/>
    <w:rsid w:val="00B95561"/>
    <w:rsid w:val="00B958BF"/>
    <w:rsid w:val="00B9614D"/>
    <w:rsid w:val="00BA0092"/>
    <w:rsid w:val="00BA1C4F"/>
    <w:rsid w:val="00BA3843"/>
    <w:rsid w:val="00BA469E"/>
    <w:rsid w:val="00BA57A0"/>
    <w:rsid w:val="00BA5F1D"/>
    <w:rsid w:val="00BA77BC"/>
    <w:rsid w:val="00BB05AD"/>
    <w:rsid w:val="00BB1D33"/>
    <w:rsid w:val="00BB298A"/>
    <w:rsid w:val="00BB49FC"/>
    <w:rsid w:val="00BC0903"/>
    <w:rsid w:val="00BC1BCB"/>
    <w:rsid w:val="00BC2C2A"/>
    <w:rsid w:val="00BC4F66"/>
    <w:rsid w:val="00BC5A7A"/>
    <w:rsid w:val="00BC6A44"/>
    <w:rsid w:val="00BD0C55"/>
    <w:rsid w:val="00BD2406"/>
    <w:rsid w:val="00BD2494"/>
    <w:rsid w:val="00BD2CC2"/>
    <w:rsid w:val="00BD47B6"/>
    <w:rsid w:val="00BD75C8"/>
    <w:rsid w:val="00BD7680"/>
    <w:rsid w:val="00BD782B"/>
    <w:rsid w:val="00BE01AD"/>
    <w:rsid w:val="00BE3C5A"/>
    <w:rsid w:val="00BE41BD"/>
    <w:rsid w:val="00BE4CF9"/>
    <w:rsid w:val="00BE574D"/>
    <w:rsid w:val="00BE5A4F"/>
    <w:rsid w:val="00BE7D71"/>
    <w:rsid w:val="00BF1495"/>
    <w:rsid w:val="00BF30AF"/>
    <w:rsid w:val="00BF4630"/>
    <w:rsid w:val="00BF75B2"/>
    <w:rsid w:val="00C0649D"/>
    <w:rsid w:val="00C109FD"/>
    <w:rsid w:val="00C1160E"/>
    <w:rsid w:val="00C116EE"/>
    <w:rsid w:val="00C1212D"/>
    <w:rsid w:val="00C12C6B"/>
    <w:rsid w:val="00C12DE7"/>
    <w:rsid w:val="00C13050"/>
    <w:rsid w:val="00C155BC"/>
    <w:rsid w:val="00C201DD"/>
    <w:rsid w:val="00C20CF9"/>
    <w:rsid w:val="00C212EF"/>
    <w:rsid w:val="00C22F06"/>
    <w:rsid w:val="00C233D2"/>
    <w:rsid w:val="00C24B18"/>
    <w:rsid w:val="00C24E80"/>
    <w:rsid w:val="00C25511"/>
    <w:rsid w:val="00C25B2F"/>
    <w:rsid w:val="00C26F0E"/>
    <w:rsid w:val="00C2764F"/>
    <w:rsid w:val="00C32AE6"/>
    <w:rsid w:val="00C3300A"/>
    <w:rsid w:val="00C33036"/>
    <w:rsid w:val="00C33487"/>
    <w:rsid w:val="00C34A10"/>
    <w:rsid w:val="00C35A12"/>
    <w:rsid w:val="00C361B8"/>
    <w:rsid w:val="00C36DFC"/>
    <w:rsid w:val="00C37499"/>
    <w:rsid w:val="00C37CFC"/>
    <w:rsid w:val="00C40335"/>
    <w:rsid w:val="00C40BAA"/>
    <w:rsid w:val="00C4651F"/>
    <w:rsid w:val="00C46D27"/>
    <w:rsid w:val="00C502B4"/>
    <w:rsid w:val="00C503EB"/>
    <w:rsid w:val="00C516C4"/>
    <w:rsid w:val="00C5697B"/>
    <w:rsid w:val="00C56CEB"/>
    <w:rsid w:val="00C6073F"/>
    <w:rsid w:val="00C60F34"/>
    <w:rsid w:val="00C62070"/>
    <w:rsid w:val="00C62DF5"/>
    <w:rsid w:val="00C64E17"/>
    <w:rsid w:val="00C66D81"/>
    <w:rsid w:val="00C67C30"/>
    <w:rsid w:val="00C70CC6"/>
    <w:rsid w:val="00C71E92"/>
    <w:rsid w:val="00C725B4"/>
    <w:rsid w:val="00C742D7"/>
    <w:rsid w:val="00C75A8A"/>
    <w:rsid w:val="00C75FF8"/>
    <w:rsid w:val="00C768D0"/>
    <w:rsid w:val="00C76C5E"/>
    <w:rsid w:val="00C81A2A"/>
    <w:rsid w:val="00C82812"/>
    <w:rsid w:val="00C835D5"/>
    <w:rsid w:val="00C838C4"/>
    <w:rsid w:val="00C86609"/>
    <w:rsid w:val="00C86A72"/>
    <w:rsid w:val="00C91C2F"/>
    <w:rsid w:val="00C930D5"/>
    <w:rsid w:val="00C93CE7"/>
    <w:rsid w:val="00C968A2"/>
    <w:rsid w:val="00CA059A"/>
    <w:rsid w:val="00CA3953"/>
    <w:rsid w:val="00CB1AD2"/>
    <w:rsid w:val="00CB1F34"/>
    <w:rsid w:val="00CB2596"/>
    <w:rsid w:val="00CB674C"/>
    <w:rsid w:val="00CB6761"/>
    <w:rsid w:val="00CB759A"/>
    <w:rsid w:val="00CC095B"/>
    <w:rsid w:val="00CC0CDD"/>
    <w:rsid w:val="00CC17EB"/>
    <w:rsid w:val="00CC2EDD"/>
    <w:rsid w:val="00CC361B"/>
    <w:rsid w:val="00CC3EAF"/>
    <w:rsid w:val="00CC7491"/>
    <w:rsid w:val="00CD05F2"/>
    <w:rsid w:val="00CD310F"/>
    <w:rsid w:val="00CD320E"/>
    <w:rsid w:val="00CD4E79"/>
    <w:rsid w:val="00CD5B5D"/>
    <w:rsid w:val="00CD6489"/>
    <w:rsid w:val="00CE0133"/>
    <w:rsid w:val="00CE51DF"/>
    <w:rsid w:val="00CE68F6"/>
    <w:rsid w:val="00CE769C"/>
    <w:rsid w:val="00CE7E5B"/>
    <w:rsid w:val="00CE7F84"/>
    <w:rsid w:val="00CF06BC"/>
    <w:rsid w:val="00CF17DE"/>
    <w:rsid w:val="00CF30B8"/>
    <w:rsid w:val="00CF3CA7"/>
    <w:rsid w:val="00CF3EDC"/>
    <w:rsid w:val="00CF4CE7"/>
    <w:rsid w:val="00CF690E"/>
    <w:rsid w:val="00D00A79"/>
    <w:rsid w:val="00D03A0D"/>
    <w:rsid w:val="00D03D6D"/>
    <w:rsid w:val="00D05A2A"/>
    <w:rsid w:val="00D05BDF"/>
    <w:rsid w:val="00D061D3"/>
    <w:rsid w:val="00D06A55"/>
    <w:rsid w:val="00D10148"/>
    <w:rsid w:val="00D1157B"/>
    <w:rsid w:val="00D11B92"/>
    <w:rsid w:val="00D1340C"/>
    <w:rsid w:val="00D1434E"/>
    <w:rsid w:val="00D14A53"/>
    <w:rsid w:val="00D2338B"/>
    <w:rsid w:val="00D24AC0"/>
    <w:rsid w:val="00D255E2"/>
    <w:rsid w:val="00D262D1"/>
    <w:rsid w:val="00D26957"/>
    <w:rsid w:val="00D27254"/>
    <w:rsid w:val="00D27259"/>
    <w:rsid w:val="00D27409"/>
    <w:rsid w:val="00D31382"/>
    <w:rsid w:val="00D32530"/>
    <w:rsid w:val="00D3484F"/>
    <w:rsid w:val="00D37CF5"/>
    <w:rsid w:val="00D37D6E"/>
    <w:rsid w:val="00D37E53"/>
    <w:rsid w:val="00D40441"/>
    <w:rsid w:val="00D42DD1"/>
    <w:rsid w:val="00D436AE"/>
    <w:rsid w:val="00D44415"/>
    <w:rsid w:val="00D4524C"/>
    <w:rsid w:val="00D46F6B"/>
    <w:rsid w:val="00D471D5"/>
    <w:rsid w:val="00D471EF"/>
    <w:rsid w:val="00D50BF2"/>
    <w:rsid w:val="00D50D9E"/>
    <w:rsid w:val="00D51D27"/>
    <w:rsid w:val="00D52D70"/>
    <w:rsid w:val="00D52DAB"/>
    <w:rsid w:val="00D530F1"/>
    <w:rsid w:val="00D55A09"/>
    <w:rsid w:val="00D57E80"/>
    <w:rsid w:val="00D63E0C"/>
    <w:rsid w:val="00D660DF"/>
    <w:rsid w:val="00D67B95"/>
    <w:rsid w:val="00D76EC8"/>
    <w:rsid w:val="00D775A3"/>
    <w:rsid w:val="00D77606"/>
    <w:rsid w:val="00D77ADF"/>
    <w:rsid w:val="00D83D1A"/>
    <w:rsid w:val="00D8412D"/>
    <w:rsid w:val="00D84166"/>
    <w:rsid w:val="00D85663"/>
    <w:rsid w:val="00D866B6"/>
    <w:rsid w:val="00D86C18"/>
    <w:rsid w:val="00D934A2"/>
    <w:rsid w:val="00D94720"/>
    <w:rsid w:val="00D9710F"/>
    <w:rsid w:val="00D9775E"/>
    <w:rsid w:val="00D97790"/>
    <w:rsid w:val="00D97AA0"/>
    <w:rsid w:val="00D97FE8"/>
    <w:rsid w:val="00DA06D0"/>
    <w:rsid w:val="00DA0F63"/>
    <w:rsid w:val="00DA12AC"/>
    <w:rsid w:val="00DA5196"/>
    <w:rsid w:val="00DA6E3C"/>
    <w:rsid w:val="00DB0AA8"/>
    <w:rsid w:val="00DB1869"/>
    <w:rsid w:val="00DB2DF7"/>
    <w:rsid w:val="00DB69BE"/>
    <w:rsid w:val="00DB6EEA"/>
    <w:rsid w:val="00DB7B19"/>
    <w:rsid w:val="00DC010D"/>
    <w:rsid w:val="00DC11FD"/>
    <w:rsid w:val="00DC19AB"/>
    <w:rsid w:val="00DC1E78"/>
    <w:rsid w:val="00DC2378"/>
    <w:rsid w:val="00DC28C8"/>
    <w:rsid w:val="00DC2DD1"/>
    <w:rsid w:val="00DC2F93"/>
    <w:rsid w:val="00DC44B5"/>
    <w:rsid w:val="00DC74FF"/>
    <w:rsid w:val="00DD00C2"/>
    <w:rsid w:val="00DD1044"/>
    <w:rsid w:val="00DD492B"/>
    <w:rsid w:val="00DD675F"/>
    <w:rsid w:val="00DE1800"/>
    <w:rsid w:val="00DE38F9"/>
    <w:rsid w:val="00DE4080"/>
    <w:rsid w:val="00DE5693"/>
    <w:rsid w:val="00DF2356"/>
    <w:rsid w:val="00DF437E"/>
    <w:rsid w:val="00DF48FF"/>
    <w:rsid w:val="00DF5739"/>
    <w:rsid w:val="00DF65B3"/>
    <w:rsid w:val="00DF67F7"/>
    <w:rsid w:val="00DF6840"/>
    <w:rsid w:val="00DF7835"/>
    <w:rsid w:val="00E0014F"/>
    <w:rsid w:val="00E04E28"/>
    <w:rsid w:val="00E057FC"/>
    <w:rsid w:val="00E1258C"/>
    <w:rsid w:val="00E13679"/>
    <w:rsid w:val="00E14B66"/>
    <w:rsid w:val="00E168CE"/>
    <w:rsid w:val="00E16B1D"/>
    <w:rsid w:val="00E1794C"/>
    <w:rsid w:val="00E204A2"/>
    <w:rsid w:val="00E20B8F"/>
    <w:rsid w:val="00E23AF6"/>
    <w:rsid w:val="00E23DC1"/>
    <w:rsid w:val="00E27E5F"/>
    <w:rsid w:val="00E3170C"/>
    <w:rsid w:val="00E330B2"/>
    <w:rsid w:val="00E33DFE"/>
    <w:rsid w:val="00E353DB"/>
    <w:rsid w:val="00E37A90"/>
    <w:rsid w:val="00E400A4"/>
    <w:rsid w:val="00E40802"/>
    <w:rsid w:val="00E40E3B"/>
    <w:rsid w:val="00E41409"/>
    <w:rsid w:val="00E41993"/>
    <w:rsid w:val="00E41D22"/>
    <w:rsid w:val="00E41E40"/>
    <w:rsid w:val="00E433B5"/>
    <w:rsid w:val="00E439A7"/>
    <w:rsid w:val="00E43AD2"/>
    <w:rsid w:val="00E50AB7"/>
    <w:rsid w:val="00E5152D"/>
    <w:rsid w:val="00E52794"/>
    <w:rsid w:val="00E52C61"/>
    <w:rsid w:val="00E54645"/>
    <w:rsid w:val="00E56CC8"/>
    <w:rsid w:val="00E56D15"/>
    <w:rsid w:val="00E57944"/>
    <w:rsid w:val="00E61C81"/>
    <w:rsid w:val="00E61D60"/>
    <w:rsid w:val="00E659F9"/>
    <w:rsid w:val="00E65D67"/>
    <w:rsid w:val="00E66FA0"/>
    <w:rsid w:val="00E75CAD"/>
    <w:rsid w:val="00E7799F"/>
    <w:rsid w:val="00E80E35"/>
    <w:rsid w:val="00E812EF"/>
    <w:rsid w:val="00E822F1"/>
    <w:rsid w:val="00E8679E"/>
    <w:rsid w:val="00E87087"/>
    <w:rsid w:val="00E92AD4"/>
    <w:rsid w:val="00E93712"/>
    <w:rsid w:val="00E948D2"/>
    <w:rsid w:val="00E97A4C"/>
    <w:rsid w:val="00EA159A"/>
    <w:rsid w:val="00EA1E39"/>
    <w:rsid w:val="00EA2AB2"/>
    <w:rsid w:val="00EA4786"/>
    <w:rsid w:val="00EB2602"/>
    <w:rsid w:val="00EB29FB"/>
    <w:rsid w:val="00EB33C4"/>
    <w:rsid w:val="00EB4D51"/>
    <w:rsid w:val="00EB5B5D"/>
    <w:rsid w:val="00EB5C26"/>
    <w:rsid w:val="00EB70F6"/>
    <w:rsid w:val="00EC1AAD"/>
    <w:rsid w:val="00EC215A"/>
    <w:rsid w:val="00EC2A68"/>
    <w:rsid w:val="00EC3652"/>
    <w:rsid w:val="00EC51DB"/>
    <w:rsid w:val="00EC5656"/>
    <w:rsid w:val="00EC5AFE"/>
    <w:rsid w:val="00EC5EEA"/>
    <w:rsid w:val="00ED08F6"/>
    <w:rsid w:val="00ED35DE"/>
    <w:rsid w:val="00ED43EA"/>
    <w:rsid w:val="00ED4433"/>
    <w:rsid w:val="00ED4C8F"/>
    <w:rsid w:val="00ED5403"/>
    <w:rsid w:val="00ED58E3"/>
    <w:rsid w:val="00ED7A0C"/>
    <w:rsid w:val="00EE1995"/>
    <w:rsid w:val="00EE321A"/>
    <w:rsid w:val="00EE3EFB"/>
    <w:rsid w:val="00EE50B6"/>
    <w:rsid w:val="00EE5458"/>
    <w:rsid w:val="00EF0B0A"/>
    <w:rsid w:val="00EF1FD6"/>
    <w:rsid w:val="00EF2C70"/>
    <w:rsid w:val="00EF542C"/>
    <w:rsid w:val="00EF5D52"/>
    <w:rsid w:val="00EF6CD8"/>
    <w:rsid w:val="00EF7203"/>
    <w:rsid w:val="00F003B7"/>
    <w:rsid w:val="00F034E1"/>
    <w:rsid w:val="00F0372E"/>
    <w:rsid w:val="00F0480F"/>
    <w:rsid w:val="00F05F28"/>
    <w:rsid w:val="00F0659A"/>
    <w:rsid w:val="00F17DBD"/>
    <w:rsid w:val="00F20CD5"/>
    <w:rsid w:val="00F20F85"/>
    <w:rsid w:val="00F22212"/>
    <w:rsid w:val="00F2374F"/>
    <w:rsid w:val="00F238B3"/>
    <w:rsid w:val="00F266E6"/>
    <w:rsid w:val="00F2684E"/>
    <w:rsid w:val="00F301B5"/>
    <w:rsid w:val="00F30AD6"/>
    <w:rsid w:val="00F31343"/>
    <w:rsid w:val="00F314CC"/>
    <w:rsid w:val="00F31AEA"/>
    <w:rsid w:val="00F32D4B"/>
    <w:rsid w:val="00F3588F"/>
    <w:rsid w:val="00F364BF"/>
    <w:rsid w:val="00F36AC0"/>
    <w:rsid w:val="00F37E1E"/>
    <w:rsid w:val="00F43A92"/>
    <w:rsid w:val="00F43E19"/>
    <w:rsid w:val="00F451A0"/>
    <w:rsid w:val="00F46B05"/>
    <w:rsid w:val="00F47280"/>
    <w:rsid w:val="00F5031D"/>
    <w:rsid w:val="00F50501"/>
    <w:rsid w:val="00F53239"/>
    <w:rsid w:val="00F540F3"/>
    <w:rsid w:val="00F548A8"/>
    <w:rsid w:val="00F55E16"/>
    <w:rsid w:val="00F569E9"/>
    <w:rsid w:val="00F57CAB"/>
    <w:rsid w:val="00F61F34"/>
    <w:rsid w:val="00F62FC1"/>
    <w:rsid w:val="00F64776"/>
    <w:rsid w:val="00F70B3A"/>
    <w:rsid w:val="00F713B6"/>
    <w:rsid w:val="00F71790"/>
    <w:rsid w:val="00F71ACB"/>
    <w:rsid w:val="00F73B2E"/>
    <w:rsid w:val="00F75713"/>
    <w:rsid w:val="00F77EC0"/>
    <w:rsid w:val="00F83DD0"/>
    <w:rsid w:val="00F84B61"/>
    <w:rsid w:val="00F86AEF"/>
    <w:rsid w:val="00F87CC3"/>
    <w:rsid w:val="00F90997"/>
    <w:rsid w:val="00F918DD"/>
    <w:rsid w:val="00F91EC6"/>
    <w:rsid w:val="00F91F76"/>
    <w:rsid w:val="00F92223"/>
    <w:rsid w:val="00F94D90"/>
    <w:rsid w:val="00F94E8F"/>
    <w:rsid w:val="00F953E7"/>
    <w:rsid w:val="00F9591B"/>
    <w:rsid w:val="00F964D9"/>
    <w:rsid w:val="00F9788E"/>
    <w:rsid w:val="00FA2747"/>
    <w:rsid w:val="00FA3E9D"/>
    <w:rsid w:val="00FA559A"/>
    <w:rsid w:val="00FA5CA3"/>
    <w:rsid w:val="00FA6715"/>
    <w:rsid w:val="00FA7E60"/>
    <w:rsid w:val="00FB0717"/>
    <w:rsid w:val="00FB1304"/>
    <w:rsid w:val="00FB1E1F"/>
    <w:rsid w:val="00FB2FCA"/>
    <w:rsid w:val="00FB361B"/>
    <w:rsid w:val="00FB3638"/>
    <w:rsid w:val="00FB400B"/>
    <w:rsid w:val="00FB4052"/>
    <w:rsid w:val="00FB465B"/>
    <w:rsid w:val="00FB4D2D"/>
    <w:rsid w:val="00FB6046"/>
    <w:rsid w:val="00FB66DE"/>
    <w:rsid w:val="00FB6C92"/>
    <w:rsid w:val="00FC0AC1"/>
    <w:rsid w:val="00FC35F9"/>
    <w:rsid w:val="00FC4ACC"/>
    <w:rsid w:val="00FC4C7A"/>
    <w:rsid w:val="00FC5790"/>
    <w:rsid w:val="00FC5AC0"/>
    <w:rsid w:val="00FC624C"/>
    <w:rsid w:val="00FC6952"/>
    <w:rsid w:val="00FC6E1C"/>
    <w:rsid w:val="00FC6EBF"/>
    <w:rsid w:val="00FD4479"/>
    <w:rsid w:val="00FD4E5F"/>
    <w:rsid w:val="00FD4E92"/>
    <w:rsid w:val="00FD4EF0"/>
    <w:rsid w:val="00FD4F4F"/>
    <w:rsid w:val="00FD5CC9"/>
    <w:rsid w:val="00FD79CB"/>
    <w:rsid w:val="00FE08F9"/>
    <w:rsid w:val="00FE0E27"/>
    <w:rsid w:val="00FE50CE"/>
    <w:rsid w:val="00FE78D5"/>
    <w:rsid w:val="00FE7FDB"/>
    <w:rsid w:val="00FF1B8F"/>
    <w:rsid w:val="00FF3321"/>
    <w:rsid w:val="014D504A"/>
    <w:rsid w:val="019D5DB1"/>
    <w:rsid w:val="01AE57DB"/>
    <w:rsid w:val="02B9266D"/>
    <w:rsid w:val="02F4553E"/>
    <w:rsid w:val="0325508A"/>
    <w:rsid w:val="033B7300"/>
    <w:rsid w:val="040540BE"/>
    <w:rsid w:val="04315DB7"/>
    <w:rsid w:val="048B5BE2"/>
    <w:rsid w:val="056F4CA8"/>
    <w:rsid w:val="05EC2B84"/>
    <w:rsid w:val="06134ADE"/>
    <w:rsid w:val="064257D6"/>
    <w:rsid w:val="07873405"/>
    <w:rsid w:val="07FE1708"/>
    <w:rsid w:val="086C022B"/>
    <w:rsid w:val="087C3485"/>
    <w:rsid w:val="089D57AC"/>
    <w:rsid w:val="08BA7F54"/>
    <w:rsid w:val="08F0001F"/>
    <w:rsid w:val="091F1DC6"/>
    <w:rsid w:val="09632DD3"/>
    <w:rsid w:val="09734956"/>
    <w:rsid w:val="09CC1423"/>
    <w:rsid w:val="0ABD08DF"/>
    <w:rsid w:val="0B30718F"/>
    <w:rsid w:val="0BC17E1F"/>
    <w:rsid w:val="0C7C14BF"/>
    <w:rsid w:val="0C8C76FE"/>
    <w:rsid w:val="0CD81BE1"/>
    <w:rsid w:val="0CF450AC"/>
    <w:rsid w:val="0D8C7F54"/>
    <w:rsid w:val="0DC846C7"/>
    <w:rsid w:val="0DFE5476"/>
    <w:rsid w:val="0E1C297E"/>
    <w:rsid w:val="0E3C1EFC"/>
    <w:rsid w:val="0E4335A9"/>
    <w:rsid w:val="0EB6385C"/>
    <w:rsid w:val="0F111FDB"/>
    <w:rsid w:val="0F2B63F2"/>
    <w:rsid w:val="0F962C60"/>
    <w:rsid w:val="0FA2479C"/>
    <w:rsid w:val="0FB549E1"/>
    <w:rsid w:val="10162AAF"/>
    <w:rsid w:val="10610F14"/>
    <w:rsid w:val="10817E99"/>
    <w:rsid w:val="11E32A9E"/>
    <w:rsid w:val="11FA7C3C"/>
    <w:rsid w:val="129655C1"/>
    <w:rsid w:val="12EE7759"/>
    <w:rsid w:val="12FB2D4F"/>
    <w:rsid w:val="1345066C"/>
    <w:rsid w:val="138C43B1"/>
    <w:rsid w:val="13A740BB"/>
    <w:rsid w:val="13FC2746"/>
    <w:rsid w:val="14125FD5"/>
    <w:rsid w:val="14220110"/>
    <w:rsid w:val="14B01212"/>
    <w:rsid w:val="14C80B66"/>
    <w:rsid w:val="153515A7"/>
    <w:rsid w:val="155362A8"/>
    <w:rsid w:val="15735199"/>
    <w:rsid w:val="15D9293C"/>
    <w:rsid w:val="167F639D"/>
    <w:rsid w:val="16986B49"/>
    <w:rsid w:val="16BF12D5"/>
    <w:rsid w:val="16FC5765"/>
    <w:rsid w:val="17303B71"/>
    <w:rsid w:val="174D01E7"/>
    <w:rsid w:val="17681DB3"/>
    <w:rsid w:val="17F916A3"/>
    <w:rsid w:val="180841A7"/>
    <w:rsid w:val="18165096"/>
    <w:rsid w:val="1839615F"/>
    <w:rsid w:val="189005FF"/>
    <w:rsid w:val="18B85D05"/>
    <w:rsid w:val="19C00C98"/>
    <w:rsid w:val="1A165D16"/>
    <w:rsid w:val="1B021310"/>
    <w:rsid w:val="1B3F5149"/>
    <w:rsid w:val="1BE1543B"/>
    <w:rsid w:val="1C2E4F23"/>
    <w:rsid w:val="1C545906"/>
    <w:rsid w:val="1C6D0D38"/>
    <w:rsid w:val="1D760624"/>
    <w:rsid w:val="1DE8214F"/>
    <w:rsid w:val="1DE8613C"/>
    <w:rsid w:val="1E22443B"/>
    <w:rsid w:val="1ED60350"/>
    <w:rsid w:val="1ED76F10"/>
    <w:rsid w:val="1EED10B2"/>
    <w:rsid w:val="200809A2"/>
    <w:rsid w:val="200A7B06"/>
    <w:rsid w:val="2029485E"/>
    <w:rsid w:val="208440A8"/>
    <w:rsid w:val="20B23219"/>
    <w:rsid w:val="20BD5D25"/>
    <w:rsid w:val="2112622B"/>
    <w:rsid w:val="21515F0F"/>
    <w:rsid w:val="220152DE"/>
    <w:rsid w:val="221F6292"/>
    <w:rsid w:val="22693EFA"/>
    <w:rsid w:val="227A3683"/>
    <w:rsid w:val="22C66C3F"/>
    <w:rsid w:val="23201CCD"/>
    <w:rsid w:val="235F154E"/>
    <w:rsid w:val="23865628"/>
    <w:rsid w:val="240510B5"/>
    <w:rsid w:val="248B4C1C"/>
    <w:rsid w:val="24ED174F"/>
    <w:rsid w:val="24F06A38"/>
    <w:rsid w:val="252A29C6"/>
    <w:rsid w:val="252B5F8E"/>
    <w:rsid w:val="25775C64"/>
    <w:rsid w:val="25EE610A"/>
    <w:rsid w:val="2622396F"/>
    <w:rsid w:val="266B416E"/>
    <w:rsid w:val="271433BD"/>
    <w:rsid w:val="277A4C3F"/>
    <w:rsid w:val="2781564F"/>
    <w:rsid w:val="27DA0D95"/>
    <w:rsid w:val="27DE5E41"/>
    <w:rsid w:val="27E97AAD"/>
    <w:rsid w:val="28147979"/>
    <w:rsid w:val="281A36F6"/>
    <w:rsid w:val="28211BA9"/>
    <w:rsid w:val="28587079"/>
    <w:rsid w:val="28830C8B"/>
    <w:rsid w:val="288F7ABC"/>
    <w:rsid w:val="289F6223"/>
    <w:rsid w:val="29385153"/>
    <w:rsid w:val="29435239"/>
    <w:rsid w:val="295106B4"/>
    <w:rsid w:val="29D33A72"/>
    <w:rsid w:val="29DC30C5"/>
    <w:rsid w:val="2A1D4C7F"/>
    <w:rsid w:val="2B434A12"/>
    <w:rsid w:val="2B584949"/>
    <w:rsid w:val="2C6477CF"/>
    <w:rsid w:val="2D8E6D22"/>
    <w:rsid w:val="2EAD1226"/>
    <w:rsid w:val="2EC52083"/>
    <w:rsid w:val="2EFB3093"/>
    <w:rsid w:val="2F5E185B"/>
    <w:rsid w:val="2FD45567"/>
    <w:rsid w:val="310B3A83"/>
    <w:rsid w:val="31981369"/>
    <w:rsid w:val="319E48F7"/>
    <w:rsid w:val="31B86674"/>
    <w:rsid w:val="320966C6"/>
    <w:rsid w:val="32352A49"/>
    <w:rsid w:val="32E274CD"/>
    <w:rsid w:val="33331B09"/>
    <w:rsid w:val="3337030F"/>
    <w:rsid w:val="334602BA"/>
    <w:rsid w:val="34660C80"/>
    <w:rsid w:val="34751A73"/>
    <w:rsid w:val="35636EB9"/>
    <w:rsid w:val="36B632F5"/>
    <w:rsid w:val="37DA41AF"/>
    <w:rsid w:val="38022422"/>
    <w:rsid w:val="382C70E9"/>
    <w:rsid w:val="38325D99"/>
    <w:rsid w:val="385B18FF"/>
    <w:rsid w:val="388013FE"/>
    <w:rsid w:val="38E84BAA"/>
    <w:rsid w:val="39A46823"/>
    <w:rsid w:val="39D7388E"/>
    <w:rsid w:val="3A361EB5"/>
    <w:rsid w:val="3A8853F9"/>
    <w:rsid w:val="3ABD6800"/>
    <w:rsid w:val="3B180FBF"/>
    <w:rsid w:val="3C944365"/>
    <w:rsid w:val="3CBE05CE"/>
    <w:rsid w:val="3D136CA5"/>
    <w:rsid w:val="3D335C6C"/>
    <w:rsid w:val="3D710777"/>
    <w:rsid w:val="3DCE6294"/>
    <w:rsid w:val="3DF77869"/>
    <w:rsid w:val="3E311FFF"/>
    <w:rsid w:val="3E4E3201"/>
    <w:rsid w:val="3F807045"/>
    <w:rsid w:val="4000476C"/>
    <w:rsid w:val="41B463F7"/>
    <w:rsid w:val="43160AFD"/>
    <w:rsid w:val="433B25CE"/>
    <w:rsid w:val="43D56F8B"/>
    <w:rsid w:val="457C68A6"/>
    <w:rsid w:val="45CC5137"/>
    <w:rsid w:val="45D65FB4"/>
    <w:rsid w:val="465E08B6"/>
    <w:rsid w:val="46917FC8"/>
    <w:rsid w:val="46CB6EEA"/>
    <w:rsid w:val="46E13049"/>
    <w:rsid w:val="470677BA"/>
    <w:rsid w:val="47952AA8"/>
    <w:rsid w:val="47B274BE"/>
    <w:rsid w:val="47C37B5D"/>
    <w:rsid w:val="487649F7"/>
    <w:rsid w:val="48853CC3"/>
    <w:rsid w:val="49007529"/>
    <w:rsid w:val="49D53501"/>
    <w:rsid w:val="4A141EAD"/>
    <w:rsid w:val="4A29151A"/>
    <w:rsid w:val="4A6B2C0C"/>
    <w:rsid w:val="4A80601B"/>
    <w:rsid w:val="4AF92904"/>
    <w:rsid w:val="4B6438CB"/>
    <w:rsid w:val="4BF73372"/>
    <w:rsid w:val="4C8578C0"/>
    <w:rsid w:val="4CF12C3D"/>
    <w:rsid w:val="4D0C11DB"/>
    <w:rsid w:val="4D286E88"/>
    <w:rsid w:val="4D455734"/>
    <w:rsid w:val="4D871483"/>
    <w:rsid w:val="4D9F3C11"/>
    <w:rsid w:val="4E655221"/>
    <w:rsid w:val="4E9A100C"/>
    <w:rsid w:val="4EB57700"/>
    <w:rsid w:val="4EBD5D45"/>
    <w:rsid w:val="4F6649E3"/>
    <w:rsid w:val="4FD9492B"/>
    <w:rsid w:val="4FDC027A"/>
    <w:rsid w:val="504E7118"/>
    <w:rsid w:val="507A4FBF"/>
    <w:rsid w:val="51323E3B"/>
    <w:rsid w:val="51B15497"/>
    <w:rsid w:val="51CB4E31"/>
    <w:rsid w:val="51E537A6"/>
    <w:rsid w:val="522105B9"/>
    <w:rsid w:val="52564743"/>
    <w:rsid w:val="52744039"/>
    <w:rsid w:val="52C31D75"/>
    <w:rsid w:val="52C4252C"/>
    <w:rsid w:val="52DF25B0"/>
    <w:rsid w:val="52E16484"/>
    <w:rsid w:val="53573223"/>
    <w:rsid w:val="53ED0241"/>
    <w:rsid w:val="5438706C"/>
    <w:rsid w:val="54A0499A"/>
    <w:rsid w:val="55CC59F0"/>
    <w:rsid w:val="563175FA"/>
    <w:rsid w:val="563D59C0"/>
    <w:rsid w:val="56775382"/>
    <w:rsid w:val="56791C6E"/>
    <w:rsid w:val="56BF1210"/>
    <w:rsid w:val="56E3777B"/>
    <w:rsid w:val="56FF5449"/>
    <w:rsid w:val="570F603D"/>
    <w:rsid w:val="57B95745"/>
    <w:rsid w:val="580A5DFD"/>
    <w:rsid w:val="583F79EB"/>
    <w:rsid w:val="586C3723"/>
    <w:rsid w:val="58734FF2"/>
    <w:rsid w:val="58E73F1A"/>
    <w:rsid w:val="58E77A49"/>
    <w:rsid w:val="58EF7A02"/>
    <w:rsid w:val="59277B4C"/>
    <w:rsid w:val="59EE0985"/>
    <w:rsid w:val="5A184997"/>
    <w:rsid w:val="5A8452EE"/>
    <w:rsid w:val="5AA45688"/>
    <w:rsid w:val="5ADC3B08"/>
    <w:rsid w:val="5AF54CD9"/>
    <w:rsid w:val="5AFC1BC3"/>
    <w:rsid w:val="5AFC3EFC"/>
    <w:rsid w:val="5B0A382A"/>
    <w:rsid w:val="5BA760CF"/>
    <w:rsid w:val="5C2569AC"/>
    <w:rsid w:val="5C421C43"/>
    <w:rsid w:val="5C764FD3"/>
    <w:rsid w:val="5CA175FA"/>
    <w:rsid w:val="5D016DDB"/>
    <w:rsid w:val="5D614DF7"/>
    <w:rsid w:val="5D6C29E3"/>
    <w:rsid w:val="5D710D9B"/>
    <w:rsid w:val="5DC15346"/>
    <w:rsid w:val="5DFD78BC"/>
    <w:rsid w:val="5E106C49"/>
    <w:rsid w:val="5E17396B"/>
    <w:rsid w:val="5E4A2408"/>
    <w:rsid w:val="5E722E8D"/>
    <w:rsid w:val="5E7778E2"/>
    <w:rsid w:val="5F0F0333"/>
    <w:rsid w:val="5F13397F"/>
    <w:rsid w:val="5F1B2917"/>
    <w:rsid w:val="5F412357"/>
    <w:rsid w:val="61B74694"/>
    <w:rsid w:val="620B5A58"/>
    <w:rsid w:val="621E2CF8"/>
    <w:rsid w:val="62371308"/>
    <w:rsid w:val="62437ED2"/>
    <w:rsid w:val="62896A92"/>
    <w:rsid w:val="62B249B4"/>
    <w:rsid w:val="62FB561E"/>
    <w:rsid w:val="6305308B"/>
    <w:rsid w:val="63B05C3E"/>
    <w:rsid w:val="64A26546"/>
    <w:rsid w:val="64B83961"/>
    <w:rsid w:val="64ED1722"/>
    <w:rsid w:val="65F4629D"/>
    <w:rsid w:val="667E28B7"/>
    <w:rsid w:val="66D627D4"/>
    <w:rsid w:val="67990979"/>
    <w:rsid w:val="67E53432"/>
    <w:rsid w:val="68410DF6"/>
    <w:rsid w:val="68886A33"/>
    <w:rsid w:val="699B53B2"/>
    <w:rsid w:val="69B34F05"/>
    <w:rsid w:val="69D65C6C"/>
    <w:rsid w:val="6A306601"/>
    <w:rsid w:val="6B767295"/>
    <w:rsid w:val="6BB9765C"/>
    <w:rsid w:val="6C7C112D"/>
    <w:rsid w:val="6CB953EE"/>
    <w:rsid w:val="6D2F657C"/>
    <w:rsid w:val="6D604233"/>
    <w:rsid w:val="6D6F23B4"/>
    <w:rsid w:val="6DA70485"/>
    <w:rsid w:val="6E3B1A5F"/>
    <w:rsid w:val="6F29122F"/>
    <w:rsid w:val="6F613C3B"/>
    <w:rsid w:val="6F891436"/>
    <w:rsid w:val="6FAA5C3A"/>
    <w:rsid w:val="6FB61059"/>
    <w:rsid w:val="6FE70625"/>
    <w:rsid w:val="6FF0313F"/>
    <w:rsid w:val="70761C31"/>
    <w:rsid w:val="70C869C0"/>
    <w:rsid w:val="715D1B9C"/>
    <w:rsid w:val="718334BC"/>
    <w:rsid w:val="718F158B"/>
    <w:rsid w:val="7228470E"/>
    <w:rsid w:val="72B40E50"/>
    <w:rsid w:val="73520AC2"/>
    <w:rsid w:val="736C3B18"/>
    <w:rsid w:val="737751A7"/>
    <w:rsid w:val="73CE5E43"/>
    <w:rsid w:val="740136D3"/>
    <w:rsid w:val="740E17E6"/>
    <w:rsid w:val="747B32BE"/>
    <w:rsid w:val="747C0B71"/>
    <w:rsid w:val="75335FCD"/>
    <w:rsid w:val="75366F8A"/>
    <w:rsid w:val="76D1352B"/>
    <w:rsid w:val="77505A36"/>
    <w:rsid w:val="7784595D"/>
    <w:rsid w:val="77A825DB"/>
    <w:rsid w:val="77E912C9"/>
    <w:rsid w:val="7857689C"/>
    <w:rsid w:val="788F18EA"/>
    <w:rsid w:val="78A526F6"/>
    <w:rsid w:val="78CC4E73"/>
    <w:rsid w:val="78EA7D4E"/>
    <w:rsid w:val="79817A0B"/>
    <w:rsid w:val="79883B22"/>
    <w:rsid w:val="79E66862"/>
    <w:rsid w:val="7A07070F"/>
    <w:rsid w:val="7AA46724"/>
    <w:rsid w:val="7B05641A"/>
    <w:rsid w:val="7B316EB0"/>
    <w:rsid w:val="7B354B7D"/>
    <w:rsid w:val="7C716204"/>
    <w:rsid w:val="7C747BBA"/>
    <w:rsid w:val="7CC94791"/>
    <w:rsid w:val="7CD141D7"/>
    <w:rsid w:val="7D055A9A"/>
    <w:rsid w:val="7D7F5D84"/>
    <w:rsid w:val="7D830C58"/>
    <w:rsid w:val="7DE00EDA"/>
    <w:rsid w:val="7E5356EF"/>
    <w:rsid w:val="7ED32F9C"/>
    <w:rsid w:val="7F403EC5"/>
    <w:rsid w:val="7FB81EA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F127424"/>
  <w15:docId w15:val="{A3CE5C5B-3456-4722-8736-DB709C957E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toc 1" w:uiPriority="39" w:unhideWhenUsed="1" w:qFormat="1"/>
    <w:lsdException w:name="toc 2" w:uiPriority="39" w:unhideWhenUsed="1" w:qFormat="1"/>
    <w:lsdException w:name="toc 3" w:uiPriority="39" w:unhideWhenUsed="1" w:qFormat="1"/>
    <w:lsdException w:name="footnote text" w:uiPriority="99" w:unhideWhenUsed="1" w:qFormat="1"/>
    <w:lsdException w:name="annotation text" w:uiPriority="99" w:unhideWhenUsed="1" w:qFormat="1"/>
    <w:lsdException w:name="header" w:unhideWhenUsed="1" w:qFormat="1"/>
    <w:lsdException w:name="footer" w:unhideWhenUsed="1" w:qFormat="1"/>
    <w:lsdException w:name="caption" w:uiPriority="35" w:unhideWhenUsed="1" w:qFormat="1"/>
    <w:lsdException w:name="footnote reference" w:uiPriority="99" w:unhideWhenUsed="1" w:qFormat="1"/>
    <w:lsdException w:name="annotation reference" w:unhideWhenUsed="1" w:qFormat="1"/>
    <w:lsdException w:name="line number" w:uiPriority="99" w:unhideWhenUsed="1" w:qFormat="1"/>
    <w:lsdException w:name="macro" w:uiPriority="99" w:unhideWhenUsed="1" w:qFormat="1"/>
    <w:lsdException w:name="List" w:uiPriority="99" w:unhideWhenUsed="1" w:qFormat="1"/>
    <w:lsdException w:name="List Bullet" w:uiPriority="99" w:unhideWhenUsed="1" w:qFormat="1"/>
    <w:lsdException w:name="List Number" w:uiPriority="99" w:unhideWhenUsed="1" w:qFormat="1"/>
    <w:lsdException w:name="List 2" w:uiPriority="99" w:unhideWhenUsed="1" w:qFormat="1"/>
    <w:lsdException w:name="List 3" w:uiPriority="99" w:unhideWhenUsed="1" w:qFormat="1"/>
    <w:lsdException w:name="List Bullet 2" w:uiPriority="99" w:unhideWhenUsed="1" w:qFormat="1"/>
    <w:lsdException w:name="List Bullet 3" w:uiPriority="99" w:unhideWhenUsed="1" w:qFormat="1"/>
    <w:lsdException w:name="List Number 2" w:uiPriority="99" w:unhideWhenUsed="1" w:qFormat="1"/>
    <w:lsdException w:name="List Number 3" w:uiPriority="99" w:unhideWhenUsed="1" w:qFormat="1"/>
    <w:lsdException w:name="Title" w:uiPriority="10" w:qFormat="1"/>
    <w:lsdException w:name="Default Paragraph Font" w:semiHidden="1" w:uiPriority="1" w:unhideWhenUsed="1" w:qFormat="1"/>
    <w:lsdException w:name="Body Text" w:uiPriority="99" w:qFormat="1"/>
    <w:lsdException w:name="List Continue" w:uiPriority="99" w:unhideWhenUsed="1" w:qFormat="1"/>
    <w:lsdException w:name="List Continue 2" w:uiPriority="99" w:unhideWhenUsed="1" w:qFormat="1"/>
    <w:lsdException w:name="List Continue 3" w:uiPriority="99" w:unhideWhenUsed="1" w:qFormat="1"/>
    <w:lsdException w:name="Subtitle" w:uiPriority="11" w:qFormat="1"/>
    <w:lsdException w:name="Date" w:qFormat="1"/>
    <w:lsdException w:name="Body Text 2" w:uiPriority="99" w:unhideWhenUsed="1" w:qFormat="1"/>
    <w:lsdException w:name="Body Text 3" w:uiPriority="99" w:unhideWhenUsed="1" w:qFormat="1"/>
    <w:lsdException w:name="Hyperlink" w:unhideWhenUsed="1" w:qFormat="1"/>
    <w:lsdException w:name="FollowedHyperlink" w:unhideWhenUsed="1" w:qFormat="1"/>
    <w:lsdException w:name="Strong" w:qFormat="1"/>
    <w:lsdException w:name="Emphasis" w:uiPriority="20" w:qFormat="1"/>
    <w:lsdException w:name="HTML Top of Form" w:semiHidden="1" w:uiPriority="99" w:unhideWhenUsed="1"/>
    <w:lsdException w:name="HTML Bottom of Form" w:semiHidden="1" w:uiPriority="99" w:unhideWhenUsed="1"/>
    <w:lsdException w:name="Normal (Web)" w:uiPriority="99" w:qFormat="1"/>
    <w:lsdException w:name="HTML Code" w:uiPriority="99" w:unhideWhenUsed="1" w:qFormat="1"/>
    <w:lsdException w:name="Normal Table" w:semiHidden="1" w:uiPriority="99" w:unhideWhenUsed="1" w:qFormat="1"/>
    <w:lsdException w:name="annotation subject"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qFormat="1"/>
    <w:lsdException w:name="Table Grid" w:uiPriority="39" w:qFormat="1"/>
    <w:lsdException w:name="Table Theme" w:semiHidden="1" w:unhideWhenUsed="1"/>
    <w:lsdException w:name="Placeholder Text" w:semiHidden="1" w:uiPriority="99" w:qFormat="1"/>
    <w:lsdException w:name="No Spacing" w:uiPriority="1" w:qFormat="1"/>
    <w:lsdException w:name="Light Shading" w:uiPriority="60" w:qFormat="1"/>
    <w:lsdException w:name="Light List" w:uiPriority="61" w:qFormat="1"/>
    <w:lsdException w:name="Light Grid" w:uiPriority="62" w:qFormat="1"/>
    <w:lsdException w:name="Medium Shading 1" w:uiPriority="63" w:qFormat="1"/>
    <w:lsdException w:name="Medium Shading 2" w:uiPriority="64" w:qFormat="1"/>
    <w:lsdException w:name="Medium List 1" w:uiPriority="65" w:qFormat="1"/>
    <w:lsdException w:name="Medium List 2" w:uiPriority="66" w:qFormat="1"/>
    <w:lsdException w:name="Medium Grid 1" w:uiPriority="67" w:qFormat="1"/>
    <w:lsdException w:name="Medium Grid 2" w:uiPriority="68" w:qFormat="1"/>
    <w:lsdException w:name="Medium Grid 3" w:uiPriority="69" w:qFormat="1"/>
    <w:lsdException w:name="Dark List" w:uiPriority="70" w:qFormat="1"/>
    <w:lsdException w:name="Colorful Shading" w:uiPriority="71" w:qFormat="1"/>
    <w:lsdException w:name="Colorful List" w:uiPriority="72" w:qFormat="1"/>
    <w:lsdException w:name="Colorful Grid" w:uiPriority="73" w:qFormat="1"/>
    <w:lsdException w:name="Light Shading Accent 1" w:uiPriority="60" w:qFormat="1"/>
    <w:lsdException w:name="Light List Accent 1" w:uiPriority="61" w:qFormat="1"/>
    <w:lsdException w:name="Light Grid Accent 1" w:uiPriority="62" w:qFormat="1"/>
    <w:lsdException w:name="Medium Shading 1 Accent 1" w:uiPriority="63" w:qFormat="1"/>
    <w:lsdException w:name="Medium Shading 2 Accent 1" w:uiPriority="64" w:qFormat="1"/>
    <w:lsdException w:name="Medium List 1 Accent 1" w:uiPriority="65" w:qFormat="1"/>
    <w:lsdException w:name="Revision" w:semiHidden="1" w:uiPriority="99" w:unhideWhenUsed="1"/>
    <w:lsdException w:name="List Paragraph" w:uiPriority="99" w:qFormat="1"/>
    <w:lsdException w:name="Quote" w:uiPriority="29" w:qFormat="1"/>
    <w:lsdException w:name="Intense Quote" w:uiPriority="30" w:qFormat="1"/>
    <w:lsdException w:name="Medium List 2 Accent 1" w:uiPriority="66" w:qFormat="1"/>
    <w:lsdException w:name="Medium Grid 1 Accent 1" w:uiPriority="67" w:qFormat="1"/>
    <w:lsdException w:name="Medium Grid 2 Accent 1" w:uiPriority="68" w:qFormat="1"/>
    <w:lsdException w:name="Medium Grid 3 Accent 1" w:uiPriority="69" w:qFormat="1"/>
    <w:lsdException w:name="Dark List Accent 1" w:uiPriority="70" w:qFormat="1"/>
    <w:lsdException w:name="Colorful Shading Accent 1" w:uiPriority="71" w:qFormat="1"/>
    <w:lsdException w:name="Colorful List Accent 1" w:uiPriority="72" w:qFormat="1"/>
    <w:lsdException w:name="Colorful Grid Accent 1" w:uiPriority="73" w:qFormat="1"/>
    <w:lsdException w:name="Light Shading Accent 2" w:uiPriority="60" w:qFormat="1"/>
    <w:lsdException w:name="Light List Accent 2" w:uiPriority="61" w:qFormat="1"/>
    <w:lsdException w:name="Light Grid Accent 2" w:uiPriority="62" w:qFormat="1"/>
    <w:lsdException w:name="Medium Shading 1 Accent 2" w:uiPriority="63" w:qFormat="1"/>
    <w:lsdException w:name="Medium Shading 2 Accent 2" w:uiPriority="64" w:qFormat="1"/>
    <w:lsdException w:name="Medium List 1 Accent 2" w:uiPriority="65" w:qFormat="1"/>
    <w:lsdException w:name="Medium List 2 Accent 2" w:uiPriority="66" w:qFormat="1"/>
    <w:lsdException w:name="Medium Grid 1 Accent 2" w:uiPriority="67" w:qFormat="1"/>
    <w:lsdException w:name="Medium Grid 2 Accent 2" w:uiPriority="68" w:qFormat="1"/>
    <w:lsdException w:name="Medium Grid 3 Accent 2" w:uiPriority="69" w:qFormat="1"/>
    <w:lsdException w:name="Dark List Accent 2" w:uiPriority="70" w:qFormat="1"/>
    <w:lsdException w:name="Colorful Shading Accent 2" w:uiPriority="71" w:qFormat="1"/>
    <w:lsdException w:name="Colorful List Accent 2" w:uiPriority="72" w:qFormat="1"/>
    <w:lsdException w:name="Colorful Grid Accent 2" w:uiPriority="73" w:qFormat="1"/>
    <w:lsdException w:name="Light Shading Accent 3" w:uiPriority="60" w:qFormat="1"/>
    <w:lsdException w:name="Light List Accent 3" w:uiPriority="61" w:qFormat="1"/>
    <w:lsdException w:name="Light Grid Accent 3" w:uiPriority="62" w:qFormat="1"/>
    <w:lsdException w:name="Medium Shading 1 Accent 3" w:uiPriority="63" w:qFormat="1"/>
    <w:lsdException w:name="Medium Shading 2 Accent 3" w:uiPriority="64" w:qFormat="1"/>
    <w:lsdException w:name="Medium List 1 Accent 3" w:uiPriority="65" w:qFormat="1"/>
    <w:lsdException w:name="Medium List 2 Accent 3" w:uiPriority="66" w:qFormat="1"/>
    <w:lsdException w:name="Medium Grid 1 Accent 3" w:uiPriority="67" w:qFormat="1"/>
    <w:lsdException w:name="Medium Grid 2 Accent 3" w:uiPriority="68" w:qFormat="1"/>
    <w:lsdException w:name="Medium Grid 3 Accent 3" w:uiPriority="69" w:qFormat="1"/>
    <w:lsdException w:name="Dark List Accent 3" w:uiPriority="70" w:qFormat="1"/>
    <w:lsdException w:name="Colorful Shading Accent 3" w:uiPriority="71" w:qFormat="1"/>
    <w:lsdException w:name="Colorful List Accent 3" w:uiPriority="72" w:qFormat="1"/>
    <w:lsdException w:name="Colorful Grid Accent 3" w:uiPriority="73" w:qFormat="1"/>
    <w:lsdException w:name="Light Shading Accent 4" w:uiPriority="60" w:qFormat="1"/>
    <w:lsdException w:name="Light List Accent 4" w:uiPriority="61" w:qFormat="1"/>
    <w:lsdException w:name="Light Grid Accent 4" w:uiPriority="62" w:qFormat="1"/>
    <w:lsdException w:name="Medium Shading 1 Accent 4" w:uiPriority="63" w:qFormat="1"/>
    <w:lsdException w:name="Medium Shading 2 Accent 4" w:uiPriority="64" w:qFormat="1"/>
    <w:lsdException w:name="Medium List 1 Accent 4" w:uiPriority="65" w:qFormat="1"/>
    <w:lsdException w:name="Medium List 2 Accent 4" w:uiPriority="66" w:qFormat="1"/>
    <w:lsdException w:name="Medium Grid 1 Accent 4" w:uiPriority="67" w:qFormat="1"/>
    <w:lsdException w:name="Medium Grid 2 Accent 4" w:uiPriority="68" w:qFormat="1"/>
    <w:lsdException w:name="Medium Grid 3 Accent 4" w:uiPriority="69" w:qFormat="1"/>
    <w:lsdException w:name="Dark List Accent 4" w:uiPriority="70" w:qFormat="1"/>
    <w:lsdException w:name="Colorful Shading Accent 4" w:uiPriority="71" w:qFormat="1"/>
    <w:lsdException w:name="Colorful List Accent 4" w:uiPriority="72" w:qFormat="1"/>
    <w:lsdException w:name="Colorful Grid Accent 4" w:uiPriority="73" w:qFormat="1"/>
    <w:lsdException w:name="Light Shading Accent 5" w:uiPriority="60" w:qFormat="1"/>
    <w:lsdException w:name="Light List Accent 5" w:uiPriority="61" w:qFormat="1"/>
    <w:lsdException w:name="Light Grid Accent 5" w:uiPriority="62" w:qFormat="1"/>
    <w:lsdException w:name="Medium Shading 1 Accent 5" w:uiPriority="63" w:qFormat="1"/>
    <w:lsdException w:name="Medium Shading 2 Accent 5" w:uiPriority="64" w:qFormat="1"/>
    <w:lsdException w:name="Medium List 1 Accent 5" w:uiPriority="65" w:qFormat="1"/>
    <w:lsdException w:name="Medium List 2 Accent 5" w:uiPriority="66" w:qFormat="1"/>
    <w:lsdException w:name="Medium Grid 1 Accent 5" w:uiPriority="67" w:qFormat="1"/>
    <w:lsdException w:name="Medium Grid 2 Accent 5" w:uiPriority="68" w:qFormat="1"/>
    <w:lsdException w:name="Medium Grid 3 Accent 5" w:uiPriority="69" w:qFormat="1"/>
    <w:lsdException w:name="Dark List Accent 5" w:uiPriority="70" w:qFormat="1"/>
    <w:lsdException w:name="Colorful Shading Accent 5" w:uiPriority="71" w:qFormat="1"/>
    <w:lsdException w:name="Colorful List Accent 5" w:uiPriority="72" w:qFormat="1"/>
    <w:lsdException w:name="Colorful Grid Accent 5" w:uiPriority="73" w:qFormat="1"/>
    <w:lsdException w:name="Light Shading Accent 6" w:uiPriority="60" w:qFormat="1"/>
    <w:lsdException w:name="Light List Accent 6" w:uiPriority="61" w:qFormat="1"/>
    <w:lsdException w:name="Light Grid Accent 6" w:uiPriority="62" w:qFormat="1"/>
    <w:lsdException w:name="Medium Shading 1 Accent 6" w:uiPriority="63" w:qFormat="1"/>
    <w:lsdException w:name="Medium Shading 2 Accent 6" w:uiPriority="64" w:qFormat="1"/>
    <w:lsdException w:name="Medium List 1 Accent 6" w:uiPriority="65" w:qFormat="1"/>
    <w:lsdException w:name="Medium List 2 Accent 6" w:uiPriority="66" w:qFormat="1"/>
    <w:lsdException w:name="Medium Grid 1 Accent 6" w:uiPriority="67" w:qFormat="1"/>
    <w:lsdException w:name="Medium Grid 2 Accent 6" w:uiPriority="68" w:qFormat="1"/>
    <w:lsdException w:name="Medium Grid 3 Accent 6" w:uiPriority="69" w:qFormat="1"/>
    <w:lsdException w:name="Dark List Accent 6" w:uiPriority="70" w:qFormat="1"/>
    <w:lsdException w:name="Colorful Shading Accent 6" w:uiPriority="71" w:qFormat="1"/>
    <w:lsdException w:name="Colorful List Accent 6" w:uiPriority="72" w:qFormat="1"/>
    <w:lsdException w:name="Colorful Grid Accent 6" w:uiPriority="73" w:qFormat="1"/>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1">
    <w:name w:val="Normal"/>
    <w:qFormat/>
    <w:rsid w:val="00A668EF"/>
    <w:pPr>
      <w:widowControl w:val="0"/>
      <w:jc w:val="both"/>
    </w:pPr>
    <w:rPr>
      <w:rFonts w:asciiTheme="minorHAnsi" w:eastAsiaTheme="minorEastAsia" w:hAnsiTheme="minorHAnsi" w:cstheme="minorBidi"/>
      <w:kern w:val="2"/>
      <w:sz w:val="21"/>
      <w:szCs w:val="22"/>
    </w:rPr>
  </w:style>
  <w:style w:type="paragraph" w:styleId="1">
    <w:name w:val="heading 1"/>
    <w:basedOn w:val="a1"/>
    <w:next w:val="a1"/>
    <w:link w:val="10"/>
    <w:qFormat/>
    <w:rsid w:val="00E66FA0"/>
    <w:pPr>
      <w:keepNext/>
      <w:keepLines/>
      <w:widowControl/>
      <w:numPr>
        <w:numId w:val="1"/>
      </w:numPr>
      <w:ind w:left="0"/>
      <w:outlineLvl w:val="0"/>
    </w:pPr>
    <w:rPr>
      <w:rFonts w:ascii="Garamond" w:hAnsi="Garamond"/>
      <w:b/>
      <w:bCs/>
      <w:kern w:val="44"/>
      <w:sz w:val="32"/>
      <w:szCs w:val="32"/>
    </w:rPr>
  </w:style>
  <w:style w:type="paragraph" w:styleId="21">
    <w:name w:val="heading 2"/>
    <w:basedOn w:val="a1"/>
    <w:next w:val="a1"/>
    <w:link w:val="22"/>
    <w:autoRedefine/>
    <w:unhideWhenUsed/>
    <w:qFormat/>
    <w:pPr>
      <w:keepNext/>
      <w:keepLines/>
      <w:numPr>
        <w:ilvl w:val="1"/>
        <w:numId w:val="1"/>
      </w:numPr>
      <w:spacing w:before="260" w:after="260" w:line="415" w:lineRule="auto"/>
      <w:ind w:left="0"/>
      <w:outlineLvl w:val="1"/>
    </w:pPr>
    <w:rPr>
      <w:rFonts w:ascii="Garamond" w:eastAsiaTheme="majorEastAsia" w:hAnsi="Garamond" w:cstheme="majorBidi"/>
      <w:b/>
      <w:bCs/>
      <w:snapToGrid w:val="0"/>
      <w:sz w:val="32"/>
      <w:szCs w:val="32"/>
    </w:rPr>
  </w:style>
  <w:style w:type="paragraph" w:styleId="31">
    <w:name w:val="heading 3"/>
    <w:basedOn w:val="a1"/>
    <w:next w:val="a1"/>
    <w:link w:val="32"/>
    <w:autoRedefine/>
    <w:unhideWhenUsed/>
    <w:qFormat/>
    <w:pPr>
      <w:keepNext/>
      <w:keepLines/>
      <w:widowControl/>
      <w:numPr>
        <w:ilvl w:val="2"/>
        <w:numId w:val="1"/>
      </w:numPr>
      <w:spacing w:before="120" w:after="120"/>
      <w:ind w:left="0"/>
      <w:jc w:val="left"/>
      <w:outlineLvl w:val="2"/>
    </w:pPr>
    <w:rPr>
      <w:rFonts w:ascii="Garamond" w:eastAsia="宋体" w:hAnsi="Garamond" w:cs="Times New Roman"/>
      <w:b/>
      <w:bCs/>
      <w:kern w:val="0"/>
      <w:sz w:val="28"/>
      <w:szCs w:val="28"/>
    </w:rPr>
  </w:style>
  <w:style w:type="paragraph" w:styleId="4">
    <w:name w:val="heading 4"/>
    <w:basedOn w:val="a1"/>
    <w:next w:val="a1"/>
    <w:link w:val="40"/>
    <w:unhideWhenUsed/>
    <w:qFormat/>
    <w:pPr>
      <w:keepNext/>
      <w:keepLines/>
      <w:widowControl/>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1"/>
    <w:next w:val="a1"/>
    <w:link w:val="50"/>
    <w:uiPriority w:val="9"/>
    <w:semiHidden/>
    <w:unhideWhenUsed/>
    <w:qFormat/>
    <w:pPr>
      <w:keepNext/>
      <w:keepLines/>
      <w:widowControl/>
      <w:spacing w:before="200" w:line="276" w:lineRule="auto"/>
      <w:jc w:val="left"/>
      <w:outlineLvl w:val="4"/>
    </w:pPr>
    <w:rPr>
      <w:rFonts w:asciiTheme="majorHAnsi" w:eastAsiaTheme="majorEastAsia" w:hAnsiTheme="majorHAnsi" w:cstheme="majorBidi"/>
      <w:color w:val="1F4E79" w:themeColor="accent1" w:themeShade="80"/>
      <w:kern w:val="0"/>
      <w:sz w:val="22"/>
      <w:lang w:eastAsia="en-US"/>
    </w:rPr>
  </w:style>
  <w:style w:type="paragraph" w:styleId="6">
    <w:name w:val="heading 6"/>
    <w:basedOn w:val="a1"/>
    <w:next w:val="a1"/>
    <w:link w:val="60"/>
    <w:uiPriority w:val="9"/>
    <w:semiHidden/>
    <w:unhideWhenUsed/>
    <w:qFormat/>
    <w:pPr>
      <w:keepNext/>
      <w:keepLines/>
      <w:widowControl/>
      <w:spacing w:before="200" w:line="276" w:lineRule="auto"/>
      <w:jc w:val="left"/>
      <w:outlineLvl w:val="5"/>
    </w:pPr>
    <w:rPr>
      <w:rFonts w:asciiTheme="majorHAnsi" w:eastAsiaTheme="majorEastAsia" w:hAnsiTheme="majorHAnsi" w:cstheme="majorBidi"/>
      <w:i/>
      <w:iCs/>
      <w:color w:val="1F4E79" w:themeColor="accent1" w:themeShade="80"/>
      <w:kern w:val="0"/>
      <w:sz w:val="22"/>
      <w:lang w:eastAsia="en-US"/>
    </w:rPr>
  </w:style>
  <w:style w:type="paragraph" w:styleId="7">
    <w:name w:val="heading 7"/>
    <w:basedOn w:val="a1"/>
    <w:next w:val="a1"/>
    <w:link w:val="70"/>
    <w:uiPriority w:val="9"/>
    <w:semiHidden/>
    <w:unhideWhenUsed/>
    <w:qFormat/>
    <w:pPr>
      <w:keepNext/>
      <w:keepLines/>
      <w:widowControl/>
      <w:spacing w:before="200" w:line="276" w:lineRule="auto"/>
      <w:jc w:val="left"/>
      <w:outlineLvl w:val="6"/>
    </w:pPr>
    <w:rPr>
      <w:rFonts w:asciiTheme="majorHAnsi" w:eastAsiaTheme="majorEastAsia" w:hAnsiTheme="majorHAnsi" w:cstheme="majorBidi"/>
      <w:i/>
      <w:iCs/>
      <w:color w:val="404040" w:themeColor="text1" w:themeTint="BF"/>
      <w:kern w:val="0"/>
      <w:sz w:val="22"/>
      <w:lang w:eastAsia="en-US"/>
    </w:rPr>
  </w:style>
  <w:style w:type="paragraph" w:styleId="8">
    <w:name w:val="heading 8"/>
    <w:basedOn w:val="a1"/>
    <w:next w:val="a1"/>
    <w:link w:val="80"/>
    <w:uiPriority w:val="9"/>
    <w:semiHidden/>
    <w:unhideWhenUsed/>
    <w:qFormat/>
    <w:pPr>
      <w:keepNext/>
      <w:keepLines/>
      <w:widowControl/>
      <w:spacing w:before="200" w:line="276" w:lineRule="auto"/>
      <w:jc w:val="left"/>
      <w:outlineLvl w:val="7"/>
    </w:pPr>
    <w:rPr>
      <w:rFonts w:asciiTheme="majorHAnsi" w:eastAsiaTheme="majorEastAsia" w:hAnsiTheme="majorHAnsi" w:cstheme="majorBidi"/>
      <w:color w:val="5B9BD5" w:themeColor="accent1"/>
      <w:kern w:val="0"/>
      <w:sz w:val="20"/>
      <w:szCs w:val="20"/>
      <w:lang w:eastAsia="en-US"/>
    </w:rPr>
  </w:style>
  <w:style w:type="paragraph" w:styleId="9">
    <w:name w:val="heading 9"/>
    <w:basedOn w:val="a1"/>
    <w:next w:val="a1"/>
    <w:link w:val="90"/>
    <w:uiPriority w:val="9"/>
    <w:semiHidden/>
    <w:unhideWhenUsed/>
    <w:qFormat/>
    <w:pPr>
      <w:keepNext/>
      <w:keepLines/>
      <w:widowControl/>
      <w:spacing w:before="200" w:line="276" w:lineRule="auto"/>
      <w:jc w:val="left"/>
      <w:outlineLvl w:val="8"/>
    </w:pPr>
    <w:rPr>
      <w:rFonts w:asciiTheme="majorHAnsi" w:eastAsiaTheme="majorEastAsia" w:hAnsiTheme="majorHAnsi" w:cstheme="majorBidi"/>
      <w:i/>
      <w:iCs/>
      <w:color w:val="404040" w:themeColor="text1" w:themeTint="BF"/>
      <w:kern w:val="0"/>
      <w:sz w:val="20"/>
      <w:szCs w:val="20"/>
      <w:lang w:eastAsia="en-US"/>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macro"/>
    <w:link w:val="a6"/>
    <w:uiPriority w:val="99"/>
    <w:unhideWhenUsed/>
    <w:qFormat/>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cstheme="minorBidi"/>
      <w:lang w:eastAsia="en-US"/>
    </w:rPr>
  </w:style>
  <w:style w:type="paragraph" w:styleId="33">
    <w:name w:val="List 3"/>
    <w:basedOn w:val="a1"/>
    <w:uiPriority w:val="99"/>
    <w:unhideWhenUsed/>
    <w:qFormat/>
    <w:pPr>
      <w:widowControl/>
      <w:spacing w:after="200" w:line="276" w:lineRule="auto"/>
      <w:ind w:left="1080" w:hanging="360"/>
      <w:contextualSpacing/>
      <w:jc w:val="left"/>
    </w:pPr>
    <w:rPr>
      <w:kern w:val="0"/>
      <w:sz w:val="22"/>
      <w:lang w:eastAsia="en-US"/>
    </w:rPr>
  </w:style>
  <w:style w:type="paragraph" w:styleId="2">
    <w:name w:val="List Number 2"/>
    <w:basedOn w:val="a1"/>
    <w:uiPriority w:val="99"/>
    <w:unhideWhenUsed/>
    <w:qFormat/>
    <w:pPr>
      <w:widowControl/>
      <w:numPr>
        <w:numId w:val="2"/>
      </w:numPr>
      <w:spacing w:after="200" w:line="276" w:lineRule="auto"/>
      <w:contextualSpacing/>
      <w:jc w:val="left"/>
    </w:pPr>
    <w:rPr>
      <w:kern w:val="0"/>
      <w:sz w:val="22"/>
      <w:lang w:eastAsia="en-US"/>
    </w:rPr>
  </w:style>
  <w:style w:type="paragraph" w:styleId="a">
    <w:name w:val="List Number"/>
    <w:basedOn w:val="a1"/>
    <w:uiPriority w:val="99"/>
    <w:unhideWhenUsed/>
    <w:qFormat/>
    <w:pPr>
      <w:widowControl/>
      <w:numPr>
        <w:numId w:val="3"/>
      </w:numPr>
      <w:spacing w:after="200" w:line="276" w:lineRule="auto"/>
      <w:contextualSpacing/>
      <w:jc w:val="left"/>
    </w:pPr>
    <w:rPr>
      <w:kern w:val="0"/>
      <w:sz w:val="22"/>
      <w:lang w:eastAsia="en-US"/>
    </w:rPr>
  </w:style>
  <w:style w:type="paragraph" w:styleId="a7">
    <w:name w:val="caption"/>
    <w:basedOn w:val="a1"/>
    <w:next w:val="a1"/>
    <w:uiPriority w:val="35"/>
    <w:unhideWhenUsed/>
    <w:qFormat/>
    <w:rsid w:val="00EA1E39"/>
    <w:pPr>
      <w:spacing w:line="320" w:lineRule="exact"/>
      <w:ind w:left="-420"/>
    </w:pPr>
    <w:rPr>
      <w:rFonts w:ascii="Garamond" w:eastAsia="黑体" w:hAnsi="Garamond" w:cs="Garamond"/>
      <w:szCs w:val="21"/>
    </w:rPr>
  </w:style>
  <w:style w:type="paragraph" w:styleId="a0">
    <w:name w:val="List Bullet"/>
    <w:basedOn w:val="a1"/>
    <w:uiPriority w:val="99"/>
    <w:unhideWhenUsed/>
    <w:qFormat/>
    <w:pPr>
      <w:widowControl/>
      <w:numPr>
        <w:numId w:val="4"/>
      </w:numPr>
      <w:spacing w:after="200" w:line="276" w:lineRule="auto"/>
      <w:contextualSpacing/>
      <w:jc w:val="left"/>
    </w:pPr>
    <w:rPr>
      <w:kern w:val="0"/>
      <w:sz w:val="22"/>
      <w:lang w:eastAsia="en-US"/>
    </w:rPr>
  </w:style>
  <w:style w:type="paragraph" w:styleId="a8">
    <w:name w:val="annotation text"/>
    <w:basedOn w:val="a1"/>
    <w:link w:val="a9"/>
    <w:autoRedefine/>
    <w:uiPriority w:val="99"/>
    <w:unhideWhenUsed/>
    <w:qFormat/>
    <w:pPr>
      <w:jc w:val="left"/>
    </w:pPr>
    <w:rPr>
      <w:rFonts w:ascii="Garamond" w:eastAsia="宋体" w:hAnsi="Garamond" w:cs="Times New Roman"/>
      <w:szCs w:val="21"/>
    </w:rPr>
  </w:style>
  <w:style w:type="paragraph" w:styleId="34">
    <w:name w:val="Body Text 3"/>
    <w:basedOn w:val="a1"/>
    <w:link w:val="35"/>
    <w:uiPriority w:val="99"/>
    <w:unhideWhenUsed/>
    <w:qFormat/>
    <w:pPr>
      <w:widowControl/>
      <w:spacing w:after="120" w:line="276" w:lineRule="auto"/>
      <w:jc w:val="left"/>
    </w:pPr>
    <w:rPr>
      <w:kern w:val="0"/>
      <w:sz w:val="16"/>
      <w:szCs w:val="16"/>
      <w:lang w:eastAsia="en-US"/>
    </w:rPr>
  </w:style>
  <w:style w:type="paragraph" w:styleId="30">
    <w:name w:val="List Bullet 3"/>
    <w:basedOn w:val="a1"/>
    <w:uiPriority w:val="99"/>
    <w:unhideWhenUsed/>
    <w:qFormat/>
    <w:pPr>
      <w:widowControl/>
      <w:numPr>
        <w:numId w:val="5"/>
      </w:numPr>
      <w:spacing w:after="200" w:line="276" w:lineRule="auto"/>
      <w:contextualSpacing/>
      <w:jc w:val="left"/>
    </w:pPr>
    <w:rPr>
      <w:kern w:val="0"/>
      <w:sz w:val="22"/>
      <w:lang w:eastAsia="en-US"/>
    </w:rPr>
  </w:style>
  <w:style w:type="paragraph" w:styleId="aa">
    <w:name w:val="Body Text"/>
    <w:basedOn w:val="a1"/>
    <w:link w:val="ab"/>
    <w:uiPriority w:val="99"/>
    <w:qFormat/>
    <w:pPr>
      <w:spacing w:after="120"/>
    </w:pPr>
  </w:style>
  <w:style w:type="paragraph" w:styleId="3">
    <w:name w:val="List Number 3"/>
    <w:basedOn w:val="a1"/>
    <w:uiPriority w:val="99"/>
    <w:unhideWhenUsed/>
    <w:qFormat/>
    <w:pPr>
      <w:widowControl/>
      <w:numPr>
        <w:numId w:val="6"/>
      </w:numPr>
      <w:spacing w:after="200" w:line="276" w:lineRule="auto"/>
      <w:contextualSpacing/>
      <w:jc w:val="left"/>
    </w:pPr>
    <w:rPr>
      <w:kern w:val="0"/>
      <w:sz w:val="22"/>
      <w:lang w:eastAsia="en-US"/>
    </w:rPr>
  </w:style>
  <w:style w:type="paragraph" w:styleId="23">
    <w:name w:val="List 2"/>
    <w:basedOn w:val="a1"/>
    <w:uiPriority w:val="99"/>
    <w:unhideWhenUsed/>
    <w:qFormat/>
    <w:pPr>
      <w:widowControl/>
      <w:spacing w:after="200" w:line="276" w:lineRule="auto"/>
      <w:ind w:left="720" w:hanging="360"/>
      <w:contextualSpacing/>
      <w:jc w:val="left"/>
    </w:pPr>
    <w:rPr>
      <w:kern w:val="0"/>
      <w:sz w:val="22"/>
      <w:lang w:eastAsia="en-US"/>
    </w:rPr>
  </w:style>
  <w:style w:type="paragraph" w:styleId="ac">
    <w:name w:val="List Continue"/>
    <w:basedOn w:val="a1"/>
    <w:uiPriority w:val="99"/>
    <w:unhideWhenUsed/>
    <w:qFormat/>
    <w:pPr>
      <w:widowControl/>
      <w:spacing w:after="120" w:line="276" w:lineRule="auto"/>
      <w:ind w:left="360"/>
      <w:contextualSpacing/>
      <w:jc w:val="left"/>
    </w:pPr>
    <w:rPr>
      <w:kern w:val="0"/>
      <w:sz w:val="22"/>
      <w:lang w:eastAsia="en-US"/>
    </w:rPr>
  </w:style>
  <w:style w:type="paragraph" w:styleId="20">
    <w:name w:val="List Bullet 2"/>
    <w:basedOn w:val="a1"/>
    <w:uiPriority w:val="99"/>
    <w:unhideWhenUsed/>
    <w:qFormat/>
    <w:pPr>
      <w:widowControl/>
      <w:numPr>
        <w:numId w:val="7"/>
      </w:numPr>
      <w:spacing w:after="200" w:line="276" w:lineRule="auto"/>
      <w:contextualSpacing/>
      <w:jc w:val="left"/>
    </w:pPr>
    <w:rPr>
      <w:kern w:val="0"/>
      <w:sz w:val="22"/>
      <w:lang w:eastAsia="en-US"/>
    </w:rPr>
  </w:style>
  <w:style w:type="paragraph" w:styleId="TOC3">
    <w:name w:val="toc 3"/>
    <w:basedOn w:val="a1"/>
    <w:next w:val="a1"/>
    <w:autoRedefine/>
    <w:uiPriority w:val="39"/>
    <w:unhideWhenUsed/>
    <w:qFormat/>
    <w:pPr>
      <w:widowControl/>
      <w:spacing w:after="100" w:line="259" w:lineRule="auto"/>
      <w:ind w:left="440"/>
      <w:jc w:val="left"/>
    </w:pPr>
    <w:rPr>
      <w:rFonts w:cs="Times New Roman"/>
      <w:kern w:val="0"/>
      <w:sz w:val="22"/>
    </w:rPr>
  </w:style>
  <w:style w:type="paragraph" w:styleId="ad">
    <w:name w:val="Date"/>
    <w:basedOn w:val="a1"/>
    <w:next w:val="a1"/>
    <w:link w:val="ae"/>
    <w:qFormat/>
    <w:pPr>
      <w:widowControl/>
      <w:ind w:leftChars="2500" w:left="100"/>
    </w:pPr>
    <w:rPr>
      <w:rFonts w:ascii="Times New Roman" w:hAnsi="Times New Roman"/>
      <w:szCs w:val="24"/>
    </w:rPr>
  </w:style>
  <w:style w:type="paragraph" w:styleId="af">
    <w:name w:val="Balloon Text"/>
    <w:basedOn w:val="a1"/>
    <w:link w:val="af0"/>
    <w:uiPriority w:val="99"/>
    <w:qFormat/>
    <w:pPr>
      <w:widowControl/>
    </w:pPr>
    <w:rPr>
      <w:rFonts w:ascii="Times New Roman" w:hAnsi="Times New Roman"/>
      <w:sz w:val="18"/>
      <w:szCs w:val="18"/>
    </w:rPr>
  </w:style>
  <w:style w:type="paragraph" w:styleId="af1">
    <w:name w:val="footer"/>
    <w:basedOn w:val="a1"/>
    <w:link w:val="af2"/>
    <w:autoRedefine/>
    <w:unhideWhenUsed/>
    <w:qFormat/>
    <w:pPr>
      <w:tabs>
        <w:tab w:val="center" w:pos="4153"/>
        <w:tab w:val="right" w:pos="8306"/>
      </w:tabs>
      <w:snapToGrid w:val="0"/>
      <w:jc w:val="left"/>
    </w:pPr>
    <w:rPr>
      <w:sz w:val="18"/>
      <w:szCs w:val="18"/>
    </w:rPr>
  </w:style>
  <w:style w:type="paragraph" w:styleId="af3">
    <w:name w:val="header"/>
    <w:basedOn w:val="a1"/>
    <w:link w:val="af4"/>
    <w:autoRedefine/>
    <w:unhideWhenUsed/>
    <w:qFormat/>
    <w:pPr>
      <w:tabs>
        <w:tab w:val="center" w:pos="4153"/>
        <w:tab w:val="right" w:pos="8306"/>
      </w:tabs>
      <w:snapToGrid w:val="0"/>
      <w:jc w:val="center"/>
    </w:pPr>
    <w:rPr>
      <w:sz w:val="18"/>
      <w:szCs w:val="18"/>
    </w:rPr>
  </w:style>
  <w:style w:type="paragraph" w:styleId="TOC1">
    <w:name w:val="toc 1"/>
    <w:basedOn w:val="a1"/>
    <w:next w:val="a1"/>
    <w:autoRedefine/>
    <w:uiPriority w:val="39"/>
    <w:unhideWhenUsed/>
    <w:qFormat/>
    <w:pPr>
      <w:widowControl/>
      <w:spacing w:after="100" w:line="259" w:lineRule="auto"/>
      <w:jc w:val="left"/>
    </w:pPr>
    <w:rPr>
      <w:rFonts w:cs="Times New Roman"/>
      <w:kern w:val="0"/>
      <w:sz w:val="22"/>
    </w:rPr>
  </w:style>
  <w:style w:type="paragraph" w:styleId="af5">
    <w:name w:val="Subtitle"/>
    <w:basedOn w:val="a1"/>
    <w:next w:val="a1"/>
    <w:link w:val="af6"/>
    <w:uiPriority w:val="11"/>
    <w:qFormat/>
    <w:pPr>
      <w:widowControl/>
      <w:spacing w:after="200" w:line="276" w:lineRule="auto"/>
      <w:jc w:val="left"/>
    </w:pPr>
    <w:rPr>
      <w:rFonts w:asciiTheme="majorHAnsi" w:eastAsiaTheme="majorEastAsia" w:hAnsiTheme="majorHAnsi" w:cstheme="majorBidi"/>
      <w:i/>
      <w:iCs/>
      <w:color w:val="5B9BD5" w:themeColor="accent1"/>
      <w:spacing w:val="15"/>
      <w:kern w:val="0"/>
      <w:sz w:val="24"/>
      <w:szCs w:val="24"/>
      <w:lang w:eastAsia="en-US"/>
    </w:rPr>
  </w:style>
  <w:style w:type="paragraph" w:styleId="af7">
    <w:name w:val="List"/>
    <w:basedOn w:val="a1"/>
    <w:uiPriority w:val="99"/>
    <w:unhideWhenUsed/>
    <w:qFormat/>
    <w:pPr>
      <w:widowControl/>
      <w:spacing w:after="200" w:line="276" w:lineRule="auto"/>
      <w:ind w:left="360" w:hanging="360"/>
      <w:contextualSpacing/>
      <w:jc w:val="left"/>
    </w:pPr>
    <w:rPr>
      <w:kern w:val="0"/>
      <w:sz w:val="22"/>
      <w:lang w:eastAsia="en-US"/>
    </w:rPr>
  </w:style>
  <w:style w:type="paragraph" w:styleId="af8">
    <w:name w:val="footnote text"/>
    <w:basedOn w:val="a1"/>
    <w:link w:val="af9"/>
    <w:autoRedefine/>
    <w:uiPriority w:val="99"/>
    <w:unhideWhenUsed/>
    <w:qFormat/>
    <w:rPr>
      <w:sz w:val="20"/>
      <w:szCs w:val="20"/>
    </w:rPr>
  </w:style>
  <w:style w:type="paragraph" w:styleId="TOC2">
    <w:name w:val="toc 2"/>
    <w:basedOn w:val="a1"/>
    <w:next w:val="a1"/>
    <w:autoRedefine/>
    <w:uiPriority w:val="39"/>
    <w:unhideWhenUsed/>
    <w:qFormat/>
    <w:pPr>
      <w:widowControl/>
      <w:spacing w:after="100" w:line="259" w:lineRule="auto"/>
      <w:ind w:left="220"/>
      <w:jc w:val="left"/>
    </w:pPr>
    <w:rPr>
      <w:rFonts w:cs="Times New Roman"/>
      <w:kern w:val="0"/>
      <w:sz w:val="22"/>
    </w:rPr>
  </w:style>
  <w:style w:type="paragraph" w:styleId="24">
    <w:name w:val="Body Text 2"/>
    <w:basedOn w:val="a1"/>
    <w:link w:val="25"/>
    <w:uiPriority w:val="99"/>
    <w:unhideWhenUsed/>
    <w:qFormat/>
    <w:pPr>
      <w:widowControl/>
      <w:spacing w:after="120" w:line="480" w:lineRule="auto"/>
      <w:jc w:val="left"/>
    </w:pPr>
    <w:rPr>
      <w:kern w:val="0"/>
      <w:sz w:val="22"/>
      <w:lang w:eastAsia="en-US"/>
    </w:rPr>
  </w:style>
  <w:style w:type="paragraph" w:styleId="26">
    <w:name w:val="List Continue 2"/>
    <w:basedOn w:val="a1"/>
    <w:uiPriority w:val="99"/>
    <w:unhideWhenUsed/>
    <w:qFormat/>
    <w:pPr>
      <w:widowControl/>
      <w:spacing w:after="120" w:line="276" w:lineRule="auto"/>
      <w:ind w:left="720"/>
      <w:contextualSpacing/>
      <w:jc w:val="left"/>
    </w:pPr>
    <w:rPr>
      <w:kern w:val="0"/>
      <w:sz w:val="22"/>
      <w:lang w:eastAsia="en-US"/>
    </w:rPr>
  </w:style>
  <w:style w:type="paragraph" w:styleId="afa">
    <w:name w:val="Normal (Web)"/>
    <w:basedOn w:val="a1"/>
    <w:autoRedefine/>
    <w:uiPriority w:val="99"/>
    <w:qFormat/>
    <w:pPr>
      <w:spacing w:beforeAutospacing="1" w:afterAutospacing="1"/>
      <w:jc w:val="left"/>
    </w:pPr>
    <w:rPr>
      <w:rFonts w:cs="Times New Roman"/>
      <w:kern w:val="0"/>
      <w:sz w:val="24"/>
    </w:rPr>
  </w:style>
  <w:style w:type="paragraph" w:styleId="36">
    <w:name w:val="List Continue 3"/>
    <w:basedOn w:val="a1"/>
    <w:uiPriority w:val="99"/>
    <w:unhideWhenUsed/>
    <w:qFormat/>
    <w:pPr>
      <w:widowControl/>
      <w:spacing w:after="120" w:line="276" w:lineRule="auto"/>
      <w:ind w:left="1080"/>
      <w:contextualSpacing/>
      <w:jc w:val="left"/>
    </w:pPr>
    <w:rPr>
      <w:kern w:val="0"/>
      <w:sz w:val="22"/>
      <w:lang w:eastAsia="en-US"/>
    </w:rPr>
  </w:style>
  <w:style w:type="paragraph" w:styleId="afb">
    <w:name w:val="Title"/>
    <w:basedOn w:val="a1"/>
    <w:next w:val="a1"/>
    <w:link w:val="afc"/>
    <w:autoRedefine/>
    <w:uiPriority w:val="10"/>
    <w:qFormat/>
    <w:pPr>
      <w:spacing w:before="240" w:after="60"/>
      <w:jc w:val="center"/>
      <w:outlineLvl w:val="0"/>
    </w:pPr>
    <w:rPr>
      <w:rFonts w:asciiTheme="majorHAnsi" w:eastAsia="宋体" w:hAnsiTheme="majorHAnsi" w:cstheme="majorBidi"/>
      <w:b/>
      <w:bCs/>
      <w:sz w:val="32"/>
      <w:szCs w:val="32"/>
    </w:rPr>
  </w:style>
  <w:style w:type="paragraph" w:styleId="afd">
    <w:name w:val="annotation subject"/>
    <w:basedOn w:val="a8"/>
    <w:next w:val="a8"/>
    <w:link w:val="afe"/>
    <w:autoRedefine/>
    <w:unhideWhenUsed/>
    <w:qFormat/>
    <w:rPr>
      <w:b/>
      <w:bCs/>
    </w:rPr>
  </w:style>
  <w:style w:type="table" w:styleId="aff">
    <w:name w:val="Table Grid"/>
    <w:basedOn w:val="a3"/>
    <w:autoRedefine/>
    <w:uiPriority w:val="3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0">
    <w:name w:val="Light Shading"/>
    <w:basedOn w:val="a3"/>
    <w:uiPriority w:val="60"/>
    <w:qFormat/>
    <w:rPr>
      <w:rFonts w:asciiTheme="minorHAnsi" w:eastAsiaTheme="minorEastAsia" w:hAnsiTheme="minorHAnsi" w:cstheme="minorBidi"/>
      <w:color w:val="000000" w:themeColor="text1" w:themeShade="BF"/>
      <w:sz w:val="22"/>
      <w:szCs w:val="22"/>
      <w:lang w:eastAsia="en-US"/>
    </w:rPr>
    <w:tblPr>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qFormat/>
    <w:rPr>
      <w:color w:val="2E74B5" w:themeColor="accent1" w:themeShade="BF"/>
      <w:sz w:val="22"/>
    </w:rPr>
    <w:tblPr>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2">
    <w:name w:val="Light Shading Accent 2"/>
    <w:basedOn w:val="a3"/>
    <w:uiPriority w:val="60"/>
    <w:qFormat/>
    <w:rPr>
      <w:rFonts w:asciiTheme="minorHAnsi" w:eastAsiaTheme="minorEastAsia" w:hAnsiTheme="minorHAnsi" w:cstheme="minorBidi"/>
      <w:color w:val="C45911" w:themeColor="accent2" w:themeShade="BF"/>
      <w:sz w:val="22"/>
      <w:szCs w:val="22"/>
      <w:lang w:eastAsia="en-US"/>
    </w:rPr>
    <w:tblPr>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3">
    <w:name w:val="Light Shading Accent 3"/>
    <w:basedOn w:val="a3"/>
    <w:uiPriority w:val="60"/>
    <w:qFormat/>
    <w:rPr>
      <w:rFonts w:asciiTheme="minorHAnsi" w:eastAsiaTheme="minorEastAsia" w:hAnsiTheme="minorHAnsi" w:cstheme="minorBidi"/>
      <w:color w:val="7B7B7B" w:themeColor="accent3" w:themeShade="BF"/>
      <w:sz w:val="22"/>
      <w:szCs w:val="22"/>
      <w:lang w:eastAsia="en-US"/>
    </w:rPr>
    <w:tblPr>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4">
    <w:name w:val="Light Shading Accent 4"/>
    <w:basedOn w:val="a3"/>
    <w:uiPriority w:val="60"/>
    <w:qFormat/>
    <w:rPr>
      <w:rFonts w:asciiTheme="minorHAnsi" w:eastAsiaTheme="minorEastAsia" w:hAnsiTheme="minorHAnsi" w:cstheme="minorBidi"/>
      <w:color w:val="BF8F00" w:themeColor="accent4" w:themeShade="BF"/>
      <w:sz w:val="22"/>
      <w:szCs w:val="22"/>
      <w:lang w:eastAsia="en-US"/>
    </w:rPr>
    <w:tblPr>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5">
    <w:name w:val="Light Shading Accent 5"/>
    <w:basedOn w:val="a3"/>
    <w:uiPriority w:val="60"/>
    <w:qFormat/>
    <w:rPr>
      <w:rFonts w:asciiTheme="minorHAnsi" w:eastAsiaTheme="minorEastAsia" w:hAnsiTheme="minorHAnsi" w:cstheme="minorBidi"/>
      <w:color w:val="2F5496" w:themeColor="accent5" w:themeShade="BF"/>
      <w:sz w:val="22"/>
      <w:szCs w:val="22"/>
      <w:lang w:eastAsia="en-US"/>
    </w:rPr>
    <w:tblPr>
      <w:tblBorders>
        <w:top w:val="single" w:sz="8" w:space="0" w:color="4472C4" w:themeColor="accent5"/>
        <w:bottom w:val="single" w:sz="8" w:space="0" w:color="4472C4" w:themeColor="accent5"/>
      </w:tblBorders>
    </w:tblPr>
    <w:tblStylePr w:type="fir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la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left w:val="nil"/>
          <w:right w:val="nil"/>
          <w:insideH w:val="nil"/>
          <w:insideV w:val="nil"/>
        </w:tcBorders>
        <w:shd w:val="clear" w:color="auto" w:fill="D0DBF0" w:themeFill="accent5" w:themeFillTint="3F"/>
      </w:tcPr>
    </w:tblStylePr>
  </w:style>
  <w:style w:type="table" w:styleId="-6">
    <w:name w:val="Light Shading Accent 6"/>
    <w:basedOn w:val="a3"/>
    <w:uiPriority w:val="60"/>
    <w:qFormat/>
    <w:rPr>
      <w:rFonts w:asciiTheme="minorHAnsi" w:eastAsiaTheme="minorEastAsia" w:hAnsiTheme="minorHAnsi" w:cstheme="minorBidi"/>
      <w:color w:val="538135" w:themeColor="accent6" w:themeShade="BF"/>
      <w:sz w:val="22"/>
      <w:szCs w:val="22"/>
      <w:lang w:eastAsia="en-US"/>
    </w:rPr>
    <w:tblPr>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aff1">
    <w:name w:val="Light List"/>
    <w:basedOn w:val="a3"/>
    <w:uiPriority w:val="61"/>
    <w:qFormat/>
    <w:rPr>
      <w:rFonts w:asciiTheme="minorHAnsi" w:eastAsiaTheme="minorEastAsia" w:hAnsiTheme="minorHAnsi" w:cstheme="minorBidi"/>
      <w:sz w:val="22"/>
      <w:szCs w:val="22"/>
      <w:lang w:eastAsia="en-US"/>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qFormat/>
    <w:rPr>
      <w:rFonts w:asciiTheme="minorHAnsi" w:eastAsiaTheme="minorEastAsia" w:hAnsiTheme="minorHAnsi" w:cstheme="minorBidi"/>
      <w:sz w:val="22"/>
      <w:szCs w:val="22"/>
      <w:lang w:eastAsia="en-US"/>
    </w:rPr>
    <w:tblPr>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table" w:styleId="-20">
    <w:name w:val="Light List Accent 2"/>
    <w:basedOn w:val="a3"/>
    <w:uiPriority w:val="61"/>
    <w:qFormat/>
    <w:rPr>
      <w:rFonts w:asciiTheme="minorHAnsi" w:eastAsiaTheme="minorEastAsia" w:hAnsiTheme="minorHAnsi" w:cstheme="minorBidi"/>
      <w:sz w:val="22"/>
      <w:szCs w:val="22"/>
      <w:lang w:eastAsia="en-US"/>
    </w:rPr>
    <w:tblPr>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30">
    <w:name w:val="Light List Accent 3"/>
    <w:basedOn w:val="a3"/>
    <w:uiPriority w:val="61"/>
    <w:qFormat/>
    <w:rPr>
      <w:rFonts w:asciiTheme="minorHAnsi" w:eastAsiaTheme="minorEastAsia" w:hAnsiTheme="minorHAnsi" w:cstheme="minorBidi"/>
      <w:sz w:val="22"/>
      <w:szCs w:val="22"/>
      <w:lang w:eastAsia="en-US"/>
    </w:rPr>
    <w:tblPr>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40">
    <w:name w:val="Light List Accent 4"/>
    <w:basedOn w:val="a3"/>
    <w:uiPriority w:val="61"/>
    <w:qFormat/>
    <w:rPr>
      <w:rFonts w:asciiTheme="minorHAnsi" w:eastAsiaTheme="minorEastAsia" w:hAnsiTheme="minorHAnsi" w:cstheme="minorBidi"/>
      <w:sz w:val="22"/>
      <w:szCs w:val="22"/>
      <w:lang w:eastAsia="en-US"/>
    </w:rPr>
    <w:tblPr>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50">
    <w:name w:val="Light List Accent 5"/>
    <w:basedOn w:val="a3"/>
    <w:uiPriority w:val="61"/>
    <w:qFormat/>
    <w:rPr>
      <w:rFonts w:asciiTheme="minorHAnsi" w:eastAsiaTheme="minorEastAsia" w:hAnsiTheme="minorHAnsi" w:cstheme="minorBidi"/>
      <w:sz w:val="22"/>
      <w:szCs w:val="22"/>
      <w:lang w:eastAsia="en-US"/>
    </w:rPr>
    <w:tblPr>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pPr>
        <w:spacing w:before="0" w:after="0" w:line="240" w:lineRule="auto"/>
      </w:pPr>
      <w:rPr>
        <w:b/>
        <w:bCs/>
        <w:color w:val="FFFFFF" w:themeColor="background1"/>
      </w:rPr>
      <w:tblPr/>
      <w:tcPr>
        <w:shd w:val="clear" w:color="auto" w:fill="4472C4" w:themeFill="accent5"/>
      </w:tcPr>
    </w:tblStylePr>
    <w:tblStylePr w:type="lastRow">
      <w:pPr>
        <w:spacing w:before="0" w:after="0" w:line="240" w:lineRule="auto"/>
      </w:pPr>
      <w:rPr>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tcBorders>
      </w:tcPr>
    </w:tblStylePr>
    <w:tblStylePr w:type="firstCol">
      <w:rPr>
        <w:b/>
        <w:bCs/>
      </w:rPr>
    </w:tblStylePr>
    <w:tblStylePr w:type="lastCol">
      <w:rPr>
        <w:b/>
        <w:bCs/>
      </w:r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style>
  <w:style w:type="table" w:styleId="-60">
    <w:name w:val="Light List Accent 6"/>
    <w:basedOn w:val="a3"/>
    <w:uiPriority w:val="61"/>
    <w:qFormat/>
    <w:rPr>
      <w:rFonts w:asciiTheme="minorHAnsi" w:eastAsiaTheme="minorEastAsia" w:hAnsiTheme="minorHAnsi" w:cstheme="minorBidi"/>
      <w:sz w:val="22"/>
      <w:szCs w:val="22"/>
      <w:lang w:eastAsia="en-US"/>
    </w:rPr>
    <w:tblPr>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aff2">
    <w:name w:val="Light Grid"/>
    <w:basedOn w:val="a3"/>
    <w:uiPriority w:val="62"/>
    <w:qFormat/>
    <w:rPr>
      <w:rFonts w:asciiTheme="minorHAnsi" w:eastAsiaTheme="minorEastAsia" w:hAnsiTheme="minorHAnsi" w:cstheme="minorBidi"/>
      <w:sz w:val="22"/>
      <w:szCs w:val="22"/>
      <w:lang w:eastAsia="en-US"/>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tcPr>
    </w:tblStylePr>
  </w:style>
  <w:style w:type="table" w:styleId="-11">
    <w:name w:val="Light Grid Accent 1"/>
    <w:basedOn w:val="a3"/>
    <w:uiPriority w:val="62"/>
    <w:qFormat/>
    <w:rPr>
      <w:rFonts w:asciiTheme="minorHAnsi" w:eastAsiaTheme="minorEastAsia" w:hAnsiTheme="minorHAnsi" w:cstheme="minorBidi"/>
      <w:sz w:val="22"/>
      <w:szCs w:val="22"/>
      <w:lang w:eastAsia="en-US"/>
    </w:rPr>
    <w:tblPr>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auto"/>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auto"/>
        </w:tcBorders>
      </w:tcPr>
    </w:tblStylePr>
  </w:style>
  <w:style w:type="table" w:styleId="-21">
    <w:name w:val="Light Grid Accent 2"/>
    <w:basedOn w:val="a3"/>
    <w:uiPriority w:val="62"/>
    <w:qFormat/>
    <w:rPr>
      <w:rFonts w:asciiTheme="minorHAnsi" w:eastAsiaTheme="minorEastAsia" w:hAnsiTheme="minorHAnsi" w:cstheme="minorBidi"/>
      <w:sz w:val="22"/>
      <w:szCs w:val="22"/>
      <w:lang w:eastAsia="en-US"/>
    </w:rPr>
    <w:tblPr>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auto"/>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auto"/>
        </w:tcBorders>
      </w:tcPr>
    </w:tblStylePr>
  </w:style>
  <w:style w:type="table" w:styleId="-31">
    <w:name w:val="Light Grid Accent 3"/>
    <w:basedOn w:val="a3"/>
    <w:uiPriority w:val="62"/>
    <w:qFormat/>
    <w:rPr>
      <w:rFonts w:asciiTheme="minorHAnsi" w:eastAsiaTheme="minorEastAsia" w:hAnsiTheme="minorHAnsi" w:cstheme="minorBidi"/>
      <w:sz w:val="22"/>
      <w:szCs w:val="22"/>
      <w:lang w:eastAsia="en-US"/>
    </w:rPr>
    <w:tblPr>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uto"/>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uto"/>
        </w:tcBorders>
      </w:tcPr>
    </w:tblStylePr>
  </w:style>
  <w:style w:type="table" w:styleId="-41">
    <w:name w:val="Light Grid Accent 4"/>
    <w:basedOn w:val="a3"/>
    <w:uiPriority w:val="62"/>
    <w:qFormat/>
    <w:rPr>
      <w:rFonts w:asciiTheme="minorHAnsi" w:eastAsiaTheme="minorEastAsia" w:hAnsiTheme="minorHAnsi" w:cstheme="minorBidi"/>
      <w:sz w:val="22"/>
      <w:szCs w:val="22"/>
      <w:lang w:eastAsia="en-US"/>
    </w:rPr>
    <w:tblPr>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auto"/>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auto"/>
        </w:tcBorders>
      </w:tcPr>
    </w:tblStylePr>
  </w:style>
  <w:style w:type="table" w:styleId="-51">
    <w:name w:val="Light Grid Accent 5"/>
    <w:basedOn w:val="a3"/>
    <w:uiPriority w:val="62"/>
    <w:qFormat/>
    <w:rPr>
      <w:rFonts w:asciiTheme="minorHAnsi" w:eastAsiaTheme="minorEastAsia" w:hAnsiTheme="minorHAnsi" w:cstheme="minorBidi"/>
      <w:sz w:val="22"/>
      <w:szCs w:val="22"/>
      <w:lang w:eastAsia="en-US"/>
    </w:rPr>
    <w:tblPr>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18" w:space="0" w:color="4472C4" w:themeColor="accent5"/>
          <w:right w:val="single" w:sz="8" w:space="0" w:color="4472C4" w:themeColor="accent5"/>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shd w:val="clear" w:color="auto" w:fill="D0DBF0" w:themeFill="accent5" w:themeFillTint="3F"/>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auto"/>
        </w:tcBorders>
        <w:shd w:val="clear" w:color="auto" w:fill="D0DBF0" w:themeFill="accent5" w:themeFillTint="3F"/>
      </w:tcPr>
    </w:tblStylePr>
    <w:tblStylePr w:type="band2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auto"/>
        </w:tcBorders>
      </w:tcPr>
    </w:tblStylePr>
  </w:style>
  <w:style w:type="table" w:styleId="-61">
    <w:name w:val="Light Grid Accent 6"/>
    <w:basedOn w:val="a3"/>
    <w:uiPriority w:val="62"/>
    <w:qFormat/>
    <w:rPr>
      <w:rFonts w:asciiTheme="minorHAnsi" w:eastAsiaTheme="minorEastAsia" w:hAnsiTheme="minorHAnsi" w:cstheme="minorBidi"/>
      <w:sz w:val="22"/>
      <w:szCs w:val="22"/>
      <w:lang w:eastAsia="en-US"/>
    </w:rPr>
    <w:tblPr>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auto"/>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auto"/>
        </w:tcBorders>
      </w:tcPr>
    </w:tblStylePr>
  </w:style>
  <w:style w:type="table" w:styleId="11">
    <w:name w:val="Medium Shading 1"/>
    <w:basedOn w:val="a3"/>
    <w:uiPriority w:val="63"/>
    <w:qFormat/>
    <w:rPr>
      <w:rFonts w:asciiTheme="minorHAnsi" w:eastAsiaTheme="minorEastAsia" w:hAnsiTheme="minorHAnsi" w:cstheme="minorBidi"/>
      <w:sz w:val="22"/>
      <w:szCs w:val="22"/>
      <w:lang w:eastAsia="en-US"/>
    </w:rPr>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qFormat/>
    <w:rPr>
      <w:rFonts w:asciiTheme="minorHAnsi" w:eastAsiaTheme="minorEastAsia" w:hAnsiTheme="minorHAnsi" w:cstheme="minorBidi"/>
      <w:sz w:val="22"/>
      <w:szCs w:val="22"/>
      <w:lang w:eastAsia="en-US"/>
    </w:rPr>
    <w:tblPr>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0" w:after="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0" w:after="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table" w:styleId="1-2">
    <w:name w:val="Medium Shading 1 Accent 2"/>
    <w:basedOn w:val="a3"/>
    <w:uiPriority w:val="63"/>
    <w:qFormat/>
    <w:rPr>
      <w:rFonts w:asciiTheme="minorHAnsi" w:eastAsiaTheme="minorEastAsia" w:hAnsiTheme="minorHAnsi" w:cstheme="minorBidi"/>
      <w:sz w:val="22"/>
      <w:szCs w:val="22"/>
      <w:lang w:eastAsia="en-US"/>
    </w:rPr>
    <w:tblPr>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1-3">
    <w:name w:val="Medium Shading 1 Accent 3"/>
    <w:basedOn w:val="a3"/>
    <w:uiPriority w:val="63"/>
    <w:qFormat/>
    <w:rPr>
      <w:rFonts w:asciiTheme="minorHAnsi" w:eastAsiaTheme="minorEastAsia" w:hAnsiTheme="minorHAnsi" w:cstheme="minorBidi"/>
      <w:sz w:val="22"/>
      <w:szCs w:val="22"/>
      <w:lang w:eastAsia="en-US"/>
    </w:rPr>
    <w:tblPr>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1-4">
    <w:name w:val="Medium Shading 1 Accent 4"/>
    <w:basedOn w:val="a3"/>
    <w:uiPriority w:val="63"/>
    <w:qFormat/>
    <w:rPr>
      <w:rFonts w:asciiTheme="minorHAnsi" w:eastAsiaTheme="minorEastAsia" w:hAnsiTheme="minorHAnsi" w:cstheme="minorBidi"/>
      <w:sz w:val="22"/>
      <w:szCs w:val="22"/>
      <w:lang w:eastAsia="en-US"/>
    </w:rPr>
    <w:tblPr>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1-5">
    <w:name w:val="Medium Shading 1 Accent 5"/>
    <w:basedOn w:val="a3"/>
    <w:uiPriority w:val="63"/>
    <w:qFormat/>
    <w:rPr>
      <w:rFonts w:asciiTheme="minorHAnsi" w:eastAsiaTheme="minorEastAsia" w:hAnsiTheme="minorHAnsi" w:cstheme="minorBidi"/>
      <w:sz w:val="22"/>
      <w:szCs w:val="22"/>
      <w:lang w:eastAsia="en-US"/>
    </w:rPr>
    <w:tblPr>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tblBorders>
    </w:tblPr>
    <w:tblStylePr w:type="firstRow">
      <w:pPr>
        <w:spacing w:before="0" w:after="0" w:line="240" w:lineRule="auto"/>
      </w:pPr>
      <w:rPr>
        <w:b/>
        <w:bCs/>
        <w:color w:val="FFFFFF" w:themeColor="background1"/>
      </w:rPr>
      <w:tblPr/>
      <w:tcPr>
        <w:tc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shd w:val="clear" w:color="auto" w:fill="4472C4" w:themeFill="accent5"/>
      </w:tcPr>
    </w:tblStylePr>
    <w:tblStylePr w:type="lastRow">
      <w:pPr>
        <w:spacing w:before="0" w:after="0" w:line="240" w:lineRule="auto"/>
      </w:pPr>
      <w:rPr>
        <w:b/>
        <w:bCs/>
      </w:rPr>
      <w:tblPr/>
      <w:tcPr>
        <w:tcBorders>
          <w:top w:val="double" w:sz="6"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5" w:themeFillTint="3F"/>
      </w:tcPr>
    </w:tblStylePr>
    <w:tblStylePr w:type="band1Horz">
      <w:tblPr/>
      <w:tcPr>
        <w:tcBorders>
          <w:insideH w:val="nil"/>
          <w:insideV w:val="nil"/>
        </w:tcBorders>
        <w:shd w:val="clear" w:color="auto" w:fill="D0DBF0" w:themeFill="accent5" w:themeFillTint="3F"/>
      </w:tcPr>
    </w:tblStylePr>
    <w:tblStylePr w:type="band2Horz">
      <w:tblPr/>
      <w:tcPr>
        <w:tcBorders>
          <w:insideH w:val="nil"/>
          <w:insideV w:val="nil"/>
        </w:tcBorders>
      </w:tcPr>
    </w:tblStylePr>
  </w:style>
  <w:style w:type="table" w:styleId="1-6">
    <w:name w:val="Medium Shading 1 Accent 6"/>
    <w:basedOn w:val="a3"/>
    <w:uiPriority w:val="63"/>
    <w:qFormat/>
    <w:rPr>
      <w:rFonts w:asciiTheme="minorHAnsi" w:eastAsiaTheme="minorEastAsia" w:hAnsiTheme="minorHAnsi" w:cstheme="minorBidi"/>
      <w:sz w:val="22"/>
      <w:szCs w:val="22"/>
      <w:lang w:eastAsia="en-US"/>
    </w:rPr>
    <w:tblPr>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27">
    <w:name w:val="Medium Shading 2"/>
    <w:basedOn w:val="a3"/>
    <w:uiPriority w:val="64"/>
    <w:qFormat/>
    <w:rPr>
      <w:rFonts w:asciiTheme="minorHAnsi" w:eastAsiaTheme="minorEastAsia" w:hAnsiTheme="minorHAnsi" w:cstheme="minorBidi"/>
      <w:sz w:val="22"/>
      <w:szCs w:val="22"/>
      <w:lang w:eastAsia="en-US"/>
    </w:rPr>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qFormat/>
    <w:rPr>
      <w:rFonts w:asciiTheme="minorHAnsi" w:eastAsiaTheme="minorEastAsia" w:hAnsiTheme="minorHAnsi" w:cstheme="minorBidi"/>
      <w:sz w:val="22"/>
      <w:szCs w:val="22"/>
      <w:lang w:eastAsia="en-US"/>
    </w:rPr>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1"/>
      </w:tcPr>
    </w:tblStylePr>
    <w:tblStylePr w:type="lastCol">
      <w:rPr>
        <w:b/>
        <w:bCs/>
        <w:color w:val="FFFFFF" w:themeColor="background1"/>
      </w:rPr>
      <w:tblPr/>
      <w:tcPr>
        <w:tcBorders>
          <w:left w:val="nil"/>
          <w:right w:val="nil"/>
          <w:insideH w:val="nil"/>
          <w:insideV w:val="nil"/>
        </w:tcBorders>
        <w:shd w:val="clear" w:color="auto" w:fill="5B9BD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qFormat/>
    <w:rPr>
      <w:rFonts w:asciiTheme="minorHAnsi" w:eastAsiaTheme="minorEastAsia" w:hAnsiTheme="minorHAnsi" w:cstheme="minorBidi"/>
      <w:sz w:val="22"/>
      <w:szCs w:val="22"/>
      <w:lang w:eastAsia="en-US"/>
    </w:rPr>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qFormat/>
    <w:rPr>
      <w:rFonts w:asciiTheme="minorHAnsi" w:eastAsiaTheme="minorEastAsia" w:hAnsiTheme="minorHAnsi" w:cstheme="minorBidi"/>
      <w:sz w:val="22"/>
      <w:szCs w:val="22"/>
      <w:lang w:eastAsia="en-US"/>
    </w:rPr>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qFormat/>
    <w:rPr>
      <w:rFonts w:asciiTheme="minorHAnsi" w:eastAsiaTheme="minorEastAsia" w:hAnsiTheme="minorHAnsi" w:cstheme="minorBidi"/>
      <w:sz w:val="22"/>
      <w:szCs w:val="22"/>
      <w:lang w:eastAsia="en-US"/>
    </w:rPr>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qFormat/>
    <w:rPr>
      <w:rFonts w:asciiTheme="minorHAnsi" w:eastAsiaTheme="minorEastAsia" w:hAnsiTheme="minorHAnsi" w:cstheme="minorBidi"/>
      <w:sz w:val="22"/>
      <w:szCs w:val="22"/>
      <w:lang w:eastAsia="en-US"/>
    </w:rPr>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5"/>
      </w:tcPr>
    </w:tblStylePr>
    <w:tblStylePr w:type="lastCol">
      <w:rPr>
        <w:b/>
        <w:bCs/>
        <w:color w:val="FFFFFF" w:themeColor="background1"/>
      </w:rPr>
      <w:tblPr/>
      <w:tcPr>
        <w:tcBorders>
          <w:left w:val="nil"/>
          <w:right w:val="nil"/>
          <w:insideH w:val="nil"/>
          <w:insideV w:val="nil"/>
        </w:tcBorders>
        <w:shd w:val="clear" w:color="auto" w:fill="4472C4"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qFormat/>
    <w:rPr>
      <w:rFonts w:asciiTheme="minorHAnsi" w:eastAsiaTheme="minorEastAsia" w:hAnsiTheme="minorHAnsi" w:cstheme="minorBidi"/>
      <w:sz w:val="22"/>
      <w:szCs w:val="22"/>
      <w:lang w:eastAsia="en-US"/>
    </w:rPr>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qFormat/>
    <w:rPr>
      <w:rFonts w:asciiTheme="minorHAnsi" w:eastAsiaTheme="minorEastAsia" w:hAnsiTheme="minorHAnsi" w:cstheme="minorBidi"/>
      <w:color w:val="000000" w:themeColor="text1"/>
      <w:sz w:val="22"/>
      <w:szCs w:val="22"/>
      <w:lang w:eastAsia="en-US"/>
    </w:rPr>
    <w:tblPr>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qFormat/>
    <w:rPr>
      <w:rFonts w:asciiTheme="minorHAnsi" w:eastAsiaTheme="minorEastAsia" w:hAnsiTheme="minorHAnsi" w:cstheme="minorBidi"/>
      <w:color w:val="000000" w:themeColor="text1"/>
      <w:sz w:val="22"/>
      <w:szCs w:val="22"/>
      <w:lang w:eastAsia="en-US"/>
    </w:rPr>
    <w:tblPr>
      <w:tblBorders>
        <w:top w:val="single" w:sz="8" w:space="0" w:color="5B9BD5" w:themeColor="accent1"/>
        <w:bottom w:val="single" w:sz="8" w:space="0" w:color="5B9BD5" w:themeColor="accent1"/>
      </w:tblBorders>
    </w:tblPr>
    <w:tblStylePr w:type="firstRow">
      <w:rPr>
        <w:rFonts w:asciiTheme="majorHAnsi" w:eastAsiaTheme="majorEastAsia" w:hAnsiTheme="majorHAnsi" w:cstheme="majorBidi"/>
      </w:rPr>
      <w:tblPr/>
      <w:tcPr>
        <w:tcBorders>
          <w:top w:val="nil"/>
          <w:bottom w:val="single" w:sz="8" w:space="0" w:color="5B9BD5" w:themeColor="accent1"/>
        </w:tcBorders>
      </w:tcPr>
    </w:tblStylePr>
    <w:tblStylePr w:type="lastRow">
      <w:rPr>
        <w:b/>
        <w:bCs/>
        <w:color w:val="44546A" w:themeColor="text2"/>
      </w:rPr>
      <w:tblPr/>
      <w:tcPr>
        <w:tcBorders>
          <w:top w:val="single" w:sz="8" w:space="0" w:color="5B9BD5" w:themeColor="accent1"/>
          <w:bottom w:val="single" w:sz="8" w:space="0" w:color="5B9BD5" w:themeColor="accent1"/>
        </w:tcBorders>
      </w:tcPr>
    </w:tblStylePr>
    <w:tblStylePr w:type="firstCol">
      <w:rPr>
        <w:b/>
        <w:bCs/>
      </w:rPr>
    </w:tblStylePr>
    <w:tblStylePr w:type="lastCol">
      <w:rPr>
        <w:b/>
        <w:bCs/>
      </w:rPr>
      <w:tblPr/>
      <w:tcPr>
        <w:tcBorders>
          <w:top w:val="single" w:sz="8" w:space="0" w:color="5B9BD5" w:themeColor="accent1"/>
          <w:bottom w:val="single" w:sz="8" w:space="0" w:color="5B9BD5" w:themeColor="accent1"/>
        </w:tcBorders>
      </w:tcPr>
    </w:tblStylePr>
    <w:tblStylePr w:type="band1Vert">
      <w:tblPr/>
      <w:tcPr>
        <w:shd w:val="clear" w:color="auto" w:fill="D6E6F4" w:themeFill="accent1" w:themeFillTint="3F"/>
      </w:tcPr>
    </w:tblStylePr>
    <w:tblStylePr w:type="band1Horz">
      <w:tblPr/>
      <w:tcPr>
        <w:shd w:val="clear" w:color="auto" w:fill="D6E6F4" w:themeFill="accent1" w:themeFillTint="3F"/>
      </w:tcPr>
    </w:tblStylePr>
  </w:style>
  <w:style w:type="table" w:styleId="1-20">
    <w:name w:val="Medium List 1 Accent 2"/>
    <w:basedOn w:val="a3"/>
    <w:uiPriority w:val="65"/>
    <w:qFormat/>
    <w:rPr>
      <w:rFonts w:asciiTheme="minorHAnsi" w:eastAsiaTheme="minorEastAsia" w:hAnsiTheme="minorHAnsi" w:cstheme="minorBidi"/>
      <w:color w:val="000000" w:themeColor="text1"/>
      <w:sz w:val="22"/>
      <w:szCs w:val="22"/>
      <w:lang w:eastAsia="en-US"/>
    </w:rPr>
    <w:tblPr>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1-30">
    <w:name w:val="Medium List 1 Accent 3"/>
    <w:basedOn w:val="a3"/>
    <w:uiPriority w:val="65"/>
    <w:qFormat/>
    <w:rPr>
      <w:rFonts w:asciiTheme="minorHAnsi" w:eastAsiaTheme="minorEastAsia" w:hAnsiTheme="minorHAnsi" w:cstheme="minorBidi"/>
      <w:color w:val="000000" w:themeColor="text1"/>
      <w:sz w:val="22"/>
      <w:szCs w:val="22"/>
      <w:lang w:eastAsia="en-US"/>
    </w:rPr>
    <w:tblPr>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1-40">
    <w:name w:val="Medium List 1 Accent 4"/>
    <w:basedOn w:val="a3"/>
    <w:uiPriority w:val="65"/>
    <w:qFormat/>
    <w:rPr>
      <w:rFonts w:asciiTheme="minorHAnsi" w:eastAsiaTheme="minorEastAsia" w:hAnsiTheme="minorHAnsi" w:cstheme="minorBidi"/>
      <w:color w:val="000000" w:themeColor="text1"/>
      <w:sz w:val="22"/>
      <w:szCs w:val="22"/>
      <w:lang w:eastAsia="en-US"/>
    </w:rPr>
    <w:tblPr>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1-50">
    <w:name w:val="Medium List 1 Accent 5"/>
    <w:basedOn w:val="a3"/>
    <w:uiPriority w:val="65"/>
    <w:qFormat/>
    <w:rPr>
      <w:rFonts w:asciiTheme="minorHAnsi" w:eastAsiaTheme="minorEastAsia" w:hAnsiTheme="minorHAnsi" w:cstheme="minorBidi"/>
      <w:color w:val="000000" w:themeColor="text1"/>
      <w:sz w:val="22"/>
      <w:szCs w:val="22"/>
      <w:lang w:eastAsia="en-US"/>
    </w:rPr>
    <w:tblPr>
      <w:tblBorders>
        <w:top w:val="single" w:sz="8" w:space="0" w:color="4472C4" w:themeColor="accent5"/>
        <w:bottom w:val="single" w:sz="8" w:space="0" w:color="4472C4" w:themeColor="accent5"/>
      </w:tblBorders>
    </w:tblPr>
    <w:tblStylePr w:type="firstRow">
      <w:rPr>
        <w:rFonts w:asciiTheme="majorHAnsi" w:eastAsiaTheme="majorEastAsia" w:hAnsiTheme="majorHAnsi" w:cstheme="majorBidi"/>
      </w:rPr>
      <w:tblPr/>
      <w:tcPr>
        <w:tcBorders>
          <w:top w:val="nil"/>
          <w:bottom w:val="single" w:sz="8" w:space="0" w:color="4472C4" w:themeColor="accent5"/>
        </w:tcBorders>
      </w:tcPr>
    </w:tblStylePr>
    <w:tblStylePr w:type="lastRow">
      <w:rPr>
        <w:b/>
        <w:bCs/>
        <w:color w:val="44546A" w:themeColor="text2"/>
      </w:rPr>
      <w:tblPr/>
      <w:tcPr>
        <w:tcBorders>
          <w:top w:val="single" w:sz="8" w:space="0" w:color="4472C4" w:themeColor="accent5"/>
          <w:bottom w:val="single" w:sz="8" w:space="0" w:color="4472C4" w:themeColor="accent5"/>
        </w:tcBorders>
      </w:tcPr>
    </w:tblStylePr>
    <w:tblStylePr w:type="firstCol">
      <w:rPr>
        <w:b/>
        <w:bCs/>
      </w:rPr>
    </w:tblStylePr>
    <w:tblStylePr w:type="lastCol">
      <w:rPr>
        <w:b/>
        <w:bCs/>
      </w:rPr>
      <w:tblPr/>
      <w:tcPr>
        <w:tcBorders>
          <w:top w:val="single" w:sz="8" w:space="0" w:color="4472C4" w:themeColor="accent5"/>
          <w:bottom w:val="single" w:sz="8" w:space="0" w:color="4472C4" w:themeColor="accent5"/>
        </w:tcBorders>
      </w:tcPr>
    </w:tblStylePr>
    <w:tblStylePr w:type="band1Vert">
      <w:tblPr/>
      <w:tcPr>
        <w:shd w:val="clear" w:color="auto" w:fill="D0DBF0" w:themeFill="accent5" w:themeFillTint="3F"/>
      </w:tcPr>
    </w:tblStylePr>
    <w:tblStylePr w:type="band1Horz">
      <w:tblPr/>
      <w:tcPr>
        <w:shd w:val="clear" w:color="auto" w:fill="D0DBF0" w:themeFill="accent5" w:themeFillTint="3F"/>
      </w:tcPr>
    </w:tblStylePr>
  </w:style>
  <w:style w:type="table" w:styleId="1-60">
    <w:name w:val="Medium List 1 Accent 6"/>
    <w:basedOn w:val="a3"/>
    <w:uiPriority w:val="65"/>
    <w:qFormat/>
    <w:rPr>
      <w:rFonts w:asciiTheme="minorHAnsi" w:eastAsiaTheme="minorEastAsia" w:hAnsiTheme="minorHAnsi" w:cstheme="minorBidi"/>
      <w:color w:val="000000" w:themeColor="text1"/>
      <w:sz w:val="22"/>
      <w:szCs w:val="22"/>
      <w:lang w:eastAsia="en-US"/>
    </w:rPr>
    <w:tblPr>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28">
    <w:name w:val="Medium List 2"/>
    <w:basedOn w:val="a3"/>
    <w:uiPriority w:val="66"/>
    <w:qFormat/>
    <w:rPr>
      <w:rFonts w:asciiTheme="majorHAnsi" w:eastAsiaTheme="majorEastAsia" w:hAnsiTheme="majorHAnsi" w:cstheme="majorBidi"/>
      <w:color w:val="000000" w:themeColor="text1"/>
      <w:sz w:val="22"/>
      <w:szCs w:val="22"/>
      <w:lang w:eastAsia="en-US"/>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qFormat/>
    <w:rPr>
      <w:rFonts w:asciiTheme="majorHAnsi" w:eastAsiaTheme="majorEastAsia" w:hAnsiTheme="majorHAnsi" w:cstheme="majorBidi"/>
      <w:color w:val="000000" w:themeColor="text1"/>
      <w:sz w:val="22"/>
      <w:szCs w:val="22"/>
      <w:lang w:eastAsia="en-US"/>
    </w:rPr>
    <w:tblPr>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single" w:sz="8" w:space="0" w:color="5B9BD5"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qFormat/>
    <w:rPr>
      <w:rFonts w:asciiTheme="majorHAnsi" w:eastAsiaTheme="majorEastAsia" w:hAnsiTheme="majorHAnsi" w:cstheme="majorBidi"/>
      <w:color w:val="000000" w:themeColor="text1"/>
      <w:sz w:val="22"/>
      <w:szCs w:val="22"/>
      <w:lang w:eastAsia="en-US"/>
    </w:rPr>
    <w:tblPr>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qFormat/>
    <w:rPr>
      <w:rFonts w:asciiTheme="majorHAnsi" w:eastAsiaTheme="majorEastAsia" w:hAnsiTheme="majorHAnsi" w:cstheme="majorBidi"/>
      <w:color w:val="000000" w:themeColor="text1"/>
      <w:sz w:val="22"/>
      <w:szCs w:val="22"/>
      <w:lang w:eastAsia="en-US"/>
    </w:rPr>
    <w:tblPr>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qFormat/>
    <w:rPr>
      <w:rFonts w:asciiTheme="majorHAnsi" w:eastAsiaTheme="majorEastAsia" w:hAnsiTheme="majorHAnsi" w:cstheme="majorBidi"/>
      <w:color w:val="000000" w:themeColor="text1"/>
      <w:sz w:val="22"/>
      <w:szCs w:val="22"/>
      <w:lang w:eastAsia="en-US"/>
    </w:rPr>
    <w:tblPr>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qFormat/>
    <w:rPr>
      <w:rFonts w:asciiTheme="majorHAnsi" w:eastAsiaTheme="majorEastAsia" w:hAnsiTheme="majorHAnsi" w:cstheme="majorBidi"/>
      <w:color w:val="000000" w:themeColor="text1"/>
      <w:sz w:val="22"/>
      <w:szCs w:val="22"/>
      <w:lang w:eastAsia="en-US"/>
    </w:rPr>
    <w:tblPr>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rPr>
        <w:sz w:val="24"/>
        <w:szCs w:val="24"/>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tblPr/>
      <w:tcPr>
        <w:tcBorders>
          <w:top w:val="single" w:sz="8" w:space="0" w:color="4472C4"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5"/>
          <w:insideH w:val="nil"/>
          <w:insideV w:val="nil"/>
        </w:tcBorders>
        <w:shd w:val="clear" w:color="auto" w:fill="FFFFFF" w:themeFill="background1"/>
      </w:tcPr>
    </w:tblStylePr>
    <w:tblStylePr w:type="lastCol">
      <w:tblPr/>
      <w:tcPr>
        <w:tcBorders>
          <w:top w:val="nil"/>
          <w:left w:val="single" w:sz="8" w:space="0" w:color="4472C4"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top w:val="nil"/>
          <w:bottom w:val="nil"/>
          <w:insideH w:val="nil"/>
          <w:insideV w:val="nil"/>
        </w:tcBorders>
        <w:shd w:val="clear" w:color="auto" w:fill="D0DB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qFormat/>
    <w:rPr>
      <w:rFonts w:asciiTheme="majorHAnsi" w:eastAsiaTheme="majorEastAsia" w:hAnsiTheme="majorHAnsi" w:cstheme="majorBidi"/>
      <w:color w:val="000000" w:themeColor="text1"/>
      <w:sz w:val="22"/>
      <w:szCs w:val="22"/>
      <w:lang w:eastAsia="en-US"/>
    </w:rPr>
    <w:tblPr>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qFormat/>
    <w:rPr>
      <w:rFonts w:asciiTheme="minorHAnsi" w:eastAsiaTheme="minorEastAsia" w:hAnsiTheme="minorHAnsi" w:cstheme="minorBidi"/>
      <w:sz w:val="22"/>
      <w:szCs w:val="22"/>
      <w:lang w:eastAsia="en-US"/>
    </w:rPr>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qFormat/>
    <w:rPr>
      <w:rFonts w:asciiTheme="minorHAnsi" w:eastAsiaTheme="minorEastAsia" w:hAnsiTheme="minorHAnsi" w:cstheme="minorBidi"/>
      <w:sz w:val="22"/>
      <w:szCs w:val="22"/>
      <w:lang w:eastAsia="en-US"/>
    </w:rPr>
    <w:tblPr>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insideV w:val="single" w:sz="8" w:space="0" w:color="84B3DF" w:themeColor="accent1" w:themeTint="BF"/>
      </w:tblBorders>
    </w:tblPr>
    <w:tcPr>
      <w:shd w:val="clear" w:color="auto" w:fill="D6E6F4" w:themeFill="accent1" w:themeFillTint="3F"/>
    </w:tcPr>
    <w:tblStylePr w:type="firstRow">
      <w:rPr>
        <w:b/>
        <w:bCs/>
      </w:rPr>
    </w:tblStylePr>
    <w:tblStylePr w:type="lastRow">
      <w:rPr>
        <w:b/>
        <w:bCs/>
      </w:rPr>
      <w:tblPr/>
      <w:tcPr>
        <w:tcBorders>
          <w:top w:val="single" w:sz="18" w:space="0" w:color="84B3DF" w:themeColor="accent1" w:themeTint="BF"/>
        </w:tcBorders>
      </w:tcPr>
    </w:tblStylePr>
    <w:tblStylePr w:type="firstCol">
      <w:rPr>
        <w:b/>
        <w:bCs/>
      </w:rPr>
    </w:tblStylePr>
    <w:tblStylePr w:type="lastCol">
      <w:rPr>
        <w:b/>
        <w:bCs/>
      </w:r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1-21">
    <w:name w:val="Medium Grid 1 Accent 2"/>
    <w:basedOn w:val="a3"/>
    <w:uiPriority w:val="67"/>
    <w:qFormat/>
    <w:rPr>
      <w:rFonts w:asciiTheme="minorHAnsi" w:eastAsiaTheme="minorEastAsia" w:hAnsiTheme="minorHAnsi" w:cstheme="minorBidi"/>
      <w:sz w:val="22"/>
      <w:szCs w:val="22"/>
      <w:lang w:eastAsia="en-US"/>
    </w:rPr>
    <w:tblPr>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1-31">
    <w:name w:val="Medium Grid 1 Accent 3"/>
    <w:basedOn w:val="a3"/>
    <w:uiPriority w:val="67"/>
    <w:qFormat/>
    <w:rPr>
      <w:rFonts w:asciiTheme="minorHAnsi" w:eastAsiaTheme="minorEastAsia" w:hAnsiTheme="minorHAnsi" w:cstheme="minorBidi"/>
      <w:sz w:val="22"/>
      <w:szCs w:val="22"/>
      <w:lang w:eastAsia="en-US"/>
    </w:rPr>
    <w:tblPr>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1-41">
    <w:name w:val="Medium Grid 1 Accent 4"/>
    <w:basedOn w:val="a3"/>
    <w:uiPriority w:val="67"/>
    <w:qFormat/>
    <w:rPr>
      <w:rFonts w:asciiTheme="minorHAnsi" w:eastAsiaTheme="minorEastAsia" w:hAnsiTheme="minorHAnsi" w:cstheme="minorBidi"/>
      <w:sz w:val="22"/>
      <w:szCs w:val="22"/>
      <w:lang w:eastAsia="en-US"/>
    </w:rPr>
    <w:tblPr>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1-51">
    <w:name w:val="Medium Grid 1 Accent 5"/>
    <w:basedOn w:val="a3"/>
    <w:uiPriority w:val="67"/>
    <w:qFormat/>
    <w:rPr>
      <w:rFonts w:asciiTheme="minorHAnsi" w:eastAsiaTheme="minorEastAsia" w:hAnsiTheme="minorHAnsi" w:cstheme="minorBidi"/>
      <w:sz w:val="22"/>
      <w:szCs w:val="22"/>
      <w:lang w:eastAsia="en-US"/>
    </w:rPr>
    <w:tblPr>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insideV w:val="single" w:sz="8" w:space="0" w:color="7295D2" w:themeColor="accent5" w:themeTint="BF"/>
      </w:tblBorders>
    </w:tblPr>
    <w:tcPr>
      <w:shd w:val="clear" w:color="auto" w:fill="D0DBF0" w:themeFill="accent5" w:themeFillTint="3F"/>
    </w:tcPr>
    <w:tblStylePr w:type="firstRow">
      <w:rPr>
        <w:b/>
        <w:bCs/>
      </w:rPr>
    </w:tblStylePr>
    <w:tblStylePr w:type="lastRow">
      <w:rPr>
        <w:b/>
        <w:bCs/>
      </w:rPr>
      <w:tblPr/>
      <w:tcPr>
        <w:tcBorders>
          <w:top w:val="single" w:sz="18" w:space="0" w:color="7295D2" w:themeColor="accent5" w:themeTint="BF"/>
        </w:tcBorders>
      </w:tcPr>
    </w:tblStylePr>
    <w:tblStylePr w:type="firstCol">
      <w:rPr>
        <w:b/>
        <w:bCs/>
      </w:rPr>
    </w:tblStylePr>
    <w:tblStylePr w:type="lastCol">
      <w:rPr>
        <w:b/>
        <w:bCs/>
      </w:r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1-61">
    <w:name w:val="Medium Grid 1 Accent 6"/>
    <w:basedOn w:val="a3"/>
    <w:uiPriority w:val="67"/>
    <w:qFormat/>
    <w:rPr>
      <w:rFonts w:asciiTheme="minorHAnsi" w:eastAsiaTheme="minorEastAsia" w:hAnsiTheme="minorHAnsi" w:cstheme="minorBidi"/>
      <w:sz w:val="22"/>
      <w:szCs w:val="22"/>
      <w:lang w:eastAsia="en-US"/>
    </w:rPr>
    <w:tblPr>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29">
    <w:name w:val="Medium Grid 2"/>
    <w:basedOn w:val="a3"/>
    <w:uiPriority w:val="68"/>
    <w:qFormat/>
    <w:rPr>
      <w:rFonts w:asciiTheme="majorHAnsi" w:eastAsiaTheme="majorEastAsia" w:hAnsiTheme="majorHAnsi" w:cstheme="majorBidi"/>
      <w:color w:val="000000" w:themeColor="text1"/>
      <w:sz w:val="22"/>
      <w:szCs w:val="22"/>
      <w:lang w:eastAsia="en-US"/>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auto"/>
          <w:insideV w:val="single" w:sz="6" w:space="0" w:color="auto"/>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qFormat/>
    <w:rPr>
      <w:rFonts w:asciiTheme="majorHAnsi" w:eastAsiaTheme="majorEastAsia" w:hAnsiTheme="majorHAnsi" w:cstheme="majorBidi"/>
      <w:color w:val="000000" w:themeColor="text1"/>
      <w:sz w:val="22"/>
      <w:szCs w:val="22"/>
      <w:lang w:eastAsia="en-US"/>
    </w:rPr>
    <w:tblPr>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cPr>
      <w:shd w:val="clear" w:color="auto" w:fill="D6E6F4" w:themeFill="accent1" w:themeFillTint="3F"/>
    </w:tcPr>
    <w:tblStylePr w:type="firstRow">
      <w:rPr>
        <w:b/>
        <w:bCs/>
        <w:color w:val="000000" w:themeColor="text1"/>
      </w:rPr>
      <w:tblPr/>
      <w:tcPr>
        <w:shd w:val="clear" w:color="auto" w:fill="EEF5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1" w:themeFillTint="33"/>
      </w:tcPr>
    </w:tblStylePr>
    <w:tblStylePr w:type="band1Vert">
      <w:tblPr/>
      <w:tcPr>
        <w:shd w:val="clear" w:color="auto" w:fill="ADCCEA" w:themeFill="accent1" w:themeFillTint="7F"/>
      </w:tcPr>
    </w:tblStylePr>
    <w:tblStylePr w:type="band1Horz">
      <w:tblPr/>
      <w:tcPr>
        <w:tcBorders>
          <w:insideH w:val="single" w:sz="6" w:space="0" w:color="auto"/>
          <w:insideV w:val="single" w:sz="6" w:space="0" w:color="auto"/>
        </w:tcBorders>
        <w:shd w:val="clear" w:color="auto" w:fill="ADCCEA" w:themeFill="accent1" w:themeFillTint="7F"/>
      </w:tcPr>
    </w:tblStylePr>
    <w:tblStylePr w:type="nwCell">
      <w:tblPr/>
      <w:tcPr>
        <w:shd w:val="clear" w:color="auto" w:fill="FFFFFF" w:themeFill="background1"/>
      </w:tcPr>
    </w:tblStylePr>
  </w:style>
  <w:style w:type="table" w:styleId="2-21">
    <w:name w:val="Medium Grid 2 Accent 2"/>
    <w:basedOn w:val="a3"/>
    <w:uiPriority w:val="68"/>
    <w:qFormat/>
    <w:rPr>
      <w:rFonts w:asciiTheme="majorHAnsi" w:eastAsiaTheme="majorEastAsia" w:hAnsiTheme="majorHAnsi" w:cstheme="majorBidi"/>
      <w:color w:val="000000" w:themeColor="text1"/>
      <w:sz w:val="22"/>
      <w:szCs w:val="22"/>
      <w:lang w:eastAsia="en-US"/>
    </w:rPr>
    <w:tblPr>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auto"/>
          <w:insideV w:val="single" w:sz="6" w:space="0" w:color="auto"/>
        </w:tcBorders>
        <w:shd w:val="clear" w:color="auto" w:fill="F6BE98" w:themeFill="accent2" w:themeFillTint="7F"/>
      </w:tcPr>
    </w:tblStylePr>
    <w:tblStylePr w:type="nwCell">
      <w:tblPr/>
      <w:tcPr>
        <w:shd w:val="clear" w:color="auto" w:fill="FFFFFF" w:themeFill="background1"/>
      </w:tcPr>
    </w:tblStylePr>
  </w:style>
  <w:style w:type="table" w:styleId="2-31">
    <w:name w:val="Medium Grid 2 Accent 3"/>
    <w:basedOn w:val="a3"/>
    <w:uiPriority w:val="68"/>
    <w:qFormat/>
    <w:rPr>
      <w:rFonts w:asciiTheme="majorHAnsi" w:eastAsiaTheme="majorEastAsia" w:hAnsiTheme="majorHAnsi" w:cstheme="majorBidi"/>
      <w:color w:val="000000" w:themeColor="text1"/>
      <w:sz w:val="22"/>
      <w:szCs w:val="22"/>
      <w:lang w:eastAsia="en-US"/>
    </w:rPr>
    <w:tblPr>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uto"/>
          <w:insideV w:val="single" w:sz="6" w:space="0" w:color="auto"/>
        </w:tcBorders>
        <w:shd w:val="clear" w:color="auto" w:fill="D2D2D2" w:themeFill="accent3" w:themeFillTint="7F"/>
      </w:tcPr>
    </w:tblStylePr>
    <w:tblStylePr w:type="nwCell">
      <w:tblPr/>
      <w:tcPr>
        <w:shd w:val="clear" w:color="auto" w:fill="FFFFFF" w:themeFill="background1"/>
      </w:tcPr>
    </w:tblStylePr>
  </w:style>
  <w:style w:type="table" w:styleId="2-41">
    <w:name w:val="Medium Grid 2 Accent 4"/>
    <w:basedOn w:val="a3"/>
    <w:uiPriority w:val="68"/>
    <w:qFormat/>
    <w:rPr>
      <w:rFonts w:asciiTheme="majorHAnsi" w:eastAsiaTheme="majorEastAsia" w:hAnsiTheme="majorHAnsi" w:cstheme="majorBidi"/>
      <w:color w:val="000000" w:themeColor="text1"/>
      <w:sz w:val="22"/>
      <w:szCs w:val="22"/>
      <w:lang w:eastAsia="en-US"/>
    </w:rPr>
    <w:tblPr>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auto"/>
          <w:insideV w:val="single" w:sz="6" w:space="0" w:color="auto"/>
        </w:tcBorders>
        <w:shd w:val="clear" w:color="auto" w:fill="FFDF80" w:themeFill="accent4" w:themeFillTint="7F"/>
      </w:tcPr>
    </w:tblStylePr>
    <w:tblStylePr w:type="nwCell">
      <w:tblPr/>
      <w:tcPr>
        <w:shd w:val="clear" w:color="auto" w:fill="FFFFFF" w:themeFill="background1"/>
      </w:tcPr>
    </w:tblStylePr>
  </w:style>
  <w:style w:type="table" w:styleId="2-51">
    <w:name w:val="Medium Grid 2 Accent 5"/>
    <w:basedOn w:val="a3"/>
    <w:uiPriority w:val="68"/>
    <w:qFormat/>
    <w:rPr>
      <w:rFonts w:asciiTheme="majorHAnsi" w:eastAsiaTheme="majorEastAsia" w:hAnsiTheme="majorHAnsi" w:cstheme="majorBidi"/>
      <w:color w:val="000000" w:themeColor="text1"/>
      <w:sz w:val="22"/>
      <w:szCs w:val="22"/>
      <w:lang w:eastAsia="en-US"/>
    </w:rPr>
    <w:tblPr>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cPr>
      <w:shd w:val="clear" w:color="auto" w:fill="D0DBF0" w:themeFill="accent5" w:themeFillTint="3F"/>
    </w:tcPr>
    <w:tblStylePr w:type="firstRow">
      <w:rPr>
        <w:b/>
        <w:bCs/>
        <w:color w:val="000000" w:themeColor="text1"/>
      </w:rPr>
      <w:tblPr/>
      <w:tcPr>
        <w:shd w:val="clear" w:color="auto" w:fill="ECF1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5" w:themeFillTint="33"/>
      </w:tcPr>
    </w:tblStylePr>
    <w:tblStylePr w:type="band1Vert">
      <w:tblPr/>
      <w:tcPr>
        <w:shd w:val="clear" w:color="auto" w:fill="A1B8E1" w:themeFill="accent5" w:themeFillTint="7F"/>
      </w:tcPr>
    </w:tblStylePr>
    <w:tblStylePr w:type="band1Horz">
      <w:tblPr/>
      <w:tcPr>
        <w:tcBorders>
          <w:insideH w:val="single" w:sz="6" w:space="0" w:color="auto"/>
          <w:insideV w:val="single" w:sz="6" w:space="0" w:color="auto"/>
        </w:tcBorders>
        <w:shd w:val="clear" w:color="auto" w:fill="A1B8E1" w:themeFill="accent5" w:themeFillTint="7F"/>
      </w:tcPr>
    </w:tblStylePr>
    <w:tblStylePr w:type="nwCell">
      <w:tblPr/>
      <w:tcPr>
        <w:shd w:val="clear" w:color="auto" w:fill="FFFFFF" w:themeFill="background1"/>
      </w:tcPr>
    </w:tblStylePr>
  </w:style>
  <w:style w:type="table" w:styleId="2-61">
    <w:name w:val="Medium Grid 2 Accent 6"/>
    <w:basedOn w:val="a3"/>
    <w:uiPriority w:val="68"/>
    <w:qFormat/>
    <w:rPr>
      <w:rFonts w:asciiTheme="majorHAnsi" w:eastAsiaTheme="majorEastAsia" w:hAnsiTheme="majorHAnsi" w:cstheme="majorBidi"/>
      <w:color w:val="000000" w:themeColor="text1"/>
      <w:sz w:val="22"/>
      <w:szCs w:val="22"/>
      <w:lang w:eastAsia="en-US"/>
    </w:rPr>
    <w:tblPr>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auto"/>
          <w:insideV w:val="single" w:sz="6" w:space="0" w:color="auto"/>
        </w:tcBorders>
        <w:shd w:val="clear" w:color="auto" w:fill="B7D8A0" w:themeFill="accent6" w:themeFillTint="7F"/>
      </w:tcPr>
    </w:tblStylePr>
    <w:tblStylePr w:type="nwCell">
      <w:tblPr/>
      <w:tcPr>
        <w:shd w:val="clear" w:color="auto" w:fill="FFFFFF" w:themeFill="background1"/>
      </w:tcPr>
    </w:tblStylePr>
  </w:style>
  <w:style w:type="table" w:styleId="37">
    <w:name w:val="Medium Grid 3"/>
    <w:basedOn w:val="a3"/>
    <w:uiPriority w:val="69"/>
    <w:qFormat/>
    <w:rPr>
      <w:rFonts w:asciiTheme="minorHAnsi" w:eastAsiaTheme="minorEastAsia" w:hAnsiTheme="minorHAnsi" w:cstheme="minorBidi"/>
      <w:sz w:val="22"/>
      <w:szCs w:val="22"/>
      <w:lang w:eastAsia="en-US"/>
    </w:rPr>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808080" w:themeFill="text1" w:themeFillTint="7F"/>
      </w:tcPr>
    </w:tblStylePr>
  </w:style>
  <w:style w:type="table" w:styleId="3-1">
    <w:name w:val="Medium Grid 3 Accent 1"/>
    <w:basedOn w:val="a3"/>
    <w:uiPriority w:val="69"/>
    <w:qFormat/>
    <w:rPr>
      <w:rFonts w:asciiTheme="minorHAnsi" w:eastAsiaTheme="minorEastAsia" w:hAnsiTheme="minorHAnsi" w:cstheme="minorBidi"/>
      <w:sz w:val="22"/>
      <w:szCs w:val="22"/>
      <w:lang w:eastAsia="en-US"/>
    </w:rPr>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5B9BD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5B9BD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DCCEA" w:themeFill="accent1" w:themeFillTint="7F"/>
      </w:tcPr>
    </w:tblStylePr>
  </w:style>
  <w:style w:type="table" w:styleId="3-2">
    <w:name w:val="Medium Grid 3 Accent 2"/>
    <w:basedOn w:val="a3"/>
    <w:uiPriority w:val="69"/>
    <w:qFormat/>
    <w:rPr>
      <w:rFonts w:asciiTheme="minorHAnsi" w:eastAsiaTheme="minorEastAsia" w:hAnsiTheme="minorHAnsi" w:cstheme="minorBidi"/>
      <w:sz w:val="22"/>
      <w:szCs w:val="22"/>
      <w:lang w:eastAsia="en-US"/>
    </w:rPr>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F6BE98" w:themeFill="accent2" w:themeFillTint="7F"/>
      </w:tcPr>
    </w:tblStylePr>
  </w:style>
  <w:style w:type="table" w:styleId="3-3">
    <w:name w:val="Medium Grid 3 Accent 3"/>
    <w:basedOn w:val="a3"/>
    <w:uiPriority w:val="69"/>
    <w:qFormat/>
    <w:rPr>
      <w:rFonts w:asciiTheme="minorHAnsi" w:eastAsiaTheme="minorEastAsia" w:hAnsiTheme="minorHAnsi" w:cstheme="minorBidi"/>
      <w:sz w:val="22"/>
      <w:szCs w:val="22"/>
      <w:lang w:eastAsia="en-US"/>
    </w:rPr>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D2D2D2" w:themeFill="accent3" w:themeFillTint="7F"/>
      </w:tcPr>
    </w:tblStylePr>
  </w:style>
  <w:style w:type="table" w:styleId="3-4">
    <w:name w:val="Medium Grid 3 Accent 4"/>
    <w:basedOn w:val="a3"/>
    <w:uiPriority w:val="69"/>
    <w:qFormat/>
    <w:rPr>
      <w:rFonts w:asciiTheme="minorHAnsi" w:eastAsiaTheme="minorEastAsia" w:hAnsiTheme="minorHAnsi" w:cstheme="minorBidi"/>
      <w:sz w:val="22"/>
      <w:szCs w:val="22"/>
      <w:lang w:eastAsia="en-US"/>
    </w:rPr>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FFDF80" w:themeFill="accent4" w:themeFillTint="7F"/>
      </w:tcPr>
    </w:tblStylePr>
  </w:style>
  <w:style w:type="table" w:styleId="3-5">
    <w:name w:val="Medium Grid 3 Accent 5"/>
    <w:basedOn w:val="a3"/>
    <w:uiPriority w:val="69"/>
    <w:qFormat/>
    <w:rPr>
      <w:rFonts w:asciiTheme="minorHAnsi" w:eastAsiaTheme="minorEastAsia" w:hAnsiTheme="minorHAnsi" w:cstheme="minorBidi"/>
      <w:sz w:val="22"/>
      <w:szCs w:val="22"/>
      <w:lang w:eastAsia="en-US"/>
    </w:rPr>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472C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472C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1B8E1" w:themeFill="accent5" w:themeFillTint="7F"/>
      </w:tcPr>
    </w:tblStylePr>
  </w:style>
  <w:style w:type="table" w:styleId="3-6">
    <w:name w:val="Medium Grid 3 Accent 6"/>
    <w:basedOn w:val="a3"/>
    <w:uiPriority w:val="69"/>
    <w:qFormat/>
    <w:rPr>
      <w:rFonts w:asciiTheme="minorHAnsi" w:eastAsiaTheme="minorEastAsia" w:hAnsiTheme="minorHAnsi" w:cstheme="minorBidi"/>
      <w:sz w:val="22"/>
      <w:szCs w:val="22"/>
      <w:lang w:eastAsia="en-US"/>
    </w:rPr>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B7D8A0" w:themeFill="accent6" w:themeFillTint="7F"/>
      </w:tcPr>
    </w:tblStylePr>
  </w:style>
  <w:style w:type="table" w:styleId="aff3">
    <w:name w:val="Dark List"/>
    <w:basedOn w:val="a3"/>
    <w:uiPriority w:val="70"/>
    <w:qFormat/>
    <w:rPr>
      <w:rFonts w:asciiTheme="minorHAnsi" w:eastAsiaTheme="minorEastAsia" w:hAnsiTheme="minorHAnsi" w:cstheme="minorBidi"/>
      <w:color w:val="FFFFFF" w:themeColor="background1"/>
      <w:sz w:val="22"/>
      <w:szCs w:val="22"/>
      <w:lang w:eastAsia="en-US"/>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qFormat/>
    <w:rPr>
      <w:rFonts w:asciiTheme="minorHAnsi" w:eastAsiaTheme="minorEastAsia" w:hAnsiTheme="minorHAnsi" w:cstheme="minorBidi"/>
      <w:color w:val="FFFFFF" w:themeColor="background1"/>
      <w:sz w:val="22"/>
      <w:szCs w:val="22"/>
      <w:lang w:eastAsia="en-US"/>
    </w:rPr>
    <w:tblPr>
      <w:tblStyleRowBandSize w:val="1"/>
      <w:tblStyleColBandSize w:val="1"/>
    </w:tblPr>
    <w:tcPr>
      <w:shd w:val="clear" w:color="auto" w:fill="5B9BD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1" w:themeFillShade="BF"/>
      </w:tcPr>
    </w:tblStylePr>
    <w:tblStylePr w:type="band1Vert">
      <w:tblPr/>
      <w:tcPr>
        <w:tcBorders>
          <w:top w:val="nil"/>
          <w:left w:val="nil"/>
          <w:bottom w:val="nil"/>
          <w:right w:val="nil"/>
          <w:insideH w:val="nil"/>
          <w:insideV w:val="nil"/>
        </w:tcBorders>
        <w:shd w:val="clear" w:color="auto" w:fill="2E74B5" w:themeFill="accent1" w:themeFillShade="BF"/>
      </w:tcPr>
    </w:tblStylePr>
    <w:tblStylePr w:type="band1Horz">
      <w:tblPr/>
      <w:tcPr>
        <w:tcBorders>
          <w:top w:val="nil"/>
          <w:left w:val="nil"/>
          <w:bottom w:val="nil"/>
          <w:right w:val="nil"/>
          <w:insideH w:val="nil"/>
          <w:insideV w:val="nil"/>
        </w:tcBorders>
        <w:shd w:val="clear" w:color="auto" w:fill="2E74B5" w:themeFill="accent1" w:themeFillShade="BF"/>
      </w:tcPr>
    </w:tblStylePr>
  </w:style>
  <w:style w:type="table" w:styleId="-22">
    <w:name w:val="Dark List Accent 2"/>
    <w:basedOn w:val="a3"/>
    <w:uiPriority w:val="70"/>
    <w:qFormat/>
    <w:rPr>
      <w:rFonts w:asciiTheme="minorHAnsi" w:eastAsiaTheme="minorEastAsia" w:hAnsiTheme="minorHAnsi" w:cstheme="minorBidi"/>
      <w:color w:val="FFFFFF" w:themeColor="background1"/>
      <w:sz w:val="22"/>
      <w:szCs w:val="22"/>
      <w:lang w:eastAsia="en-US"/>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32">
    <w:name w:val="Dark List Accent 3"/>
    <w:basedOn w:val="a3"/>
    <w:uiPriority w:val="70"/>
    <w:qFormat/>
    <w:rPr>
      <w:rFonts w:asciiTheme="minorHAnsi" w:eastAsiaTheme="minorEastAsia" w:hAnsiTheme="minorHAnsi" w:cstheme="minorBidi"/>
      <w:color w:val="FFFFFF" w:themeColor="background1"/>
      <w:sz w:val="22"/>
      <w:szCs w:val="22"/>
      <w:lang w:eastAsia="en-US"/>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42">
    <w:name w:val="Dark List Accent 4"/>
    <w:basedOn w:val="a3"/>
    <w:uiPriority w:val="70"/>
    <w:qFormat/>
    <w:rPr>
      <w:rFonts w:asciiTheme="minorHAnsi" w:eastAsiaTheme="minorEastAsia" w:hAnsiTheme="minorHAnsi" w:cstheme="minorBidi"/>
      <w:color w:val="FFFFFF" w:themeColor="background1"/>
      <w:sz w:val="22"/>
      <w:szCs w:val="22"/>
      <w:lang w:eastAsia="en-US"/>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52">
    <w:name w:val="Dark List Accent 5"/>
    <w:basedOn w:val="a3"/>
    <w:uiPriority w:val="70"/>
    <w:qFormat/>
    <w:rPr>
      <w:rFonts w:asciiTheme="minorHAnsi" w:eastAsiaTheme="minorEastAsia" w:hAnsiTheme="minorHAnsi" w:cstheme="minorBidi"/>
      <w:color w:val="FFFFFF" w:themeColor="background1"/>
      <w:sz w:val="22"/>
      <w:szCs w:val="22"/>
      <w:lang w:eastAsia="en-US"/>
    </w:rPr>
    <w:tblPr>
      <w:tblStyleRowBandSize w:val="1"/>
      <w:tblStyleColBandSize w:val="1"/>
    </w:tblPr>
    <w:tcPr>
      <w:shd w:val="clear" w:color="auto" w:fill="4472C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5" w:themeFillShade="BF"/>
      </w:tcPr>
    </w:tblStylePr>
    <w:tblStylePr w:type="band1Vert">
      <w:tblPr/>
      <w:tcPr>
        <w:tcBorders>
          <w:top w:val="nil"/>
          <w:left w:val="nil"/>
          <w:bottom w:val="nil"/>
          <w:right w:val="nil"/>
          <w:insideH w:val="nil"/>
          <w:insideV w:val="nil"/>
        </w:tcBorders>
        <w:shd w:val="clear" w:color="auto" w:fill="2F5496" w:themeFill="accent5" w:themeFillShade="BF"/>
      </w:tcPr>
    </w:tblStylePr>
    <w:tblStylePr w:type="band1Horz">
      <w:tblPr/>
      <w:tcPr>
        <w:tcBorders>
          <w:top w:val="nil"/>
          <w:left w:val="nil"/>
          <w:bottom w:val="nil"/>
          <w:right w:val="nil"/>
          <w:insideH w:val="nil"/>
          <w:insideV w:val="nil"/>
        </w:tcBorders>
        <w:shd w:val="clear" w:color="auto" w:fill="2F5496" w:themeFill="accent5" w:themeFillShade="BF"/>
      </w:tcPr>
    </w:tblStylePr>
  </w:style>
  <w:style w:type="table" w:styleId="-62">
    <w:name w:val="Dark List Accent 6"/>
    <w:basedOn w:val="a3"/>
    <w:uiPriority w:val="70"/>
    <w:qFormat/>
    <w:rPr>
      <w:rFonts w:asciiTheme="minorHAnsi" w:eastAsiaTheme="minorEastAsia" w:hAnsiTheme="minorHAnsi" w:cstheme="minorBidi"/>
      <w:color w:val="FFFFFF" w:themeColor="background1"/>
      <w:sz w:val="22"/>
      <w:szCs w:val="22"/>
      <w:lang w:eastAsia="en-US"/>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aff4">
    <w:name w:val="Colorful Shading"/>
    <w:basedOn w:val="a3"/>
    <w:uiPriority w:val="71"/>
    <w:qFormat/>
    <w:rPr>
      <w:rFonts w:asciiTheme="minorHAnsi" w:eastAsiaTheme="minorEastAsia" w:hAnsiTheme="minorHAnsi" w:cstheme="minorBidi"/>
      <w:color w:val="000000" w:themeColor="text1"/>
      <w:sz w:val="22"/>
      <w:szCs w:val="22"/>
      <w:lang w:eastAsia="en-US"/>
    </w:rPr>
    <w:tblPr>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qFormat/>
    <w:rPr>
      <w:rFonts w:asciiTheme="minorHAnsi" w:eastAsiaTheme="minorEastAsia" w:hAnsiTheme="minorHAnsi" w:cstheme="minorBidi"/>
      <w:color w:val="000000" w:themeColor="text1"/>
      <w:sz w:val="22"/>
      <w:szCs w:val="22"/>
      <w:lang w:eastAsia="en-US"/>
    </w:rPr>
    <w:tblPr>
      <w:tblBorders>
        <w:top w:val="single" w:sz="24" w:space="0" w:color="ED7D31" w:themeColor="accent2"/>
        <w:left w:val="single" w:sz="4" w:space="0" w:color="5B9BD5" w:themeColor="accent1"/>
        <w:bottom w:val="single" w:sz="4" w:space="0" w:color="5B9BD5" w:themeColor="accent1"/>
        <w:right w:val="single" w:sz="4" w:space="0" w:color="5B9BD5" w:themeColor="accent1"/>
        <w:insideH w:val="single" w:sz="4" w:space="0" w:color="FFFFFF" w:themeColor="background1"/>
        <w:insideV w:val="single" w:sz="4" w:space="0" w:color="FFFFFF" w:themeColor="background1"/>
      </w:tblBorders>
    </w:tblPr>
    <w:tcPr>
      <w:shd w:val="clear" w:color="auto" w:fill="EEF5FB"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55D91"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1" w:themeFillShade="99"/>
      </w:tcPr>
    </w:tblStylePr>
    <w:tblStylePr w:type="band1Vert">
      <w:tblPr/>
      <w:tcPr>
        <w:shd w:val="clear" w:color="auto" w:fill="BDD6EE" w:themeFill="accent1" w:themeFillTint="66"/>
      </w:tcPr>
    </w:tblStylePr>
    <w:tblStylePr w:type="band1Horz">
      <w:tblPr/>
      <w:tcPr>
        <w:shd w:val="clear" w:color="auto" w:fill="ADCCEA"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qFormat/>
    <w:rPr>
      <w:rFonts w:asciiTheme="minorHAnsi" w:eastAsiaTheme="minorEastAsia" w:hAnsiTheme="minorHAnsi" w:cstheme="minorBidi"/>
      <w:color w:val="000000" w:themeColor="text1"/>
      <w:sz w:val="22"/>
      <w:szCs w:val="22"/>
      <w:lang w:eastAsia="en-US"/>
    </w:rPr>
    <w:tblPr>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qFormat/>
    <w:rPr>
      <w:rFonts w:asciiTheme="minorHAnsi" w:eastAsiaTheme="minorEastAsia" w:hAnsiTheme="minorHAnsi" w:cstheme="minorBidi"/>
      <w:color w:val="000000" w:themeColor="text1"/>
      <w:sz w:val="22"/>
      <w:szCs w:val="22"/>
      <w:lang w:eastAsia="en-US"/>
    </w:rPr>
    <w:tblPr>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43">
    <w:name w:val="Colorful Shading Accent 4"/>
    <w:basedOn w:val="a3"/>
    <w:uiPriority w:val="71"/>
    <w:qFormat/>
    <w:rPr>
      <w:rFonts w:asciiTheme="minorHAnsi" w:eastAsiaTheme="minorEastAsia" w:hAnsiTheme="minorHAnsi" w:cstheme="minorBidi"/>
      <w:color w:val="000000" w:themeColor="text1"/>
      <w:sz w:val="22"/>
      <w:szCs w:val="22"/>
      <w:lang w:eastAsia="en-US"/>
    </w:rPr>
    <w:tblPr>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qFormat/>
    <w:rPr>
      <w:rFonts w:asciiTheme="minorHAnsi" w:eastAsiaTheme="minorEastAsia" w:hAnsiTheme="minorHAnsi" w:cstheme="minorBidi"/>
      <w:color w:val="000000" w:themeColor="text1"/>
      <w:sz w:val="22"/>
      <w:szCs w:val="22"/>
      <w:lang w:eastAsia="en-US"/>
    </w:rPr>
    <w:tblPr>
      <w:tblBorders>
        <w:top w:val="single" w:sz="24" w:space="0" w:color="70AD47" w:themeColor="accent6"/>
        <w:left w:val="single" w:sz="4" w:space="0" w:color="4472C4" w:themeColor="accent5"/>
        <w:bottom w:val="single" w:sz="4" w:space="0" w:color="4472C4" w:themeColor="accent5"/>
        <w:right w:val="single" w:sz="4" w:space="0" w:color="4472C4" w:themeColor="accent5"/>
        <w:insideH w:val="single" w:sz="4" w:space="0" w:color="FFFFFF" w:themeColor="background1"/>
        <w:insideV w:val="single" w:sz="4" w:space="0" w:color="FFFFFF" w:themeColor="background1"/>
      </w:tblBorders>
    </w:tblPr>
    <w:tcPr>
      <w:shd w:val="clear" w:color="auto" w:fill="ECF1F9"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5"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64378"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5" w:themeFillShade="99"/>
      </w:tcPr>
    </w:tblStylePr>
    <w:tblStylePr w:type="band1Vert">
      <w:tblPr/>
      <w:tcPr>
        <w:shd w:val="clear" w:color="auto" w:fill="B4C6E7" w:themeFill="accent5" w:themeFillTint="66"/>
      </w:tcPr>
    </w:tblStylePr>
    <w:tblStylePr w:type="band1Horz">
      <w:tblPr/>
      <w:tcPr>
        <w:shd w:val="clear" w:color="auto" w:fill="A1B8E1"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qFormat/>
    <w:rPr>
      <w:rFonts w:asciiTheme="minorHAnsi" w:eastAsiaTheme="minorEastAsia" w:hAnsiTheme="minorHAnsi" w:cstheme="minorBidi"/>
      <w:color w:val="000000" w:themeColor="text1"/>
      <w:sz w:val="22"/>
      <w:szCs w:val="22"/>
      <w:lang w:eastAsia="en-US"/>
    </w:rPr>
    <w:tblPr>
      <w:tblBorders>
        <w:top w:val="single" w:sz="24" w:space="0" w:color="4472C4"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aff5">
    <w:name w:val="Colorful List"/>
    <w:basedOn w:val="a3"/>
    <w:uiPriority w:val="72"/>
    <w:qFormat/>
    <w:rPr>
      <w:rFonts w:asciiTheme="minorHAnsi" w:eastAsiaTheme="minorEastAsia" w:hAnsiTheme="minorHAnsi" w:cstheme="minorBidi"/>
      <w:color w:val="000000" w:themeColor="text1"/>
      <w:sz w:val="22"/>
      <w:szCs w:val="22"/>
      <w:lang w:eastAsia="en-US"/>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qFormat/>
    <w:rPr>
      <w:rFonts w:asciiTheme="minorHAnsi" w:eastAsiaTheme="minorEastAsia" w:hAnsiTheme="minorHAnsi" w:cstheme="minorBidi"/>
      <w:color w:val="000000" w:themeColor="text1"/>
      <w:sz w:val="22"/>
      <w:szCs w:val="22"/>
      <w:lang w:eastAsia="en-US"/>
    </w:rPr>
    <w:tblPr>
      <w:tblStyleRowBandSize w:val="1"/>
      <w:tblStyleColBandSize w:val="1"/>
    </w:tblPr>
    <w:tcPr>
      <w:shd w:val="clear" w:color="auto" w:fill="EEF5FB"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table" w:styleId="-24">
    <w:name w:val="Colorful List Accent 2"/>
    <w:basedOn w:val="a3"/>
    <w:uiPriority w:val="72"/>
    <w:qFormat/>
    <w:rPr>
      <w:rFonts w:asciiTheme="minorHAnsi" w:eastAsiaTheme="minorEastAsia" w:hAnsiTheme="minorHAnsi" w:cstheme="minorBidi"/>
      <w:color w:val="000000" w:themeColor="text1"/>
      <w:sz w:val="22"/>
      <w:szCs w:val="22"/>
      <w:lang w:eastAsia="en-US"/>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34">
    <w:name w:val="Colorful List Accent 3"/>
    <w:basedOn w:val="a3"/>
    <w:uiPriority w:val="72"/>
    <w:qFormat/>
    <w:rPr>
      <w:rFonts w:asciiTheme="minorHAnsi" w:eastAsiaTheme="minorEastAsia" w:hAnsiTheme="minorHAnsi" w:cstheme="minorBidi"/>
      <w:color w:val="000000" w:themeColor="text1"/>
      <w:sz w:val="22"/>
      <w:szCs w:val="22"/>
      <w:lang w:eastAsia="en-US"/>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44">
    <w:name w:val="Colorful List Accent 4"/>
    <w:basedOn w:val="a3"/>
    <w:uiPriority w:val="72"/>
    <w:qFormat/>
    <w:rPr>
      <w:rFonts w:asciiTheme="minorHAnsi" w:eastAsiaTheme="minorEastAsia" w:hAnsiTheme="minorHAnsi" w:cstheme="minorBidi"/>
      <w:color w:val="000000" w:themeColor="text1"/>
      <w:sz w:val="22"/>
      <w:szCs w:val="22"/>
      <w:lang w:eastAsia="en-US"/>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54">
    <w:name w:val="Colorful List Accent 5"/>
    <w:basedOn w:val="a3"/>
    <w:uiPriority w:val="72"/>
    <w:qFormat/>
    <w:rPr>
      <w:rFonts w:asciiTheme="minorHAnsi" w:eastAsiaTheme="minorEastAsia" w:hAnsiTheme="minorHAnsi" w:cstheme="minorBidi"/>
      <w:color w:val="000000" w:themeColor="text1"/>
      <w:sz w:val="22"/>
      <w:szCs w:val="22"/>
      <w:lang w:eastAsia="en-US"/>
    </w:rPr>
    <w:tblPr>
      <w:tblStyleRowBandSize w:val="1"/>
      <w:tblStyleColBandSize w:val="1"/>
    </w:tblPr>
    <w:tcPr>
      <w:shd w:val="clear" w:color="auto" w:fill="ECF1F9"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5" w:themeFillTint="3F"/>
      </w:tcPr>
    </w:tblStylePr>
    <w:tblStylePr w:type="band1Horz">
      <w:tblPr/>
      <w:tcPr>
        <w:shd w:val="clear" w:color="auto" w:fill="D9E2F3" w:themeFill="accent5" w:themeFillTint="33"/>
      </w:tcPr>
    </w:tblStylePr>
  </w:style>
  <w:style w:type="table" w:styleId="-64">
    <w:name w:val="Colorful List Accent 6"/>
    <w:basedOn w:val="a3"/>
    <w:uiPriority w:val="72"/>
    <w:qFormat/>
    <w:rPr>
      <w:rFonts w:asciiTheme="minorHAnsi" w:eastAsiaTheme="minorEastAsia" w:hAnsiTheme="minorHAnsi" w:cstheme="minorBidi"/>
      <w:color w:val="000000" w:themeColor="text1"/>
      <w:sz w:val="22"/>
      <w:szCs w:val="22"/>
      <w:lang w:eastAsia="en-US"/>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259A0" w:themeFill="accent5" w:themeFillShade="CC"/>
      </w:tcPr>
    </w:tblStylePr>
    <w:tblStylePr w:type="lastRow">
      <w:rPr>
        <w:b/>
        <w:bCs/>
        <w:color w:val="3259A0"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aff6">
    <w:name w:val="Colorful Grid"/>
    <w:basedOn w:val="a3"/>
    <w:uiPriority w:val="73"/>
    <w:qFormat/>
    <w:rPr>
      <w:rFonts w:asciiTheme="minorHAnsi" w:eastAsiaTheme="minorEastAsia" w:hAnsiTheme="minorHAnsi" w:cstheme="minorBidi"/>
      <w:color w:val="000000" w:themeColor="text1"/>
      <w:sz w:val="22"/>
      <w:szCs w:val="22"/>
      <w:lang w:eastAsia="en-US"/>
    </w:rPr>
    <w:tblPr>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qFormat/>
    <w:rPr>
      <w:rFonts w:asciiTheme="minorHAnsi" w:eastAsiaTheme="minorEastAsia" w:hAnsiTheme="minorHAnsi" w:cstheme="minorBidi"/>
      <w:color w:val="000000" w:themeColor="text1"/>
      <w:sz w:val="22"/>
      <w:szCs w:val="22"/>
      <w:lang w:eastAsia="en-US"/>
    </w:rPr>
    <w:tblPr>
      <w:tblBorders>
        <w:insideH w:val="single" w:sz="4" w:space="0" w:color="FFFFFF" w:themeColor="background1"/>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themeColor="text1"/>
      </w:rPr>
      <w:tblPr/>
      <w:tcPr>
        <w:shd w:val="clear" w:color="auto" w:fill="BDD6EE" w:themeFill="accent1" w:themeFillTint="66"/>
      </w:tcPr>
    </w:tblStylePr>
    <w:tblStylePr w:type="firstCol">
      <w:rPr>
        <w:color w:val="FFFFFF" w:themeColor="background1"/>
      </w:rPr>
      <w:tblPr/>
      <w:tcPr>
        <w:shd w:val="clear" w:color="auto" w:fill="2E74B5" w:themeFill="accent1" w:themeFillShade="BF"/>
      </w:tcPr>
    </w:tblStylePr>
    <w:tblStylePr w:type="lastCol">
      <w:rPr>
        <w:color w:val="FFFFFF" w:themeColor="background1"/>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25">
    <w:name w:val="Colorful Grid Accent 2"/>
    <w:basedOn w:val="a3"/>
    <w:uiPriority w:val="73"/>
    <w:qFormat/>
    <w:rPr>
      <w:rFonts w:asciiTheme="minorHAnsi" w:eastAsiaTheme="minorEastAsia" w:hAnsiTheme="minorHAnsi" w:cstheme="minorBidi"/>
      <w:color w:val="000000" w:themeColor="text1"/>
      <w:sz w:val="22"/>
      <w:szCs w:val="22"/>
      <w:lang w:eastAsia="en-US"/>
    </w:rPr>
    <w:tblPr>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35">
    <w:name w:val="Colorful Grid Accent 3"/>
    <w:basedOn w:val="a3"/>
    <w:uiPriority w:val="73"/>
    <w:qFormat/>
    <w:rPr>
      <w:rFonts w:asciiTheme="minorHAnsi" w:eastAsiaTheme="minorEastAsia" w:hAnsiTheme="minorHAnsi" w:cstheme="minorBidi"/>
      <w:color w:val="000000" w:themeColor="text1"/>
      <w:sz w:val="22"/>
      <w:szCs w:val="22"/>
      <w:lang w:eastAsia="en-US"/>
    </w:rPr>
    <w:tblPr>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45">
    <w:name w:val="Colorful Grid Accent 4"/>
    <w:basedOn w:val="a3"/>
    <w:uiPriority w:val="73"/>
    <w:qFormat/>
    <w:rPr>
      <w:rFonts w:asciiTheme="minorHAnsi" w:eastAsiaTheme="minorEastAsia" w:hAnsiTheme="minorHAnsi" w:cstheme="minorBidi"/>
      <w:color w:val="000000" w:themeColor="text1"/>
      <w:sz w:val="22"/>
      <w:szCs w:val="22"/>
      <w:lang w:eastAsia="en-US"/>
    </w:rPr>
    <w:tblPr>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55">
    <w:name w:val="Colorful Grid Accent 5"/>
    <w:basedOn w:val="a3"/>
    <w:uiPriority w:val="73"/>
    <w:qFormat/>
    <w:rPr>
      <w:rFonts w:asciiTheme="minorHAnsi" w:eastAsiaTheme="minorEastAsia" w:hAnsiTheme="minorHAnsi" w:cstheme="minorBidi"/>
      <w:color w:val="000000" w:themeColor="text1"/>
      <w:sz w:val="22"/>
      <w:szCs w:val="22"/>
      <w:lang w:eastAsia="en-US"/>
    </w:rPr>
    <w:tblPr>
      <w:tblBorders>
        <w:insideH w:val="single" w:sz="4" w:space="0" w:color="FFFFFF" w:themeColor="background1"/>
      </w:tblBorders>
    </w:tblPr>
    <w:tcPr>
      <w:shd w:val="clear" w:color="auto" w:fill="D9E2F3" w:themeFill="accent5" w:themeFillTint="33"/>
    </w:tcPr>
    <w:tblStylePr w:type="firstRow">
      <w:rPr>
        <w:b/>
        <w:bCs/>
      </w:rPr>
      <w:tblPr/>
      <w:tcPr>
        <w:shd w:val="clear" w:color="auto" w:fill="B4C6E7" w:themeFill="accent5" w:themeFillTint="66"/>
      </w:tcPr>
    </w:tblStylePr>
    <w:tblStylePr w:type="lastRow">
      <w:rPr>
        <w:b/>
        <w:bCs/>
        <w:color w:val="000000" w:themeColor="text1"/>
      </w:rPr>
      <w:tblPr/>
      <w:tcPr>
        <w:shd w:val="clear" w:color="auto" w:fill="B4C6E7" w:themeFill="accent5" w:themeFillTint="66"/>
      </w:tcPr>
    </w:tblStylePr>
    <w:tblStylePr w:type="firstCol">
      <w:rPr>
        <w:color w:val="FFFFFF" w:themeColor="background1"/>
      </w:rPr>
      <w:tblPr/>
      <w:tcPr>
        <w:shd w:val="clear" w:color="auto" w:fill="2F5496" w:themeFill="accent5" w:themeFillShade="BF"/>
      </w:tcPr>
    </w:tblStylePr>
    <w:tblStylePr w:type="lastCol">
      <w:rPr>
        <w:color w:val="FFFFFF" w:themeColor="background1"/>
      </w:rPr>
      <w:tblPr/>
      <w:tcPr>
        <w:shd w:val="clear" w:color="auto" w:fill="2F5496" w:themeFill="accent5" w:themeFillShade="BF"/>
      </w:tc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65">
    <w:name w:val="Colorful Grid Accent 6"/>
    <w:basedOn w:val="a3"/>
    <w:uiPriority w:val="73"/>
    <w:qFormat/>
    <w:rPr>
      <w:rFonts w:asciiTheme="minorHAnsi" w:eastAsiaTheme="minorEastAsia" w:hAnsiTheme="minorHAnsi" w:cstheme="minorBidi"/>
      <w:color w:val="000000" w:themeColor="text1"/>
      <w:sz w:val="22"/>
      <w:szCs w:val="22"/>
      <w:lang w:eastAsia="en-US"/>
    </w:rPr>
    <w:tblPr>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character" w:styleId="aff7">
    <w:name w:val="Strong"/>
    <w:basedOn w:val="a2"/>
    <w:qFormat/>
    <w:rPr>
      <w:b/>
    </w:rPr>
  </w:style>
  <w:style w:type="character" w:styleId="aff8">
    <w:name w:val="FollowedHyperlink"/>
    <w:basedOn w:val="a2"/>
    <w:unhideWhenUsed/>
    <w:qFormat/>
    <w:rPr>
      <w:color w:val="954F72" w:themeColor="followedHyperlink"/>
      <w:u w:val="single"/>
    </w:rPr>
  </w:style>
  <w:style w:type="character" w:styleId="aff9">
    <w:name w:val="Emphasis"/>
    <w:autoRedefine/>
    <w:uiPriority w:val="20"/>
    <w:qFormat/>
    <w:rPr>
      <w:i/>
      <w:iCs/>
    </w:rPr>
  </w:style>
  <w:style w:type="character" w:styleId="affa">
    <w:name w:val="line number"/>
    <w:basedOn w:val="a2"/>
    <w:uiPriority w:val="99"/>
    <w:unhideWhenUsed/>
    <w:qFormat/>
  </w:style>
  <w:style w:type="character" w:styleId="affb">
    <w:name w:val="Hyperlink"/>
    <w:basedOn w:val="a2"/>
    <w:autoRedefine/>
    <w:unhideWhenUsed/>
    <w:qFormat/>
    <w:rPr>
      <w:color w:val="0563C1" w:themeColor="hyperlink"/>
      <w:u w:val="single"/>
    </w:rPr>
  </w:style>
  <w:style w:type="character" w:styleId="HTML">
    <w:name w:val="HTML Code"/>
    <w:basedOn w:val="a2"/>
    <w:uiPriority w:val="99"/>
    <w:unhideWhenUsed/>
    <w:qFormat/>
    <w:rPr>
      <w:rFonts w:ascii="宋体" w:eastAsia="宋体" w:hAnsi="宋体" w:cs="宋体"/>
      <w:sz w:val="24"/>
      <w:szCs w:val="24"/>
    </w:rPr>
  </w:style>
  <w:style w:type="character" w:styleId="affc">
    <w:name w:val="annotation reference"/>
    <w:basedOn w:val="a2"/>
    <w:autoRedefine/>
    <w:unhideWhenUsed/>
    <w:qFormat/>
    <w:rPr>
      <w:sz w:val="21"/>
      <w:szCs w:val="21"/>
    </w:rPr>
  </w:style>
  <w:style w:type="character" w:styleId="affd">
    <w:name w:val="footnote reference"/>
    <w:basedOn w:val="a2"/>
    <w:autoRedefine/>
    <w:uiPriority w:val="99"/>
    <w:unhideWhenUsed/>
    <w:qFormat/>
    <w:rPr>
      <w:vertAlign w:val="superscript"/>
    </w:rPr>
  </w:style>
  <w:style w:type="character" w:customStyle="1" w:styleId="skip">
    <w:name w:val="skip"/>
    <w:basedOn w:val="a2"/>
    <w:autoRedefine/>
    <w:qFormat/>
  </w:style>
  <w:style w:type="paragraph" w:styleId="affe">
    <w:name w:val="List Paragraph"/>
    <w:basedOn w:val="a1"/>
    <w:uiPriority w:val="99"/>
    <w:qFormat/>
    <w:pPr>
      <w:ind w:firstLineChars="200" w:firstLine="420"/>
    </w:pPr>
  </w:style>
  <w:style w:type="character" w:customStyle="1" w:styleId="apple-converted-space">
    <w:name w:val="apple-converted-space"/>
    <w:basedOn w:val="a2"/>
    <w:autoRedefine/>
    <w:qFormat/>
  </w:style>
  <w:style w:type="character" w:customStyle="1" w:styleId="22">
    <w:name w:val="标题 2 字符"/>
    <w:basedOn w:val="a2"/>
    <w:link w:val="21"/>
    <w:autoRedefine/>
    <w:qFormat/>
    <w:rPr>
      <w:rFonts w:ascii="Garamond" w:eastAsiaTheme="majorEastAsia" w:hAnsi="Garamond" w:cstheme="majorBidi"/>
      <w:b/>
      <w:bCs/>
      <w:snapToGrid w:val="0"/>
      <w:kern w:val="2"/>
      <w:sz w:val="32"/>
      <w:szCs w:val="32"/>
    </w:rPr>
  </w:style>
  <w:style w:type="character" w:customStyle="1" w:styleId="10">
    <w:name w:val="标题 1 字符"/>
    <w:basedOn w:val="a2"/>
    <w:link w:val="1"/>
    <w:autoRedefine/>
    <w:qFormat/>
    <w:rsid w:val="00E66FA0"/>
    <w:rPr>
      <w:rFonts w:ascii="Garamond" w:eastAsiaTheme="minorEastAsia" w:hAnsi="Garamond" w:cstheme="minorBidi"/>
      <w:b/>
      <w:bCs/>
      <w:kern w:val="44"/>
      <w:sz w:val="32"/>
      <w:szCs w:val="32"/>
    </w:rPr>
  </w:style>
  <w:style w:type="character" w:styleId="afff">
    <w:name w:val="Placeholder Text"/>
    <w:basedOn w:val="a2"/>
    <w:autoRedefine/>
    <w:uiPriority w:val="99"/>
    <w:semiHidden/>
    <w:qFormat/>
    <w:rPr>
      <w:color w:val="808080"/>
    </w:rPr>
  </w:style>
  <w:style w:type="character" w:customStyle="1" w:styleId="af4">
    <w:name w:val="页眉 字符"/>
    <w:basedOn w:val="a2"/>
    <w:link w:val="af3"/>
    <w:qFormat/>
    <w:rPr>
      <w:rFonts w:asciiTheme="minorHAnsi" w:eastAsiaTheme="minorEastAsia" w:hAnsiTheme="minorHAnsi" w:cstheme="minorBidi"/>
      <w:kern w:val="2"/>
      <w:sz w:val="18"/>
      <w:szCs w:val="18"/>
    </w:rPr>
  </w:style>
  <w:style w:type="character" w:customStyle="1" w:styleId="af2">
    <w:name w:val="页脚 字符"/>
    <w:basedOn w:val="a2"/>
    <w:link w:val="af1"/>
    <w:autoRedefine/>
    <w:qFormat/>
    <w:rPr>
      <w:rFonts w:asciiTheme="minorHAnsi" w:eastAsiaTheme="minorEastAsia" w:hAnsiTheme="minorHAnsi" w:cstheme="minorBidi"/>
      <w:kern w:val="2"/>
      <w:sz w:val="18"/>
      <w:szCs w:val="18"/>
    </w:rPr>
  </w:style>
  <w:style w:type="paragraph" w:customStyle="1" w:styleId="EndNoteBibliographyTitle">
    <w:name w:val="EndNote Bibliography Title"/>
    <w:basedOn w:val="a1"/>
    <w:link w:val="EndNoteBibliographyTitle0"/>
    <w:autoRedefine/>
    <w:qFormat/>
    <w:pPr>
      <w:jc w:val="center"/>
    </w:pPr>
    <w:rPr>
      <w:rFonts w:ascii="Calibri" w:eastAsia="等线" w:hAnsi="Calibri" w:cs="Calibri"/>
      <w:sz w:val="20"/>
    </w:rPr>
  </w:style>
  <w:style w:type="character" w:customStyle="1" w:styleId="EndNoteBibliographyTitle0">
    <w:name w:val="EndNote Bibliography Title 字符"/>
    <w:basedOn w:val="a2"/>
    <w:link w:val="EndNoteBibliographyTitle"/>
    <w:autoRedefine/>
    <w:qFormat/>
    <w:rPr>
      <w:rFonts w:ascii="Calibri" w:eastAsia="等线" w:hAnsi="Calibri" w:cs="Calibri"/>
      <w:kern w:val="2"/>
      <w:szCs w:val="22"/>
    </w:rPr>
  </w:style>
  <w:style w:type="paragraph" w:customStyle="1" w:styleId="EndNoteBibliography">
    <w:name w:val="EndNote Bibliography"/>
    <w:basedOn w:val="a1"/>
    <w:link w:val="EndNoteBibliography0"/>
    <w:qFormat/>
    <w:rPr>
      <w:rFonts w:ascii="Calibri" w:eastAsia="等线" w:hAnsi="Calibri" w:cs="Calibri"/>
      <w:sz w:val="20"/>
    </w:rPr>
  </w:style>
  <w:style w:type="character" w:customStyle="1" w:styleId="EndNoteBibliography0">
    <w:name w:val="EndNote Bibliography 字符"/>
    <w:basedOn w:val="a2"/>
    <w:link w:val="EndNoteBibliography"/>
    <w:qFormat/>
    <w:rPr>
      <w:rFonts w:ascii="Calibri" w:eastAsia="等线" w:hAnsi="Calibri" w:cs="Calibri"/>
      <w:kern w:val="2"/>
      <w:szCs w:val="22"/>
    </w:rPr>
  </w:style>
  <w:style w:type="character" w:customStyle="1" w:styleId="32">
    <w:name w:val="标题 3 字符"/>
    <w:basedOn w:val="a2"/>
    <w:link w:val="31"/>
    <w:autoRedefine/>
    <w:qFormat/>
    <w:rPr>
      <w:rFonts w:ascii="Garamond" w:hAnsi="Garamond"/>
      <w:b/>
      <w:bCs/>
      <w:sz w:val="28"/>
      <w:szCs w:val="28"/>
    </w:rPr>
  </w:style>
  <w:style w:type="character" w:customStyle="1" w:styleId="14">
    <w:name w:val="未处理的提及1"/>
    <w:basedOn w:val="a2"/>
    <w:autoRedefine/>
    <w:uiPriority w:val="99"/>
    <w:semiHidden/>
    <w:unhideWhenUsed/>
    <w:qFormat/>
    <w:rPr>
      <w:color w:val="605E5C"/>
      <w:shd w:val="clear" w:color="auto" w:fill="E1DFDD"/>
    </w:rPr>
  </w:style>
  <w:style w:type="paragraph" w:customStyle="1" w:styleId="tgt">
    <w:name w:val="tgt"/>
    <w:basedOn w:val="a1"/>
    <w:qFormat/>
    <w:pPr>
      <w:widowControl/>
      <w:spacing w:before="100" w:beforeAutospacing="1" w:after="100" w:afterAutospacing="1"/>
      <w:jc w:val="left"/>
    </w:pPr>
    <w:rPr>
      <w:rFonts w:ascii="宋体" w:eastAsia="宋体" w:hAnsi="宋体" w:cs="宋体"/>
      <w:kern w:val="0"/>
      <w:sz w:val="24"/>
      <w:szCs w:val="24"/>
    </w:rPr>
  </w:style>
  <w:style w:type="character" w:customStyle="1" w:styleId="tgt1">
    <w:name w:val="tgt1"/>
    <w:basedOn w:val="a2"/>
    <w:autoRedefine/>
    <w:qFormat/>
  </w:style>
  <w:style w:type="character" w:customStyle="1" w:styleId="src">
    <w:name w:val="src"/>
    <w:basedOn w:val="a2"/>
    <w:autoRedefine/>
    <w:qFormat/>
  </w:style>
  <w:style w:type="character" w:customStyle="1" w:styleId="a9">
    <w:name w:val="批注文字 字符"/>
    <w:basedOn w:val="a2"/>
    <w:link w:val="a8"/>
    <w:uiPriority w:val="99"/>
    <w:qFormat/>
    <w:rPr>
      <w:rFonts w:ascii="Garamond" w:hAnsi="Garamond"/>
      <w:kern w:val="2"/>
      <w:sz w:val="21"/>
      <w:szCs w:val="21"/>
    </w:rPr>
  </w:style>
  <w:style w:type="character" w:customStyle="1" w:styleId="afe">
    <w:name w:val="批注主题 字符"/>
    <w:basedOn w:val="a9"/>
    <w:link w:val="afd"/>
    <w:autoRedefine/>
    <w:qFormat/>
    <w:rPr>
      <w:rFonts w:ascii="Garamond" w:hAnsi="Garamond"/>
      <w:b/>
      <w:bCs/>
      <w:kern w:val="2"/>
      <w:sz w:val="21"/>
      <w:szCs w:val="21"/>
    </w:rPr>
  </w:style>
  <w:style w:type="table" w:customStyle="1" w:styleId="210">
    <w:name w:val="无格式表格 21"/>
    <w:basedOn w:val="a3"/>
    <w:autoRedefine/>
    <w:uiPriority w:val="42"/>
    <w:qFormat/>
    <w:rPr>
      <w:rFonts w:ascii="Garamond" w:hAnsi="Garamond"/>
    </w:rPr>
    <w:tblPr>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15">
    <w:name w:val="列表段落1"/>
    <w:basedOn w:val="a1"/>
    <w:qFormat/>
    <w:pPr>
      <w:ind w:firstLineChars="200" w:firstLine="420"/>
    </w:pPr>
    <w:rPr>
      <w:rFonts w:ascii="Calibri" w:eastAsia="宋体" w:hAnsi="Calibri" w:cs="Times New Roman"/>
      <w:szCs w:val="21"/>
    </w:rPr>
  </w:style>
  <w:style w:type="character" w:customStyle="1" w:styleId="110">
    <w:name w:val="未处理的提及11"/>
    <w:basedOn w:val="a2"/>
    <w:autoRedefine/>
    <w:uiPriority w:val="99"/>
    <w:semiHidden/>
    <w:unhideWhenUsed/>
    <w:qFormat/>
    <w:rPr>
      <w:color w:val="605E5C"/>
      <w:shd w:val="clear" w:color="auto" w:fill="E1DFDD"/>
    </w:rPr>
  </w:style>
  <w:style w:type="character" w:customStyle="1" w:styleId="2a">
    <w:name w:val="未处理的提及2"/>
    <w:basedOn w:val="a2"/>
    <w:uiPriority w:val="99"/>
    <w:semiHidden/>
    <w:unhideWhenUsed/>
    <w:qFormat/>
    <w:rPr>
      <w:color w:val="605E5C"/>
      <w:shd w:val="clear" w:color="auto" w:fill="E1DFDD"/>
    </w:rPr>
  </w:style>
  <w:style w:type="character" w:customStyle="1" w:styleId="38">
    <w:name w:val="未处理的提及3"/>
    <w:basedOn w:val="a2"/>
    <w:uiPriority w:val="99"/>
    <w:semiHidden/>
    <w:unhideWhenUsed/>
    <w:qFormat/>
    <w:rPr>
      <w:color w:val="605E5C"/>
      <w:shd w:val="clear" w:color="auto" w:fill="E1DFDD"/>
    </w:rPr>
  </w:style>
  <w:style w:type="character" w:customStyle="1" w:styleId="41">
    <w:name w:val="未处理的提及4"/>
    <w:basedOn w:val="a2"/>
    <w:uiPriority w:val="99"/>
    <w:semiHidden/>
    <w:unhideWhenUsed/>
    <w:qFormat/>
    <w:rPr>
      <w:color w:val="605E5C"/>
      <w:shd w:val="clear" w:color="auto" w:fill="E1DFDD"/>
    </w:rPr>
  </w:style>
  <w:style w:type="character" w:customStyle="1" w:styleId="51">
    <w:name w:val="未处理的提及5"/>
    <w:basedOn w:val="a2"/>
    <w:autoRedefine/>
    <w:uiPriority w:val="99"/>
    <w:semiHidden/>
    <w:unhideWhenUsed/>
    <w:qFormat/>
    <w:rPr>
      <w:color w:val="605E5C"/>
      <w:shd w:val="clear" w:color="auto" w:fill="E1DFDD"/>
    </w:rPr>
  </w:style>
  <w:style w:type="paragraph" w:customStyle="1" w:styleId="16">
    <w:name w:val="正文1"/>
    <w:qFormat/>
    <w:pPr>
      <w:jc w:val="both"/>
    </w:pPr>
    <w:rPr>
      <w:rFonts w:ascii="Garamond" w:hAnsi="Garamond"/>
      <w:kern w:val="2"/>
      <w:sz w:val="21"/>
      <w:szCs w:val="21"/>
    </w:rPr>
  </w:style>
  <w:style w:type="character" w:customStyle="1" w:styleId="high-light-bg4">
    <w:name w:val="high-light-bg4"/>
    <w:basedOn w:val="a2"/>
    <w:autoRedefine/>
    <w:qFormat/>
  </w:style>
  <w:style w:type="character" w:customStyle="1" w:styleId="61">
    <w:name w:val="未处理的提及6"/>
    <w:basedOn w:val="a2"/>
    <w:autoRedefine/>
    <w:uiPriority w:val="99"/>
    <w:semiHidden/>
    <w:unhideWhenUsed/>
    <w:qFormat/>
    <w:rPr>
      <w:color w:val="605E5C"/>
      <w:shd w:val="clear" w:color="auto" w:fill="E1DFDD"/>
    </w:rPr>
  </w:style>
  <w:style w:type="paragraph" w:customStyle="1" w:styleId="colortext1">
    <w:name w:val="color_text_1"/>
    <w:basedOn w:val="a1"/>
    <w:autoRedefine/>
    <w:qFormat/>
    <w:pPr>
      <w:widowControl/>
      <w:spacing w:before="100" w:beforeAutospacing="1" w:after="100" w:afterAutospacing="1"/>
      <w:jc w:val="left"/>
    </w:pPr>
    <w:rPr>
      <w:rFonts w:ascii="宋体" w:eastAsia="宋体" w:hAnsi="宋体" w:cs="宋体"/>
      <w:kern w:val="0"/>
      <w:sz w:val="24"/>
      <w:szCs w:val="24"/>
    </w:rPr>
  </w:style>
  <w:style w:type="paragraph" w:customStyle="1" w:styleId="17">
    <w:name w:val="修订1"/>
    <w:autoRedefine/>
    <w:hidden/>
    <w:uiPriority w:val="99"/>
    <w:unhideWhenUsed/>
    <w:qFormat/>
    <w:rPr>
      <w:rFonts w:asciiTheme="minorHAnsi" w:eastAsiaTheme="minorEastAsia" w:hAnsiTheme="minorHAnsi" w:cstheme="minorBidi"/>
      <w:kern w:val="2"/>
      <w:sz w:val="21"/>
      <w:szCs w:val="22"/>
    </w:rPr>
  </w:style>
  <w:style w:type="paragraph" w:customStyle="1" w:styleId="2b">
    <w:name w:val="修订2"/>
    <w:hidden/>
    <w:uiPriority w:val="99"/>
    <w:unhideWhenUsed/>
    <w:qFormat/>
    <w:rPr>
      <w:rFonts w:asciiTheme="minorHAnsi" w:eastAsiaTheme="minorEastAsia" w:hAnsiTheme="minorHAnsi" w:cstheme="minorBidi"/>
      <w:kern w:val="2"/>
      <w:sz w:val="21"/>
      <w:szCs w:val="22"/>
    </w:rPr>
  </w:style>
  <w:style w:type="character" w:customStyle="1" w:styleId="71">
    <w:name w:val="未处理的提及7"/>
    <w:basedOn w:val="a2"/>
    <w:uiPriority w:val="99"/>
    <w:semiHidden/>
    <w:unhideWhenUsed/>
    <w:qFormat/>
    <w:rPr>
      <w:color w:val="605E5C"/>
      <w:shd w:val="clear" w:color="auto" w:fill="E1DFDD"/>
    </w:rPr>
  </w:style>
  <w:style w:type="paragraph" w:customStyle="1" w:styleId="39">
    <w:name w:val="修订3"/>
    <w:hidden/>
    <w:uiPriority w:val="99"/>
    <w:unhideWhenUsed/>
    <w:qFormat/>
    <w:rPr>
      <w:rFonts w:asciiTheme="minorHAnsi" w:eastAsiaTheme="minorEastAsia" w:hAnsiTheme="minorHAnsi" w:cstheme="minorBidi"/>
      <w:kern w:val="2"/>
      <w:sz w:val="21"/>
      <w:szCs w:val="22"/>
    </w:rPr>
  </w:style>
  <w:style w:type="paragraph" w:customStyle="1" w:styleId="42">
    <w:name w:val="修订4"/>
    <w:hidden/>
    <w:uiPriority w:val="99"/>
    <w:unhideWhenUsed/>
    <w:qFormat/>
    <w:rPr>
      <w:rFonts w:asciiTheme="minorHAnsi" w:eastAsiaTheme="minorEastAsia" w:hAnsiTheme="minorHAnsi" w:cstheme="minorBidi"/>
      <w:kern w:val="2"/>
      <w:sz w:val="21"/>
      <w:szCs w:val="22"/>
    </w:rPr>
  </w:style>
  <w:style w:type="paragraph" w:customStyle="1" w:styleId="52">
    <w:name w:val="修订5"/>
    <w:hidden/>
    <w:uiPriority w:val="99"/>
    <w:unhideWhenUsed/>
    <w:qFormat/>
    <w:rPr>
      <w:rFonts w:asciiTheme="minorHAnsi" w:eastAsiaTheme="minorEastAsia" w:hAnsiTheme="minorHAnsi" w:cstheme="minorBidi"/>
      <w:kern w:val="2"/>
      <w:sz w:val="21"/>
      <w:szCs w:val="22"/>
    </w:rPr>
  </w:style>
  <w:style w:type="character" w:customStyle="1" w:styleId="81">
    <w:name w:val="未处理的提及8"/>
    <w:basedOn w:val="a2"/>
    <w:uiPriority w:val="99"/>
    <w:semiHidden/>
    <w:unhideWhenUsed/>
    <w:qFormat/>
    <w:rPr>
      <w:color w:val="605E5C"/>
      <w:shd w:val="clear" w:color="auto" w:fill="E1DFDD"/>
    </w:rPr>
  </w:style>
  <w:style w:type="table" w:customStyle="1" w:styleId="TableGrid1">
    <w:name w:val="Table Grid1"/>
    <w:basedOn w:val="a3"/>
    <w:uiPriority w:val="39"/>
    <w:qFormat/>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a3"/>
    <w:uiPriority w:val="39"/>
    <w:qFormat/>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a3"/>
    <w:uiPriority w:val="39"/>
    <w:qFormat/>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40">
    <w:name w:val="标题 4 字符"/>
    <w:basedOn w:val="a2"/>
    <w:link w:val="4"/>
    <w:qFormat/>
    <w:rPr>
      <w:rFonts w:asciiTheme="majorHAnsi" w:eastAsiaTheme="majorEastAsia" w:hAnsiTheme="majorHAnsi" w:cstheme="majorBidi"/>
      <w:b/>
      <w:bCs/>
      <w:kern w:val="2"/>
      <w:sz w:val="28"/>
      <w:szCs w:val="28"/>
    </w:rPr>
  </w:style>
  <w:style w:type="character" w:customStyle="1" w:styleId="ae">
    <w:name w:val="日期 字符"/>
    <w:basedOn w:val="a2"/>
    <w:link w:val="ad"/>
    <w:qFormat/>
    <w:rPr>
      <w:rFonts w:eastAsiaTheme="minorEastAsia" w:cstheme="minorBidi"/>
      <w:kern w:val="2"/>
      <w:sz w:val="21"/>
      <w:szCs w:val="24"/>
    </w:rPr>
  </w:style>
  <w:style w:type="character" w:customStyle="1" w:styleId="af0">
    <w:name w:val="批注框文本 字符"/>
    <w:basedOn w:val="a2"/>
    <w:link w:val="af"/>
    <w:uiPriority w:val="99"/>
    <w:qFormat/>
    <w:rPr>
      <w:rFonts w:eastAsiaTheme="minorEastAsia" w:cstheme="minorBidi"/>
      <w:kern w:val="2"/>
      <w:sz w:val="18"/>
      <w:szCs w:val="18"/>
    </w:rPr>
  </w:style>
  <w:style w:type="character" w:customStyle="1" w:styleId="tlid-translation">
    <w:name w:val="tlid-translation"/>
    <w:basedOn w:val="a2"/>
    <w:qFormat/>
  </w:style>
  <w:style w:type="character" w:customStyle="1" w:styleId="alt-edited">
    <w:name w:val="alt-edited"/>
    <w:basedOn w:val="a2"/>
    <w:qFormat/>
  </w:style>
  <w:style w:type="paragraph" w:customStyle="1" w:styleId="2c">
    <w:name w:val="正文2"/>
    <w:qFormat/>
    <w:pPr>
      <w:jc w:val="both"/>
    </w:pPr>
    <w:rPr>
      <w:rFonts w:ascii="等线" w:hAnsi="等线" w:cs="宋体"/>
      <w:kern w:val="2"/>
      <w:sz w:val="21"/>
      <w:szCs w:val="21"/>
    </w:rPr>
  </w:style>
  <w:style w:type="paragraph" w:customStyle="1" w:styleId="62">
    <w:name w:val="修订6"/>
    <w:hidden/>
    <w:uiPriority w:val="99"/>
    <w:semiHidden/>
    <w:qFormat/>
    <w:rPr>
      <w:rFonts w:asciiTheme="minorHAnsi" w:eastAsiaTheme="minorEastAsia" w:hAnsiTheme="minorHAnsi" w:cstheme="minorBidi"/>
      <w:kern w:val="2"/>
      <w:sz w:val="21"/>
      <w:szCs w:val="24"/>
    </w:rPr>
  </w:style>
  <w:style w:type="character" w:customStyle="1" w:styleId="91">
    <w:name w:val="未处理的提及9"/>
    <w:basedOn w:val="a2"/>
    <w:uiPriority w:val="99"/>
    <w:semiHidden/>
    <w:unhideWhenUsed/>
    <w:qFormat/>
    <w:rPr>
      <w:color w:val="605E5C"/>
      <w:shd w:val="clear" w:color="auto" w:fill="E1DFDD"/>
    </w:rPr>
  </w:style>
  <w:style w:type="character" w:customStyle="1" w:styleId="MTEquationSection">
    <w:name w:val="MTEquationSection"/>
    <w:basedOn w:val="a2"/>
    <w:qFormat/>
    <w:rPr>
      <w:rFonts w:asciiTheme="majorBidi" w:hAnsiTheme="majorBidi" w:cstheme="majorBidi"/>
      <w:b/>
      <w:vanish/>
      <w:color w:val="FF0000"/>
      <w:sz w:val="32"/>
      <w:szCs w:val="32"/>
    </w:rPr>
  </w:style>
  <w:style w:type="paragraph" w:customStyle="1" w:styleId="MTDisplayEquation">
    <w:name w:val="MTDisplayEquation"/>
    <w:basedOn w:val="a1"/>
    <w:next w:val="a1"/>
    <w:link w:val="MTDisplayEquation0"/>
    <w:qFormat/>
    <w:pPr>
      <w:widowControl/>
      <w:tabs>
        <w:tab w:val="center" w:pos="4160"/>
        <w:tab w:val="right" w:pos="8300"/>
      </w:tabs>
      <w:ind w:firstLine="360"/>
    </w:pPr>
    <w:rPr>
      <w:rFonts w:ascii="Times New Roman" w:eastAsia="宋体" w:hAnsi="Times New Roman" w:cs="Times New Roman"/>
      <w:szCs w:val="21"/>
    </w:rPr>
  </w:style>
  <w:style w:type="character" w:customStyle="1" w:styleId="MTDisplayEquation0">
    <w:name w:val="MTDisplayEquation 字符"/>
    <w:basedOn w:val="a2"/>
    <w:link w:val="MTDisplayEquation"/>
    <w:qFormat/>
    <w:rPr>
      <w:kern w:val="2"/>
      <w:sz w:val="21"/>
      <w:szCs w:val="21"/>
    </w:rPr>
  </w:style>
  <w:style w:type="paragraph" w:customStyle="1" w:styleId="DisplayEquationAurora">
    <w:name w:val="Display Equation (Aurora)"/>
    <w:basedOn w:val="a1"/>
    <w:link w:val="DisplayEquationAurora0"/>
    <w:qFormat/>
    <w:pPr>
      <w:widowControl/>
      <w:tabs>
        <w:tab w:val="center" w:pos="4153"/>
        <w:tab w:val="right" w:pos="8306"/>
      </w:tabs>
    </w:pPr>
    <w:rPr>
      <w:rFonts w:asciiTheme="majorBidi" w:hAnsiTheme="majorBidi" w:cstheme="majorBidi"/>
      <w:bCs/>
      <w:szCs w:val="21"/>
    </w:rPr>
  </w:style>
  <w:style w:type="character" w:customStyle="1" w:styleId="DisplayEquationAurora0">
    <w:name w:val="Display Equation (Aurora) 字符"/>
    <w:basedOn w:val="a2"/>
    <w:link w:val="DisplayEquationAurora"/>
    <w:qFormat/>
    <w:rPr>
      <w:rFonts w:asciiTheme="majorBidi" w:eastAsiaTheme="minorEastAsia" w:hAnsiTheme="majorBidi" w:cstheme="majorBidi"/>
      <w:bCs/>
      <w:kern w:val="2"/>
      <w:sz w:val="21"/>
      <w:szCs w:val="21"/>
    </w:rPr>
  </w:style>
  <w:style w:type="paragraph" w:customStyle="1" w:styleId="tableNumber">
    <w:name w:val="tableNumber"/>
    <w:basedOn w:val="a1"/>
    <w:qFormat/>
    <w:pPr>
      <w:widowControl/>
      <w:jc w:val="right"/>
      <w:textAlignment w:val="center"/>
    </w:pPr>
    <w:rPr>
      <w:rFonts w:ascii="等线" w:eastAsia="Times New Roman" w:hAnsi="等线"/>
      <w:bCs/>
      <w:color w:val="000000"/>
      <w:sz w:val="13"/>
    </w:rPr>
  </w:style>
  <w:style w:type="paragraph" w:customStyle="1" w:styleId="tableBold">
    <w:name w:val="tableBold"/>
    <w:basedOn w:val="a1"/>
    <w:qFormat/>
    <w:pPr>
      <w:widowControl/>
      <w:jc w:val="right"/>
      <w:textAlignment w:val="center"/>
    </w:pPr>
    <w:rPr>
      <w:rFonts w:ascii="等线" w:eastAsia="Times New Roman" w:hAnsi="等线"/>
      <w:b/>
      <w:color w:val="000000"/>
      <w:sz w:val="13"/>
    </w:rPr>
  </w:style>
  <w:style w:type="table" w:customStyle="1" w:styleId="formulation">
    <w:name w:val="formulation"/>
    <w:basedOn w:val="a3"/>
    <w:uiPriority w:val="99"/>
    <w:qFormat/>
    <w:rPr>
      <w:rFonts w:eastAsia="Cambria Math"/>
      <w:i/>
    </w:rPr>
    <w:tblPr/>
  </w:style>
  <w:style w:type="table" w:customStyle="1" w:styleId="18">
    <w:name w:val="样式1"/>
    <w:basedOn w:val="a3"/>
    <w:uiPriority w:val="99"/>
    <w:qFormat/>
    <w:rPr>
      <w:rFonts w:ascii="Cambria Math" w:eastAsia="Cambria Math" w:hAnsi="Cambria Math"/>
      <w:i/>
    </w:rPr>
    <w:tblPr>
      <w:jc w:val="center"/>
    </w:tblPr>
    <w:trPr>
      <w:jc w:val="center"/>
    </w:trPr>
    <w:tcPr>
      <w:vAlign w:val="center"/>
    </w:tcPr>
  </w:style>
  <w:style w:type="paragraph" w:customStyle="1" w:styleId="msonormal0">
    <w:name w:val="msonormal"/>
    <w:basedOn w:val="a1"/>
    <w:qFormat/>
    <w:pPr>
      <w:widowControl/>
      <w:spacing w:before="100" w:beforeAutospacing="1" w:after="100" w:afterAutospacing="1"/>
      <w:jc w:val="left"/>
    </w:pPr>
    <w:rPr>
      <w:rFonts w:ascii="宋体" w:eastAsia="宋体" w:hAnsi="宋体" w:cs="宋体"/>
      <w:kern w:val="0"/>
      <w:sz w:val="24"/>
      <w:szCs w:val="24"/>
    </w:rPr>
  </w:style>
  <w:style w:type="table" w:customStyle="1" w:styleId="19">
    <w:name w:val="网格型1"/>
    <w:basedOn w:val="a3"/>
    <w:uiPriority w:val="99"/>
    <w:qFormat/>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d">
    <w:name w:val="网格型2"/>
    <w:basedOn w:val="a3"/>
    <w:uiPriority w:val="39"/>
    <w:qFormat/>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a">
    <w:name w:val="网格型3"/>
    <w:basedOn w:val="a3"/>
    <w:uiPriority w:val="39"/>
    <w:qFormat/>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3">
    <w:name w:val="网格型4"/>
    <w:basedOn w:val="a3"/>
    <w:uiPriority w:val="39"/>
    <w:qFormat/>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
    <w:name w:val="网格型5"/>
    <w:basedOn w:val="a3"/>
    <w:uiPriority w:val="39"/>
    <w:qFormat/>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katex-mathml">
    <w:name w:val="katex-mathml"/>
    <w:basedOn w:val="a2"/>
    <w:qFormat/>
  </w:style>
  <w:style w:type="character" w:customStyle="1" w:styleId="mord">
    <w:name w:val="mord"/>
    <w:basedOn w:val="a2"/>
    <w:qFormat/>
  </w:style>
  <w:style w:type="character" w:customStyle="1" w:styleId="vlist-s">
    <w:name w:val="vlist-s"/>
    <w:basedOn w:val="a2"/>
    <w:qFormat/>
  </w:style>
  <w:style w:type="character" w:customStyle="1" w:styleId="mopen">
    <w:name w:val="mopen"/>
    <w:basedOn w:val="a2"/>
    <w:qFormat/>
  </w:style>
  <w:style w:type="character" w:customStyle="1" w:styleId="mpunct">
    <w:name w:val="mpunct"/>
    <w:basedOn w:val="a2"/>
    <w:qFormat/>
  </w:style>
  <w:style w:type="character" w:customStyle="1" w:styleId="mclose">
    <w:name w:val="mclose"/>
    <w:basedOn w:val="a2"/>
    <w:qFormat/>
  </w:style>
  <w:style w:type="paragraph" w:customStyle="1" w:styleId="A1-ZXS-">
    <w:name w:val="A1-ZXS-正文"/>
    <w:basedOn w:val="a1"/>
    <w:link w:val="A1-ZXS-0"/>
    <w:autoRedefine/>
    <w:qFormat/>
    <w:pPr>
      <w:jc w:val="center"/>
    </w:pPr>
  </w:style>
  <w:style w:type="paragraph" w:customStyle="1" w:styleId="72">
    <w:name w:val="修订7"/>
    <w:hidden/>
    <w:uiPriority w:val="99"/>
    <w:unhideWhenUsed/>
    <w:qFormat/>
    <w:rPr>
      <w:rFonts w:asciiTheme="minorHAnsi" w:eastAsiaTheme="minorEastAsia" w:hAnsiTheme="minorHAnsi" w:cstheme="minorBidi"/>
      <w:kern w:val="2"/>
      <w:sz w:val="21"/>
      <w:szCs w:val="22"/>
    </w:rPr>
  </w:style>
  <w:style w:type="paragraph" w:customStyle="1" w:styleId="82">
    <w:name w:val="修订8"/>
    <w:hidden/>
    <w:uiPriority w:val="99"/>
    <w:unhideWhenUsed/>
    <w:qFormat/>
    <w:rPr>
      <w:rFonts w:asciiTheme="minorHAnsi" w:eastAsiaTheme="minorEastAsia" w:hAnsiTheme="minorHAnsi" w:cstheme="minorBidi"/>
      <w:kern w:val="2"/>
      <w:sz w:val="21"/>
      <w:szCs w:val="22"/>
    </w:rPr>
  </w:style>
  <w:style w:type="character" w:customStyle="1" w:styleId="100">
    <w:name w:val="未处理的提及10"/>
    <w:basedOn w:val="a2"/>
    <w:uiPriority w:val="99"/>
    <w:semiHidden/>
    <w:unhideWhenUsed/>
    <w:qFormat/>
    <w:rPr>
      <w:color w:val="605E5C"/>
      <w:shd w:val="clear" w:color="auto" w:fill="E1DFDD"/>
    </w:rPr>
  </w:style>
  <w:style w:type="character" w:customStyle="1" w:styleId="120">
    <w:name w:val="未处理的提及12"/>
    <w:basedOn w:val="a2"/>
    <w:uiPriority w:val="99"/>
    <w:semiHidden/>
    <w:unhideWhenUsed/>
    <w:rPr>
      <w:color w:val="605E5C"/>
      <w:shd w:val="clear" w:color="auto" w:fill="E1DFDD"/>
    </w:rPr>
  </w:style>
  <w:style w:type="paragraph" w:customStyle="1" w:styleId="FirstParagraph">
    <w:name w:val="First Paragraph"/>
    <w:basedOn w:val="aa"/>
    <w:next w:val="aa"/>
    <w:qFormat/>
    <w:pPr>
      <w:widowControl/>
      <w:spacing w:before="180" w:after="180"/>
      <w:jc w:val="left"/>
    </w:pPr>
    <w:rPr>
      <w:kern w:val="0"/>
      <w:sz w:val="24"/>
      <w:szCs w:val="24"/>
      <w:lang w:eastAsia="en-US"/>
    </w:rPr>
  </w:style>
  <w:style w:type="character" w:customStyle="1" w:styleId="ab">
    <w:name w:val="正文文本 字符"/>
    <w:basedOn w:val="a2"/>
    <w:link w:val="aa"/>
    <w:uiPriority w:val="99"/>
    <w:qFormat/>
    <w:rPr>
      <w:rFonts w:asciiTheme="minorHAnsi" w:eastAsiaTheme="minorEastAsia" w:hAnsiTheme="minorHAnsi" w:cstheme="minorBidi"/>
      <w:kern w:val="2"/>
      <w:sz w:val="21"/>
      <w:szCs w:val="22"/>
    </w:rPr>
  </w:style>
  <w:style w:type="character" w:customStyle="1" w:styleId="50">
    <w:name w:val="标题 5 字符"/>
    <w:basedOn w:val="a2"/>
    <w:link w:val="5"/>
    <w:uiPriority w:val="9"/>
    <w:semiHidden/>
    <w:qFormat/>
    <w:rPr>
      <w:rFonts w:asciiTheme="majorHAnsi" w:eastAsiaTheme="majorEastAsia" w:hAnsiTheme="majorHAnsi" w:cstheme="majorBidi"/>
      <w:color w:val="1F4E79" w:themeColor="accent1" w:themeShade="80"/>
      <w:sz w:val="22"/>
      <w:szCs w:val="22"/>
      <w:lang w:eastAsia="en-US"/>
    </w:rPr>
  </w:style>
  <w:style w:type="character" w:customStyle="1" w:styleId="60">
    <w:name w:val="标题 6 字符"/>
    <w:basedOn w:val="a2"/>
    <w:link w:val="6"/>
    <w:uiPriority w:val="9"/>
    <w:semiHidden/>
    <w:qFormat/>
    <w:rPr>
      <w:rFonts w:asciiTheme="majorHAnsi" w:eastAsiaTheme="majorEastAsia" w:hAnsiTheme="majorHAnsi" w:cstheme="majorBidi"/>
      <w:i/>
      <w:iCs/>
      <w:color w:val="1F4E79" w:themeColor="accent1" w:themeShade="80"/>
      <w:sz w:val="22"/>
      <w:szCs w:val="22"/>
      <w:lang w:eastAsia="en-US"/>
    </w:rPr>
  </w:style>
  <w:style w:type="character" w:customStyle="1" w:styleId="70">
    <w:name w:val="标题 7 字符"/>
    <w:basedOn w:val="a2"/>
    <w:link w:val="7"/>
    <w:uiPriority w:val="9"/>
    <w:semiHidden/>
    <w:qFormat/>
    <w:rPr>
      <w:rFonts w:asciiTheme="majorHAnsi" w:eastAsiaTheme="majorEastAsia" w:hAnsiTheme="majorHAnsi" w:cstheme="majorBidi"/>
      <w:i/>
      <w:iCs/>
      <w:color w:val="404040" w:themeColor="text1" w:themeTint="BF"/>
      <w:sz w:val="22"/>
      <w:szCs w:val="22"/>
      <w:lang w:eastAsia="en-US"/>
    </w:rPr>
  </w:style>
  <w:style w:type="character" w:customStyle="1" w:styleId="80">
    <w:name w:val="标题 8 字符"/>
    <w:basedOn w:val="a2"/>
    <w:link w:val="8"/>
    <w:uiPriority w:val="9"/>
    <w:semiHidden/>
    <w:qFormat/>
    <w:rPr>
      <w:rFonts w:asciiTheme="majorHAnsi" w:eastAsiaTheme="majorEastAsia" w:hAnsiTheme="majorHAnsi" w:cstheme="majorBidi"/>
      <w:color w:val="5B9BD5" w:themeColor="accent1"/>
      <w:lang w:eastAsia="en-US"/>
    </w:rPr>
  </w:style>
  <w:style w:type="character" w:customStyle="1" w:styleId="90">
    <w:name w:val="标题 9 字符"/>
    <w:basedOn w:val="a2"/>
    <w:link w:val="9"/>
    <w:uiPriority w:val="9"/>
    <w:semiHidden/>
    <w:qFormat/>
    <w:rPr>
      <w:rFonts w:asciiTheme="majorHAnsi" w:eastAsiaTheme="majorEastAsia" w:hAnsiTheme="majorHAnsi" w:cstheme="majorBidi"/>
      <w:i/>
      <w:iCs/>
      <w:color w:val="404040" w:themeColor="text1" w:themeTint="BF"/>
      <w:lang w:eastAsia="en-US"/>
    </w:rPr>
  </w:style>
  <w:style w:type="character" w:customStyle="1" w:styleId="a6">
    <w:name w:val="宏文本 字符"/>
    <w:basedOn w:val="a2"/>
    <w:link w:val="a5"/>
    <w:uiPriority w:val="99"/>
    <w:qFormat/>
    <w:rPr>
      <w:rFonts w:ascii="Courier" w:eastAsiaTheme="minorEastAsia" w:hAnsi="Courier" w:cstheme="minorBidi"/>
      <w:lang w:eastAsia="en-US"/>
    </w:rPr>
  </w:style>
  <w:style w:type="character" w:customStyle="1" w:styleId="35">
    <w:name w:val="正文文本 3 字符"/>
    <w:basedOn w:val="a2"/>
    <w:link w:val="34"/>
    <w:uiPriority w:val="99"/>
    <w:qFormat/>
    <w:rPr>
      <w:rFonts w:asciiTheme="minorHAnsi" w:eastAsiaTheme="minorEastAsia" w:hAnsiTheme="minorHAnsi" w:cstheme="minorBidi"/>
      <w:sz w:val="16"/>
      <w:szCs w:val="16"/>
      <w:lang w:eastAsia="en-US"/>
    </w:rPr>
  </w:style>
  <w:style w:type="character" w:customStyle="1" w:styleId="af6">
    <w:name w:val="副标题 字符"/>
    <w:basedOn w:val="a2"/>
    <w:link w:val="af5"/>
    <w:uiPriority w:val="11"/>
    <w:qFormat/>
    <w:rPr>
      <w:rFonts w:asciiTheme="majorHAnsi" w:eastAsiaTheme="majorEastAsia" w:hAnsiTheme="majorHAnsi" w:cstheme="majorBidi"/>
      <w:i/>
      <w:iCs/>
      <w:color w:val="5B9BD5" w:themeColor="accent1"/>
      <w:spacing w:val="15"/>
      <w:sz w:val="24"/>
      <w:szCs w:val="24"/>
      <w:lang w:eastAsia="en-US"/>
    </w:rPr>
  </w:style>
  <w:style w:type="character" w:customStyle="1" w:styleId="af9">
    <w:name w:val="脚注文本 字符"/>
    <w:basedOn w:val="a2"/>
    <w:link w:val="af8"/>
    <w:uiPriority w:val="99"/>
    <w:qFormat/>
    <w:rPr>
      <w:rFonts w:asciiTheme="minorHAnsi" w:eastAsiaTheme="minorEastAsia" w:hAnsiTheme="minorHAnsi" w:cstheme="minorBidi"/>
      <w:kern w:val="2"/>
    </w:rPr>
  </w:style>
  <w:style w:type="character" w:customStyle="1" w:styleId="25">
    <w:name w:val="正文文本 2 字符"/>
    <w:basedOn w:val="a2"/>
    <w:link w:val="24"/>
    <w:uiPriority w:val="99"/>
    <w:qFormat/>
    <w:rPr>
      <w:rFonts w:asciiTheme="minorHAnsi" w:eastAsiaTheme="minorEastAsia" w:hAnsiTheme="minorHAnsi" w:cstheme="minorBidi"/>
      <w:sz w:val="22"/>
      <w:szCs w:val="22"/>
      <w:lang w:eastAsia="en-US"/>
    </w:rPr>
  </w:style>
  <w:style w:type="character" w:customStyle="1" w:styleId="afc">
    <w:name w:val="标题 字符"/>
    <w:basedOn w:val="a2"/>
    <w:link w:val="afb"/>
    <w:uiPriority w:val="10"/>
    <w:qFormat/>
    <w:rPr>
      <w:rFonts w:asciiTheme="majorHAnsi" w:hAnsiTheme="majorHAnsi" w:cstheme="majorBidi"/>
      <w:b/>
      <w:bCs/>
      <w:kern w:val="2"/>
      <w:sz w:val="32"/>
      <w:szCs w:val="32"/>
    </w:rPr>
  </w:style>
  <w:style w:type="character" w:customStyle="1" w:styleId="font11">
    <w:name w:val="font11"/>
    <w:basedOn w:val="a2"/>
    <w:autoRedefine/>
    <w:qFormat/>
    <w:rPr>
      <w:rFonts w:ascii="宋体" w:eastAsia="宋体" w:hAnsi="宋体" w:cs="宋体" w:hint="eastAsia"/>
      <w:color w:val="000000"/>
      <w:sz w:val="22"/>
      <w:szCs w:val="22"/>
      <w:u w:val="none"/>
    </w:rPr>
  </w:style>
  <w:style w:type="paragraph" w:customStyle="1" w:styleId="Default">
    <w:name w:val="Default"/>
    <w:autoRedefine/>
    <w:qFormat/>
    <w:pPr>
      <w:widowControl w:val="0"/>
      <w:autoSpaceDE w:val="0"/>
      <w:autoSpaceDN w:val="0"/>
      <w:adjustRightInd w:val="0"/>
    </w:pPr>
    <w:rPr>
      <w:rFonts w:ascii="Garamond" w:eastAsiaTheme="minorEastAsia" w:hAnsi="Garamond" w:cs="Garamond"/>
      <w:color w:val="000000"/>
      <w:sz w:val="24"/>
      <w:szCs w:val="24"/>
    </w:rPr>
  </w:style>
  <w:style w:type="character" w:customStyle="1" w:styleId="A1-ZXS-0">
    <w:name w:val="A1-ZXS-正文 字符"/>
    <w:basedOn w:val="a2"/>
    <w:link w:val="A1-ZXS-"/>
    <w:autoRedefine/>
    <w:qFormat/>
    <w:rPr>
      <w:rFonts w:asciiTheme="minorHAnsi" w:eastAsiaTheme="minorEastAsia" w:hAnsiTheme="minorHAnsi" w:cstheme="minorBidi"/>
      <w:kern w:val="2"/>
      <w:sz w:val="21"/>
      <w:szCs w:val="22"/>
    </w:rPr>
  </w:style>
  <w:style w:type="character" w:customStyle="1" w:styleId="211">
    <w:name w:val="标题 2 字符1"/>
    <w:basedOn w:val="a2"/>
    <w:autoRedefine/>
    <w:uiPriority w:val="9"/>
    <w:qFormat/>
    <w:rPr>
      <w:rFonts w:ascii="Calibri Light" w:eastAsia="宋体" w:hAnsi="Calibri Light" w:cs="Times New Roman"/>
      <w:b/>
      <w:bCs/>
      <w:kern w:val="0"/>
      <w:sz w:val="32"/>
      <w:szCs w:val="32"/>
    </w:rPr>
  </w:style>
  <w:style w:type="paragraph" w:customStyle="1" w:styleId="xl65">
    <w:name w:val="xl65"/>
    <w:basedOn w:val="a1"/>
    <w:autoRedefine/>
    <w:qFormat/>
    <w:pPr>
      <w:widowControl/>
      <w:spacing w:before="100" w:beforeAutospacing="1" w:after="100" w:afterAutospacing="1"/>
      <w:jc w:val="left"/>
    </w:pPr>
    <w:rPr>
      <w:rFonts w:ascii="宋体" w:eastAsia="宋体" w:hAnsi="宋体" w:cs="宋体"/>
      <w:b/>
      <w:bCs/>
      <w:kern w:val="0"/>
      <w:sz w:val="24"/>
      <w:szCs w:val="24"/>
    </w:rPr>
  </w:style>
  <w:style w:type="paragraph" w:customStyle="1" w:styleId="CM9">
    <w:name w:val="CM9"/>
    <w:basedOn w:val="a1"/>
    <w:next w:val="a1"/>
    <w:autoRedefine/>
    <w:qFormat/>
    <w:pPr>
      <w:autoSpaceDE w:val="0"/>
      <w:autoSpaceDN w:val="0"/>
      <w:adjustRightInd w:val="0"/>
      <w:jc w:val="left"/>
    </w:pPr>
    <w:rPr>
      <w:rFonts w:ascii="TATOM K+ Optima" w:eastAsia="TATOM K+ Optima" w:hAnsi="Times New Roman" w:cs="Times New Roman"/>
      <w:kern w:val="0"/>
      <w:sz w:val="24"/>
      <w:szCs w:val="24"/>
    </w:rPr>
  </w:style>
  <w:style w:type="character" w:customStyle="1" w:styleId="1a">
    <w:name w:val="正文文本 字符1"/>
    <w:autoRedefine/>
    <w:uiPriority w:val="99"/>
    <w:qFormat/>
    <w:rPr>
      <w:rFonts w:asciiTheme="minorHAnsi" w:hAnsiTheme="minorHAnsi" w:cstheme="minorBidi"/>
      <w:kern w:val="2"/>
      <w:sz w:val="21"/>
      <w:szCs w:val="24"/>
    </w:rPr>
  </w:style>
  <w:style w:type="paragraph" w:customStyle="1" w:styleId="TOC10">
    <w:name w:val="TOC 标题1"/>
    <w:basedOn w:val="1"/>
    <w:next w:val="a1"/>
    <w:autoRedefine/>
    <w:uiPriority w:val="39"/>
    <w:unhideWhenUsed/>
    <w:qFormat/>
    <w:pPr>
      <w:spacing w:before="240" w:line="259" w:lineRule="auto"/>
      <w:jc w:val="left"/>
      <w:outlineLvl w:val="9"/>
    </w:pPr>
    <w:rPr>
      <w:rFonts w:asciiTheme="majorHAnsi" w:eastAsiaTheme="majorEastAsia" w:hAnsiTheme="majorHAnsi" w:cstheme="majorBidi"/>
      <w:b w:val="0"/>
      <w:bCs w:val="0"/>
      <w:color w:val="2E74B5" w:themeColor="accent1" w:themeShade="BF"/>
      <w:kern w:val="0"/>
    </w:rPr>
  </w:style>
  <w:style w:type="paragraph" w:customStyle="1" w:styleId="MTitel">
    <w:name w:val="M_Titel"/>
    <w:basedOn w:val="a1"/>
    <w:autoRedefine/>
    <w:qFormat/>
    <w:pPr>
      <w:widowControl/>
      <w:jc w:val="left"/>
    </w:pPr>
    <w:rPr>
      <w:rFonts w:ascii="Times New Roman" w:eastAsia="Times New Roman" w:hAnsi="Times New Roman" w:cs="Times New Roman"/>
      <w:b/>
      <w:sz w:val="32"/>
      <w:szCs w:val="32"/>
      <w:lang w:eastAsia="de-DE"/>
    </w:rPr>
  </w:style>
  <w:style w:type="paragraph" w:customStyle="1" w:styleId="afff0">
    <w:name w:val="作者"/>
    <w:basedOn w:val="a1"/>
    <w:next w:val="a1"/>
    <w:autoRedefine/>
    <w:qFormat/>
    <w:pPr>
      <w:widowControl/>
      <w:spacing w:before="160" w:after="240" w:line="0" w:lineRule="atLeast"/>
      <w:jc w:val="left"/>
    </w:pPr>
    <w:rPr>
      <w:rFonts w:ascii="Times New Roman" w:eastAsia="仿宋_GB2312" w:hAnsi="Times New Roman" w:cs="Times New Roman"/>
      <w:w w:val="66"/>
      <w:sz w:val="28"/>
      <w:szCs w:val="24"/>
    </w:rPr>
  </w:style>
  <w:style w:type="paragraph" w:customStyle="1" w:styleId="afff1">
    <w:name w:val="一级标题"/>
    <w:basedOn w:val="a1"/>
    <w:autoRedefine/>
    <w:qFormat/>
    <w:pPr>
      <w:keepNext/>
      <w:keepLines/>
      <w:widowControl/>
      <w:snapToGrid w:val="0"/>
      <w:spacing w:before="240" w:after="100"/>
      <w:jc w:val="left"/>
      <w:textAlignment w:val="center"/>
      <w:outlineLvl w:val="0"/>
    </w:pPr>
    <w:rPr>
      <w:rFonts w:ascii="Times New Roman" w:eastAsia="Times New Roman" w:hAnsi="Times New Roman" w:cs="Times New Roman"/>
      <w:b/>
      <w:snapToGrid w:val="0"/>
      <w:sz w:val="28"/>
      <w:szCs w:val="28"/>
    </w:rPr>
  </w:style>
  <w:style w:type="character" w:customStyle="1" w:styleId="fontstyle01">
    <w:name w:val="fontstyle01"/>
    <w:basedOn w:val="a2"/>
    <w:autoRedefine/>
    <w:qFormat/>
    <w:rPr>
      <w:rFonts w:ascii="MinionPro-It" w:hAnsi="MinionPro-It" w:hint="default"/>
      <w:i/>
      <w:iCs/>
      <w:color w:val="1E1E1B"/>
      <w:sz w:val="18"/>
      <w:szCs w:val="18"/>
    </w:rPr>
  </w:style>
  <w:style w:type="paragraph" w:customStyle="1" w:styleId="PINoSpace">
    <w:name w:val="PI_No Space"/>
    <w:basedOn w:val="a1"/>
    <w:autoRedefine/>
    <w:qFormat/>
    <w:pPr>
      <w:widowControl/>
      <w:spacing w:line="180" w:lineRule="exact"/>
      <w:ind w:right="1600" w:firstLine="180"/>
      <w:jc w:val="left"/>
    </w:pPr>
    <w:rPr>
      <w:rFonts w:ascii="Times New Roman" w:eastAsia="宋体" w:hAnsi="Times New Roman" w:cs="Times New Roman"/>
      <w:kern w:val="0"/>
      <w:sz w:val="15"/>
      <w:szCs w:val="24"/>
      <w:lang w:eastAsia="en-US"/>
    </w:rPr>
  </w:style>
  <w:style w:type="paragraph" w:customStyle="1" w:styleId="3b">
    <w:name w:val="正文3"/>
    <w:autoRedefine/>
    <w:qFormat/>
    <w:pPr>
      <w:jc w:val="both"/>
    </w:pPr>
    <w:rPr>
      <w:kern w:val="2"/>
      <w:sz w:val="21"/>
      <w:szCs w:val="21"/>
    </w:rPr>
  </w:style>
  <w:style w:type="paragraph" w:styleId="afff2">
    <w:name w:val="No Spacing"/>
    <w:autoRedefine/>
    <w:uiPriority w:val="1"/>
    <w:qFormat/>
    <w:pPr>
      <w:widowControl w:val="0"/>
      <w:jc w:val="both"/>
    </w:pPr>
    <w:rPr>
      <w:rFonts w:asciiTheme="minorHAnsi" w:eastAsiaTheme="minorEastAsia" w:hAnsiTheme="minorHAnsi" w:cstheme="minorBidi"/>
      <w:kern w:val="2"/>
      <w:sz w:val="21"/>
      <w:szCs w:val="22"/>
    </w:rPr>
  </w:style>
  <w:style w:type="character" w:customStyle="1" w:styleId="121">
    <w:name w:val="未处理的提及12"/>
    <w:basedOn w:val="a2"/>
    <w:autoRedefine/>
    <w:uiPriority w:val="99"/>
    <w:semiHidden/>
    <w:unhideWhenUsed/>
    <w:qFormat/>
    <w:rPr>
      <w:color w:val="605E5C"/>
      <w:shd w:val="clear" w:color="auto" w:fill="E1DFDD"/>
    </w:rPr>
  </w:style>
  <w:style w:type="character" w:customStyle="1" w:styleId="130">
    <w:name w:val="未处理的提及13"/>
    <w:basedOn w:val="a2"/>
    <w:autoRedefine/>
    <w:uiPriority w:val="99"/>
    <w:semiHidden/>
    <w:unhideWhenUsed/>
    <w:qFormat/>
    <w:rPr>
      <w:color w:val="605E5C"/>
      <w:shd w:val="clear" w:color="auto" w:fill="E1DFDD"/>
    </w:rPr>
  </w:style>
  <w:style w:type="character" w:customStyle="1" w:styleId="140">
    <w:name w:val="未处理的提及14"/>
    <w:basedOn w:val="a2"/>
    <w:autoRedefine/>
    <w:uiPriority w:val="99"/>
    <w:semiHidden/>
    <w:unhideWhenUsed/>
    <w:qFormat/>
    <w:rPr>
      <w:color w:val="605E5C"/>
      <w:shd w:val="clear" w:color="auto" w:fill="E1DFDD"/>
    </w:rPr>
  </w:style>
  <w:style w:type="paragraph" w:customStyle="1" w:styleId="410">
    <w:name w:val="标题 41"/>
    <w:basedOn w:val="a1"/>
    <w:next w:val="a1"/>
    <w:unhideWhenUsed/>
    <w:qFormat/>
    <w:pPr>
      <w:keepNext/>
      <w:keepLines/>
      <w:spacing w:before="280" w:after="290" w:line="376" w:lineRule="auto"/>
      <w:outlineLvl w:val="3"/>
    </w:pPr>
    <w:rPr>
      <w:rFonts w:ascii="等线 Light" w:eastAsia="等线 Light" w:hAnsi="等线 Light" w:cs="Times New Roman"/>
      <w:b/>
      <w:bCs/>
      <w:sz w:val="28"/>
      <w:szCs w:val="28"/>
    </w:rPr>
  </w:style>
  <w:style w:type="character" w:customStyle="1" w:styleId="1b">
    <w:name w:val="超链接1"/>
    <w:basedOn w:val="a2"/>
    <w:uiPriority w:val="99"/>
    <w:unhideWhenUsed/>
    <w:qFormat/>
    <w:rPr>
      <w:color w:val="0563C1"/>
      <w:u w:val="single"/>
    </w:rPr>
  </w:style>
  <w:style w:type="paragraph" w:customStyle="1" w:styleId="msolistparagraph0">
    <w:name w:val="msolistparagraph"/>
    <w:basedOn w:val="a1"/>
    <w:qFormat/>
    <w:pPr>
      <w:ind w:firstLineChars="200" w:firstLine="420"/>
    </w:pPr>
    <w:rPr>
      <w:rFonts w:ascii="等线" w:eastAsia="等线" w:hAnsi="等线" w:cs="Times New Roman" w:hint="eastAsia"/>
    </w:rPr>
  </w:style>
  <w:style w:type="character" w:customStyle="1" w:styleId="411">
    <w:name w:val="标题 4 字符1"/>
    <w:basedOn w:val="a2"/>
    <w:uiPriority w:val="9"/>
    <w:semiHidden/>
    <w:qFormat/>
    <w:rPr>
      <w:rFonts w:asciiTheme="majorHAnsi" w:eastAsiaTheme="majorEastAsia" w:hAnsiTheme="majorHAnsi" w:cstheme="majorBidi"/>
      <w:b/>
      <w:bCs/>
      <w:sz w:val="28"/>
      <w:szCs w:val="28"/>
    </w:rPr>
  </w:style>
  <w:style w:type="paragraph" w:customStyle="1" w:styleId="DecimalAligned">
    <w:name w:val="Decimal Aligned"/>
    <w:basedOn w:val="a1"/>
    <w:uiPriority w:val="40"/>
    <w:qFormat/>
    <w:pPr>
      <w:widowControl/>
      <w:tabs>
        <w:tab w:val="decimal" w:pos="360"/>
      </w:tabs>
      <w:spacing w:after="200" w:line="276" w:lineRule="auto"/>
      <w:jc w:val="left"/>
    </w:pPr>
    <w:rPr>
      <w:rFonts w:cs="Times New Roman"/>
      <w:kern w:val="0"/>
      <w:sz w:val="22"/>
    </w:rPr>
  </w:style>
  <w:style w:type="character" w:customStyle="1" w:styleId="1c">
    <w:name w:val="不明显强调1"/>
    <w:basedOn w:val="a2"/>
    <w:uiPriority w:val="19"/>
    <w:qFormat/>
    <w:rPr>
      <w:i/>
      <w:iCs/>
    </w:rPr>
  </w:style>
  <w:style w:type="paragraph" w:styleId="afff3">
    <w:name w:val="Quote"/>
    <w:basedOn w:val="a1"/>
    <w:next w:val="a1"/>
    <w:link w:val="afff4"/>
    <w:uiPriority w:val="29"/>
    <w:qFormat/>
    <w:pPr>
      <w:widowControl/>
      <w:spacing w:after="200" w:line="276" w:lineRule="auto"/>
      <w:jc w:val="left"/>
    </w:pPr>
    <w:rPr>
      <w:i/>
      <w:iCs/>
      <w:color w:val="000000" w:themeColor="text1"/>
      <w:kern w:val="0"/>
      <w:sz w:val="22"/>
      <w:lang w:eastAsia="en-US"/>
    </w:rPr>
  </w:style>
  <w:style w:type="character" w:customStyle="1" w:styleId="afff4">
    <w:name w:val="引用 字符"/>
    <w:basedOn w:val="a2"/>
    <w:link w:val="afff3"/>
    <w:uiPriority w:val="29"/>
    <w:qFormat/>
    <w:rPr>
      <w:rFonts w:asciiTheme="minorHAnsi" w:eastAsiaTheme="minorEastAsia" w:hAnsiTheme="minorHAnsi" w:cstheme="minorBidi"/>
      <w:i/>
      <w:iCs/>
      <w:color w:val="000000" w:themeColor="text1"/>
      <w:sz w:val="22"/>
      <w:szCs w:val="22"/>
      <w:lang w:eastAsia="en-US"/>
    </w:rPr>
  </w:style>
  <w:style w:type="paragraph" w:styleId="afff5">
    <w:name w:val="Intense Quote"/>
    <w:basedOn w:val="a1"/>
    <w:next w:val="a1"/>
    <w:link w:val="afff6"/>
    <w:uiPriority w:val="30"/>
    <w:qFormat/>
    <w:pPr>
      <w:widowControl/>
      <w:pBdr>
        <w:bottom w:val="single" w:sz="4" w:space="4" w:color="5B9BD5" w:themeColor="accent1"/>
      </w:pBdr>
      <w:spacing w:before="200" w:after="280" w:line="276" w:lineRule="auto"/>
      <w:ind w:left="936" w:right="936"/>
      <w:jc w:val="left"/>
    </w:pPr>
    <w:rPr>
      <w:b/>
      <w:bCs/>
      <w:i/>
      <w:iCs/>
      <w:color w:val="5B9BD5" w:themeColor="accent1"/>
      <w:kern w:val="0"/>
      <w:sz w:val="22"/>
      <w:lang w:eastAsia="en-US"/>
    </w:rPr>
  </w:style>
  <w:style w:type="character" w:customStyle="1" w:styleId="afff6">
    <w:name w:val="明显引用 字符"/>
    <w:basedOn w:val="a2"/>
    <w:link w:val="afff5"/>
    <w:uiPriority w:val="30"/>
    <w:qFormat/>
    <w:rPr>
      <w:rFonts w:asciiTheme="minorHAnsi" w:eastAsiaTheme="minorEastAsia" w:hAnsiTheme="minorHAnsi" w:cstheme="minorBidi"/>
      <w:b/>
      <w:bCs/>
      <w:i/>
      <w:iCs/>
      <w:color w:val="5B9BD5" w:themeColor="accent1"/>
      <w:sz w:val="22"/>
      <w:szCs w:val="22"/>
      <w:lang w:eastAsia="en-US"/>
    </w:rPr>
  </w:style>
  <w:style w:type="character" w:customStyle="1" w:styleId="2e">
    <w:name w:val="不明显强调2"/>
    <w:basedOn w:val="a2"/>
    <w:uiPriority w:val="19"/>
    <w:qFormat/>
    <w:rPr>
      <w:i/>
      <w:iCs/>
      <w:color w:val="7F7F7F" w:themeColor="text1" w:themeTint="80"/>
    </w:rPr>
  </w:style>
  <w:style w:type="character" w:customStyle="1" w:styleId="1d">
    <w:name w:val="明显强调1"/>
    <w:basedOn w:val="a2"/>
    <w:uiPriority w:val="21"/>
    <w:qFormat/>
    <w:rPr>
      <w:b/>
      <w:bCs/>
      <w:i/>
      <w:iCs/>
      <w:color w:val="5B9BD5" w:themeColor="accent1"/>
    </w:rPr>
  </w:style>
  <w:style w:type="character" w:customStyle="1" w:styleId="1e">
    <w:name w:val="不明显参考1"/>
    <w:basedOn w:val="a2"/>
    <w:uiPriority w:val="31"/>
    <w:qFormat/>
    <w:rPr>
      <w:smallCaps/>
      <w:color w:val="ED7D31" w:themeColor="accent2"/>
      <w:u w:val="single"/>
    </w:rPr>
  </w:style>
  <w:style w:type="character" w:customStyle="1" w:styleId="1f">
    <w:name w:val="明显参考1"/>
    <w:basedOn w:val="a2"/>
    <w:uiPriority w:val="32"/>
    <w:qFormat/>
    <w:rPr>
      <w:b/>
      <w:bCs/>
      <w:smallCaps/>
      <w:color w:val="ED7D31" w:themeColor="accent2"/>
      <w:spacing w:val="5"/>
      <w:u w:val="single"/>
    </w:rPr>
  </w:style>
  <w:style w:type="character" w:customStyle="1" w:styleId="1f0">
    <w:name w:val="书籍标题1"/>
    <w:basedOn w:val="a2"/>
    <w:uiPriority w:val="33"/>
    <w:qFormat/>
    <w:rPr>
      <w:b/>
      <w:bCs/>
      <w:smallCaps/>
      <w:spacing w:val="5"/>
    </w:rPr>
  </w:style>
  <w:style w:type="paragraph" w:customStyle="1" w:styleId="TOC20">
    <w:name w:val="TOC 标题2"/>
    <w:basedOn w:val="1"/>
    <w:next w:val="a1"/>
    <w:uiPriority w:val="39"/>
    <w:semiHidden/>
    <w:unhideWhenUsed/>
    <w:qFormat/>
    <w:pPr>
      <w:spacing w:before="480" w:line="276" w:lineRule="auto"/>
      <w:jc w:val="left"/>
      <w:outlineLvl w:val="9"/>
    </w:pPr>
    <w:rPr>
      <w:rFonts w:asciiTheme="majorHAnsi" w:eastAsiaTheme="majorEastAsia" w:hAnsiTheme="majorHAnsi" w:cstheme="majorBidi"/>
      <w:color w:val="2E74B5" w:themeColor="accent1" w:themeShade="BF"/>
      <w:kern w:val="0"/>
      <w:sz w:val="28"/>
      <w:szCs w:val="28"/>
      <w:lang w:eastAsia="en-US"/>
    </w:rPr>
  </w:style>
  <w:style w:type="paragraph" w:customStyle="1" w:styleId="ListParagraph1">
    <w:name w:val="List Paragraph1"/>
    <w:basedOn w:val="a1"/>
    <w:qFormat/>
    <w:pPr>
      <w:ind w:firstLineChars="200" w:firstLine="420"/>
    </w:pPr>
    <w:rPr>
      <w:rFonts w:ascii="Calibri" w:eastAsia="宋体" w:hAnsi="Calibri" w:cs="Times New Roman"/>
      <w:szCs w:val="21"/>
    </w:rPr>
  </w:style>
  <w:style w:type="paragraph" w:customStyle="1" w:styleId="92">
    <w:name w:val="修订9"/>
    <w:hidden/>
    <w:uiPriority w:val="99"/>
    <w:semiHidden/>
    <w:rPr>
      <w:rFonts w:asciiTheme="minorHAnsi" w:eastAsiaTheme="minorEastAsia" w:hAnsiTheme="minorHAnsi" w:cstheme="minorBidi"/>
      <w:kern w:val="2"/>
      <w:sz w:val="21"/>
      <w:szCs w:val="24"/>
    </w:rPr>
  </w:style>
  <w:style w:type="character" w:customStyle="1" w:styleId="150">
    <w:name w:val="未处理的提及15"/>
    <w:basedOn w:val="a2"/>
    <w:uiPriority w:val="99"/>
    <w:semiHidden/>
    <w:unhideWhenUsed/>
    <w:rPr>
      <w:color w:val="605E5C"/>
      <w:shd w:val="clear" w:color="auto" w:fill="E1DFDD"/>
    </w:rPr>
  </w:style>
  <w:style w:type="paragraph" w:customStyle="1" w:styleId="101">
    <w:name w:val="修订10"/>
    <w:hidden/>
    <w:uiPriority w:val="99"/>
    <w:unhideWhenUsed/>
    <w:rPr>
      <w:rFonts w:ascii="Garamond" w:eastAsiaTheme="minorEastAsia" w:hAnsi="Garamond" w:cstheme="minorBidi"/>
      <w:kern w:val="2"/>
      <w:sz w:val="21"/>
      <w:szCs w:val="22"/>
    </w:rPr>
  </w:style>
  <w:style w:type="paragraph" w:customStyle="1" w:styleId="1010">
    <w:name w:val="修订101"/>
    <w:hidden/>
    <w:uiPriority w:val="99"/>
    <w:unhideWhenUsed/>
    <w:rPr>
      <w:rFonts w:ascii="Garamond" w:eastAsiaTheme="minorEastAsia" w:hAnsi="Garamond" w:cstheme="minorBidi"/>
      <w:kern w:val="2"/>
      <w:sz w:val="21"/>
      <w:szCs w:val="22"/>
    </w:rPr>
  </w:style>
  <w:style w:type="character" w:customStyle="1" w:styleId="mrel">
    <w:name w:val="mrel"/>
    <w:basedOn w:val="a2"/>
  </w:style>
  <w:style w:type="character" w:customStyle="1" w:styleId="mbin">
    <w:name w:val="mbin"/>
    <w:basedOn w:val="a2"/>
  </w:style>
  <w:style w:type="character" w:customStyle="1" w:styleId="mop">
    <w:name w:val="mop"/>
    <w:basedOn w:val="a2"/>
  </w:style>
  <w:style w:type="paragraph" w:customStyle="1" w:styleId="last-node">
    <w:name w:val="last-node"/>
    <w:basedOn w:val="a1"/>
    <w:pPr>
      <w:widowControl/>
      <w:spacing w:before="100" w:beforeAutospacing="1" w:after="100" w:afterAutospacing="1"/>
      <w:jc w:val="left"/>
    </w:pPr>
    <w:rPr>
      <w:rFonts w:ascii="宋体" w:eastAsia="宋体" w:hAnsi="宋体" w:cs="宋体"/>
      <w:kern w:val="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1159843-B8B1-4686-9801-256D235643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608</TotalTime>
  <Pages>10</Pages>
  <Words>4364</Words>
  <Characters>24875</Characters>
  <Application>Microsoft Office Word</Application>
  <DocSecurity>0</DocSecurity>
  <Lines>207</Lines>
  <Paragraphs>58</Paragraphs>
  <ScaleCrop>false</ScaleCrop>
  <Company/>
  <LinksUpToDate>false</LinksUpToDate>
  <CharactersWithSpaces>29181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Zhou_x98</dc:creator>
  <cp:keywords>WJ</cp:keywords>
  <cp:lastModifiedBy>Jian Wang</cp:lastModifiedBy>
  <cp:revision>65</cp:revision>
  <cp:lastPrinted>2024-05-26T13:37:00Z</cp:lastPrinted>
  <dcterms:created xsi:type="dcterms:W3CDTF">2025-07-30T09:24:00Z</dcterms:created>
  <dcterms:modified xsi:type="dcterms:W3CDTF">2025-11-19T23:35:00Z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2052-12.1.0.22215</vt:lpwstr>
  </property>
  <property fmtid="{D5CDD505-2E9C-101B-9397-08002B2CF9AE}" pid="3" name="ICV">
    <vt:lpwstr>F4A6146531F04F4FBE62AFB98B15D734_12</vt:lpwstr>
  </property>
  <property fmtid="{D5CDD505-2E9C-101B-9397-08002B2CF9AE}" pid="4" name="KSOTemplateDocerSaveRecord">
    <vt:lpwstr>eyJoZGlkIjoiNjQxOGU0ZTg4Y2VlYjU3MGZhYThiYjQ0ZGFjNmQ1OGEiLCJ1c2VySWQiOiIyOTQ2NDA5NDIifQ==</vt:lpwstr>
  </property>
</Properties>
</file>