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35A84">
      <w:pPr>
        <w:jc w:val="center"/>
        <w:rPr>
          <w:rFonts w:hint="eastAsia"/>
          <w:lang w:val="en-US" w:eastAsia="zh-CN"/>
        </w:rPr>
      </w:pPr>
      <w:r>
        <w:rPr>
          <w:rFonts w:hint="eastAsia"/>
        </w:rPr>
        <w:t>计算机与人工智能学院对23级</w:t>
      </w:r>
      <w:r>
        <w:rPr>
          <w:rFonts w:hint="eastAsia"/>
          <w:lang w:val="en-US" w:eastAsia="zh-CN"/>
        </w:rPr>
        <w:t>全日制</w:t>
      </w:r>
      <w:r>
        <w:rPr>
          <w:rFonts w:hint="eastAsia"/>
        </w:rPr>
        <w:t>学术型和专业型硕士研究生学位科研</w:t>
      </w:r>
      <w:r>
        <w:rPr>
          <w:rFonts w:hint="eastAsia"/>
          <w:lang w:val="en-US" w:eastAsia="zh-CN"/>
        </w:rPr>
        <w:t>成果要求</w:t>
      </w:r>
      <w:r>
        <w:rPr>
          <w:rFonts w:hint="eastAsia"/>
        </w:rPr>
        <w:t>的</w:t>
      </w:r>
      <w:r>
        <w:rPr>
          <w:rFonts w:hint="eastAsia"/>
          <w:lang w:val="en-US" w:eastAsia="zh-CN"/>
        </w:rPr>
        <w:t>解读</w:t>
      </w:r>
    </w:p>
    <w:p w14:paraId="12C5FE4C">
      <w:pPr>
        <w:jc w:val="center"/>
        <w:rPr>
          <w:rFonts w:hint="default"/>
          <w:lang w:val="en-US" w:eastAsia="zh-CN"/>
        </w:rPr>
      </w:pPr>
    </w:p>
    <w:p w14:paraId="78CB9506">
      <w:pPr>
        <w:jc w:val="both"/>
        <w:rPr>
          <w:rFonts w:hint="default"/>
          <w:lang w:val="en-US" w:eastAsia="zh-CN"/>
        </w:rPr>
      </w:pPr>
      <w:r>
        <w:rPr>
          <w:rFonts w:hint="eastAsia"/>
          <w:lang w:val="en-US" w:eastAsia="zh-CN"/>
        </w:rPr>
        <w:t>一、23级全日制学术型硕士研究生</w:t>
      </w:r>
    </w:p>
    <w:p w14:paraId="5D71E179">
      <w:pPr>
        <w:jc w:val="both"/>
        <w:rPr>
          <w:rFonts w:hint="default" w:eastAsiaTheme="minorEastAsia"/>
          <w:lang w:val="en-US" w:eastAsia="zh-CN"/>
        </w:rPr>
      </w:pPr>
      <w:r>
        <w:rPr>
          <w:rFonts w:hint="eastAsia"/>
          <w:lang w:val="en-US" w:eastAsia="zh-CN"/>
        </w:rPr>
        <w:t>（一）考查内容</w:t>
      </w:r>
    </w:p>
    <w:p w14:paraId="4AC78C0F">
      <w:pPr>
        <w:jc w:val="both"/>
        <w:rPr>
          <w:rFonts w:hint="eastAsia"/>
          <w:lang w:val="en-US" w:eastAsia="zh-CN"/>
        </w:rPr>
      </w:pPr>
      <w:r>
        <w:rPr>
          <w:rFonts w:hint="eastAsia"/>
          <w:lang w:val="en-US" w:eastAsia="zh-CN"/>
        </w:rPr>
        <w:t>计算机与人工智能学院对23级全日制学术型硕士研究生的学位科研成果，主要考核期刊论文、会议论文、专利或软著等方面，要求满足三项中任意一项一次。</w:t>
      </w:r>
    </w:p>
    <w:p w14:paraId="3FE70CA1">
      <w:pPr>
        <w:numPr>
          <w:ilvl w:val="0"/>
          <w:numId w:val="0"/>
        </w:numPr>
        <w:jc w:val="both"/>
        <w:rPr>
          <w:rFonts w:hint="eastAsia"/>
          <w:lang w:val="en-US" w:eastAsia="zh-CN"/>
        </w:rPr>
      </w:pPr>
      <w:r>
        <w:rPr>
          <w:rFonts w:hint="eastAsia"/>
          <w:lang w:val="en-US" w:eastAsia="zh-CN"/>
        </w:rPr>
        <w:t>（二）具体规定</w:t>
      </w:r>
    </w:p>
    <w:p w14:paraId="769A284B">
      <w:pPr>
        <w:numPr>
          <w:ilvl w:val="0"/>
          <w:numId w:val="0"/>
        </w:numPr>
        <w:jc w:val="both"/>
        <w:rPr>
          <w:rFonts w:hint="eastAsia"/>
          <w:lang w:val="en-US" w:eastAsia="zh-CN"/>
        </w:rPr>
      </w:pPr>
      <w:r>
        <w:rPr>
          <w:rFonts w:hint="eastAsia"/>
          <w:lang w:val="en-US" w:eastAsia="zh-CN"/>
        </w:rPr>
        <w:t>1.期刊论文</w:t>
      </w:r>
    </w:p>
    <w:p w14:paraId="523CBA31">
      <w:pPr>
        <w:numPr>
          <w:ilvl w:val="0"/>
          <w:numId w:val="0"/>
        </w:numPr>
        <w:jc w:val="both"/>
        <w:rPr>
          <w:rFonts w:hint="eastAsia"/>
          <w:lang w:val="en-US" w:eastAsia="zh-CN"/>
        </w:rPr>
      </w:pPr>
      <w:r>
        <w:rPr>
          <w:rFonts w:hint="eastAsia"/>
          <w:lang w:val="en-US" w:eastAsia="zh-CN"/>
        </w:rPr>
        <w:t>（1）论文内容须与本专业相关，以温州大学为第一完成单位，本人为第一作者（或者导师为第一作者本人为第二作者）。</w:t>
      </w:r>
    </w:p>
    <w:p w14:paraId="54A6506B">
      <w:pPr>
        <w:numPr>
          <w:ilvl w:val="0"/>
          <w:numId w:val="0"/>
        </w:numPr>
        <w:jc w:val="both"/>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（2）学生应于毕业答辩前在正规期刊上发表论文。</w:t>
      </w:r>
    </w:p>
    <w:p w14:paraId="4EFED8CD">
      <w:pPr>
        <w:numPr>
          <w:ilvl w:val="0"/>
          <w:numId w:val="0"/>
        </w:numPr>
        <w:jc w:val="both"/>
        <w:rPr>
          <w:rFonts w:hint="eastAsia"/>
          <w:color w:val="000000" w:themeColor="text1"/>
          <w:lang w:val="en-US" w:eastAsia="zh-CN"/>
          <w14:textFill>
            <w14:solidFill>
              <w14:schemeClr w14:val="tx1"/>
            </w14:solidFill>
          </w14:textFill>
        </w:rPr>
      </w:pPr>
      <w:r>
        <w:rPr>
          <w:rFonts w:hint="eastAsia"/>
          <w:lang w:val="en-US" w:eastAsia="zh-CN"/>
        </w:rPr>
        <w:t>（3）学生须提交期刊论文正式发表后的检索报告、论文正文、刊物封面、刊物目录、刊物封底等证明材料（若个别材料如封底确实缺失，须附情况说明）。经导师审核通过后，导师在证明材料首页签字确认，学生本人用铅笔在证明材料首页注明学号、专业及姓名</w:t>
      </w:r>
      <w:r>
        <w:rPr>
          <w:rFonts w:hint="eastAsia"/>
          <w:color w:val="000000" w:themeColor="text1"/>
          <w:lang w:val="en-US" w:eastAsia="zh-CN"/>
          <w14:textFill>
            <w14:solidFill>
              <w14:schemeClr w14:val="tx1"/>
            </w14:solidFill>
          </w14:textFill>
        </w:rPr>
        <w:t>。</w:t>
      </w:r>
    </w:p>
    <w:p w14:paraId="4EF56C1F">
      <w:pPr>
        <w:numPr>
          <w:ilvl w:val="0"/>
          <w:numId w:val="0"/>
        </w:numPr>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（4）如于毕业答辩前论文尚未正式发表，学生须至少提交录用通知及论文全文（</w:t>
      </w:r>
      <w:r>
        <w:rPr>
          <w:rFonts w:hint="eastAsia"/>
          <w:lang w:val="en-US" w:eastAsia="zh-CN"/>
        </w:rPr>
        <w:t>学生本人用铅笔在证明材料首页注明学号、专业及姓名）</w:t>
      </w:r>
      <w:r>
        <w:rPr>
          <w:rFonts w:hint="eastAsia"/>
          <w:color w:val="000000" w:themeColor="text1"/>
          <w:lang w:val="en-US" w:eastAsia="zh-CN"/>
          <w14:textFill>
            <w14:solidFill>
              <w14:schemeClr w14:val="tx1"/>
            </w14:solidFill>
          </w14:textFill>
        </w:rPr>
        <w:t>，经导师审核通过并签字后，学院可暂予认定。在此情况下，学生仍须签署承诺书，并按规定时限补交上述第1条第（3）款所列的其余证明材料。若学生未履行承诺书，本学院将保留追究学生未达到学位授予条件责任的权力。</w:t>
      </w:r>
    </w:p>
    <w:p w14:paraId="5BB51487">
      <w:pPr>
        <w:numPr>
          <w:ilvl w:val="0"/>
          <w:numId w:val="0"/>
        </w:numPr>
        <w:jc w:val="both"/>
        <w:rPr>
          <w:rFonts w:hint="eastAsia"/>
          <w:lang w:val="en-US" w:eastAsia="zh-CN"/>
        </w:rPr>
      </w:pPr>
    </w:p>
    <w:p w14:paraId="60A24568">
      <w:pPr>
        <w:numPr>
          <w:ilvl w:val="0"/>
          <w:numId w:val="0"/>
        </w:numPr>
        <w:jc w:val="both"/>
        <w:rPr>
          <w:rFonts w:hint="eastAsia"/>
          <w:lang w:val="en-US" w:eastAsia="zh-CN"/>
        </w:rPr>
      </w:pPr>
      <w:r>
        <w:rPr>
          <w:rFonts w:hint="eastAsia"/>
          <w:lang w:val="en-US" w:eastAsia="zh-CN"/>
        </w:rPr>
        <w:t>2.会议论文</w:t>
      </w:r>
    </w:p>
    <w:p w14:paraId="38C19823">
      <w:pPr>
        <w:numPr>
          <w:ilvl w:val="0"/>
          <w:numId w:val="0"/>
        </w:numPr>
        <w:jc w:val="both"/>
        <w:rPr>
          <w:rFonts w:hint="eastAsia"/>
          <w:lang w:val="en-US" w:eastAsia="zh-CN"/>
        </w:rPr>
      </w:pPr>
      <w:r>
        <w:rPr>
          <w:rFonts w:hint="eastAsia"/>
          <w:lang w:val="en-US" w:eastAsia="zh-CN"/>
        </w:rPr>
        <w:t>（1）论文内容须与本专业相关，以温州大学为第一完成单位，本人为第一作者（或者导师为第一作者本人为第二作者）。</w:t>
      </w:r>
    </w:p>
    <w:p w14:paraId="7ADE9924">
      <w:pPr>
        <w:numPr>
          <w:ilvl w:val="0"/>
          <w:numId w:val="0"/>
        </w:numPr>
        <w:jc w:val="both"/>
        <w:rPr>
          <w:rFonts w:hint="eastAsia"/>
          <w:lang w:val="en-US" w:eastAsia="zh-CN"/>
        </w:rPr>
      </w:pPr>
      <w:r>
        <w:rPr>
          <w:rFonts w:hint="eastAsia"/>
          <w:lang w:val="en-US" w:eastAsia="zh-CN"/>
        </w:rPr>
        <w:t>（2）学生应于毕业答辩前在国内外正规学术会议的出版物上发表论文。</w:t>
      </w:r>
    </w:p>
    <w:p w14:paraId="47DADAE7">
      <w:pPr>
        <w:numPr>
          <w:ilvl w:val="0"/>
          <w:numId w:val="0"/>
        </w:numPr>
        <w:jc w:val="both"/>
        <w:rPr>
          <w:rFonts w:hint="eastAsia"/>
          <w:lang w:val="en-US" w:eastAsia="zh-CN"/>
        </w:rPr>
      </w:pPr>
      <w:r>
        <w:rPr>
          <w:rFonts w:hint="eastAsia"/>
          <w:lang w:val="en-US" w:eastAsia="zh-CN"/>
        </w:rPr>
        <w:t>（3）学生须提交学术会议出版物正式出版后的会议论文正文及其检索报告、出版物封面、出版物目录、出版物封底等证明材料（若个别材料如封底确实缺失，须附情况说明）。经导师审核通过后，导师在证明材料首页签字确认，学生本人用铅笔在证明材料首页注明学号、专业及姓名。</w:t>
      </w:r>
    </w:p>
    <w:p w14:paraId="6A3E41E9">
      <w:pPr>
        <w:numPr>
          <w:ilvl w:val="0"/>
          <w:numId w:val="0"/>
        </w:numPr>
        <w:jc w:val="both"/>
        <w:rPr>
          <w:rFonts w:hint="default"/>
          <w:color w:val="000000" w:themeColor="text1"/>
          <w:lang w:val="en-US" w:eastAsia="zh-CN"/>
          <w14:textFill>
            <w14:solidFill>
              <w14:schemeClr w14:val="tx1"/>
            </w14:solidFill>
          </w14:textFill>
        </w:rPr>
      </w:pPr>
      <w:r>
        <w:rPr>
          <w:rFonts w:hint="eastAsia"/>
          <w:lang w:val="en-US" w:eastAsia="zh-CN"/>
        </w:rPr>
        <w:t>（4）如于毕业答辩前学术会议出版物尚未正式出版，学生须至少提交录用通知、论文全文及ISBN、ISSN等出版物刊号（学生本人用铅笔在证明材料首页注明学号、专业及姓名），经导师审核通过并签字后，学院可暂予认定。在此情况下，学生仍须签署承诺书，并按规定时限补交上述第2条第（3）款所列的其余证明材料。</w:t>
      </w:r>
      <w:r>
        <w:rPr>
          <w:rFonts w:hint="eastAsia"/>
          <w:color w:val="000000" w:themeColor="text1"/>
          <w:lang w:val="en-US" w:eastAsia="zh-CN"/>
          <w14:textFill>
            <w14:solidFill>
              <w14:schemeClr w14:val="tx1"/>
            </w14:solidFill>
          </w14:textFill>
        </w:rPr>
        <w:t>若学生未履行承诺书，本学院将保留追究学生未达到学位授予条件责任的权力。</w:t>
      </w:r>
    </w:p>
    <w:p w14:paraId="2DAA3015">
      <w:pPr>
        <w:numPr>
          <w:ilvl w:val="0"/>
          <w:numId w:val="0"/>
        </w:numPr>
        <w:jc w:val="both"/>
        <w:rPr>
          <w:rFonts w:hint="eastAsia"/>
          <w:lang w:val="en-US" w:eastAsia="zh-CN"/>
        </w:rPr>
      </w:pPr>
    </w:p>
    <w:p w14:paraId="7E5546A4">
      <w:pPr>
        <w:numPr>
          <w:ilvl w:val="0"/>
          <w:numId w:val="0"/>
        </w:numPr>
        <w:jc w:val="both"/>
        <w:rPr>
          <w:rFonts w:hint="eastAsia"/>
          <w:lang w:val="en-US" w:eastAsia="zh-CN"/>
        </w:rPr>
      </w:pPr>
      <w:r>
        <w:rPr>
          <w:rFonts w:hint="eastAsia"/>
          <w:lang w:val="en-US" w:eastAsia="zh-CN"/>
        </w:rPr>
        <w:t>3.专利或软著</w:t>
      </w:r>
    </w:p>
    <w:p w14:paraId="18E121E1">
      <w:pPr>
        <w:numPr>
          <w:ilvl w:val="0"/>
          <w:numId w:val="0"/>
        </w:numPr>
        <w:jc w:val="both"/>
        <w:rPr>
          <w:rFonts w:hint="eastAsia"/>
          <w:lang w:val="en-US" w:eastAsia="zh-CN"/>
        </w:rPr>
      </w:pPr>
      <w:r>
        <w:rPr>
          <w:rFonts w:hint="eastAsia"/>
          <w:lang w:val="en-US" w:eastAsia="zh-CN"/>
        </w:rPr>
        <w:t>（1）专利或软著的内容须与本专业相关，第一专利权人、第一著作权人须为温州大学，本人为第一作者（或者导师为第一作者本人为第二作者）。</w:t>
      </w:r>
    </w:p>
    <w:p w14:paraId="2E02F4DC">
      <w:pPr>
        <w:numPr>
          <w:ilvl w:val="0"/>
          <w:numId w:val="0"/>
        </w:numPr>
        <w:jc w:val="both"/>
        <w:rPr>
          <w:rFonts w:hint="eastAsia"/>
          <w:lang w:val="en-US" w:eastAsia="zh-CN"/>
        </w:rPr>
      </w:pPr>
      <w:r>
        <w:rPr>
          <w:rFonts w:hint="eastAsia"/>
          <w:lang w:val="en-US" w:eastAsia="zh-CN"/>
        </w:rPr>
        <w:t>（2）专利仅包括发明专利和实用新型专利。</w:t>
      </w:r>
    </w:p>
    <w:p w14:paraId="0E410B7F">
      <w:pPr>
        <w:numPr>
          <w:ilvl w:val="0"/>
          <w:numId w:val="0"/>
        </w:numPr>
        <w:jc w:val="both"/>
        <w:rPr>
          <w:rFonts w:hint="eastAsia"/>
          <w:color w:val="000000" w:themeColor="text1"/>
          <w:lang w:val="en-US" w:eastAsia="zh-CN"/>
          <w14:textFill>
            <w14:solidFill>
              <w14:schemeClr w14:val="tx1"/>
            </w14:solidFill>
          </w14:textFill>
        </w:rPr>
      </w:pPr>
      <w:r>
        <w:rPr>
          <w:rFonts w:hint="eastAsia"/>
          <w:lang w:val="en-US" w:eastAsia="zh-CN"/>
        </w:rPr>
        <w:t>（3）学生应于毕业答辩前提交授权证书。经导师审核通过后，导师在证明材料首页签字确认，学生本人用铅笔在证明材料首页注明学号、专业及姓名</w:t>
      </w:r>
      <w:r>
        <w:rPr>
          <w:rFonts w:hint="eastAsia"/>
          <w:color w:val="000000" w:themeColor="text1"/>
          <w:lang w:val="en-US" w:eastAsia="zh-CN"/>
          <w14:textFill>
            <w14:solidFill>
              <w14:schemeClr w14:val="tx1"/>
            </w14:solidFill>
          </w14:textFill>
        </w:rPr>
        <w:t>。</w:t>
      </w:r>
    </w:p>
    <w:p w14:paraId="0FCEB0F2">
      <w:pPr>
        <w:numPr>
          <w:ilvl w:val="0"/>
          <w:numId w:val="0"/>
        </w:numPr>
        <w:jc w:val="both"/>
        <w:rPr>
          <w:rFonts w:hint="eastAsia"/>
          <w:lang w:val="en-US" w:eastAsia="zh-CN"/>
        </w:rPr>
      </w:pPr>
    </w:p>
    <w:p w14:paraId="0F0009B3">
      <w:pPr>
        <w:numPr>
          <w:ilvl w:val="0"/>
          <w:numId w:val="0"/>
        </w:numPr>
        <w:jc w:val="both"/>
        <w:rPr>
          <w:rFonts w:hint="eastAsia"/>
          <w:lang w:val="en-US" w:eastAsia="zh-CN"/>
        </w:rPr>
      </w:pPr>
    </w:p>
    <w:p w14:paraId="58B4EB61">
      <w:pPr>
        <w:numPr>
          <w:ilvl w:val="0"/>
          <w:numId w:val="0"/>
        </w:numPr>
        <w:jc w:val="both"/>
        <w:rPr>
          <w:rFonts w:hint="eastAsia"/>
          <w:lang w:val="en-US" w:eastAsia="zh-CN"/>
        </w:rPr>
      </w:pPr>
      <w:r>
        <w:rPr>
          <w:rFonts w:hint="eastAsia"/>
          <w:lang w:val="en-US" w:eastAsia="zh-CN"/>
        </w:rPr>
        <w:t>二、23级全日制专业型硕士研究生</w:t>
      </w:r>
    </w:p>
    <w:p w14:paraId="42F7FDF6">
      <w:pPr>
        <w:numPr>
          <w:ilvl w:val="0"/>
          <w:numId w:val="1"/>
        </w:numPr>
        <w:jc w:val="both"/>
        <w:rPr>
          <w:rFonts w:hint="eastAsia"/>
          <w:lang w:val="en-US" w:eastAsia="zh-CN"/>
        </w:rPr>
      </w:pPr>
      <w:r>
        <w:rPr>
          <w:rFonts w:hint="eastAsia"/>
          <w:lang w:val="en-US" w:eastAsia="zh-CN"/>
        </w:rPr>
        <w:t>考查内容</w:t>
      </w:r>
    </w:p>
    <w:p w14:paraId="6B5DFB53">
      <w:pPr>
        <w:jc w:val="both"/>
        <w:rPr>
          <w:rFonts w:hint="eastAsia"/>
          <w:lang w:val="en-US" w:eastAsia="zh-CN"/>
        </w:rPr>
      </w:pPr>
      <w:r>
        <w:rPr>
          <w:rFonts w:hint="eastAsia"/>
          <w:lang w:val="en-US" w:eastAsia="zh-CN"/>
        </w:rPr>
        <w:t>计算机与人工智能学院对23级全日制专业型硕士研究生的学位科研成果，主要考核期刊论文、会议论文、专利或软著及学科竞赛等方面，要求满足四项中任意一项一次。</w:t>
      </w:r>
    </w:p>
    <w:p w14:paraId="61D3504E">
      <w:pPr>
        <w:jc w:val="both"/>
        <w:rPr>
          <w:rFonts w:hint="default"/>
          <w:lang w:val="en-US" w:eastAsia="zh-CN"/>
        </w:rPr>
      </w:pPr>
      <w:r>
        <w:rPr>
          <w:rFonts w:hint="eastAsia"/>
          <w:lang w:val="en-US" w:eastAsia="zh-CN"/>
        </w:rPr>
        <w:t>（二）具体规定</w:t>
      </w:r>
    </w:p>
    <w:p w14:paraId="6093B975">
      <w:pPr>
        <w:numPr>
          <w:ilvl w:val="0"/>
          <w:numId w:val="2"/>
        </w:numPr>
        <w:jc w:val="both"/>
        <w:rPr>
          <w:rFonts w:hint="eastAsia"/>
          <w:lang w:val="en-US" w:eastAsia="zh-CN"/>
        </w:rPr>
      </w:pPr>
      <w:r>
        <w:rPr>
          <w:rFonts w:hint="eastAsia"/>
          <w:lang w:val="en-US" w:eastAsia="zh-CN"/>
        </w:rPr>
        <w:t>期刊论文、会议论文、专利或软著同上述对23级学术型硕士研究生的要求。</w:t>
      </w:r>
    </w:p>
    <w:p w14:paraId="6691A8F7">
      <w:pPr>
        <w:numPr>
          <w:ilvl w:val="0"/>
          <w:numId w:val="2"/>
        </w:numPr>
        <w:jc w:val="both"/>
        <w:rPr>
          <w:rFonts w:hint="eastAsia"/>
          <w:lang w:val="en-US" w:eastAsia="zh-CN"/>
        </w:rPr>
      </w:pPr>
      <w:r>
        <w:rPr>
          <w:rFonts w:hint="eastAsia"/>
          <w:lang w:val="en-US" w:eastAsia="zh-CN"/>
        </w:rPr>
        <w:t>学科竞赛：</w:t>
      </w:r>
    </w:p>
    <w:p w14:paraId="25C18A5E">
      <w:pPr>
        <w:numPr>
          <w:ilvl w:val="0"/>
          <w:numId w:val="3"/>
        </w:numPr>
        <w:jc w:val="both"/>
        <w:rPr>
          <w:rFonts w:hint="eastAsia"/>
          <w:color w:val="000000" w:themeColor="text1"/>
          <w:lang w:val="en-US" w:eastAsia="zh-CN"/>
          <w14:textFill>
            <w14:solidFill>
              <w14:schemeClr w14:val="tx1"/>
            </w14:solidFill>
          </w14:textFill>
        </w:rPr>
      </w:pPr>
      <w:r>
        <w:rPr>
          <w:rFonts w:hint="eastAsia"/>
          <w:lang w:val="en-US" w:eastAsia="zh-CN"/>
        </w:rPr>
        <w:t>学生应于毕业答辩前提交国家级、省级或国家级省赛区学科竞赛获奖证书（优胜奖除外）及本人</w:t>
      </w:r>
      <w:bookmarkStart w:id="0" w:name="_GoBack"/>
      <w:bookmarkEnd w:id="0"/>
      <w:r>
        <w:rPr>
          <w:rFonts w:hint="eastAsia"/>
          <w:lang w:val="en-US" w:eastAsia="zh-CN"/>
        </w:rPr>
        <w:t>排名证明（本人须排名前三）。经导师审核通过后，导师在证明材料首页签字确认，学生本人用铅笔在证明材料首页注明学号、专业及姓名</w:t>
      </w:r>
      <w:r>
        <w:rPr>
          <w:rFonts w:hint="eastAsia"/>
          <w:color w:val="000000" w:themeColor="text1"/>
          <w:lang w:val="en-US" w:eastAsia="zh-CN"/>
          <w14:textFill>
            <w14:solidFill>
              <w14:schemeClr w14:val="tx1"/>
            </w14:solidFill>
          </w14:textFill>
        </w:rPr>
        <w:t>。</w:t>
      </w:r>
    </w:p>
    <w:p w14:paraId="27BD4F41">
      <w:pPr>
        <w:numPr>
          <w:ilvl w:val="0"/>
          <w:numId w:val="3"/>
        </w:numPr>
        <w:jc w:val="both"/>
        <w:rPr>
          <w:rFonts w:hint="default"/>
          <w:lang w:val="en-US" w:eastAsia="zh-CN"/>
        </w:rPr>
      </w:pPr>
      <w:r>
        <w:rPr>
          <w:rFonts w:hint="eastAsia"/>
          <w:lang w:val="en-US" w:eastAsia="zh-CN"/>
        </w:rPr>
        <w:t>本学院认可的学科竞赛以《温州大学大学生学科竞赛管理办法》（2020年版和2025年版均可）中的一类竞赛项目和二类竞赛项目为准。学生参加三类竞赛项目，是否能获得本学院认可由本学院学位委员会讨论决定。</w:t>
      </w:r>
    </w:p>
    <w:p w14:paraId="0A3542AA">
      <w:pPr>
        <w:numPr>
          <w:numId w:val="0"/>
        </w:numPr>
        <w:jc w:val="both"/>
        <w:rPr>
          <w:rFonts w:hint="default"/>
          <w:lang w:val="en-US" w:eastAsia="zh-CN"/>
        </w:rPr>
      </w:pPr>
    </w:p>
    <w:p w14:paraId="624827DC">
      <w:pPr>
        <w:numPr>
          <w:ilvl w:val="0"/>
          <w:numId w:val="0"/>
        </w:numPr>
        <w:jc w:val="both"/>
        <w:rPr>
          <w:rFonts w:hint="eastAsia"/>
          <w:lang w:val="en-US" w:eastAsia="zh-CN"/>
        </w:rPr>
      </w:pPr>
      <w:r>
        <w:rPr>
          <w:rFonts w:hint="eastAsia"/>
          <w:lang w:val="en-US" w:eastAsia="zh-CN"/>
        </w:rPr>
        <w:t>三、其他</w:t>
      </w:r>
    </w:p>
    <w:p w14:paraId="54613646">
      <w:pPr>
        <w:numPr>
          <w:ilvl w:val="0"/>
          <w:numId w:val="0"/>
        </w:numPr>
        <w:jc w:val="both"/>
        <w:rPr>
          <w:rFonts w:hint="eastAsia"/>
          <w:lang w:val="en-US" w:eastAsia="zh-CN"/>
        </w:rPr>
      </w:pPr>
      <w:r>
        <w:rPr>
          <w:rFonts w:hint="eastAsia"/>
          <w:lang w:val="en-US" w:eastAsia="zh-CN"/>
        </w:rPr>
        <w:t>1.本说明未尽事宜，遵照研究生院的要求。</w:t>
      </w:r>
    </w:p>
    <w:p w14:paraId="3A5481AE">
      <w:pPr>
        <w:numPr>
          <w:ilvl w:val="0"/>
          <w:numId w:val="0"/>
        </w:numPr>
        <w:jc w:val="both"/>
        <w:rPr>
          <w:rFonts w:hint="eastAsia"/>
          <w:lang w:val="en-US" w:eastAsia="zh-CN"/>
        </w:rPr>
      </w:pPr>
      <w:r>
        <w:rPr>
          <w:rFonts w:hint="eastAsia"/>
          <w:lang w:val="en-US" w:eastAsia="zh-CN"/>
        </w:rPr>
        <w:t>2.本说明与研究生院要求相冲突的，以研究生院的要求为准。</w:t>
      </w:r>
    </w:p>
    <w:p w14:paraId="033E5D00">
      <w:pPr>
        <w:numPr>
          <w:ilvl w:val="0"/>
          <w:numId w:val="0"/>
        </w:numPr>
        <w:jc w:val="both"/>
        <w:rPr>
          <w:rFonts w:hint="eastAsia"/>
          <w:lang w:val="en-US" w:eastAsia="zh-CN"/>
        </w:rPr>
      </w:pPr>
      <w:r>
        <w:rPr>
          <w:rFonts w:hint="eastAsia"/>
          <w:lang w:val="en-US" w:eastAsia="zh-CN"/>
        </w:rPr>
        <w:t>3.计算机与人工智能学院学位委员会拥有最终解释权。</w:t>
      </w:r>
    </w:p>
    <w:p w14:paraId="5E0D5DB9">
      <w:pPr>
        <w:numPr>
          <w:ilvl w:val="0"/>
          <w:numId w:val="0"/>
        </w:numPr>
        <w:jc w:val="both"/>
        <w:rPr>
          <w:rFonts w:hint="default"/>
          <w:lang w:val="en-US" w:eastAsia="zh-CN"/>
        </w:rPr>
      </w:pPr>
    </w:p>
    <w:p w14:paraId="2985942D">
      <w:pPr>
        <w:numPr>
          <w:ilvl w:val="0"/>
          <w:numId w:val="0"/>
        </w:numPr>
        <w:jc w:val="both"/>
        <w:rPr>
          <w:rFonts w:hint="default"/>
          <w:lang w:val="en-US" w:eastAsia="zh-CN"/>
        </w:rPr>
      </w:pPr>
    </w:p>
    <w:p w14:paraId="0CF0C081">
      <w:pPr>
        <w:numPr>
          <w:ilvl w:val="0"/>
          <w:numId w:val="0"/>
        </w:numPr>
        <w:jc w:val="both"/>
        <w:rPr>
          <w:rFonts w:hint="eastAsia"/>
          <w:lang w:val="en-US" w:eastAsia="zh-CN"/>
        </w:rPr>
      </w:pPr>
    </w:p>
    <w:p w14:paraId="3AF179E3">
      <w:pPr>
        <w:numPr>
          <w:ilvl w:val="0"/>
          <w:numId w:val="0"/>
        </w:numPr>
        <w:jc w:val="both"/>
        <w:rPr>
          <w:rFonts w:hint="eastAsia"/>
          <w:lang w:val="en-US" w:eastAsia="zh-CN"/>
        </w:rPr>
      </w:pPr>
    </w:p>
    <w:p w14:paraId="240DCA50">
      <w:pPr>
        <w:numPr>
          <w:ilvl w:val="0"/>
          <w:numId w:val="0"/>
        </w:numPr>
        <w:jc w:val="both"/>
        <w:rPr>
          <w:rFonts w:hint="default"/>
          <w:lang w:val="en-US" w:eastAsia="zh-CN"/>
        </w:rPr>
      </w:pPr>
    </w:p>
    <w:p w14:paraId="7006692B">
      <w:pPr>
        <w:numPr>
          <w:ilvl w:val="0"/>
          <w:numId w:val="0"/>
        </w:numPr>
        <w:jc w:val="both"/>
        <w:rPr>
          <w:rFonts w:hint="default"/>
          <w:lang w:val="en-US" w:eastAsia="zh-CN"/>
        </w:rPr>
      </w:pPr>
    </w:p>
    <w:p w14:paraId="2E1C4252">
      <w:pPr>
        <w:jc w:val="both"/>
        <w:rPr>
          <w:rFonts w:hint="eastAsia"/>
          <w:lang w:val="en-US" w:eastAsia="zh-CN"/>
        </w:rPr>
      </w:pPr>
    </w:p>
    <w:p w14:paraId="13CC2921">
      <w:pPr>
        <w:jc w:val="both"/>
        <w:rPr>
          <w:rFonts w:hint="default"/>
          <w:lang w:val="en-US" w:eastAsia="zh-CN"/>
        </w:rPr>
      </w:pPr>
    </w:p>
    <w:p w14:paraId="30990EF7">
      <w:pPr>
        <w:jc w:val="both"/>
        <w:rPr>
          <w:rFonts w:hint="eastAsia"/>
        </w:rPr>
      </w:pPr>
    </w:p>
    <w:p w14:paraId="0AF8C89E">
      <w:pPr>
        <w:jc w:val="cente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B95730"/>
    <w:multiLevelType w:val="singleLevel"/>
    <w:tmpl w:val="A5B95730"/>
    <w:lvl w:ilvl="0" w:tentative="0">
      <w:start w:val="1"/>
      <w:numFmt w:val="decimal"/>
      <w:lvlText w:val="%1."/>
      <w:lvlJc w:val="left"/>
      <w:pPr>
        <w:tabs>
          <w:tab w:val="left" w:pos="312"/>
        </w:tabs>
      </w:pPr>
    </w:lvl>
  </w:abstractNum>
  <w:abstractNum w:abstractNumId="1">
    <w:nsid w:val="E7D6AB89"/>
    <w:multiLevelType w:val="singleLevel"/>
    <w:tmpl w:val="E7D6AB89"/>
    <w:lvl w:ilvl="0" w:tentative="0">
      <w:start w:val="1"/>
      <w:numFmt w:val="decimal"/>
      <w:suff w:val="nothing"/>
      <w:lvlText w:val="（%1）"/>
      <w:lvlJc w:val="left"/>
    </w:lvl>
  </w:abstractNum>
  <w:abstractNum w:abstractNumId="2">
    <w:nsid w:val="48C8B5D7"/>
    <w:multiLevelType w:val="singleLevel"/>
    <w:tmpl w:val="48C8B5D7"/>
    <w:lvl w:ilvl="0" w:tentative="0">
      <w:start w:val="1"/>
      <w:numFmt w:val="chineseCounting"/>
      <w:suff w:val="nothing"/>
      <w:lvlText w:val="（%1）"/>
      <w:lvlJc w:val="left"/>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C8276A"/>
    <w:rsid w:val="047F6D11"/>
    <w:rsid w:val="0B8D66E4"/>
    <w:rsid w:val="1B1A1616"/>
    <w:rsid w:val="1E9B0CC0"/>
    <w:rsid w:val="20987265"/>
    <w:rsid w:val="24B9039A"/>
    <w:rsid w:val="28DA0263"/>
    <w:rsid w:val="317E6003"/>
    <w:rsid w:val="35F40F8A"/>
    <w:rsid w:val="36B50719"/>
    <w:rsid w:val="476A10AC"/>
    <w:rsid w:val="479E6CAF"/>
    <w:rsid w:val="4997654D"/>
    <w:rsid w:val="4E0D09E3"/>
    <w:rsid w:val="4E210A3D"/>
    <w:rsid w:val="54DE09E3"/>
    <w:rsid w:val="5F267372"/>
    <w:rsid w:val="603419A6"/>
    <w:rsid w:val="6165122F"/>
    <w:rsid w:val="6324615B"/>
    <w:rsid w:val="642F1838"/>
    <w:rsid w:val="66DC145A"/>
    <w:rsid w:val="67FB34B3"/>
    <w:rsid w:val="68776D2D"/>
    <w:rsid w:val="6ACE20B5"/>
    <w:rsid w:val="72501A09"/>
    <w:rsid w:val="738549F4"/>
    <w:rsid w:val="780A371A"/>
    <w:rsid w:val="79444A09"/>
    <w:rsid w:val="7A33740B"/>
    <w:rsid w:val="7B8D580F"/>
    <w:rsid w:val="7D1724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1144</Words>
  <Characters>1167</Characters>
  <Lines>0</Lines>
  <Paragraphs>0</Paragraphs>
  <TotalTime>44</TotalTime>
  <ScaleCrop>false</ScaleCrop>
  <LinksUpToDate>false</LinksUpToDate>
  <CharactersWithSpaces>1167</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2025-09-12T03:42:00Z</dcterms:created>
  <dc:creator>hp</dc:creator>
  <cp:lastModifiedBy>Y.ZHU</cp:lastModifiedBy>
  <cp:lastPrinted>2025-10-20T02:46:07Z</cp:lastPrinted>
  <dcterms:modified xsi:type="dcterms:W3CDTF">2025-10-20T03:30:04Z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eyJoZGlkIjoiZDNlZTkzMTU1NjRlMWUyNjFmNjZlODQ2YmMwMDY4ZmMiLCJ1c2VySWQiOiIxMDMzOTA4MjczIn0=</vt:lpwstr>
  </property>
  <property fmtid="{D5CDD505-2E9C-101B-9397-08002B2CF9AE}" pid="4" name="ICV">
    <vt:lpwstr>B1BAE30C8C8944628484F26163C6E7F9_12</vt:lpwstr>
  </property>
</Properties>
</file>