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8278586f674ff2fba6e69b7729ea9337874b6b"/>
    <w:p>
      <w:pPr>
        <w:pStyle w:val="Heading1"/>
      </w:pPr>
      <w:r>
        <w:t xml:space="preserve">NOTIFICAÇÃO POR DESCUMPRIMENTO DE SERVIÇO</w:t>
      </w:r>
    </w:p>
    <w:p>
      <w:pPr>
        <w:pStyle w:val="FirstParagraph"/>
      </w:pPr>
      <w:r>
        <w:rPr>
          <w:bCs/>
          <w:b/>
        </w:rPr>
        <w:t xml:space="preserve">Município de Inajá/PR</w:t>
      </w:r>
      <w:r>
        <w:t xml:space="preserve"> </w:t>
      </w:r>
      <w:r>
        <w:rPr>
          <w:bCs/>
          <w:b/>
        </w:rPr>
        <w:t xml:space="preserve">Prefeitura Municipal — Secretaria de Finanças</w:t>
      </w:r>
    </w:p>
    <w:p>
      <w:pPr>
        <w:pStyle w:val="BodyText"/>
      </w:pPr>
      <w:r>
        <w:t xml:space="preserve">Inajá/PR, _____ de ____________________ de 2026.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À</w:t>
      </w:r>
    </w:p>
    <w:p>
      <w:pPr>
        <w:pStyle w:val="BodyText"/>
      </w:pPr>
      <w:r>
        <w:rPr>
          <w:bCs/>
          <w:b/>
        </w:rPr>
        <w:t xml:space="preserve">[NOME DA EMPRESA FORNECEDORA]</w:t>
      </w:r>
      <w:r>
        <w:t xml:space="preserve"> </w:t>
      </w:r>
      <w:r>
        <w:rPr>
          <w:bCs/>
          <w:b/>
        </w:rPr>
        <w:t xml:space="preserve">[CNPJ da Empresa]</w:t>
      </w:r>
      <w:r>
        <w:t xml:space="preserve"> </w:t>
      </w:r>
      <w:r>
        <w:rPr>
          <w:bCs/>
          <w:b/>
        </w:rPr>
        <w:t xml:space="preserve">[Endereço da Empresa]</w:t>
      </w:r>
    </w:p>
    <w:p>
      <w:pPr>
        <w:pStyle w:val="BodyText"/>
      </w:pPr>
      <w:r>
        <w:rPr>
          <w:bCs/>
          <w:b/>
        </w:rPr>
        <w:t xml:space="preserve">Ref.: Notificação de descumprimento parcial do contrato nº [Nº DO CONTRATO] — Serviço de conciliação bancária automatizada</w:t>
      </w:r>
    </w:p>
    <w:p>
      <w:pPr>
        <w:pStyle w:val="BodyText"/>
      </w:pPr>
      <w:r>
        <w:t xml:space="preserve">Prezado(a)s,</w:t>
      </w:r>
    </w:p>
    <w:p>
      <w:pPr>
        <w:pStyle w:val="BodyText"/>
      </w:pPr>
      <w:r>
        <w:t xml:space="preserve">A Secretaria Municipal de Finanças da Prefeitura de Inajá/PR, no exercício de suas atribuições legais, vem NOTIFICAR Vossa Senhoria quanto às falhas identificadas no serviço de conciliação bancária automatizada (robô/bot) prestado por essa empresa, conforme contrato acima referenciado.</w:t>
      </w:r>
    </w:p>
    <w:p>
      <w:r>
        <w:pict>
          <v:rect style="width:0;height:1.5pt" o:hralign="center" o:hrstd="t" o:hr="t"/>
        </w:pict>
      </w:r>
    </w:p>
    <w:bookmarkStart w:id="20" w:name="dos-fatos"/>
    <w:p>
      <w:pPr>
        <w:pStyle w:val="Heading2"/>
      </w:pPr>
      <w:r>
        <w:t xml:space="preserve">1. Dos fatos</w:t>
      </w:r>
    </w:p>
    <w:p>
      <w:pPr>
        <w:pStyle w:val="FirstParagraph"/>
      </w:pPr>
      <w:r>
        <w:t xml:space="preserve">O sistema automatizado de conciliação bancária contratado apresenta falhas significativas, deixando de processar corretamente aproximadamente</w:t>
      </w:r>
      <w:r>
        <w:t xml:space="preserve"> </w:t>
      </w:r>
      <w:r>
        <w:rPr>
          <w:bCs/>
          <w:b/>
        </w:rPr>
        <w:t xml:space="preserve">33% (trinta e três por cento)</w:t>
      </w:r>
      <w:r>
        <w:t xml:space="preserve"> </w:t>
      </w:r>
      <w:r>
        <w:t xml:space="preserve">das contas municipais, o que compromete a integridade e a confiabilidade dos dados financeiros da Administração Pública Municipal.</w:t>
      </w:r>
    </w:p>
    <w:p>
      <w:pPr>
        <w:pStyle w:val="BodyText"/>
      </w:pPr>
      <w:r>
        <w:t xml:space="preserve">As referidas falhas foram identificadas em: _____ de ____________________ de 2026, tendo sido registrado reclamo formal junto ao responsável técnico pela empresa em: _____ de ____________________ de 2026.</w:t>
      </w:r>
    </w:p>
    <w:p>
      <w:r>
        <w:pict>
          <v:rect style="width:0;height:1.5pt" o:hralign="center" o:hrstd="t" o:hr="t"/>
        </w:pict>
      </w:r>
    </w:p>
    <w:bookmarkEnd w:id="20"/>
    <w:bookmarkStart w:id="26" w:name="do-fundamento-legal"/>
    <w:p>
      <w:pPr>
        <w:pStyle w:val="Heading2"/>
      </w:pPr>
      <w:r>
        <w:t xml:space="preserve">2. Do fundamento legal</w:t>
      </w:r>
    </w:p>
    <w:p>
      <w:pPr>
        <w:pStyle w:val="FirstParagraph"/>
      </w:pPr>
      <w:r>
        <w:t xml:space="preserve">A presente notificação encontra amparo nas seguintes normas:</w:t>
      </w:r>
    </w:p>
    <w:bookmarkStart w:id="21" w:name="constituição-federal"/>
    <w:p>
      <w:pPr>
        <w:pStyle w:val="Heading3"/>
      </w:pPr>
      <w:r>
        <w:t xml:space="preserve">2.1. Constituição Federal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Art. 37, caput</w:t>
      </w:r>
      <w:r>
        <w:t xml:space="preserve"> </w:t>
      </w:r>
      <w:r>
        <w:t xml:space="preserve">— Princípios da Administração Pública: legalidade, impessoalidade, moralidade, publicidade e eficiência. A falha de 33% dos serviços viola o princípio da eficiência e compromete a moralidade administrativa, uma vez que recursos públicos estão sendo empregados em serviço que não atende ao fim pretendido.</w:t>
      </w:r>
    </w:p>
    <w:bookmarkEnd w:id="21"/>
    <w:bookmarkStart w:id="22" w:name="X19053445b67de72d7e6e8cbd24b48aa1a255008"/>
    <w:p>
      <w:pPr>
        <w:pStyle w:val="Heading3"/>
      </w:pPr>
      <w:r>
        <w:t xml:space="preserve">2.2. Lei nº 14.133/2021 (Nova Lei de Licitações e Contratos Administrativos)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Art. 137, inciso I</w:t>
      </w:r>
      <w:r>
        <w:t xml:space="preserve"> </w:t>
      </w:r>
      <w:r>
        <w:t xml:space="preserve">— Constitui motivo para extinção do contrato o não cumprimento ou cumprimento irregular de normas editalícias ou de cláusulas contratuais, de especificações, de projetos ou de prazos. A falha de 33% configura inexecução parcial do contrato.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Art. 155, incisos I e II</w:t>
      </w:r>
      <w:r>
        <w:t xml:space="preserve"> </w:t>
      </w:r>
      <w:r>
        <w:t xml:space="preserve">— Constituem infrações administrativas: I — dar causa à inexecução parcial do contrato; II — dar causa à inexecução parcial do contrato que cause grave dano à Administração, ao funcionamento dos serviços públicos ou ao interesse coletivo. A falha no sistema de conciliação bancária compromete diretamente a gestão fiscal e a prestação de contas do Município, configurando dano grave à Administração.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Art. 156</w:t>
      </w:r>
      <w:r>
        <w:t xml:space="preserve"> </w:t>
      </w:r>
      <w:r>
        <w:t xml:space="preserve">— Sanções administrativas, em ordem crescente de gravidade: I — advertência; II — multa; III — impedimento de licitar e contratar; IV — declaração de inidoneidade para licitar ou contratar com a Administração Pública.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Art. 156, §3º</w:t>
      </w:r>
      <w:r>
        <w:t xml:space="preserve"> </w:t>
      </w:r>
      <w:r>
        <w:t xml:space="preserve">— A multa não poderá exceder a 30% (trinta por cento) do valor do contrato.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Art. 157</w:t>
      </w:r>
      <w:r>
        <w:t xml:space="preserve"> </w:t>
      </w:r>
      <w:r>
        <w:t xml:space="preserve">— A aplicação das sanções deve observar os princípios da proporcionalidade, razoabilidade, economicidade e individualização, considerando a gravidade da infração, os danos causados, os antecedentes do infrator e as circunstâncias da infração.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Art. 92</w:t>
      </w:r>
      <w:r>
        <w:t xml:space="preserve"> </w:t>
      </w:r>
      <w:r>
        <w:t xml:space="preserve">— As hipóteses de extinção do contrato constituem cláusula necessária em todo contrato administrativo.</w:t>
      </w:r>
    </w:p>
    <w:bookmarkEnd w:id="22"/>
    <w:bookmarkStart w:id="23" w:name="X4b14c42dc6f51f333a6767d7782ff08f359df24"/>
    <w:p>
      <w:pPr>
        <w:pStyle w:val="Heading3"/>
      </w:pPr>
      <w:r>
        <w:t xml:space="preserve">2.3. Lei nº 8.666/1993 (Lei de Licitações — vigente para contratos anteriores)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Art. 78, inciso II</w:t>
      </w:r>
      <w:r>
        <w:t xml:space="preserve"> </w:t>
      </w:r>
      <w:r>
        <w:t xml:space="preserve">— Constitui motivo para rescisão unilateral do contrato o descumprimento de cláusula contratual ou de especificações, bem como a inexecução total ou parcial do ajuste.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Art. 80</w:t>
      </w:r>
      <w:r>
        <w:t xml:space="preserve"> </w:t>
      </w:r>
      <w:r>
        <w:t xml:space="preserve">— A inexecução do contrato por culpa do contratado dá lugar à rescisão, com perdas e danos e multa contratual.</w:t>
      </w:r>
    </w:p>
    <w:bookmarkEnd w:id="23"/>
    <w:bookmarkStart w:id="24" w:name="X4a0a9ff0c3fa69955844e7e2bed09bfd8e189a5"/>
    <w:p>
      <w:pPr>
        <w:pStyle w:val="Heading3"/>
      </w:pPr>
      <w:r>
        <w:t xml:space="preserve">2.4. Lei Complementar nº 101/2000 (Lei de Responsabilidade Fiscal — LRF)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Art. 70</w:t>
      </w:r>
      <w:r>
        <w:t xml:space="preserve"> </w:t>
      </w:r>
      <w:r>
        <w:t xml:space="preserve">— O controle interno da Administração Pública tem por objetivo, entre outros, avaliar e acompanhar a gestão fiscal, verificar a legalidade e a legitimidade dos atos, apurar os responsáveis por irregularidades e contribuir para a</w:t>
      </w:r>
      <w:r>
        <w:t xml:space="preserve"> </w:t>
      </w:r>
      <w:r>
        <w:rPr>
          <w:bCs/>
          <w:b/>
        </w:rPr>
        <w:t xml:space="preserve">confiabilidade dos registros contábeis</w:t>
      </w:r>
      <w:r>
        <w:t xml:space="preserve">. A falha de 33% compromete diretamente a confiabilidade dos registros contábeis municipais, ferindo este dispositivo.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Art. 54, §1º</w:t>
      </w:r>
      <w:r>
        <w:t xml:space="preserve"> </w:t>
      </w:r>
      <w:r>
        <w:t xml:space="preserve">— O Relatório de Gestão Fiscal deverá ser publicado até 30 dias após o encerramento de cada quadrimestre, com dados confiáveis. A falha no sistema de conciliação compromete a exatidão desses dados.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Art. 59</w:t>
      </w:r>
      <w:r>
        <w:t xml:space="preserve"> </w:t>
      </w:r>
      <w:r>
        <w:t xml:space="preserve">— O Poder Legislativo, com o auxílio dos Tribunais de Contas, deve realizar o acompanhamento da execução orçamentária e da gestão fiscal.</w:t>
      </w:r>
    </w:p>
    <w:bookmarkEnd w:id="24"/>
    <w:bookmarkStart w:id="25" w:name="instrução-normativa-tce-pr-nº-1962025"/>
    <w:p>
      <w:pPr>
        <w:pStyle w:val="Heading3"/>
      </w:pPr>
      <w:r>
        <w:t xml:space="preserve">2.5. Instrução Normativa TCE-PR nº 196/2025</w:t>
      </w:r>
    </w:p>
    <w:p>
      <w:pPr>
        <w:numPr>
          <w:ilvl w:val="0"/>
          <w:numId w:val="1005"/>
        </w:numPr>
        <w:pStyle w:val="Compact"/>
      </w:pPr>
      <w:r>
        <w:t xml:space="preserve">A IN nº 196/2025 do Tribunal de Contas do Estado do Paraná institui a Agenda de Obrigações Municipais para o exercício 2026, exigindo remessas mensais de dados orçamentários, contábeis e financeiros por meio do SIM-AM. A falha de 33% na conciliação bancária compromete o cumprimento dessas obrigações e sujeita o Município a retenção de certidões liberatórias e multas administrativas pelo TCE-PR.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do-prazo-para-regularização"/>
    <w:p>
      <w:pPr>
        <w:pStyle w:val="Heading2"/>
      </w:pPr>
      <w:r>
        <w:t xml:space="preserve">3. Do prazo para regularização</w:t>
      </w:r>
    </w:p>
    <w:p>
      <w:pPr>
        <w:pStyle w:val="FirstParagraph"/>
      </w:pPr>
      <w:r>
        <w:t xml:space="preserve">Concede-se o prazo de</w:t>
      </w:r>
      <w:r>
        <w:t xml:space="preserve"> </w:t>
      </w:r>
      <w:r>
        <w:rPr>
          <w:bCs/>
          <w:b/>
        </w:rPr>
        <w:t xml:space="preserve">[XX] dias úteis</w:t>
      </w:r>
      <w:r>
        <w:t xml:space="preserve">, contados do recebimento desta notificação, para que a empresa:</w:t>
      </w:r>
    </w:p>
    <w:p>
      <w:pPr>
        <w:numPr>
          <w:ilvl w:val="0"/>
          <w:numId w:val="1006"/>
        </w:numPr>
        <w:pStyle w:val="Compact"/>
      </w:pPr>
      <w:r>
        <w:t xml:space="preserve">Corrija as falhas do sistema de conciliação bancária automatizada;</w:t>
      </w:r>
    </w:p>
    <w:p>
      <w:pPr>
        <w:numPr>
          <w:ilvl w:val="0"/>
          <w:numId w:val="1006"/>
        </w:numPr>
        <w:pStyle w:val="Compact"/>
      </w:pPr>
      <w:r>
        <w:t xml:space="preserve">Apresente plano de ação com cronograma de correção;</w:t>
      </w:r>
    </w:p>
    <w:p>
      <w:pPr>
        <w:numPr>
          <w:ilvl w:val="0"/>
          <w:numId w:val="1006"/>
        </w:numPr>
        <w:pStyle w:val="Compact"/>
      </w:pPr>
      <w:r>
        <w:t xml:space="preserve">Redirija as conciliações que não foram processadas corretamente;</w:t>
      </w:r>
    </w:p>
    <w:p>
      <w:pPr>
        <w:numPr>
          <w:ilvl w:val="0"/>
          <w:numId w:val="1006"/>
        </w:numPr>
        <w:pStyle w:val="Compact"/>
      </w:pPr>
      <w:r>
        <w:t xml:space="preserve">Apresente garantias de que as falhas não se repetirão.</w:t>
      </w:r>
    </w:p>
    <w:p>
      <w:r>
        <w:pict>
          <v:rect style="width:0;height:1.5pt" o:hralign="center" o:hrstd="t" o:hr="t"/>
        </w:pict>
      </w:r>
    </w:p>
    <w:bookmarkEnd w:id="27"/>
    <w:bookmarkStart w:id="28" w:name="X34f920ca791dfe1694e88f04f1e781fa63ad2f3"/>
    <w:p>
      <w:pPr>
        <w:pStyle w:val="Heading2"/>
      </w:pPr>
      <w:r>
        <w:t xml:space="preserve">4. Das consequências em caso de não regularização</w:t>
      </w:r>
    </w:p>
    <w:p>
      <w:pPr>
        <w:pStyle w:val="FirstParagraph"/>
      </w:pPr>
      <w:r>
        <w:t xml:space="preserve">Caso as falhas não sejam sanadas no prazo estipulado, a Secretaria de Finanças reserva-se o direito de: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Reter o pagamento</w:t>
      </w:r>
      <w:r>
        <w:t xml:space="preserve"> </w:t>
      </w:r>
      <w:r>
        <w:t xml:space="preserve">vinculado ao serviço, conforme percentual equivalente à deficiência constatada, com fundamento no art. 137, I, e art. 156, II, da Lei nº 14.133/2021;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Aplicar multa contratual</w:t>
      </w:r>
      <w:r>
        <w:t xml:space="preserve">, conforme cláusula [Nº DA CLÁUSULA] do contrato e no limite de 30% do valor do contrato (art. 156, §3º, Lei nº 14.133/2021);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Rescindir unilateralmente o contrato</w:t>
      </w:r>
      <w:r>
        <w:t xml:space="preserve">, nos termos do art. 137, inciso I, da Lei nº 14.133/2021, ou art. 78, inciso II, da Lei nº 8.666/1993;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Aplicar sanção administrativa</w:t>
      </w:r>
      <w:r>
        <w:t xml:space="preserve"> </w:t>
      </w:r>
      <w:r>
        <w:t xml:space="preserve">de advertência, multa, impedimento de licitar e contratar, ou declaração de inidoneidade, conforme art. 156 da Lei nº 14.133/2021;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Instaurar processo administrativo</w:t>
      </w:r>
      <w:r>
        <w:t xml:space="preserve"> </w:t>
      </w:r>
      <w:r>
        <w:t xml:space="preserve">para apuração de responsabilidade, com eventual remessa ao Tribunal de Contas do Estado do Paraná.</w:t>
      </w:r>
    </w:p>
    <w:p>
      <w:r>
        <w:pict>
          <v:rect style="width:0;height:1.5pt" o:hralign="center" o:hrstd="t" o:hr="t"/>
        </w:pict>
      </w:r>
    </w:p>
    <w:bookmarkEnd w:id="28"/>
    <w:bookmarkStart w:id="29" w:name="disposições-finais"/>
    <w:p>
      <w:pPr>
        <w:pStyle w:val="Heading2"/>
      </w:pPr>
      <w:r>
        <w:t xml:space="preserve">5. Disposições finais</w:t>
      </w:r>
    </w:p>
    <w:p>
      <w:pPr>
        <w:pStyle w:val="FirstParagraph"/>
      </w:pPr>
      <w:r>
        <w:t xml:space="preserve">Esta notificação não renuncia a quaisquer direitos da Administração, reservando-se o Município de Inajá o direito de adotar quaisquer medidas legais cabíveis para a proteção do erário e do interesse público.</w:t>
      </w:r>
    </w:p>
    <w:p>
      <w:pPr>
        <w:pStyle w:val="BodyText"/>
      </w:pPr>
      <w:r>
        <w:t xml:space="preserve">Sem mais para o momento, subscrevemo-nos.</w:t>
      </w:r>
    </w:p>
    <w:p>
      <w:pPr>
        <w:pStyle w:val="BodyText"/>
      </w:pPr>
      <w:r>
        <w:t xml:space="preserve">Atenciosamente,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[NOME DO SECRETÁRIO DE FINANÇAS]</w:t>
      </w:r>
      <w:r>
        <w:t xml:space="preserve"> </w:t>
      </w:r>
      <w:r>
        <w:t xml:space="preserve">Secretário Municipal de Finanças</w:t>
      </w:r>
      <w:r>
        <w:t xml:space="preserve"> </w:t>
      </w:r>
      <w:r>
        <w:t xml:space="preserve">Prefeitura Municipal de Inajá/PR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Data de recebimento:</w:t>
      </w:r>
      <w:r>
        <w:t xml:space="preserve"> </w:t>
      </w:r>
      <w:r>
        <w:t xml:space="preserve">_____/_____/______</w:t>
      </w:r>
      <w:r>
        <w:t xml:space="preserve"> </w:t>
      </w:r>
      <w:r>
        <w:rPr>
          <w:bCs/>
          <w:b/>
        </w:rPr>
        <w:t xml:space="preserve">Assinatura do representante da empresa:</w:t>
      </w:r>
      <w:r>
        <w:t xml:space="preserve"> </w:t>
      </w:r>
      <w:r>
        <w:t xml:space="preserve">__________________________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gerado pela Secretaria de Finanças — Prefeitura Municipal de Inajá/PR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2026-05-04T20:16:50Z</dcterms:created>
  <dcterms:modified xsi:type="dcterms:W3CDTF">2026-05-04T20:16:50Z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