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1: This is text just to test if there are parsing issues: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0" w:tblpY="0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 (INR)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Fruits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Carrot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Vegetables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Bakery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another text for table 2 with a lots of Return keys pressed between the previous table 1 statement to test if parsing if affected: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Priya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Rahul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Table 3: This document is for Semantics testing</w:t>
        <w:tab/>
        <w:tab/>
        <w:t xml:space="preserve">Yes, the gap is to indicate tabspaces, similar to the ones after this</w:t>
        <w:tab/>
        <w:tab/>
      </w:r>
    </w:p>
    <w:tbl>
      <w:tblPr>
        <w:tblStyle w:val="Table3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 (INR)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Anil Kumar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Riya Sen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Sandeep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70,000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Table 4 - Leaving more Lines between tables as Giving space is important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Show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Inception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Sci-Fi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Titanic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2:00 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Avengers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6:00 PM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Final table - is going to be placed normally, or not: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,</w:t>
        <w:tab/>
        <w:t xml:space="preserve">..</w:t>
        <w:tab/>
        <w:t xml:space="preserve">.,]MJ98-99756-2993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-988667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Yup, there’s a lot going on up there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Temperature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Chennai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12-Oct-24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Sunny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Mumbai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12-Oct-24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12-Oct-24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Cloudy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