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87DC7" w14:textId="2513E3F5" w:rsidR="00434920" w:rsidRDefault="008900F5" w:rsidP="00434920">
      <w:r>
        <w:rPr>
          <w:noProof/>
        </w:rPr>
        <w:drawing>
          <wp:anchor distT="0" distB="0" distL="114300" distR="114300" simplePos="0" relativeHeight="251658240" behindDoc="0" locked="0" layoutInCell="1" allowOverlap="1" wp14:anchorId="00A64763" wp14:editId="060D4F93">
            <wp:simplePos x="0" y="0"/>
            <wp:positionH relativeFrom="column">
              <wp:posOffset>4096894</wp:posOffset>
            </wp:positionH>
            <wp:positionV relativeFrom="paragraph">
              <wp:posOffset>-535548</wp:posOffset>
            </wp:positionV>
            <wp:extent cx="3031259" cy="74930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vello_final_justlogo.png"/>
                    <pic:cNvPicPr/>
                  </pic:nvPicPr>
                  <pic:blipFill>
                    <a:blip r:embed="rId8">
                      <a:extLst>
                        <a:ext uri="{28A0092B-C50C-407E-A947-70E740481C1C}">
                          <a14:useLocalDpi xmlns:a14="http://schemas.microsoft.com/office/drawing/2010/main" val="0"/>
                        </a:ext>
                      </a:extLst>
                    </a:blip>
                    <a:stretch>
                      <a:fillRect/>
                    </a:stretch>
                  </pic:blipFill>
                  <pic:spPr>
                    <a:xfrm>
                      <a:off x="0" y="0"/>
                      <a:ext cx="3031259" cy="749300"/>
                    </a:xfrm>
                    <a:prstGeom prst="rect">
                      <a:avLst/>
                    </a:prstGeom>
                  </pic:spPr>
                </pic:pic>
              </a:graphicData>
            </a:graphic>
            <wp14:sizeRelH relativeFrom="page">
              <wp14:pctWidth>0</wp14:pctWidth>
            </wp14:sizeRelH>
            <wp14:sizeRelV relativeFrom="page">
              <wp14:pctHeight>0</wp14:pctHeight>
            </wp14:sizeRelV>
          </wp:anchor>
        </w:drawing>
      </w:r>
      <w:r w:rsidR="00434920" w:rsidRPr="00434920">
        <w:t xml:space="preserve"> </w:t>
      </w:r>
    </w:p>
    <w:p w14:paraId="6CEDFF66" w14:textId="77777777" w:rsidR="00434920" w:rsidRPr="00434920" w:rsidRDefault="00434920" w:rsidP="00434920">
      <w:pPr>
        <w:jc w:val="center"/>
        <w:rPr>
          <w:b/>
          <w:bCs/>
          <w:sz w:val="36"/>
          <w:szCs w:val="36"/>
        </w:rPr>
      </w:pPr>
      <w:r w:rsidRPr="00434920">
        <w:rPr>
          <w:b/>
          <w:bCs/>
          <w:sz w:val="36"/>
          <w:szCs w:val="36"/>
        </w:rPr>
        <w:t>Code Functionality</w:t>
      </w:r>
    </w:p>
    <w:p w14:paraId="016BF088" w14:textId="09966990" w:rsidR="00434920" w:rsidRDefault="00434920" w:rsidP="00434920">
      <w:pPr>
        <w:pStyle w:val="Heading1"/>
      </w:pPr>
      <w:r>
        <w:t>About functionality</w:t>
      </w:r>
    </w:p>
    <w:p w14:paraId="24F74A47" w14:textId="77777777" w:rsidR="00434920" w:rsidRDefault="00434920" w:rsidP="00434920">
      <w:pPr>
        <w:pStyle w:val="NoSpacing"/>
      </w:pPr>
      <w:r>
        <w:t>The code is built for uploading bunch of files from a local folder location to a given blob storage location. Functionalities like copy, move, delete after uploading the files to blob are handled as part of the execution. Every available functionality is driven through an INI configuration file.</w:t>
      </w:r>
    </w:p>
    <w:p w14:paraId="3DE95A77" w14:textId="6A5C5EC6" w:rsidR="00434920" w:rsidRDefault="00434920" w:rsidP="00434920">
      <w:pPr>
        <w:pStyle w:val="Heading1"/>
      </w:pPr>
      <w:r>
        <w:t>About configuration</w:t>
      </w:r>
    </w:p>
    <w:p w14:paraId="3C404FF3" w14:textId="77777777" w:rsidR="00434920" w:rsidRDefault="00434920" w:rsidP="00434920">
      <w:pPr>
        <w:pStyle w:val="NoSpacing"/>
      </w:pPr>
      <w:r>
        <w:t>INI file is built with 2 sections LOCAL_INFO &amp; BLOB_INFO. The configuration details are split between these 2 sections as</w:t>
      </w:r>
    </w:p>
    <w:p w14:paraId="0A47EECE" w14:textId="58B895C7" w:rsidR="00434920" w:rsidRDefault="00434920" w:rsidP="00434920">
      <w:pPr>
        <w:pStyle w:val="Heading2"/>
      </w:pPr>
      <w:r>
        <w:t>LOCAL_INFO</w:t>
      </w:r>
    </w:p>
    <w:p w14:paraId="04A0F9EE" w14:textId="37F324C9" w:rsidR="00434920" w:rsidRDefault="00434920" w:rsidP="00434920">
      <w:pPr>
        <w:pStyle w:val="NoSpacing"/>
        <w:numPr>
          <w:ilvl w:val="0"/>
          <w:numId w:val="8"/>
        </w:numPr>
        <w:ind w:left="993"/>
      </w:pPr>
      <w:r>
        <w:t>All the information like from where files to be picked up</w:t>
      </w:r>
    </w:p>
    <w:p w14:paraId="2EA0CF91" w14:textId="38C3CAD1" w:rsidR="00434920" w:rsidRDefault="00434920" w:rsidP="00434920">
      <w:pPr>
        <w:pStyle w:val="NoSpacing"/>
        <w:numPr>
          <w:ilvl w:val="0"/>
          <w:numId w:val="8"/>
        </w:numPr>
        <w:ind w:left="993"/>
      </w:pPr>
      <w:r>
        <w:t>What extension files to be picked up</w:t>
      </w:r>
    </w:p>
    <w:p w14:paraId="6A47B8AD" w14:textId="5CC9A5FE" w:rsidR="00434920" w:rsidRDefault="00434920" w:rsidP="00434920">
      <w:pPr>
        <w:pStyle w:val="NoSpacing"/>
        <w:numPr>
          <w:ilvl w:val="0"/>
          <w:numId w:val="8"/>
        </w:numPr>
        <w:ind w:left="993"/>
      </w:pPr>
      <w:r>
        <w:t>Actions to be taken on the files after upload</w:t>
      </w:r>
    </w:p>
    <w:p w14:paraId="5C84BE3B" w14:textId="63D68682" w:rsidR="00434920" w:rsidRDefault="00434920" w:rsidP="00434920">
      <w:pPr>
        <w:pStyle w:val="NoSpacing"/>
        <w:numPr>
          <w:ilvl w:val="0"/>
          <w:numId w:val="8"/>
        </w:numPr>
        <w:ind w:left="993"/>
      </w:pPr>
      <w:r>
        <w:t>Supportive information on the actions</w:t>
      </w:r>
    </w:p>
    <w:p w14:paraId="6B82C129" w14:textId="3C56D35A" w:rsidR="00434920" w:rsidRDefault="00434920" w:rsidP="00434920">
      <w:pPr>
        <w:pStyle w:val="Heading2"/>
      </w:pPr>
      <w:r>
        <w:t>BLOB_INFO</w:t>
      </w:r>
    </w:p>
    <w:p w14:paraId="12393909" w14:textId="41A84AF4" w:rsidR="00434920" w:rsidRDefault="00434920" w:rsidP="00434920">
      <w:pPr>
        <w:pStyle w:val="NoSpacing"/>
        <w:numPr>
          <w:ilvl w:val="0"/>
          <w:numId w:val="9"/>
        </w:numPr>
        <w:ind w:left="993"/>
      </w:pPr>
      <w:r>
        <w:t>Blob connection details</w:t>
      </w:r>
    </w:p>
    <w:p w14:paraId="384DBA8E" w14:textId="55EE8132" w:rsidR="00434920" w:rsidRDefault="00434920" w:rsidP="00434920">
      <w:pPr>
        <w:pStyle w:val="NoSpacing"/>
        <w:numPr>
          <w:ilvl w:val="1"/>
          <w:numId w:val="9"/>
        </w:numPr>
      </w:pPr>
      <w:r>
        <w:t>Blob name</w:t>
      </w:r>
    </w:p>
    <w:p w14:paraId="18FA9A7A" w14:textId="45799C95" w:rsidR="00434920" w:rsidRDefault="00434920" w:rsidP="00434920">
      <w:pPr>
        <w:pStyle w:val="NoSpacing"/>
        <w:numPr>
          <w:ilvl w:val="1"/>
          <w:numId w:val="9"/>
        </w:numPr>
      </w:pPr>
      <w:r>
        <w:t>Blob key</w:t>
      </w:r>
    </w:p>
    <w:p w14:paraId="6104F955" w14:textId="6A59F93A" w:rsidR="00434920" w:rsidRDefault="00434920" w:rsidP="00434920">
      <w:pPr>
        <w:pStyle w:val="NoSpacing"/>
        <w:numPr>
          <w:ilvl w:val="1"/>
          <w:numId w:val="9"/>
        </w:numPr>
      </w:pPr>
      <w:r>
        <w:t>Container name</w:t>
      </w:r>
    </w:p>
    <w:p w14:paraId="16DE28DE" w14:textId="5B7C4259" w:rsidR="00434920" w:rsidRDefault="00434920" w:rsidP="00434920">
      <w:pPr>
        <w:pStyle w:val="NoSpacing"/>
        <w:numPr>
          <w:ilvl w:val="0"/>
          <w:numId w:val="9"/>
        </w:numPr>
        <w:ind w:left="993"/>
      </w:pPr>
      <w:r>
        <w:t>Where to push the files in blob (Virtual blob path)</w:t>
      </w:r>
    </w:p>
    <w:p w14:paraId="63D29135" w14:textId="00A086B8" w:rsidR="00434920" w:rsidRDefault="00434920" w:rsidP="00434920">
      <w:pPr>
        <w:pStyle w:val="Heading1"/>
      </w:pPr>
      <w:r>
        <w:t>Information</w:t>
      </w:r>
    </w:p>
    <w:p w14:paraId="3D2B6E32" w14:textId="77777777" w:rsidR="00434920" w:rsidRDefault="00434920" w:rsidP="00434920">
      <w:pPr>
        <w:pStyle w:val="NoSpacing"/>
        <w:numPr>
          <w:ilvl w:val="0"/>
          <w:numId w:val="10"/>
        </w:numPr>
        <w:ind w:left="993"/>
      </w:pPr>
      <w:r>
        <w:t>Files from multiple location can be pushed in the same execution with slight change in the configuration file</w:t>
      </w:r>
    </w:p>
    <w:p w14:paraId="0D491513" w14:textId="6E408B43" w:rsidR="00434920" w:rsidRDefault="00434920" w:rsidP="00434920">
      <w:pPr>
        <w:pStyle w:val="NoSpacing"/>
        <w:numPr>
          <w:ilvl w:val="0"/>
          <w:numId w:val="10"/>
        </w:numPr>
        <w:ind w:left="993"/>
      </w:pPr>
      <w:r>
        <w:t>Respective destination paths and extensions can be provided for different source folder locations</w:t>
      </w:r>
    </w:p>
    <w:p w14:paraId="47BA2A75" w14:textId="2F3F3635" w:rsidR="00434920" w:rsidRDefault="00434920" w:rsidP="00434920">
      <w:pPr>
        <w:pStyle w:val="Heading1"/>
      </w:pPr>
      <w:r>
        <w:t>About code</w:t>
      </w:r>
    </w:p>
    <w:p w14:paraId="4BFB98F4" w14:textId="295CFD63" w:rsidR="00434920" w:rsidRDefault="00434920" w:rsidP="00434920">
      <w:pPr>
        <w:pStyle w:val="Heading2"/>
      </w:pPr>
      <w:r>
        <w:t>Libraries used</w:t>
      </w:r>
    </w:p>
    <w:p w14:paraId="0E27A94D" w14:textId="6E310A47" w:rsidR="00434920" w:rsidRDefault="00434920" w:rsidP="00434920">
      <w:pPr>
        <w:pStyle w:val="NoSpacing"/>
        <w:numPr>
          <w:ilvl w:val="0"/>
          <w:numId w:val="11"/>
        </w:numPr>
        <w:ind w:left="993"/>
      </w:pPr>
      <w:r w:rsidRPr="00434920">
        <w:rPr>
          <w:b/>
          <w:bCs/>
        </w:rPr>
        <w:t>azure.storage.blob</w:t>
      </w:r>
      <w:r>
        <w:t xml:space="preserve"> – Blob operations (Connect &amp; Upload)</w:t>
      </w:r>
    </w:p>
    <w:p w14:paraId="2296AE97" w14:textId="21713552" w:rsidR="00434920" w:rsidRDefault="00434920" w:rsidP="00434920">
      <w:pPr>
        <w:pStyle w:val="NoSpacing"/>
        <w:numPr>
          <w:ilvl w:val="0"/>
          <w:numId w:val="11"/>
        </w:numPr>
        <w:ind w:left="993"/>
      </w:pPr>
      <w:r w:rsidRPr="00434920">
        <w:rPr>
          <w:b/>
          <w:bCs/>
        </w:rPr>
        <w:t>coloroma</w:t>
      </w:r>
      <w:r>
        <w:t xml:space="preserve"> – Console output log for coloured notations </w:t>
      </w:r>
    </w:p>
    <w:p w14:paraId="09B49281" w14:textId="0BE18FAD" w:rsidR="00434920" w:rsidRDefault="00434920" w:rsidP="00434920">
      <w:pPr>
        <w:pStyle w:val="NoSpacing"/>
        <w:numPr>
          <w:ilvl w:val="0"/>
          <w:numId w:val="11"/>
        </w:numPr>
        <w:ind w:left="993"/>
      </w:pPr>
      <w:r w:rsidRPr="00434920">
        <w:rPr>
          <w:b/>
          <w:bCs/>
        </w:rPr>
        <w:t>configparser</w:t>
      </w:r>
      <w:r>
        <w:t xml:space="preserve"> – Access .ini configuration file</w:t>
      </w:r>
    </w:p>
    <w:p w14:paraId="6F650274" w14:textId="424269A8" w:rsidR="00434920" w:rsidRDefault="00434920" w:rsidP="00434920">
      <w:pPr>
        <w:pStyle w:val="NoSpacing"/>
        <w:numPr>
          <w:ilvl w:val="0"/>
          <w:numId w:val="11"/>
        </w:numPr>
        <w:ind w:left="993"/>
      </w:pPr>
      <w:r w:rsidRPr="00434920">
        <w:rPr>
          <w:b/>
          <w:bCs/>
        </w:rPr>
        <w:t>datetime, timedelta, time, pathlib, shutil, os, sys</w:t>
      </w:r>
      <w:r>
        <w:t xml:space="preserve"> – Utility actions like folder accesses, time calculations</w:t>
      </w:r>
    </w:p>
    <w:p w14:paraId="111C00B3" w14:textId="45C10908" w:rsidR="00434920" w:rsidRDefault="001166C8" w:rsidP="00434920">
      <w:pPr>
        <w:pStyle w:val="Heading2"/>
      </w:pPr>
      <w:r>
        <w:t>Output inference</w:t>
      </w:r>
    </w:p>
    <w:p w14:paraId="19844037" w14:textId="3CF149F8" w:rsidR="001166C8" w:rsidRDefault="001166C8" w:rsidP="001166C8">
      <w:pPr>
        <w:pStyle w:val="NoSpacing"/>
        <w:numPr>
          <w:ilvl w:val="0"/>
          <w:numId w:val="13"/>
        </w:numPr>
        <w:ind w:left="993"/>
      </w:pPr>
      <w:r>
        <w:t>Status information are provided in Green colour (Success – No issues/failures)</w:t>
      </w:r>
    </w:p>
    <w:p w14:paraId="27192DE7" w14:textId="6D2BC68A" w:rsidR="001166C8" w:rsidRDefault="001166C8" w:rsidP="001166C8">
      <w:pPr>
        <w:pStyle w:val="NoSpacing"/>
        <w:numPr>
          <w:ilvl w:val="0"/>
          <w:numId w:val="13"/>
        </w:numPr>
        <w:ind w:left="993"/>
      </w:pPr>
      <w:r>
        <w:t>Debugging information are printed in White colour</w:t>
      </w:r>
    </w:p>
    <w:p w14:paraId="436C887B" w14:textId="10931CB2" w:rsidR="001166C8" w:rsidRDefault="001166C8" w:rsidP="001166C8">
      <w:pPr>
        <w:pStyle w:val="NoSpacing"/>
        <w:numPr>
          <w:ilvl w:val="0"/>
          <w:numId w:val="13"/>
        </w:numPr>
        <w:ind w:left="993"/>
      </w:pPr>
      <w:r>
        <w:t>Warning messages are printed in Yellow colour</w:t>
      </w:r>
    </w:p>
    <w:p w14:paraId="76C09D4C" w14:textId="4D7E6FDC" w:rsidR="001166C8" w:rsidRDefault="001166C8" w:rsidP="001166C8">
      <w:pPr>
        <w:pStyle w:val="NoSpacing"/>
        <w:numPr>
          <w:ilvl w:val="0"/>
          <w:numId w:val="13"/>
        </w:numPr>
        <w:ind w:left="993"/>
      </w:pPr>
      <w:r>
        <w:t>Error messages are printed in Red colour</w:t>
      </w:r>
    </w:p>
    <w:p w14:paraId="06963B18" w14:textId="354E7653" w:rsidR="001166C8" w:rsidRDefault="001166C8" w:rsidP="001166C8">
      <w:pPr>
        <w:pStyle w:val="NoSpacing"/>
        <w:numPr>
          <w:ilvl w:val="0"/>
          <w:numId w:val="13"/>
        </w:numPr>
        <w:ind w:left="993"/>
      </w:pPr>
      <w:r>
        <w:t>“All OK” message at the end of the execution denotes the successful code completion</w:t>
      </w:r>
    </w:p>
    <w:p w14:paraId="3FD61B10" w14:textId="44AD8163" w:rsidR="001166C8" w:rsidRPr="001166C8" w:rsidRDefault="001166C8" w:rsidP="001166C8">
      <w:pPr>
        <w:pStyle w:val="Heading2"/>
      </w:pPr>
      <w:r>
        <w:t>Code Integrity details</w:t>
      </w:r>
    </w:p>
    <w:p w14:paraId="532192B7" w14:textId="026C50F7" w:rsidR="001166C8" w:rsidRDefault="001166C8" w:rsidP="001166C8">
      <w:pPr>
        <w:pStyle w:val="ListParagraph"/>
        <w:numPr>
          <w:ilvl w:val="0"/>
          <w:numId w:val="14"/>
        </w:numPr>
        <w:ind w:left="993"/>
      </w:pPr>
      <w:r>
        <w:t>Program exit code is specified explicitly for successful completion and failure exit. Based on this, the successive task/code can be triggered.</w:t>
      </w:r>
    </w:p>
    <w:p w14:paraId="7CAA905C" w14:textId="4F498935" w:rsidR="001166C8" w:rsidRDefault="001166C8" w:rsidP="001166C8">
      <w:pPr>
        <w:pStyle w:val="ListParagraph"/>
        <w:numPr>
          <w:ilvl w:val="0"/>
          <w:numId w:val="14"/>
        </w:numPr>
        <w:ind w:left="993"/>
      </w:pPr>
      <w:r>
        <w:t>Program success code = 0</w:t>
      </w:r>
    </w:p>
    <w:p w14:paraId="54BD5861" w14:textId="5CB0900F" w:rsidR="001166C8" w:rsidRPr="001166C8" w:rsidRDefault="001166C8" w:rsidP="001166C8">
      <w:pPr>
        <w:pStyle w:val="ListParagraph"/>
        <w:numPr>
          <w:ilvl w:val="0"/>
          <w:numId w:val="14"/>
        </w:numPr>
        <w:ind w:left="993"/>
      </w:pPr>
      <w:r>
        <w:t>Program failure code = 1</w:t>
      </w:r>
    </w:p>
    <w:p w14:paraId="7A537D82" w14:textId="41CFA833" w:rsidR="00434920" w:rsidRDefault="001166C8" w:rsidP="001166C8">
      <w:pPr>
        <w:pStyle w:val="Heading1"/>
      </w:pPr>
      <w:r>
        <w:lastRenderedPageBreak/>
        <w:t>Ways to build configuration</w:t>
      </w:r>
    </w:p>
    <w:p w14:paraId="1C76AABE" w14:textId="4BAE3BB2" w:rsidR="001166C8" w:rsidRDefault="001166C8" w:rsidP="001166C8">
      <w:pPr>
        <w:pStyle w:val="Heading2"/>
      </w:pPr>
      <w:r>
        <w:t>local_path</w:t>
      </w:r>
    </w:p>
    <w:p w14:paraId="0F810A00" w14:textId="77777777" w:rsidR="001166C8" w:rsidRDefault="001166C8" w:rsidP="001166C8">
      <w:pPr>
        <w:pStyle w:val="NoSpacing"/>
        <w:numPr>
          <w:ilvl w:val="0"/>
          <w:numId w:val="15"/>
        </w:numPr>
        <w:ind w:left="993"/>
      </w:pPr>
      <w:r>
        <w:t>This says files should be picked from which path</w:t>
      </w:r>
    </w:p>
    <w:p w14:paraId="646966B5" w14:textId="77777777" w:rsidR="001166C8" w:rsidRDefault="001166C8" w:rsidP="001166C8">
      <w:pPr>
        <w:pStyle w:val="NoSpacing"/>
        <w:numPr>
          <w:ilvl w:val="0"/>
          <w:numId w:val="15"/>
        </w:numPr>
        <w:ind w:left="993"/>
      </w:pPr>
      <w:r>
        <w:t>Always use (/) and do not use (\)</w:t>
      </w:r>
    </w:p>
    <w:p w14:paraId="3A961D3F" w14:textId="77777777" w:rsidR="001166C8" w:rsidRDefault="001166C8" w:rsidP="001166C8">
      <w:pPr>
        <w:pStyle w:val="NoSpacing"/>
        <w:numPr>
          <w:ilvl w:val="0"/>
          <w:numId w:val="15"/>
        </w:numPr>
        <w:ind w:left="993"/>
      </w:pPr>
      <w:r>
        <w:t>Always end the folder path with slash (/)</w:t>
      </w:r>
    </w:p>
    <w:p w14:paraId="2BECDE84" w14:textId="77777777" w:rsidR="001166C8" w:rsidRDefault="001166C8" w:rsidP="001166C8">
      <w:pPr>
        <w:pStyle w:val="NoSpacing"/>
        <w:numPr>
          <w:ilvl w:val="0"/>
          <w:numId w:val="15"/>
        </w:numPr>
        <w:ind w:left="993"/>
      </w:pPr>
      <w:r>
        <w:t>Do not miss out the slash at the end (/)</w:t>
      </w:r>
    </w:p>
    <w:p w14:paraId="3921459F" w14:textId="77777777" w:rsidR="001166C8" w:rsidRDefault="001166C8" w:rsidP="001166C8">
      <w:pPr>
        <w:pStyle w:val="NoSpacing"/>
        <w:numPr>
          <w:ilvl w:val="0"/>
          <w:numId w:val="15"/>
        </w:numPr>
        <w:ind w:left="993"/>
      </w:pPr>
      <w:r>
        <w:t>Do not provide the file names in the path</w:t>
      </w:r>
    </w:p>
    <w:p w14:paraId="4C78AC2B" w14:textId="77777777" w:rsidR="001166C8" w:rsidRDefault="001166C8" w:rsidP="001166C8">
      <w:pPr>
        <w:pStyle w:val="NoSpacing"/>
        <w:numPr>
          <w:ilvl w:val="0"/>
          <w:numId w:val="15"/>
        </w:numPr>
        <w:ind w:left="993"/>
      </w:pPr>
      <w:r>
        <w:t>Can provide multiple paths separated by semi colon (;)</w:t>
      </w:r>
    </w:p>
    <w:p w14:paraId="4C71CB6E" w14:textId="7360F4D2" w:rsidR="001166C8" w:rsidRDefault="001166C8" w:rsidP="001166C8">
      <w:pPr>
        <w:pStyle w:val="Heading2"/>
      </w:pPr>
      <w:r>
        <w:t>extension_list</w:t>
      </w:r>
    </w:p>
    <w:p w14:paraId="449624AF" w14:textId="77777777" w:rsidR="001166C8" w:rsidRDefault="001166C8" w:rsidP="001166C8">
      <w:pPr>
        <w:pStyle w:val="NoSpacing"/>
        <w:numPr>
          <w:ilvl w:val="0"/>
          <w:numId w:val="16"/>
        </w:numPr>
        <w:ind w:left="993"/>
      </w:pPr>
      <w:r>
        <w:t>This says what extension files should be uploaded to blob from the given folder location</w:t>
      </w:r>
    </w:p>
    <w:p w14:paraId="4F0A32BA" w14:textId="77777777" w:rsidR="001166C8" w:rsidRDefault="001166C8" w:rsidP="001166C8">
      <w:pPr>
        <w:pStyle w:val="NoSpacing"/>
        <w:numPr>
          <w:ilvl w:val="0"/>
          <w:numId w:val="16"/>
        </w:numPr>
        <w:ind w:left="993"/>
      </w:pPr>
      <w:r>
        <w:t>Provide the full extension with dot (.csv) or (.xlsx)</w:t>
      </w:r>
    </w:p>
    <w:p w14:paraId="5548EBA7" w14:textId="77777777" w:rsidR="001166C8" w:rsidRDefault="001166C8" w:rsidP="001166C8">
      <w:pPr>
        <w:pStyle w:val="NoSpacing"/>
        <w:numPr>
          <w:ilvl w:val="0"/>
          <w:numId w:val="16"/>
        </w:numPr>
        <w:ind w:left="993"/>
      </w:pPr>
      <w:r>
        <w:t>Multiple extensions can be provided separated by semi colon (;)</w:t>
      </w:r>
    </w:p>
    <w:p w14:paraId="69853697" w14:textId="77777777" w:rsidR="001166C8" w:rsidRDefault="001166C8" w:rsidP="001166C8">
      <w:pPr>
        <w:pStyle w:val="NoSpacing"/>
        <w:numPr>
          <w:ilvl w:val="0"/>
          <w:numId w:val="16"/>
        </w:numPr>
        <w:ind w:left="993"/>
      </w:pPr>
      <w:r>
        <w:t>Make sure number of extension provided should be equal to number of folder paths provided in local_path parameter</w:t>
      </w:r>
    </w:p>
    <w:p w14:paraId="368C1F4A" w14:textId="626CD2D6" w:rsidR="001166C8" w:rsidRDefault="001166C8" w:rsidP="001166C8">
      <w:pPr>
        <w:pStyle w:val="Heading2"/>
      </w:pPr>
      <w:r>
        <w:t>action_on_file</w:t>
      </w:r>
    </w:p>
    <w:p w14:paraId="38992AF5" w14:textId="77777777" w:rsidR="001166C8" w:rsidRDefault="001166C8" w:rsidP="001166C8">
      <w:pPr>
        <w:pStyle w:val="NoSpacing"/>
        <w:numPr>
          <w:ilvl w:val="0"/>
          <w:numId w:val="17"/>
        </w:numPr>
        <w:ind w:left="993"/>
      </w:pPr>
      <w:r>
        <w:t>This specifies whether the file should be copied or moved</w:t>
      </w:r>
    </w:p>
    <w:p w14:paraId="6711C102" w14:textId="243AC8A6" w:rsidR="001166C8" w:rsidRDefault="00A10C1E" w:rsidP="001166C8">
      <w:pPr>
        <w:pStyle w:val="NoSpacing"/>
        <w:numPr>
          <w:ilvl w:val="0"/>
          <w:numId w:val="17"/>
        </w:numPr>
        <w:ind w:left="993"/>
      </w:pPr>
      <w:r>
        <w:t>3</w:t>
      </w:r>
      <w:r w:rsidR="001166C8">
        <w:t xml:space="preserve"> options are supported</w:t>
      </w:r>
    </w:p>
    <w:p w14:paraId="2F2658EC" w14:textId="125AECE7" w:rsidR="001166C8" w:rsidRDefault="001166C8" w:rsidP="001166C8">
      <w:pPr>
        <w:pStyle w:val="NoSpacing"/>
        <w:numPr>
          <w:ilvl w:val="0"/>
          <w:numId w:val="17"/>
        </w:numPr>
        <w:ind w:left="993"/>
      </w:pPr>
      <w:r>
        <w:t>copy or move</w:t>
      </w:r>
      <w:r w:rsidR="00A10C1E">
        <w:t xml:space="preserve"> or </w:t>
      </w:r>
      <w:r w:rsidR="00A32537">
        <w:t>cut</w:t>
      </w:r>
      <w:bookmarkStart w:id="0" w:name="_GoBack"/>
      <w:bookmarkEnd w:id="0"/>
    </w:p>
    <w:p w14:paraId="41014D9D" w14:textId="28991146" w:rsidR="00C039E9" w:rsidRDefault="00C039E9" w:rsidP="00C039E9">
      <w:pPr>
        <w:pStyle w:val="Heading2"/>
      </w:pPr>
      <w:r w:rsidRPr="00C039E9">
        <w:t>destination_path</w:t>
      </w:r>
    </w:p>
    <w:p w14:paraId="0B8B3264" w14:textId="68CFD86F" w:rsidR="00796099" w:rsidRDefault="00796099" w:rsidP="00796099">
      <w:pPr>
        <w:pStyle w:val="NoSpacing"/>
        <w:numPr>
          <w:ilvl w:val="0"/>
          <w:numId w:val="15"/>
        </w:numPr>
        <w:ind w:left="993"/>
      </w:pPr>
      <w:r>
        <w:t xml:space="preserve">This says files should be </w:t>
      </w:r>
      <w:r w:rsidR="00E45DE8">
        <w:t>moved to</w:t>
      </w:r>
      <w:r>
        <w:t xml:space="preserve"> which path</w:t>
      </w:r>
    </w:p>
    <w:p w14:paraId="7618DD53" w14:textId="77777777" w:rsidR="00796099" w:rsidRDefault="00796099" w:rsidP="00796099">
      <w:pPr>
        <w:pStyle w:val="NoSpacing"/>
        <w:numPr>
          <w:ilvl w:val="0"/>
          <w:numId w:val="15"/>
        </w:numPr>
        <w:ind w:left="993"/>
      </w:pPr>
      <w:r>
        <w:t>Always use (/) and do not use (\)</w:t>
      </w:r>
    </w:p>
    <w:p w14:paraId="32EF9F6E" w14:textId="77777777" w:rsidR="00796099" w:rsidRDefault="00796099" w:rsidP="00796099">
      <w:pPr>
        <w:pStyle w:val="NoSpacing"/>
        <w:numPr>
          <w:ilvl w:val="0"/>
          <w:numId w:val="15"/>
        </w:numPr>
        <w:ind w:left="993"/>
      </w:pPr>
      <w:r>
        <w:t>Always end the folder path with slash (/)</w:t>
      </w:r>
    </w:p>
    <w:p w14:paraId="2DC4168E" w14:textId="48A55172" w:rsidR="00796099" w:rsidRDefault="00796099" w:rsidP="00796099">
      <w:pPr>
        <w:pStyle w:val="NoSpacing"/>
        <w:numPr>
          <w:ilvl w:val="0"/>
          <w:numId w:val="15"/>
        </w:numPr>
        <w:ind w:left="993"/>
      </w:pPr>
      <w:r>
        <w:t xml:space="preserve">Do not </w:t>
      </w:r>
      <w:r>
        <w:t xml:space="preserve">add </w:t>
      </w:r>
      <w:r>
        <w:t>slash</w:t>
      </w:r>
      <w:r>
        <w:t>es</w:t>
      </w:r>
      <w:r>
        <w:t xml:space="preserve"> at the end (/)</w:t>
      </w:r>
    </w:p>
    <w:p w14:paraId="56A20606" w14:textId="77777777" w:rsidR="00796099" w:rsidRDefault="00796099" w:rsidP="00796099">
      <w:pPr>
        <w:pStyle w:val="NoSpacing"/>
        <w:numPr>
          <w:ilvl w:val="0"/>
          <w:numId w:val="15"/>
        </w:numPr>
        <w:ind w:left="993"/>
      </w:pPr>
      <w:r>
        <w:t>Do not provide the file names in the path</w:t>
      </w:r>
    </w:p>
    <w:p w14:paraId="133865A0" w14:textId="52015727" w:rsidR="00C039E9" w:rsidRPr="00C039E9" w:rsidRDefault="00796099" w:rsidP="00796099">
      <w:pPr>
        <w:pStyle w:val="NoSpacing"/>
        <w:numPr>
          <w:ilvl w:val="0"/>
          <w:numId w:val="15"/>
        </w:numPr>
        <w:ind w:left="993"/>
      </w:pPr>
      <w:r>
        <w:t>Can provide multiple paths separated by semi colon (;)</w:t>
      </w:r>
    </w:p>
    <w:p w14:paraId="6D2E1E7D" w14:textId="7634F0A1" w:rsidR="001166C8" w:rsidRDefault="001166C8" w:rsidP="001166C8">
      <w:pPr>
        <w:pStyle w:val="Heading2"/>
      </w:pPr>
      <w:r>
        <w:t>blob_nam</w:t>
      </w:r>
      <w:r>
        <w:t>e</w:t>
      </w:r>
    </w:p>
    <w:p w14:paraId="1D548990" w14:textId="77777777" w:rsidR="001166C8" w:rsidRDefault="001166C8" w:rsidP="001166C8">
      <w:pPr>
        <w:pStyle w:val="NoSpacing"/>
        <w:numPr>
          <w:ilvl w:val="0"/>
          <w:numId w:val="18"/>
        </w:numPr>
        <w:ind w:left="993"/>
      </w:pPr>
      <w:r>
        <w:t>Used to connect to the specific blob where the files had to be uploaded</w:t>
      </w:r>
    </w:p>
    <w:p w14:paraId="4F2E1F5F" w14:textId="6F07A957" w:rsidR="001166C8" w:rsidRDefault="001166C8" w:rsidP="001166C8">
      <w:pPr>
        <w:pStyle w:val="Heading2"/>
      </w:pPr>
      <w:r>
        <w:t>blob_key</w:t>
      </w:r>
    </w:p>
    <w:p w14:paraId="377652FC" w14:textId="77777777" w:rsidR="001166C8" w:rsidRDefault="001166C8" w:rsidP="001166C8">
      <w:pPr>
        <w:pStyle w:val="NoSpacing"/>
        <w:numPr>
          <w:ilvl w:val="0"/>
          <w:numId w:val="18"/>
        </w:numPr>
        <w:ind w:left="993"/>
      </w:pPr>
      <w:r>
        <w:t>Used to connect to the specific blob where the files has to be uploaded</w:t>
      </w:r>
    </w:p>
    <w:p w14:paraId="515A4E5C" w14:textId="77777777" w:rsidR="001166C8" w:rsidRDefault="001166C8" w:rsidP="001166C8">
      <w:pPr>
        <w:pStyle w:val="NoSpacing"/>
        <w:numPr>
          <w:ilvl w:val="0"/>
          <w:numId w:val="18"/>
        </w:numPr>
        <w:ind w:left="993"/>
      </w:pPr>
      <w:r>
        <w:t>The configuration files are not encrypted. Please keep the config file safely</w:t>
      </w:r>
    </w:p>
    <w:p w14:paraId="107CFDD6" w14:textId="38675EEC" w:rsidR="001166C8" w:rsidRDefault="001166C8" w:rsidP="001166C8">
      <w:pPr>
        <w:pStyle w:val="Heading2"/>
      </w:pPr>
      <w:r>
        <w:t>blob_container</w:t>
      </w:r>
    </w:p>
    <w:p w14:paraId="2622A920" w14:textId="77777777" w:rsidR="001166C8" w:rsidRDefault="001166C8" w:rsidP="001166C8">
      <w:pPr>
        <w:pStyle w:val="NoSpacing"/>
        <w:numPr>
          <w:ilvl w:val="0"/>
          <w:numId w:val="19"/>
        </w:numPr>
        <w:ind w:left="993"/>
      </w:pPr>
      <w:r>
        <w:t>This specifies in which container the files has to be uploaded</w:t>
      </w:r>
    </w:p>
    <w:p w14:paraId="1ABEF4D0" w14:textId="5CD8DF2C" w:rsidR="001166C8" w:rsidRDefault="001166C8" w:rsidP="001166C8">
      <w:pPr>
        <w:pStyle w:val="Heading2"/>
      </w:pPr>
      <w:r>
        <w:t>blob_path</w:t>
      </w:r>
    </w:p>
    <w:p w14:paraId="2AC28E47" w14:textId="77777777" w:rsidR="001166C8" w:rsidRDefault="001166C8" w:rsidP="001166C8">
      <w:pPr>
        <w:pStyle w:val="NoSpacing"/>
        <w:numPr>
          <w:ilvl w:val="0"/>
          <w:numId w:val="19"/>
        </w:numPr>
        <w:ind w:left="993"/>
      </w:pPr>
      <w:r>
        <w:t>This says files should be uploaded to which paths</w:t>
      </w:r>
    </w:p>
    <w:p w14:paraId="04D914E9" w14:textId="77777777" w:rsidR="001166C8" w:rsidRDefault="001166C8" w:rsidP="001166C8">
      <w:pPr>
        <w:pStyle w:val="NoSpacing"/>
        <w:numPr>
          <w:ilvl w:val="0"/>
          <w:numId w:val="19"/>
        </w:numPr>
        <w:ind w:left="993"/>
      </w:pPr>
      <w:r>
        <w:t>Always use (/) and do not use (\)</w:t>
      </w:r>
    </w:p>
    <w:p w14:paraId="1703DD54" w14:textId="77777777" w:rsidR="001166C8" w:rsidRDefault="001166C8" w:rsidP="001166C8">
      <w:pPr>
        <w:pStyle w:val="NoSpacing"/>
        <w:numPr>
          <w:ilvl w:val="0"/>
          <w:numId w:val="19"/>
        </w:numPr>
        <w:ind w:left="993"/>
      </w:pPr>
      <w:r>
        <w:t>Always end the folder paths with slash (/)</w:t>
      </w:r>
    </w:p>
    <w:p w14:paraId="0A4E9937" w14:textId="77777777" w:rsidR="001166C8" w:rsidRDefault="001166C8" w:rsidP="001166C8">
      <w:pPr>
        <w:pStyle w:val="NoSpacing"/>
        <w:numPr>
          <w:ilvl w:val="0"/>
          <w:numId w:val="19"/>
        </w:numPr>
        <w:ind w:left="993"/>
      </w:pPr>
      <w:r>
        <w:t>Do not miss out the slash at the end (/)</w:t>
      </w:r>
    </w:p>
    <w:p w14:paraId="04588137" w14:textId="77777777" w:rsidR="001166C8" w:rsidRDefault="001166C8" w:rsidP="001166C8">
      <w:pPr>
        <w:pStyle w:val="NoSpacing"/>
        <w:numPr>
          <w:ilvl w:val="0"/>
          <w:numId w:val="19"/>
        </w:numPr>
        <w:ind w:left="993"/>
      </w:pPr>
      <w:r>
        <w:t>Do not provide the file names in the paths</w:t>
      </w:r>
    </w:p>
    <w:p w14:paraId="5261D13A" w14:textId="77777777" w:rsidR="001166C8" w:rsidRDefault="001166C8" w:rsidP="001166C8">
      <w:pPr>
        <w:pStyle w:val="NoSpacing"/>
        <w:numPr>
          <w:ilvl w:val="0"/>
          <w:numId w:val="19"/>
        </w:numPr>
        <w:ind w:left="993"/>
      </w:pPr>
      <w:r>
        <w:t>Do not provide the container name in the paths</w:t>
      </w:r>
    </w:p>
    <w:p w14:paraId="0DA48B65" w14:textId="77777777" w:rsidR="001166C8" w:rsidRDefault="001166C8" w:rsidP="001166C8">
      <w:pPr>
        <w:pStyle w:val="NoSpacing"/>
        <w:numPr>
          <w:ilvl w:val="0"/>
          <w:numId w:val="19"/>
        </w:numPr>
        <w:ind w:left="993"/>
      </w:pPr>
      <w:r>
        <w:t>Can provide multiple paths separated by semi colon (;)</w:t>
      </w:r>
    </w:p>
    <w:p w14:paraId="5674737C" w14:textId="5A73C6A6" w:rsidR="001166C8" w:rsidRPr="001166C8" w:rsidRDefault="001166C8" w:rsidP="001166C8">
      <w:pPr>
        <w:pStyle w:val="NoSpacing"/>
        <w:numPr>
          <w:ilvl w:val="0"/>
          <w:numId w:val="19"/>
        </w:numPr>
        <w:ind w:left="993"/>
      </w:pPr>
      <w:r>
        <w:t xml:space="preserve">Make sure number of </w:t>
      </w:r>
      <w:r w:rsidR="00DA4E57">
        <w:t>extensions</w:t>
      </w:r>
      <w:r>
        <w:t xml:space="preserve"> provided should be equal to number of folder paths provided in local_path parameter</w:t>
      </w:r>
    </w:p>
    <w:p w14:paraId="7002E40D" w14:textId="25BB7514" w:rsidR="00434920" w:rsidRDefault="00796099" w:rsidP="00796099">
      <w:pPr>
        <w:ind w:left="426"/>
      </w:pPr>
      <w:r w:rsidRPr="00796099">
        <w:t xml:space="preserve">local_path </w:t>
      </w:r>
      <w:r>
        <w:sym w:font="Wingdings" w:char="F0E0"/>
      </w:r>
      <w:r w:rsidRPr="00796099">
        <w:t xml:space="preserve"> extension_list </w:t>
      </w:r>
      <w:r w:rsidR="00F22E06">
        <w:sym w:font="Wingdings" w:char="F0E0"/>
      </w:r>
      <w:r w:rsidR="00F22E06">
        <w:t xml:space="preserve"> </w:t>
      </w:r>
      <w:r>
        <w:t xml:space="preserve">destination_path </w:t>
      </w:r>
      <w:r>
        <w:sym w:font="Wingdings" w:char="F0E0"/>
      </w:r>
      <w:r w:rsidRPr="00796099">
        <w:t>blob_path are assumed to have one-to-one relationship. Make sure you provide equal number of entities (</w:t>
      </w:r>
      <w:r w:rsidR="00C23494" w:rsidRPr="00796099">
        <w:t>Separated</w:t>
      </w:r>
      <w:r w:rsidRPr="00796099">
        <w:t xml:space="preserve"> by semicolon ;) in all the </w:t>
      </w:r>
      <w:r w:rsidR="004F5A7A">
        <w:t>4</w:t>
      </w:r>
      <w:r w:rsidRPr="00796099">
        <w:t xml:space="preserve"> options</w:t>
      </w:r>
    </w:p>
    <w:p w14:paraId="39F3C26E" w14:textId="77777777" w:rsidR="00434920" w:rsidRDefault="00434920" w:rsidP="00434920"/>
    <w:p w14:paraId="5776CB9A" w14:textId="46D9AF62" w:rsidR="00434920" w:rsidRDefault="00C23494" w:rsidP="00434920">
      <w:r>
        <w:rPr>
          <w:noProof/>
        </w:rPr>
        <w:lastRenderedPageBreak/>
        <w:drawing>
          <wp:inline distT="0" distB="0" distL="0" distR="0" wp14:anchorId="00696866" wp14:editId="443F2E22">
            <wp:extent cx="6858000" cy="1402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402080"/>
                    </a:xfrm>
                    <a:prstGeom prst="rect">
                      <a:avLst/>
                    </a:prstGeom>
                    <a:noFill/>
                    <a:ln>
                      <a:noFill/>
                    </a:ln>
                  </pic:spPr>
                </pic:pic>
              </a:graphicData>
            </a:graphic>
          </wp:inline>
        </w:drawing>
      </w:r>
    </w:p>
    <w:p w14:paraId="12C73E1B" w14:textId="036DC464" w:rsidR="006C4D41" w:rsidRPr="00D316CF" w:rsidRDefault="00434920" w:rsidP="00434920">
      <w:r>
        <w:tab/>
      </w:r>
    </w:p>
    <w:sectPr w:rsidR="006C4D41" w:rsidRPr="00D316CF" w:rsidSect="00FC4DAB">
      <w:headerReference w:type="default" r:id="rId10"/>
      <w:footerReference w:type="default" r:id="rId11"/>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D676D" w14:textId="77777777" w:rsidR="00F702AA" w:rsidRDefault="00F702AA" w:rsidP="00D316CF">
      <w:pPr>
        <w:spacing w:after="0" w:line="240" w:lineRule="auto"/>
      </w:pPr>
      <w:r>
        <w:separator/>
      </w:r>
    </w:p>
  </w:endnote>
  <w:endnote w:type="continuationSeparator" w:id="0">
    <w:p w14:paraId="12BD7EFD" w14:textId="77777777" w:rsidR="00F702AA" w:rsidRDefault="00F702AA" w:rsidP="00D31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4038D" w14:textId="77777777" w:rsidR="00D316CF" w:rsidRPr="00B64E15" w:rsidRDefault="00FC4DAB" w:rsidP="00B64E15">
    <w:pPr>
      <w:pStyle w:val="Footer"/>
      <w:jc w:val="center"/>
      <w:rPr>
        <w:rFonts w:ascii="Arial" w:hAnsi="Arial" w:cs="Arial"/>
        <w:color w:val="3AB0C8" w:themeColor="accent3"/>
        <w:sz w:val="18"/>
        <w:szCs w:val="18"/>
      </w:rPr>
    </w:pPr>
    <w:r>
      <w:rPr>
        <w:noProof/>
      </w:rPr>
      <mc:AlternateContent>
        <mc:Choice Requires="wps">
          <w:drawing>
            <wp:anchor distT="0" distB="0" distL="114300" distR="114300" simplePos="0" relativeHeight="251659264" behindDoc="0" locked="0" layoutInCell="1" allowOverlap="1" wp14:anchorId="690B6D8E" wp14:editId="7676D399">
              <wp:simplePos x="0" y="0"/>
              <wp:positionH relativeFrom="column">
                <wp:posOffset>1270</wp:posOffset>
              </wp:positionH>
              <wp:positionV relativeFrom="paragraph">
                <wp:posOffset>-180785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8802F"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4.25pt" to="540.1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" strokecolor="#e5e5e5 [2894]" strokeweight=".5pt">
              <v:stroke joinstyle="miter"/>
            </v:line>
          </w:pict>
        </mc:Fallback>
      </mc:AlternateContent>
    </w:r>
    <w:r w:rsidR="00B64E15" w:rsidRPr="00D316CF">
      <w:rPr>
        <w:rFonts w:ascii="Arial" w:hAnsi="Arial" w:cs="Arial"/>
        <w:color w:val="3AB0C8" w:themeColor="accent3"/>
        <w:sz w:val="18"/>
        <w:szCs w:val="18"/>
      </w:rPr>
      <w:t xml:space="preserve">2 Seaport Lane, 11th Floor, Boston, MA 02210 </w:t>
    </w:r>
    <w:r w:rsidR="00B64E15">
      <w:rPr>
        <w:rFonts w:ascii="Arial" w:hAnsi="Arial" w:cs="Arial"/>
        <w:color w:val="3AB0C8" w:themeColor="accent3"/>
        <w:sz w:val="18"/>
        <w:szCs w:val="18"/>
      </w:rPr>
      <w:t xml:space="preserve"> </w:t>
    </w:r>
    <w:r w:rsidR="00B64E15" w:rsidRPr="00D316CF">
      <w:rPr>
        <w:rFonts w:ascii="Arial" w:hAnsi="Arial" w:cs="Arial"/>
        <w:color w:val="3AB0C8" w:themeColor="accent3"/>
        <w:sz w:val="18"/>
        <w:szCs w:val="18"/>
      </w:rPr>
      <w:t xml:space="preserve">|  www.mycervello.com  |  </w:t>
    </w:r>
    <w:r w:rsidR="00B64E15">
      <w:rPr>
        <w:rFonts w:ascii="Arial" w:hAnsi="Arial" w:cs="Arial"/>
        <w:color w:val="3AB0C8" w:themeColor="accent3"/>
        <w:sz w:val="18"/>
        <w:szCs w:val="18"/>
      </w:rPr>
      <w:t>Tel (617) 307-4131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50657" w14:textId="77777777" w:rsidR="00F702AA" w:rsidRDefault="00F702AA" w:rsidP="00D316CF">
      <w:pPr>
        <w:spacing w:after="0" w:line="240" w:lineRule="auto"/>
      </w:pPr>
      <w:r>
        <w:separator/>
      </w:r>
    </w:p>
  </w:footnote>
  <w:footnote w:type="continuationSeparator" w:id="0">
    <w:p w14:paraId="06B36745" w14:textId="77777777" w:rsidR="00F702AA" w:rsidRDefault="00F702AA" w:rsidP="00D31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B6DE3" w14:textId="77777777" w:rsidR="00C7467C" w:rsidRDefault="00C7467C">
    <w:pPr>
      <w:pStyle w:val="Header"/>
    </w:pPr>
    <w:r>
      <w:rPr>
        <w:noProof/>
      </w:rPr>
      <mc:AlternateContent>
        <mc:Choice Requires="wps">
          <w:drawing>
            <wp:anchor distT="0" distB="0" distL="114300" distR="114300" simplePos="0" relativeHeight="251661312" behindDoc="0" locked="0" layoutInCell="1" allowOverlap="1" wp14:anchorId="06ACEC05" wp14:editId="32E7288D">
              <wp:simplePos x="0" y="0"/>
              <wp:positionH relativeFrom="column">
                <wp:posOffset>-638176</wp:posOffset>
              </wp:positionH>
              <wp:positionV relativeFrom="paragraph">
                <wp:posOffset>-504825</wp:posOffset>
              </wp:positionV>
              <wp:extent cx="8010525" cy="154379"/>
              <wp:effectExtent l="0" t="0" r="9525" b="0"/>
              <wp:wrapNone/>
              <wp:docPr id="3" name="Rectangle 3"/>
              <wp:cNvGraphicFramePr/>
              <a:graphic xmlns:a="http://schemas.openxmlformats.org/drawingml/2006/main">
                <a:graphicData uri="http://schemas.microsoft.com/office/word/2010/wordprocessingShape">
                  <wps:wsp>
                    <wps:cNvSpPr/>
                    <wps:spPr>
                      <a:xfrm>
                        <a:off x="0" y="0"/>
                        <a:ext cx="8010525" cy="154379"/>
                      </a:xfrm>
                      <a:prstGeom prst="rect">
                        <a:avLst/>
                      </a:prstGeom>
                      <a:solidFill>
                        <a:srgbClr val="516E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8119D1" id="Rectangle 3" o:spid="_x0000_s1026" style="position:absolute;margin-left:-50.25pt;margin-top:-39.75pt;width:630.75pt;height:12.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" fillcolor="#516e78" stroked="f" strokeweight="1pt"/>
          </w:pict>
        </mc:Fallback>
      </mc:AlternateContent>
    </w:r>
  </w:p>
  <w:p w14:paraId="6EF3786D" w14:textId="77777777" w:rsidR="00C7467C" w:rsidRDefault="00C74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7B35"/>
    <w:multiLevelType w:val="hybridMultilevel"/>
    <w:tmpl w:val="0C964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6235A"/>
    <w:multiLevelType w:val="hybridMultilevel"/>
    <w:tmpl w:val="CEF07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F638D7"/>
    <w:multiLevelType w:val="hybridMultilevel"/>
    <w:tmpl w:val="B9208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DC021E"/>
    <w:multiLevelType w:val="hybridMultilevel"/>
    <w:tmpl w:val="CAFA9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7467A6"/>
    <w:multiLevelType w:val="hybridMultilevel"/>
    <w:tmpl w:val="4238B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FD5264"/>
    <w:multiLevelType w:val="hybridMultilevel"/>
    <w:tmpl w:val="115E8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2A2D46"/>
    <w:multiLevelType w:val="hybridMultilevel"/>
    <w:tmpl w:val="7032C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542AFA"/>
    <w:multiLevelType w:val="hybridMultilevel"/>
    <w:tmpl w:val="D01AF7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1544489"/>
    <w:multiLevelType w:val="hybridMultilevel"/>
    <w:tmpl w:val="F66C1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2C350B"/>
    <w:multiLevelType w:val="hybridMultilevel"/>
    <w:tmpl w:val="4FA62ADE"/>
    <w:lvl w:ilvl="0" w:tplc="CC382778">
      <w:start w:val="1"/>
      <w:numFmt w:val="decimal"/>
      <w:pStyle w:val="Heading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747244"/>
    <w:multiLevelType w:val="hybridMultilevel"/>
    <w:tmpl w:val="BDE20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702ABF"/>
    <w:multiLevelType w:val="hybridMultilevel"/>
    <w:tmpl w:val="538EE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019538A"/>
    <w:multiLevelType w:val="multilevel"/>
    <w:tmpl w:val="D3920DF6"/>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2E1CE4"/>
    <w:multiLevelType w:val="hybridMultilevel"/>
    <w:tmpl w:val="2B944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092593"/>
    <w:multiLevelType w:val="hybridMultilevel"/>
    <w:tmpl w:val="48A412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CF49D5"/>
    <w:multiLevelType w:val="hybridMultilevel"/>
    <w:tmpl w:val="C6C28F5A"/>
    <w:lvl w:ilvl="0" w:tplc="1AAEE190">
      <w:start w:val="1"/>
      <w:numFmt w:val="decimal"/>
      <w:pStyle w:val="Heading2"/>
      <w:lvlText w:val="%1.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E40BC4"/>
    <w:multiLevelType w:val="hybridMultilevel"/>
    <w:tmpl w:val="4114F7F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7" w15:restartNumberingAfterBreak="0">
    <w:nsid w:val="598F1AD7"/>
    <w:multiLevelType w:val="hybridMultilevel"/>
    <w:tmpl w:val="D4AA1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CF0B4F"/>
    <w:multiLevelType w:val="hybridMultilevel"/>
    <w:tmpl w:val="007A8C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C180468"/>
    <w:multiLevelType w:val="hybridMultilevel"/>
    <w:tmpl w:val="6FDAA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5"/>
  </w:num>
  <w:num w:numId="4">
    <w:abstractNumId w:val="16"/>
  </w:num>
  <w:num w:numId="5">
    <w:abstractNumId w:val="7"/>
  </w:num>
  <w:num w:numId="6">
    <w:abstractNumId w:val="19"/>
  </w:num>
  <w:num w:numId="7">
    <w:abstractNumId w:val="18"/>
  </w:num>
  <w:num w:numId="8">
    <w:abstractNumId w:val="1"/>
  </w:num>
  <w:num w:numId="9">
    <w:abstractNumId w:val="14"/>
  </w:num>
  <w:num w:numId="10">
    <w:abstractNumId w:val="13"/>
  </w:num>
  <w:num w:numId="11">
    <w:abstractNumId w:val="3"/>
  </w:num>
  <w:num w:numId="12">
    <w:abstractNumId w:val="0"/>
  </w:num>
  <w:num w:numId="13">
    <w:abstractNumId w:val="10"/>
  </w:num>
  <w:num w:numId="14">
    <w:abstractNumId w:val="11"/>
  </w:num>
  <w:num w:numId="15">
    <w:abstractNumId w:val="2"/>
  </w:num>
  <w:num w:numId="16">
    <w:abstractNumId w:val="4"/>
  </w:num>
  <w:num w:numId="17">
    <w:abstractNumId w:val="8"/>
  </w:num>
  <w:num w:numId="18">
    <w:abstractNumId w:val="6"/>
  </w:num>
  <w:num w:numId="19">
    <w:abstractNumId w:val="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20"/>
    <w:rsid w:val="0003446E"/>
    <w:rsid w:val="000F4A7B"/>
    <w:rsid w:val="000F546A"/>
    <w:rsid w:val="00102A86"/>
    <w:rsid w:val="001166C8"/>
    <w:rsid w:val="001879FE"/>
    <w:rsid w:val="001A08CA"/>
    <w:rsid w:val="001B36DF"/>
    <w:rsid w:val="001D6193"/>
    <w:rsid w:val="00263FDD"/>
    <w:rsid w:val="00280E9E"/>
    <w:rsid w:val="002F27FB"/>
    <w:rsid w:val="00434920"/>
    <w:rsid w:val="004A0F60"/>
    <w:rsid w:val="004A4609"/>
    <w:rsid w:val="004F5A7A"/>
    <w:rsid w:val="00526C12"/>
    <w:rsid w:val="006C4D41"/>
    <w:rsid w:val="0074789D"/>
    <w:rsid w:val="007812E1"/>
    <w:rsid w:val="00796099"/>
    <w:rsid w:val="008900F5"/>
    <w:rsid w:val="00A10C1E"/>
    <w:rsid w:val="00A32537"/>
    <w:rsid w:val="00A74206"/>
    <w:rsid w:val="00AB5C59"/>
    <w:rsid w:val="00B43C11"/>
    <w:rsid w:val="00B64E15"/>
    <w:rsid w:val="00BA597B"/>
    <w:rsid w:val="00C039E9"/>
    <w:rsid w:val="00C23494"/>
    <w:rsid w:val="00C73C32"/>
    <w:rsid w:val="00C7467C"/>
    <w:rsid w:val="00D02A3A"/>
    <w:rsid w:val="00D316CF"/>
    <w:rsid w:val="00DA4E57"/>
    <w:rsid w:val="00DF3A27"/>
    <w:rsid w:val="00E45DE8"/>
    <w:rsid w:val="00EC0E4C"/>
    <w:rsid w:val="00F22E06"/>
    <w:rsid w:val="00F54BDB"/>
    <w:rsid w:val="00F6121C"/>
    <w:rsid w:val="00F702AA"/>
    <w:rsid w:val="00FA3FE7"/>
    <w:rsid w:val="00FC017C"/>
    <w:rsid w:val="00FC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60DE"/>
  <w15:docId w15:val="{20DE3B7A-F7C6-4BEF-8CDE-67ABD52C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F4A7B"/>
    <w:pPr>
      <w:keepNext/>
      <w:keepLines/>
      <w:numPr>
        <w:numId w:val="1"/>
      </w:numPr>
      <w:spacing w:before="240" w:after="0"/>
      <w:outlineLvl w:val="0"/>
    </w:pPr>
    <w:rPr>
      <w:rFonts w:asciiTheme="majorHAnsi" w:eastAsiaTheme="majorEastAsia" w:hAnsiTheme="majorHAnsi" w:cstheme="majorBidi"/>
      <w:b/>
      <w:bCs/>
      <w:color w:val="536E77" w:themeColor="text1"/>
      <w:sz w:val="36"/>
      <w:szCs w:val="36"/>
    </w:rPr>
  </w:style>
  <w:style w:type="paragraph" w:styleId="Heading2">
    <w:name w:val="heading 2"/>
    <w:basedOn w:val="Normal"/>
    <w:next w:val="Normal"/>
    <w:link w:val="Heading2Char"/>
    <w:uiPriority w:val="9"/>
    <w:unhideWhenUsed/>
    <w:qFormat/>
    <w:rsid w:val="000F4A7B"/>
    <w:pPr>
      <w:keepNext/>
      <w:keepLines/>
      <w:numPr>
        <w:ilvl w:val="1"/>
        <w:numId w:val="1"/>
      </w:numPr>
      <w:spacing w:before="40" w:after="0"/>
      <w:ind w:left="975" w:hanging="578"/>
      <w:outlineLvl w:val="1"/>
    </w:pPr>
    <w:rPr>
      <w:rFonts w:asciiTheme="majorHAnsi" w:eastAsiaTheme="majorEastAsia" w:hAnsiTheme="majorHAnsi" w:cstheme="majorBidi"/>
      <w:b/>
      <w:color w:val="536E77" w:themeColor="text1"/>
      <w:sz w:val="26"/>
      <w:szCs w:val="26"/>
    </w:rPr>
  </w:style>
  <w:style w:type="paragraph" w:styleId="Heading3">
    <w:name w:val="heading 3"/>
    <w:basedOn w:val="Normal"/>
    <w:next w:val="Normal"/>
    <w:link w:val="Heading3Char"/>
    <w:autoRedefine/>
    <w:uiPriority w:val="9"/>
    <w:unhideWhenUsed/>
    <w:qFormat/>
    <w:rsid w:val="000F4A7B"/>
    <w:pPr>
      <w:keepNext/>
      <w:keepLines/>
      <w:numPr>
        <w:ilvl w:val="2"/>
        <w:numId w:val="1"/>
      </w:numPr>
      <w:spacing w:before="40" w:after="0"/>
      <w:ind w:left="1457"/>
      <w:outlineLvl w:val="2"/>
    </w:pPr>
    <w:rPr>
      <w:rFonts w:asciiTheme="majorHAnsi" w:eastAsiaTheme="majorEastAsia" w:hAnsiTheme="majorHAnsi" w:cstheme="majorBidi"/>
      <w:i/>
      <w:color w:val="536E77" w:themeColor="text1"/>
      <w:sz w:val="24"/>
      <w:szCs w:val="24"/>
    </w:rPr>
  </w:style>
  <w:style w:type="paragraph" w:styleId="Heading4">
    <w:name w:val="heading 4"/>
    <w:basedOn w:val="Normal"/>
    <w:next w:val="Normal"/>
    <w:link w:val="Heading4Char"/>
    <w:uiPriority w:val="9"/>
    <w:unhideWhenUsed/>
    <w:qFormat/>
    <w:rsid w:val="000F4A7B"/>
    <w:pPr>
      <w:keepNext/>
      <w:keepLines/>
      <w:numPr>
        <w:ilvl w:val="3"/>
        <w:numId w:val="1"/>
      </w:numPr>
      <w:spacing w:before="40" w:after="0"/>
      <w:ind w:left="1769" w:hanging="862"/>
      <w:outlineLvl w:val="3"/>
    </w:pPr>
    <w:rPr>
      <w:rFonts w:asciiTheme="majorHAnsi" w:eastAsiaTheme="majorEastAsia" w:hAnsiTheme="majorHAnsi" w:cstheme="majorBidi"/>
      <w:iCs/>
      <w:color w:val="536E77" w:themeColor="text1"/>
      <w:u w:val="single"/>
    </w:rPr>
  </w:style>
  <w:style w:type="paragraph" w:styleId="Heading5">
    <w:name w:val="heading 5"/>
    <w:basedOn w:val="Normal"/>
    <w:next w:val="Normal"/>
    <w:link w:val="Heading5Char"/>
    <w:uiPriority w:val="9"/>
    <w:unhideWhenUsed/>
    <w:qFormat/>
    <w:rsid w:val="000F4A7B"/>
    <w:pPr>
      <w:keepNext/>
      <w:keepLines/>
      <w:numPr>
        <w:ilvl w:val="4"/>
        <w:numId w:val="1"/>
      </w:numPr>
      <w:spacing w:before="40" w:after="0"/>
      <w:ind w:left="2200" w:hanging="1009"/>
      <w:outlineLvl w:val="4"/>
    </w:pPr>
    <w:rPr>
      <w:rFonts w:asciiTheme="majorHAnsi" w:eastAsiaTheme="majorEastAsia" w:hAnsiTheme="majorHAnsi" w:cstheme="majorBidi"/>
      <w:i/>
      <w:color w:val="536E77" w:themeColor="text1"/>
      <w:u w:val="single"/>
    </w:rPr>
  </w:style>
  <w:style w:type="paragraph" w:styleId="Heading6">
    <w:name w:val="heading 6"/>
    <w:basedOn w:val="Normal"/>
    <w:next w:val="Normal"/>
    <w:link w:val="Heading6Char"/>
    <w:uiPriority w:val="9"/>
    <w:semiHidden/>
    <w:unhideWhenUsed/>
    <w:qFormat/>
    <w:rsid w:val="00526C12"/>
    <w:pPr>
      <w:keepNext/>
      <w:keepLines/>
      <w:numPr>
        <w:ilvl w:val="5"/>
        <w:numId w:val="1"/>
      </w:numPr>
      <w:spacing w:before="40" w:after="0"/>
      <w:outlineLvl w:val="5"/>
    </w:pPr>
    <w:rPr>
      <w:rFonts w:asciiTheme="majorHAnsi" w:eastAsiaTheme="majorEastAsia" w:hAnsiTheme="majorHAnsi" w:cstheme="majorBidi"/>
      <w:color w:val="740B26" w:themeColor="accent1" w:themeShade="7F"/>
    </w:rPr>
  </w:style>
  <w:style w:type="paragraph" w:styleId="Heading7">
    <w:name w:val="heading 7"/>
    <w:basedOn w:val="Normal"/>
    <w:next w:val="Normal"/>
    <w:link w:val="Heading7Char"/>
    <w:uiPriority w:val="9"/>
    <w:semiHidden/>
    <w:unhideWhenUsed/>
    <w:qFormat/>
    <w:rsid w:val="00526C12"/>
    <w:pPr>
      <w:keepNext/>
      <w:keepLines/>
      <w:numPr>
        <w:ilvl w:val="6"/>
        <w:numId w:val="1"/>
      </w:numPr>
      <w:spacing w:before="40" w:after="0"/>
      <w:outlineLvl w:val="6"/>
    </w:pPr>
    <w:rPr>
      <w:rFonts w:asciiTheme="majorHAnsi" w:eastAsiaTheme="majorEastAsia" w:hAnsiTheme="majorHAnsi" w:cstheme="majorBidi"/>
      <w:i/>
      <w:iCs/>
      <w:color w:val="740B26" w:themeColor="accent1" w:themeShade="7F"/>
    </w:rPr>
  </w:style>
  <w:style w:type="paragraph" w:styleId="Heading8">
    <w:name w:val="heading 8"/>
    <w:basedOn w:val="Normal"/>
    <w:next w:val="Normal"/>
    <w:link w:val="Heading8Char"/>
    <w:uiPriority w:val="9"/>
    <w:semiHidden/>
    <w:unhideWhenUsed/>
    <w:qFormat/>
    <w:rsid w:val="00526C12"/>
    <w:pPr>
      <w:keepNext/>
      <w:keepLines/>
      <w:numPr>
        <w:ilvl w:val="7"/>
        <w:numId w:val="1"/>
      </w:numPr>
      <w:spacing w:before="40" w:after="0"/>
      <w:outlineLvl w:val="7"/>
    </w:pPr>
    <w:rPr>
      <w:rFonts w:asciiTheme="majorHAnsi" w:eastAsiaTheme="majorEastAsia" w:hAnsiTheme="majorHAnsi" w:cstheme="majorBidi"/>
      <w:color w:val="668792" w:themeColor="text1" w:themeTint="D8"/>
      <w:sz w:val="21"/>
      <w:szCs w:val="21"/>
    </w:rPr>
  </w:style>
  <w:style w:type="paragraph" w:styleId="Heading9">
    <w:name w:val="heading 9"/>
    <w:basedOn w:val="Normal"/>
    <w:next w:val="Normal"/>
    <w:link w:val="Heading9Char"/>
    <w:uiPriority w:val="9"/>
    <w:semiHidden/>
    <w:unhideWhenUsed/>
    <w:qFormat/>
    <w:rsid w:val="00526C12"/>
    <w:pPr>
      <w:keepNext/>
      <w:keepLines/>
      <w:numPr>
        <w:ilvl w:val="8"/>
        <w:numId w:val="1"/>
      </w:numPr>
      <w:spacing w:before="40" w:after="0"/>
      <w:outlineLvl w:val="8"/>
    </w:pPr>
    <w:rPr>
      <w:rFonts w:asciiTheme="majorHAnsi" w:eastAsiaTheme="majorEastAsia" w:hAnsiTheme="majorHAnsi" w:cstheme="majorBidi"/>
      <w:i/>
      <w:iCs/>
      <w:color w:val="668792"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0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0F5"/>
    <w:rPr>
      <w:rFonts w:ascii="Tahoma" w:hAnsi="Tahoma" w:cs="Tahoma"/>
      <w:sz w:val="16"/>
      <w:szCs w:val="16"/>
    </w:rPr>
  </w:style>
  <w:style w:type="paragraph" w:styleId="Header">
    <w:name w:val="header"/>
    <w:basedOn w:val="Normal"/>
    <w:link w:val="HeaderChar"/>
    <w:uiPriority w:val="99"/>
    <w:unhideWhenUsed/>
    <w:rsid w:val="00D31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6CF"/>
  </w:style>
  <w:style w:type="paragraph" w:styleId="Footer">
    <w:name w:val="footer"/>
    <w:basedOn w:val="Normal"/>
    <w:link w:val="FooterChar"/>
    <w:uiPriority w:val="99"/>
    <w:unhideWhenUsed/>
    <w:rsid w:val="00D31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6CF"/>
  </w:style>
  <w:style w:type="character" w:customStyle="1" w:styleId="Heading1Char">
    <w:name w:val="Heading 1 Char"/>
    <w:basedOn w:val="DefaultParagraphFont"/>
    <w:link w:val="Heading1"/>
    <w:uiPriority w:val="9"/>
    <w:rsid w:val="000F4A7B"/>
    <w:rPr>
      <w:rFonts w:asciiTheme="majorHAnsi" w:eastAsiaTheme="majorEastAsia" w:hAnsiTheme="majorHAnsi" w:cstheme="majorBidi"/>
      <w:b/>
      <w:bCs/>
      <w:color w:val="536E77" w:themeColor="text1"/>
      <w:sz w:val="36"/>
      <w:szCs w:val="36"/>
    </w:rPr>
  </w:style>
  <w:style w:type="character" w:customStyle="1" w:styleId="Heading2Char">
    <w:name w:val="Heading 2 Char"/>
    <w:basedOn w:val="DefaultParagraphFont"/>
    <w:link w:val="Heading2"/>
    <w:uiPriority w:val="9"/>
    <w:rsid w:val="000F4A7B"/>
    <w:rPr>
      <w:rFonts w:asciiTheme="majorHAnsi" w:eastAsiaTheme="majorEastAsia" w:hAnsiTheme="majorHAnsi" w:cstheme="majorBidi"/>
      <w:b/>
      <w:color w:val="536E77" w:themeColor="text1"/>
      <w:sz w:val="26"/>
      <w:szCs w:val="26"/>
    </w:rPr>
  </w:style>
  <w:style w:type="character" w:customStyle="1" w:styleId="Heading3Char">
    <w:name w:val="Heading 3 Char"/>
    <w:basedOn w:val="DefaultParagraphFont"/>
    <w:link w:val="Heading3"/>
    <w:uiPriority w:val="9"/>
    <w:rsid w:val="000F4A7B"/>
    <w:rPr>
      <w:rFonts w:asciiTheme="majorHAnsi" w:eastAsiaTheme="majorEastAsia" w:hAnsiTheme="majorHAnsi" w:cstheme="majorBidi"/>
      <w:i/>
      <w:color w:val="536E77" w:themeColor="text1"/>
      <w:sz w:val="24"/>
      <w:szCs w:val="24"/>
    </w:rPr>
  </w:style>
  <w:style w:type="character" w:customStyle="1" w:styleId="Heading4Char">
    <w:name w:val="Heading 4 Char"/>
    <w:basedOn w:val="DefaultParagraphFont"/>
    <w:link w:val="Heading4"/>
    <w:uiPriority w:val="9"/>
    <w:rsid w:val="000F4A7B"/>
    <w:rPr>
      <w:rFonts w:asciiTheme="majorHAnsi" w:eastAsiaTheme="majorEastAsia" w:hAnsiTheme="majorHAnsi" w:cstheme="majorBidi"/>
      <w:iCs/>
      <w:color w:val="536E77" w:themeColor="text1"/>
      <w:u w:val="single"/>
    </w:rPr>
  </w:style>
  <w:style w:type="character" w:customStyle="1" w:styleId="Heading5Char">
    <w:name w:val="Heading 5 Char"/>
    <w:basedOn w:val="DefaultParagraphFont"/>
    <w:link w:val="Heading5"/>
    <w:uiPriority w:val="9"/>
    <w:rsid w:val="000F4A7B"/>
    <w:rPr>
      <w:rFonts w:asciiTheme="majorHAnsi" w:eastAsiaTheme="majorEastAsia" w:hAnsiTheme="majorHAnsi" w:cstheme="majorBidi"/>
      <w:i/>
      <w:color w:val="536E77" w:themeColor="text1"/>
      <w:u w:val="single"/>
    </w:rPr>
  </w:style>
  <w:style w:type="character" w:customStyle="1" w:styleId="Heading6Char">
    <w:name w:val="Heading 6 Char"/>
    <w:basedOn w:val="DefaultParagraphFont"/>
    <w:link w:val="Heading6"/>
    <w:uiPriority w:val="9"/>
    <w:semiHidden/>
    <w:rsid w:val="00526C12"/>
    <w:rPr>
      <w:rFonts w:asciiTheme="majorHAnsi" w:eastAsiaTheme="majorEastAsia" w:hAnsiTheme="majorHAnsi" w:cstheme="majorBidi"/>
      <w:color w:val="740B26" w:themeColor="accent1" w:themeShade="7F"/>
    </w:rPr>
  </w:style>
  <w:style w:type="character" w:customStyle="1" w:styleId="Heading7Char">
    <w:name w:val="Heading 7 Char"/>
    <w:basedOn w:val="DefaultParagraphFont"/>
    <w:link w:val="Heading7"/>
    <w:uiPriority w:val="9"/>
    <w:semiHidden/>
    <w:rsid w:val="00526C12"/>
    <w:rPr>
      <w:rFonts w:asciiTheme="majorHAnsi" w:eastAsiaTheme="majorEastAsia" w:hAnsiTheme="majorHAnsi" w:cstheme="majorBidi"/>
      <w:i/>
      <w:iCs/>
      <w:color w:val="740B26" w:themeColor="accent1" w:themeShade="7F"/>
    </w:rPr>
  </w:style>
  <w:style w:type="character" w:customStyle="1" w:styleId="Heading8Char">
    <w:name w:val="Heading 8 Char"/>
    <w:basedOn w:val="DefaultParagraphFont"/>
    <w:link w:val="Heading8"/>
    <w:uiPriority w:val="9"/>
    <w:semiHidden/>
    <w:rsid w:val="00526C12"/>
    <w:rPr>
      <w:rFonts w:asciiTheme="majorHAnsi" w:eastAsiaTheme="majorEastAsia" w:hAnsiTheme="majorHAnsi" w:cstheme="majorBidi"/>
      <w:color w:val="668792" w:themeColor="text1" w:themeTint="D8"/>
      <w:sz w:val="21"/>
      <w:szCs w:val="21"/>
    </w:rPr>
  </w:style>
  <w:style w:type="character" w:customStyle="1" w:styleId="Heading9Char">
    <w:name w:val="Heading 9 Char"/>
    <w:basedOn w:val="DefaultParagraphFont"/>
    <w:link w:val="Heading9"/>
    <w:uiPriority w:val="9"/>
    <w:semiHidden/>
    <w:rsid w:val="00526C12"/>
    <w:rPr>
      <w:rFonts w:asciiTheme="majorHAnsi" w:eastAsiaTheme="majorEastAsia" w:hAnsiTheme="majorHAnsi" w:cstheme="majorBidi"/>
      <w:i/>
      <w:iCs/>
      <w:color w:val="668792" w:themeColor="text1" w:themeTint="D8"/>
      <w:sz w:val="21"/>
      <w:szCs w:val="21"/>
    </w:rPr>
  </w:style>
  <w:style w:type="paragraph" w:styleId="IntenseQuote">
    <w:name w:val="Intense Quote"/>
    <w:basedOn w:val="Normal"/>
    <w:next w:val="Normal"/>
    <w:link w:val="IntenseQuoteChar"/>
    <w:uiPriority w:val="30"/>
    <w:qFormat/>
    <w:rsid w:val="0003446E"/>
    <w:pPr>
      <w:pBdr>
        <w:top w:val="single" w:sz="4" w:space="10" w:color="E8194F" w:themeColor="accent1"/>
        <w:bottom w:val="single" w:sz="4" w:space="10" w:color="E8194F" w:themeColor="accent1"/>
      </w:pBdr>
      <w:spacing w:before="360" w:after="360"/>
      <w:ind w:left="864" w:right="864"/>
      <w:jc w:val="center"/>
    </w:pPr>
    <w:rPr>
      <w:b/>
      <w:i/>
      <w:iCs/>
      <w:color w:val="536E77" w:themeColor="text1"/>
    </w:rPr>
  </w:style>
  <w:style w:type="character" w:customStyle="1" w:styleId="IntenseQuoteChar">
    <w:name w:val="Intense Quote Char"/>
    <w:basedOn w:val="DefaultParagraphFont"/>
    <w:link w:val="IntenseQuote"/>
    <w:uiPriority w:val="30"/>
    <w:rsid w:val="0003446E"/>
    <w:rPr>
      <w:b/>
      <w:i/>
      <w:iCs/>
      <w:color w:val="536E77" w:themeColor="text1"/>
    </w:rPr>
  </w:style>
  <w:style w:type="character" w:styleId="IntenseReference">
    <w:name w:val="Intense Reference"/>
    <w:basedOn w:val="BookTitle"/>
    <w:uiPriority w:val="32"/>
    <w:qFormat/>
    <w:rsid w:val="000F4A7B"/>
    <w:rPr>
      <w:rFonts w:asciiTheme="majorHAnsi" w:hAnsiTheme="majorHAnsi"/>
      <w:b w:val="0"/>
      <w:bCs w:val="0"/>
      <w:i/>
      <w:iCs/>
      <w:smallCaps/>
      <w:color w:val="536E77" w:themeColor="text1"/>
      <w:spacing w:val="5"/>
    </w:rPr>
  </w:style>
  <w:style w:type="character" w:styleId="IntenseEmphasis">
    <w:name w:val="Intense Emphasis"/>
    <w:basedOn w:val="DefaultParagraphFont"/>
    <w:uiPriority w:val="21"/>
    <w:qFormat/>
    <w:rsid w:val="000F4A7B"/>
    <w:rPr>
      <w:i/>
      <w:iCs/>
      <w:color w:val="536E77" w:themeColor="text1"/>
    </w:rPr>
  </w:style>
  <w:style w:type="character" w:styleId="BookTitle">
    <w:name w:val="Book Title"/>
    <w:basedOn w:val="DefaultParagraphFont"/>
    <w:uiPriority w:val="33"/>
    <w:qFormat/>
    <w:rsid w:val="000F4A7B"/>
    <w:rPr>
      <w:b/>
      <w:bCs/>
      <w:i/>
      <w:iCs/>
      <w:spacing w:val="5"/>
    </w:rPr>
  </w:style>
  <w:style w:type="paragraph" w:styleId="Quote">
    <w:name w:val="Quote"/>
    <w:basedOn w:val="Normal"/>
    <w:next w:val="Normal"/>
    <w:link w:val="QuoteChar"/>
    <w:uiPriority w:val="29"/>
    <w:qFormat/>
    <w:rsid w:val="0003446E"/>
    <w:pPr>
      <w:spacing w:before="200"/>
      <w:ind w:left="864" w:right="864"/>
      <w:jc w:val="center"/>
    </w:pPr>
    <w:rPr>
      <w:i/>
      <w:iCs/>
      <w:color w:val="7695A0" w:themeColor="text1" w:themeTint="BF"/>
    </w:rPr>
  </w:style>
  <w:style w:type="character" w:customStyle="1" w:styleId="QuoteChar">
    <w:name w:val="Quote Char"/>
    <w:basedOn w:val="DefaultParagraphFont"/>
    <w:link w:val="Quote"/>
    <w:uiPriority w:val="29"/>
    <w:rsid w:val="0003446E"/>
    <w:rPr>
      <w:i/>
      <w:iCs/>
      <w:color w:val="7695A0" w:themeColor="text1" w:themeTint="BF"/>
    </w:rPr>
  </w:style>
  <w:style w:type="paragraph" w:styleId="NoSpacing">
    <w:name w:val="No Spacing"/>
    <w:uiPriority w:val="1"/>
    <w:qFormat/>
    <w:rsid w:val="00434920"/>
    <w:pPr>
      <w:spacing w:after="0" w:line="240" w:lineRule="auto"/>
    </w:pPr>
    <w:rPr>
      <w:lang w:val="en-IN"/>
    </w:rPr>
  </w:style>
  <w:style w:type="paragraph" w:styleId="ListParagraph">
    <w:name w:val="List Paragraph"/>
    <w:basedOn w:val="Normal"/>
    <w:uiPriority w:val="34"/>
    <w:qFormat/>
    <w:rsid w:val="00434920"/>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Personal\CervelloTemplateDocs\Cervello,%20a%20Kearney%20company%20-%20Word.dotm" TargetMode="External"/></Relationships>
</file>

<file path=word/theme/theme1.xml><?xml version="1.0" encoding="utf-8"?>
<a:theme xmlns:a="http://schemas.openxmlformats.org/drawingml/2006/main" name="Office Theme">
  <a:themeElements>
    <a:clrScheme name="Cervello Theme Colors">
      <a:dk1>
        <a:srgbClr val="536E77"/>
      </a:dk1>
      <a:lt1>
        <a:sysClr val="window" lastClr="FFFFFF"/>
      </a:lt1>
      <a:dk2>
        <a:srgbClr val="536E77"/>
      </a:dk2>
      <a:lt2>
        <a:srgbClr val="FFFFFF"/>
      </a:lt2>
      <a:accent1>
        <a:srgbClr val="E8194F"/>
      </a:accent1>
      <a:accent2>
        <a:srgbClr val="F58220"/>
      </a:accent2>
      <a:accent3>
        <a:srgbClr val="3AB0C8"/>
      </a:accent3>
      <a:accent4>
        <a:srgbClr val="792981"/>
      </a:accent4>
      <a:accent5>
        <a:srgbClr val="F04923"/>
      </a:accent5>
      <a:accent6>
        <a:srgbClr val="007298"/>
      </a:accent6>
      <a:hlink>
        <a:srgbClr val="007298"/>
      </a:hlink>
      <a:folHlink>
        <a:srgbClr val="728D9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A1FB7-6D16-4507-8211-39FD2C94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Cervello, a Kearney company - Word.dotm</Template>
  <TotalTime>29</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Developer</dc:creator>
  <cp:lastModifiedBy>Developer</cp:lastModifiedBy>
  <cp:revision>12</cp:revision>
  <dcterms:created xsi:type="dcterms:W3CDTF">2020-03-03T08:16:00Z</dcterms:created>
  <dcterms:modified xsi:type="dcterms:W3CDTF">2020-03-03T08:45:00Z</dcterms:modified>
</cp:coreProperties>
</file>