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Режим</w:t>
      </w:r>
      <w:r>
        <w:t xml:space="preserve"> </w:t>
      </w:r>
      <w:r>
        <w:t xml:space="preserve">электронной</w:t>
      </w:r>
      <w:r>
        <w:t xml:space="preserve"> </w:t>
      </w:r>
      <w:r>
        <w:t xml:space="preserve">книги</w:t>
      </w:r>
      <w:r>
        <w:t xml:space="preserve"> </w:t>
      </w:r>
      <w:r>
        <w:t xml:space="preserve">(ECB)</w:t>
      </w:r>
    </w:p>
    <w:p>
      <w:pPr>
        <w:pStyle w:val="Author"/>
      </w:pPr>
      <w:r>
        <w:t xml:space="preserve">Кадрова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Блочные шифры являются фундаментальным инструментом симметричной криптографии. Однако сам по себе блочный шифр способен обрабатывать только данные фиксированного размера. Для работы с сообщениями произвольной длины необходимы специальные алгоритмы, называемые режимами шифрования (modes of operation).</w:t>
      </w:r>
    </w:p>
    <w:p>
      <w:pPr>
        <w:pStyle w:val="BodyText"/>
      </w:pPr>
      <w:r>
        <w:rPr>
          <w:bCs/>
          <w:b/>
        </w:rPr>
        <w:t xml:space="preserve">Цель доклада</w:t>
      </w:r>
      <w:r>
        <w:t xml:space="preserve"> </w:t>
      </w:r>
      <w:r>
        <w:t xml:space="preserve">– изучить режим электронной кодовой книги.</w:t>
      </w:r>
    </w:p>
    <w:p>
      <w:pPr>
        <w:pStyle w:val="BodyText"/>
      </w:pPr>
      <w:r>
        <w:rPr>
          <w:bCs/>
          <w:b/>
        </w:rPr>
        <w:t xml:space="preserve">Задачи:</w:t>
      </w:r>
    </w:p>
    <w:p>
      <w:pPr>
        <w:numPr>
          <w:ilvl w:val="0"/>
          <w:numId w:val="1001"/>
        </w:numPr>
        <w:pStyle w:val="Compact"/>
      </w:pPr>
      <w:r>
        <w:t xml:space="preserve">Рассмотреть математическое определение режима ECB</w:t>
      </w:r>
    </w:p>
    <w:p>
      <w:pPr>
        <w:numPr>
          <w:ilvl w:val="0"/>
          <w:numId w:val="1001"/>
        </w:numPr>
        <w:pStyle w:val="Compact"/>
      </w:pPr>
      <w:r>
        <w:t xml:space="preserve">Реализовать алгоритм на языке Julia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криптографические уязвимости</w:t>
      </w:r>
    </w:p>
    <w:p>
      <w:pPr>
        <w:numPr>
          <w:ilvl w:val="0"/>
          <w:numId w:val="1001"/>
        </w:numPr>
        <w:pStyle w:val="Compact"/>
      </w:pPr>
      <w:r>
        <w:t xml:space="preserve">Определить области допустимого применения</w:t>
      </w:r>
    </w:p>
    <w:p>
      <w:pPr>
        <w:pStyle w:val="FirstParagraph"/>
      </w:pPr>
      <w:r>
        <w:t xml:space="preserve">Режим электронной кодовой книги (Electronic Codebook, ECB) является простейшим и исторически первым стандартизированным режимом шифрования. Его название происходит от аналогии с физическими кодовыми книгами, где слова или фразы заменялись на зафиксированные шифрованные эквиваленты. В режиме ECB каждый блок шифруется независимо от всех остальных блоков с использованием одного и того же ключа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Исторически режим ECB был впервые формализован в 1980 году в стандарте FIPS 81, описывающем режимы работы блочного шифра DES, принятого Национальным бюро стандартов США (ныне NIST) в 1977 году. Долгое время он считался базовым способом шифрования данных и применялся в первых реализациях криптографических систем. Однако по мере развития криптоанализа и роста требований к безопасности стали проявляться его фундаментальные недостатки, что привело к постепенному отказу от ECB в пользу более совершенных режимов</w:t>
      </w:r>
      <w:r>
        <w:t xml:space="preserve">[2]</w:t>
      </w:r>
      <w:r>
        <w:t xml:space="preserve">.</w:t>
      </w:r>
    </w:p>
    <w:bookmarkEnd w:id="20"/>
    <w:bookmarkStart w:id="25" w:name="математическое-определение-режима-ecb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Математическое определение режима ECB</w:t>
      </w:r>
    </w:p>
    <w:p>
      <w:pPr>
        <w:pStyle w:val="FirstParagraph"/>
      </w:pPr>
      <w:r>
        <w:t xml:space="preserve">Пусть задан блочный шифр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с размером блока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бит и ключом</w:t>
      </w:r>
      <w:r>
        <w:t xml:space="preserve"> </w:t>
      </w:r>
      <m:oMath>
        <m:r>
          <m:t>k</m:t>
        </m:r>
      </m:oMath>
      <w:r>
        <w:t xml:space="preserve">. Процесс шифрования в режиме ECB определяется следующим образом.</w:t>
      </w:r>
    </w:p>
    <w:bookmarkStart w:id="21" w:name="разбиение-и-дополнение-padding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и дополнение (Padding)</w:t>
      </w:r>
    </w:p>
    <w:p>
      <w:pPr>
        <w:pStyle w:val="FirstParagraph"/>
      </w:pPr>
      <w:r>
        <w:t xml:space="preserve">Исходное сообщение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разбивается на последовательность блоков длины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бит. Если длина сообщения не кратна</w:t>
      </w:r>
      <w:r>
        <w:t xml:space="preserve"> </w:t>
      </w:r>
      <m:oMath>
        <m:r>
          <m:t>n</m:t>
        </m:r>
      </m:oMath>
      <w:r>
        <w:t xml:space="preserve">, применяется функция дополнения (padding), например, добавление пробелов: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…</m:t>
          </m:r>
          <m:r>
            <m:rPr>
              <m:sty m:val="p"/>
            </m:rPr>
            <m:t>∥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, а</w:t>
      </w:r>
      <w:r>
        <w:t xml:space="preserve"> </w:t>
      </w:r>
      <m:oMath>
        <m:r>
          <m:rPr>
            <m:sty m:val="p"/>
          </m:rPr>
          <m:t>∥</m:t>
        </m:r>
      </m:oMath>
      <w:r>
        <w:t xml:space="preserve"> </w:t>
      </w:r>
      <w:r>
        <w:t xml:space="preserve">обозначает операцию конкатенации.</w:t>
      </w:r>
    </w:p>
    <w:bookmarkEnd w:id="21"/>
    <w:bookmarkStart w:id="22" w:name="поблочное-шифровани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Поблочное шифрование</w:t>
      </w:r>
    </w:p>
    <w:p>
      <w:pPr>
        <w:pStyle w:val="FirstParagraph"/>
      </w:pPr>
      <w:r>
        <w:t xml:space="preserve">Функция шифра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применяется последовательно и независимо к каждому отдельному блоку открытого текста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для 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bookmarkEnd w:id="22"/>
    <w:bookmarkStart w:id="23" w:name="формирование-шифртекс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Формирование шифртекста</w:t>
      </w:r>
    </w:p>
    <w:p>
      <w:pPr>
        <w:pStyle w:val="FirstParagraph"/>
      </w:pPr>
      <w:r>
        <w:t xml:space="preserve">Зашифрованный текст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формируется путём конкатенации зашифрованных блоков: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…</m:t>
          </m:r>
          <m:r>
            <m:rPr>
              <m:sty m:val="p"/>
            </m:rPr>
            <m:t>∥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</m:oMath>
      </m:oMathPara>
    </w:p>
    <w:bookmarkEnd w:id="23"/>
    <w:bookmarkStart w:id="24" w:name="дешифрование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Дешифрование</w:t>
      </w:r>
    </w:p>
    <w:p>
      <w:pPr>
        <w:pStyle w:val="FirstParagraph"/>
      </w:pPr>
      <w:r>
        <w:t xml:space="preserve">Выполняется независимо для каждого блока путём применения обратной функции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для 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Ключевой особенностью ECB является</w:t>
      </w:r>
      <w:r>
        <w:t xml:space="preserve"> </w:t>
      </w:r>
      <w:r>
        <w:rPr>
          <w:bCs/>
          <w:b/>
        </w:rPr>
        <w:t xml:space="preserve">полная независимость</w:t>
      </w:r>
      <w:r>
        <w:t xml:space="preserve"> </w:t>
      </w:r>
      <w:r>
        <w:t xml:space="preserve">обработки каждого блока</w:t>
      </w:r>
      <w:r>
        <w:t xml:space="preserve">[1]</w:t>
      </w:r>
      <w:r>
        <w:t xml:space="preserve">.</w:t>
      </w:r>
    </w:p>
    <w:bookmarkEnd w:id="24"/>
    <w:bookmarkEnd w:id="25"/>
    <w:bookmarkStart w:id="30" w:name="реализация-алгоритма-на-языке-jul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Реализация алгоритма на языке Julia</w:t>
      </w:r>
    </w:p>
    <w:p>
      <w:pPr>
        <w:pStyle w:val="FirstParagraph"/>
      </w:pPr>
      <w:r>
        <w:t xml:space="preserve">Ниже представлена упрощенная реализация режима ECB. Код демонстрирует основную логику режима: разбиение на блоки, независимое шифрование каждого блока, сборку результата и дешифрование.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crypt_block</w:t>
      </w:r>
      <w:r>
        <w:rPr>
          <w:rStyle w:val="NormalTok"/>
        </w:rPr>
        <w:t xml:space="preserve">(block, key_chars)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(block)</w:t>
      </w:r>
      <w:r>
        <w:br/>
      </w:r>
      <w:r>
        <w:rPr>
          <w:rStyle w:val="NormalTok"/>
        </w:rPr>
        <w:t xml:space="preserve">        key_val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(key_chars[(i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(key_chars)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(key_val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⊻</w:t>
      </w:r>
      <w:r>
        <w:rPr>
          <w:rStyle w:val="NormalTok"/>
        </w:rPr>
        <w:t xml:space="preserve"> shift))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ecb_encrypt</w:t>
      </w:r>
      <w:r>
        <w:rPr>
          <w:rStyle w:val="NormalTok"/>
        </w:rPr>
        <w:t xml:space="preserve">(text, key, block_size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"Получен текст длиной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(text))</w:t>
      </w:r>
      <w:r>
        <w:rPr>
          <w:rStyle w:val="StringTok"/>
        </w:rPr>
        <w:t xml:space="preserve"> символов"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original_len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(padded)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(padded)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block_size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(padded,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"Дополнено до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(padded))</w:t>
      </w:r>
      <w:r>
        <w:rPr>
          <w:rStyle w:val="StringTok"/>
        </w:rPr>
        <w:t xml:space="preserve"> символов"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"Разбитие на блоки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block_size</w:t>
      </w:r>
      <w:r>
        <w:rPr>
          <w:rStyle w:val="StringTok"/>
        </w:rPr>
        <w:t xml:space="preserve"> символов: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(padded)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padded[i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"Блок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StringTok"/>
        </w:rPr>
        <w:t xml:space="preserve">: '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(block))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key_chars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(padded)</w:t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padded[i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encrypted_block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crypt_block</w:t>
      </w:r>
      <w:r>
        <w:rPr>
          <w:rStyle w:val="NormalTok"/>
        </w:rPr>
        <w:t xml:space="preserve">(block, key_chars)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(ciphertext, encrypted_block)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ciphertext, original_len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ecb_decrypt</w:t>
      </w:r>
      <w:r>
        <w:rPr>
          <w:rStyle w:val="NormalTok"/>
        </w:rPr>
        <w:t xml:space="preserve">(ciphertext, key, original_len, block_size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(key)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(ciphertext)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(plaintext, </w:t>
      </w:r>
      <w:r>
        <w:rPr>
          <w:rStyle w:val="FunctionTok"/>
        </w:rPr>
        <w:t xml:space="preserve">crypt_block</w:t>
      </w:r>
      <w:r>
        <w:rPr>
          <w:rStyle w:val="NormalTok"/>
        </w:rPr>
        <w:t xml:space="preserve">(ciphertext[i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block_size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key_chars))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(plaintext[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original_len])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demonstrate_ecb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"Москва! Москва! Говорит Москва!"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"ключ"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"Исходный текст: '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text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encrypted,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ecb_encrypt</w:t>
      </w:r>
      <w:r>
        <w:rPr>
          <w:rStyle w:val="NormalTok"/>
        </w:rPr>
        <w:t xml:space="preserve">(text, key)</w:t>
      </w:r>
      <w:r>
        <w:br/>
      </w:r>
      <w:r>
        <w:rPr>
          <w:rStyle w:val="NormalTok"/>
        </w:rPr>
        <w:t xml:space="preserve">    ascii_codes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 for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encrypted]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ascii_str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(ascii_codes,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Полный шифртекст:"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(ascii_str)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Зашифрованные блоки:"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(encrypted)</w:t>
      </w:r>
      <w:r>
        <w:br/>
      </w:r>
      <w:r>
        <w:rPr>
          <w:rStyle w:val="NormalTok"/>
        </w:rPr>
        <w:t xml:space="preserve">        block_str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(ascii_codes[i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"Блок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8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block_str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demonstrate_ecb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После запуска получим следующее (рис. 1):</w:t>
      </w:r>
    </w:p>
    <w:p>
      <w:pPr>
        <w:pStyle w:val="CaptionedFigure"/>
      </w:pPr>
      <w:bookmarkStart w:id="29" w:name="fig:001"/>
      <w:r>
        <w:drawing>
          <wp:inline>
            <wp:extent cx="5334000" cy="1658067"/>
            <wp:effectExtent b="0" l="0" r="0" t="0"/>
            <wp:docPr descr="Рис. 1: Результаты выполнения алгоритма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1: Результаты выполнения алгоритма</w:t>
      </w:r>
    </w:p>
    <w:p>
      <w:pPr>
        <w:pStyle w:val="BodyText"/>
      </w:pPr>
      <w:r>
        <w:t xml:space="preserve">В ходе выполнения алгоритма исходное сообщение длиной 31 символ было дополнено до 32 символов (для кратности размеру блока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) и разделено на четыре блока, три из которых содержали идентичную фразу «Москва!». Результат шифрования наглядно демонстрирует недостаток режима ECB. Из одинаковых блоков текста получились абсолютно идентичные зашифрованные блоки.</w:t>
      </w:r>
    </w:p>
    <w:bookmarkEnd w:id="30"/>
    <w:bookmarkStart w:id="35" w:name="криптографический-анализ-и-уязвимост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Криптографический анализ и уязвимости</w:t>
      </w:r>
    </w:p>
    <w:bookmarkStart w:id="31" w:name="детерминированность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Детерминированность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Одинаковые блоки открытого текста всегда порождают одинаковые блоки зашифрованного текста. Это нарушает идею незаметности.</w:t>
      </w:r>
    </w:p>
    <w:bookmarkEnd w:id="31"/>
    <w:bookmarkStart w:id="32" w:name="отсутствие-межблочной-диффуз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Отсутствие межблочной диффузии</w:t>
      </w:r>
    </w:p>
    <w:p>
      <w:pPr>
        <w:pStyle w:val="FirstParagraph"/>
      </w:pPr>
      <w:r>
        <w:t xml:space="preserve">В ECB изменение бита в блоке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влияет строго на соответствующий блок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не распространяется на другие блоки. С одной стороны, это обеспечивает помехоустойчивость: повреждение одного зашифрованного блока при передаче не затрагивает остальные. С другой стороны, это означает отсутствие межблочной диффузии, свойства, при котором изменение одного блока открытого текста влияет на все последующие блоки шифртекста. Межблочная диффузия является одним из базовых требований к криптостойким режимам шифрования, поскольку она затрудняет локальный криптоанализ и подмену отдельных фрагментов данных. В ECB такое распространение отсутствует</w:t>
      </w:r>
      <w:r>
        <w:t xml:space="preserve">[1]</w:t>
      </w:r>
      <w:r>
        <w:t xml:space="preserve">.</w:t>
      </w:r>
    </w:p>
    <w:bookmarkEnd w:id="32"/>
    <w:bookmarkStart w:id="33" w:name="уязвимость-к-подмене-блоков-malleability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Уязвимость к подмене блоков (Malleability)</w:t>
      </w:r>
    </w:p>
    <w:p>
      <w:pPr>
        <w:pStyle w:val="FirstParagraph"/>
      </w:pPr>
      <w:r>
        <w:t xml:space="preserve">Поскольку блоки шифруются независимо, то злоумышленник может:</w:t>
      </w:r>
    </w:p>
    <w:p>
      <w:pPr>
        <w:numPr>
          <w:ilvl w:val="0"/>
          <w:numId w:val="1002"/>
        </w:numPr>
        <w:pStyle w:val="Compact"/>
      </w:pPr>
      <w:r>
        <w:t xml:space="preserve">Переставить блоки местами: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2"/>
        </w:numPr>
        <w:pStyle w:val="Compact"/>
      </w:pPr>
      <w:r>
        <w:t xml:space="preserve">Дублировать блоки: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2"/>
        </w:numPr>
        <w:pStyle w:val="Compact"/>
      </w:pPr>
      <w:r>
        <w:t xml:space="preserve">Вставить известные блоки из другого зашифрованного текста.</w:t>
      </w:r>
    </w:p>
    <w:p>
      <w:pPr>
        <w:pStyle w:val="FirstParagraph"/>
      </w:pPr>
      <w:r>
        <w:t xml:space="preserve">При дешифровании получаются осмысленные, но модифицированные данные. ECB не обеспечивает целостности данных.</w:t>
      </w:r>
    </w:p>
    <w:bookmarkEnd w:id="33"/>
    <w:bookmarkStart w:id="34" w:name="атака-по-словарю-codebook-attack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Атака по словарю (Codebook Attack)</w:t>
      </w:r>
    </w:p>
    <w:p>
      <w:pPr>
        <w:pStyle w:val="FirstParagraph"/>
      </w:pPr>
      <w:r>
        <w:t xml:space="preserve">Название режима «электронная кодовая книга» напрямую связано с атакой по словарю. Ее суть заключается в следующем: поскольку каждый блок открытого текста всегда отображается в один и тот же блок шифртекста, злоумышленник может составить таблицу соответствий «открытый блок → шифртекст» для наиболее вероятных фрагментов сообщения (типичных слов, стандартных заголовков, известных структур данных).</w:t>
      </w:r>
    </w:p>
    <w:p>
      <w:pPr>
        <w:pStyle w:val="BodyText"/>
      </w:pPr>
      <w:r>
        <w:t xml:space="preserve">В дальнейшем, перехватив новый шифртекст, зашифрованный тем же ключом, атакующий может путём простого сопоставления с составленным словарём восстановить значительную часть исходного сообщения,</w:t>
      </w:r>
      <w:r>
        <w:t xml:space="preserve"> </w:t>
      </w:r>
      <w:r>
        <w:rPr>
          <w:bCs/>
          <w:b/>
        </w:rPr>
        <w:t xml:space="preserve">вообще не зная секретного ключа</w:t>
      </w:r>
      <w:r>
        <w:t xml:space="preserve">. Фактически, шифр превращается в обычную кодовую книгу, набор фиксированных соответствий, которые можно заранее вычислить или подсмотреть.</w:t>
      </w:r>
    </w:p>
    <w:p>
      <w:pPr>
        <w:pStyle w:val="BodyText"/>
      </w:pPr>
      <w:r>
        <w:t xml:space="preserve">Особенно опасна эта атака для сообщений с предсказуемой структурой: протоколов связи, баз данных, файловых форматов, где многие блоки заведомо известны или легко угадываются</w:t>
      </w:r>
      <w:r>
        <w:t xml:space="preserve">[3]</w:t>
      </w:r>
      <w:r>
        <w:t xml:space="preserve">.</w:t>
      </w:r>
    </w:p>
    <w:bookmarkEnd w:id="34"/>
    <w:bookmarkEnd w:id="35"/>
    <w:bookmarkStart w:id="40" w:name="X0365726790149e0a904c2aa0289d80e90d8f91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Наглядная демонстрация уязвимости: шифрование изображения пингвина Tux</w:t>
      </w:r>
    </w:p>
    <w:p>
      <w:pPr>
        <w:pStyle w:val="FirstParagraph"/>
      </w:pPr>
      <w:r>
        <w:t xml:space="preserve">Классической наглядной иллюстрацией (рис. 2) режима ECB является шифрование рисунка пингвина Tux (талисмана Linux)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CaptionedFigure"/>
      </w:pPr>
      <w:bookmarkStart w:id="39" w:name="fig:002"/>
      <w:r>
        <w:drawing>
          <wp:inline>
            <wp:extent cx="5334000" cy="6321777"/>
            <wp:effectExtent b="0" l="0" r="0" t="0"/>
            <wp:docPr descr="Рис. 2: Шифрование пингвина Tux" title="" id="37" name="Picture"/>
            <a:graphic>
              <a:graphicData uri="http://schemas.openxmlformats.org/drawingml/2006/picture">
                <pic:pic>
                  <pic:nvPicPr>
                    <pic:cNvPr descr="image/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2: Шифрование пингвина Tux</w:t>
      </w:r>
    </w:p>
    <w:p>
      <w:pPr>
        <w:pStyle w:val="BodyText"/>
      </w:pPr>
      <w:r>
        <w:t xml:space="preserve">Исходное изображение содержит большие однородные области, например, сплошной белый фон и черные элементы тела пингвина. Когда картинка шифруется в режиме ECB, повторяющиеся блоки пикселей превращаются в одинаковые зашифрованные блоки.</w:t>
      </w:r>
    </w:p>
    <w:p>
      <w:pPr>
        <w:pStyle w:val="BodyText"/>
      </w:pPr>
      <w:r>
        <w:t xml:space="preserve">В результате на зашифрованной картинке полностью сохраняются геометрические контуры и узнаваемый силуэт пингвина Tux</w:t>
      </w:r>
      <w:r>
        <w:t xml:space="preserve">[5]</w:t>
      </w:r>
      <w:r>
        <w:t xml:space="preserve">.</w:t>
      </w:r>
    </w:p>
    <w:bookmarkEnd w:id="40"/>
    <w:bookmarkStart w:id="44" w:name="области-применения-режим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Области применения режима</w:t>
      </w:r>
    </w:p>
    <w:p>
      <w:pPr>
        <w:pStyle w:val="FirstParagraph"/>
      </w:pPr>
      <w:r>
        <w:t xml:space="preserve">Несмотря на недостатки, ECB имеет различные области применения, где его особенности не являются уязвимостями:</w:t>
      </w:r>
    </w:p>
    <w:bookmarkStart w:id="41" w:name="шифрование-случайных-данных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Шифрование случайных данных</w:t>
      </w:r>
    </w:p>
    <w:p>
      <w:pPr>
        <w:pStyle w:val="FirstParagraph"/>
      </w:pPr>
      <w:r>
        <w:t xml:space="preserve">Если входные данные уже являются случайным шумом (например, сессионные ключи, случайные токены), вероятность совпадения исходных блоков пренебрежимо мала, а следовательно, не возникает и проблема одинаковых шифртекстов.</w:t>
      </w:r>
    </w:p>
    <w:bookmarkEnd w:id="41"/>
    <w:bookmarkStart w:id="42" w:name="аппаратные-реализации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Аппаратные реализации</w:t>
      </w:r>
    </w:p>
    <w:p>
      <w:pPr>
        <w:pStyle w:val="FirstParagraph"/>
      </w:pPr>
      <w:r>
        <w:t xml:space="preserve">Полная независимость блоков позволяет реализовать массовый параллелизм на аппаратном уровне. Все блоки можно шифровать одновременно, что обеспечивает максимальную пропускную способность.</w:t>
      </w:r>
    </w:p>
    <w:bookmarkEnd w:id="42"/>
    <w:bookmarkStart w:id="43" w:name="криптографические-примитивы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Криптографические примитивы</w:t>
      </w:r>
    </w:p>
    <w:p>
      <w:pPr>
        <w:pStyle w:val="FirstParagraph"/>
      </w:pPr>
      <w:r>
        <w:t xml:space="preserve">ECB используется внутри более сложных конструкций, например, в генераторах псевдослучайных чисел или в режимах, требующих обращения к блочному шифру как к идеальной псевдослучайной перестановке</w:t>
      </w:r>
      <w:r>
        <w:t xml:space="preserve">[2]</w:t>
      </w:r>
      <w:r>
        <w:t xml:space="preserve">.</w:t>
      </w:r>
    </w:p>
    <w:bookmarkEnd w:id="43"/>
    <w:bookmarkEnd w:id="44"/>
    <w:bookmarkStart w:id="45" w:name="заключе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Режим электронной кодовой книги (ECB) является исторически важным и концептуально простым алгоритмом, который заложил основы для построения всех последующих режимов шифрования. Его математическая прозрачность, высокая скорость работы и возможность полного параллелизма делают его удобным инструментом в ряде специализированных задач, например, при шифровании случайных данных и в аппаратных реализациях.</w:t>
      </w:r>
    </w:p>
    <w:p>
      <w:pPr>
        <w:pStyle w:val="BodyText"/>
      </w:pPr>
      <w:r>
        <w:t xml:space="preserve">Однако накопленный опыт криптоанализа и практического применения показал, что ECB не способен обеспечить необходимый уровень безопасности для защиты конфиденциальной информации общего назначения. Сохранение статистических закономерностей, уязвимость к атаке по словарю и отсутствие межблочной диффузии делают этот режим устаревшим для большинства современных задач.</w:t>
      </w:r>
    </w:p>
    <w:bookmarkEnd w:id="4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47" w:name="ref-nist_sp_800_38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Dworkin M.</w:t>
      </w:r>
      <w:r>
        <w:t xml:space="preserve"> </w:t>
      </w:r>
      <w:r>
        <w:t xml:space="preserve">Recommendation for Block Cipher Modes of Operation: Methods and Techniques (NIST SP 800-38A)</w:t>
      </w:r>
      <w:r>
        <w:t xml:space="preserve"> </w:t>
      </w:r>
      <w:r>
        <w:t xml:space="preserve">[Электронный ресурс]. 2001. URL:</w:t>
      </w:r>
      <w:r>
        <w:t xml:space="preserve"> </w:t>
      </w:r>
      <w:hyperlink r:id="rId46">
        <w:r>
          <w:rPr>
            <w:rStyle w:val="Hyperlink"/>
          </w:rPr>
          <w:t xml:space="preserve">https://nvlpubs.nist.gov/nistpubs/Legacy/sp/nistspecialpublication800-38a.pdf</w:t>
        </w:r>
      </w:hyperlink>
      <w:r>
        <w:t xml:space="preserve">.</w:t>
      </w:r>
    </w:p>
    <w:bookmarkEnd w:id="47"/>
    <w:bookmarkStart w:id="49" w:name="ref-nist_decision_2023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NIST.</w:t>
      </w:r>
      <w:r>
        <w:t xml:space="preserve"> </w:t>
      </w:r>
      <w:r>
        <w:t xml:space="preserve">Decision to Revise NIST SP 800-38A, Recommendation for Block Cipher Modes of Operation: Methods and Techniques</w:t>
      </w:r>
      <w:r>
        <w:t xml:space="preserve"> </w:t>
      </w:r>
      <w:r>
        <w:t xml:space="preserve">[Электронный ресурс]. 2023. URL:</w:t>
      </w:r>
      <w:r>
        <w:t xml:space="preserve"> </w:t>
      </w:r>
      <w:hyperlink r:id="rId48">
        <w:r>
          <w:rPr>
            <w:rStyle w:val="Hyperlink"/>
          </w:rPr>
          <w:t xml:space="preserve">https://www.nist.gov/news-events/news/2023/04/decision-revise-nist-sp-800-38a-recommendation-block-cipher-modes-operation</w:t>
        </w:r>
      </w:hyperlink>
      <w:r>
        <w:t xml:space="preserve">.</w:t>
      </w:r>
    </w:p>
    <w:bookmarkEnd w:id="49"/>
    <w:bookmarkStart w:id="51" w:name="ref-nist_bcm_project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NIST.</w:t>
      </w:r>
      <w:r>
        <w:t xml:space="preserve"> </w:t>
      </w:r>
      <w:r>
        <w:t xml:space="preserve">Block Cipher Modes Development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0">
        <w:r>
          <w:rPr>
            <w:rStyle w:val="Hyperlink"/>
          </w:rPr>
          <w:t xml:space="preserve">https://csrc.nist.gov/projects/block-cipher-techniques/BCM</w:t>
        </w:r>
      </w:hyperlink>
      <w:r>
        <w:t xml:space="preserve">.</w:t>
      </w:r>
    </w:p>
    <w:bookmarkEnd w:id="51"/>
    <w:bookmarkStart w:id="53" w:name="ref-wikimedia_tux_ecb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File:Tux encrypted ecb.png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2">
        <w:r>
          <w:rPr>
            <w:rStyle w:val="Hyperlink"/>
          </w:rPr>
          <w:t xml:space="preserve">https://commons.wikimedia.org/wiki/File:Tux_encrypted_ecb.png</w:t>
        </w:r>
      </w:hyperlink>
      <w:r>
        <w:t xml:space="preserve">.</w:t>
      </w:r>
    </w:p>
    <w:bookmarkEnd w:id="53"/>
    <w:bookmarkStart w:id="55" w:name="ref-ecb_penguin_valsorda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Valsorda F.</w:t>
      </w:r>
      <w:r>
        <w:t xml:space="preserve"> </w:t>
      </w:r>
      <w:r>
        <w:t xml:space="preserve">The ECB Penguin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4">
        <w:r>
          <w:rPr>
            <w:rStyle w:val="Hyperlink"/>
          </w:rPr>
          <w:t xml:space="preserve">https://words.filippo.io/the-ecb-penguin/</w:t>
        </w:r>
      </w:hyperlink>
      <w:r>
        <w:t xml:space="preserve">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hyperlink" Id="rId52" Target="https://commons.wikimedia.org/wiki/File:Tux_encrypted_ecb.png" TargetMode="External" /><Relationship Type="http://schemas.openxmlformats.org/officeDocument/2006/relationships/hyperlink" Id="rId50" Target="https://csrc.nist.gov/projects/block-cipher-techniques/BCM" TargetMode="External" /><Relationship Type="http://schemas.openxmlformats.org/officeDocument/2006/relationships/hyperlink" Id="rId46" Target="https://nvlpubs.nist.gov/nistpubs/Legacy/sp/nistspecialpublication800-38a.pdf" TargetMode="External" /><Relationship Type="http://schemas.openxmlformats.org/officeDocument/2006/relationships/hyperlink" Id="rId54" Target="https://words.filippo.io/the-ecb-penguin/" TargetMode="External" /><Relationship Type="http://schemas.openxmlformats.org/officeDocument/2006/relationships/hyperlink" Id="rId48" Target="https://www.nist.gov/news-events/news/2023/04/decision-revise-nist-sp-800-38a-recommendation-block-cipher-modes-ope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commons.wikimedia.org/wiki/File:Tux_encrypted_ecb.png" TargetMode="External" /><Relationship Type="http://schemas.openxmlformats.org/officeDocument/2006/relationships/hyperlink" Id="rId50" Target="https://csrc.nist.gov/projects/block-cipher-techniques/BCM" TargetMode="External" /><Relationship Type="http://schemas.openxmlformats.org/officeDocument/2006/relationships/hyperlink" Id="rId46" Target="https://nvlpubs.nist.gov/nistpubs/Legacy/sp/nistspecialpublication800-38a.pdf" TargetMode="External" /><Relationship Type="http://schemas.openxmlformats.org/officeDocument/2006/relationships/hyperlink" Id="rId54" Target="https://words.filippo.io/the-ecb-penguin/" TargetMode="External" /><Relationship Type="http://schemas.openxmlformats.org/officeDocument/2006/relationships/hyperlink" Id="rId48" Target="https://www.nist.gov/news-events/news/2023/04/decision-revise-nist-sp-800-38a-recommendation-block-cipher-modes-ope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Кадрова Ангелина Александровна</dc:creator>
  <dc:language>ru-RU</dc:language>
  <cp:keywords/>
  <dcterms:created xsi:type="dcterms:W3CDTF">2026-10-07T19:39:53Z</dcterms:created>
  <dcterms:modified xsi:type="dcterms:W3CDTF">2026-10-07T19:39:53Z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Режим электронной книги (ECB)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