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5ba28fc</w:t>
            </w:r>
          </w:p>
        </w:tc>
      </w:tr>
      <w:tr>
        <w:tc>
          <w:tcPr>
            <w:tcW w:type="dxa" w:w="2448"/>
          </w:tcPr>
          <w:p>
            <w:pPr>
              <w:spacing w:after="20"/>
            </w:pPr>
            <w:r/>
            <w:r>
              <w:rPr>
                <w:sz w:val="19"/>
              </w:rPr>
              <w:t>Built</w:t>
            </w:r>
          </w:p>
        </w:tc>
        <w:tc>
          <w:tcPr>
            <w:tcW w:type="dxa" w:w="6624"/>
          </w:tcPr>
          <w:p>
            <w:pPr>
              <w:spacing w:after="20"/>
            </w:pPr>
            <w:r/>
            <w:r>
              <w:rPr>
                <w:sz w:val="19"/>
              </w:rPr>
              <w:t>2026-08-30 12:34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after="140"/>
      </w:pPr>
      <w:r>
        <w:rPr>
          <w:i/>
          <w:color w:val="5B6572"/>
          <w:sz w:val="21"/>
        </w:rPr>
        <w:t>[phase study not yet generated]</w:t>
      </w: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agentic threat model</w:t>
      </w:r>
    </w:p>
    <w:p>
      <w:pPr>
        <w:spacing w:after="140"/>
      </w:pPr>
      <w:r>
        <w:rPr>
          <w:i w:val="0"/>
          <w:sz w:val="21"/>
        </w:rPr>
        <w:t>Ten attack families against a signed mandate, listed in full in §7. Two of them — an in-scope malicious purchase and a prompt-injected but in-scope purchase — are included precisely because deterministic checking cannot catch them.</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 Splits are simultaneously grouped by payer and separated in time (months 1–9 train, 10–12 test). Class balance is never adjusted.</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spacing w:after="140"/>
      </w:pPr>
      <w:r>
        <w:rPr>
          <w:i/>
          <w:color w:val="5B6572"/>
          <w:sz w:val="21"/>
        </w:rPr>
        <w:t>[figure phase_uniform.png not generated]</w:t>
      </w:r>
    </w:p>
    <w:p>
      <w:pPr>
        <w:spacing w:after="140"/>
      </w:pPr>
      <w:r>
        <w:rPr>
          <w:i/>
          <w:color w:val="5B6572"/>
          <w:sz w:val="21"/>
        </w:rPr>
        <w:t>[figure phase_prevalence.png not generated]</w:t>
      </w:r>
    </w:p>
    <w:p>
      <w:pPr>
        <w:spacing w:after="140"/>
      </w:pPr>
      <w:r>
        <w:rPr>
          <w:i/>
          <w:color w:val="5B6572"/>
          <w:sz w:val="21"/>
        </w:rPr>
        <w:t>[figure rho_star.png not generated]</w:t>
      </w:r>
    </w:p>
    <w:p>
      <w:pPr>
        <w:spacing w:after="140"/>
      </w:pPr>
      <w:r>
        <w:rPr>
          <w:i/>
          <w:color w:val="5B6572"/>
          <w:sz w:val="21"/>
        </w:rPr>
        <w:t>[figure secondary_sweeps.png not generated]</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