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4cbdb43</w:t>
            </w:r>
          </w:p>
        </w:tc>
      </w:tr>
      <w:tr>
        <w:tc>
          <w:tcPr>
            <w:tcW w:type="dxa" w:w="2448"/>
          </w:tcPr>
          <w:p>
            <w:pPr>
              <w:spacing w:after="20"/>
            </w:pPr>
            <w:r/>
            <w:r>
              <w:rPr>
                <w:sz w:val="19"/>
              </w:rPr>
              <w:t>Built</w:t>
            </w:r>
          </w:p>
        </w:tc>
        <w:tc>
          <w:tcPr>
            <w:tcW w:type="dxa" w:w="6624"/>
          </w:tcPr>
          <w:p>
            <w:pPr>
              <w:spacing w:after="20"/>
            </w:pPr>
            <w:r/>
            <w:r>
              <w:rPr>
                <w:sz w:val="19"/>
              </w:rPr>
              <w:t>2026-08-31 02:32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before="240" w:after="60"/>
      </w:pPr>
      <w:r>
        <w:rPr>
          <w:b/>
          <w:sz w:val="23"/>
        </w:rPr>
        <w:t>The primary reported quantity: ρ*</w:t>
      </w:r>
    </w:p>
    <w:p>
      <w:pPr>
        <w:spacing w:after="140"/>
      </w:pPr>
      <w:r>
        <w:rPr>
          <w:i w:val="0"/>
          <w:sz w:val="21"/>
        </w:rPr>
        <w:t>ρ* is the coaching level above which the incremental value of declared context stops being significant. It is bracketed by the sweep grid, not interpolated, and it is a property of this threat model and parameterisation — never a universal fact.</w:t>
      </w:r>
    </w:p>
    <w:tbl>
      <w:tblPr>
        <w:tblStyle w:val="LightGrid-Accent1"/>
        <w:tblW w:type="auto" w:w="0"/>
        <w:jc w:val="center"/>
        <w:tblLook w:firstColumn="1" w:firstRow="1" w:lastColumn="0" w:lastRow="0" w:noHBand="0" w:noVBand="1" w:val="04A0"/>
      </w:tblPr>
      <w:tblGrid>
        <w:gridCol w:w="3168"/>
        <w:gridCol w:w="3168"/>
        <w:gridCol w:w="3168"/>
      </w:tblGrid>
      <w:tr>
        <w:tc>
          <w:tcPr>
            <w:tcW w:type="dxa" w:w="2304"/>
          </w:tcPr>
          <w:p>
            <w:r/>
            <w:r>
              <w:rPr>
                <w:b/>
                <w:sz w:val="18"/>
              </w:rPr>
              <w:t>λ  structural overlap</w:t>
            </w:r>
          </w:p>
        </w:tc>
        <w:tc>
          <w:tcPr>
            <w:tcW w:type="dxa" w:w="2016"/>
          </w:tcPr>
          <w:p>
            <w:r/>
            <w:r>
              <w:rPr>
                <w:b/>
                <w:sz w:val="18"/>
              </w:rPr>
              <w:t>ρ* bracket</w:t>
            </w:r>
          </w:p>
        </w:tc>
        <w:tc>
          <w:tcPr>
            <w:tcW w:type="dxa" w:w="4752"/>
          </w:tcPr>
          <w:p>
            <w:r/>
            <w:r>
              <w:rPr>
                <w:b/>
                <w:sz w:val="18"/>
              </w:rPr>
              <w:t>Reading</w:t>
            </w:r>
          </w:p>
        </w:tc>
      </w:tr>
      <w:tr>
        <w:tc>
          <w:tcPr>
            <w:tcW w:type="dxa" w:w="2304"/>
          </w:tcPr>
          <w:p>
            <w:pPr>
              <w:spacing w:after="20"/>
              <w:jc w:val="right"/>
            </w:pPr>
            <w:r/>
            <w:r>
              <w:rPr>
                <w:sz w:val="18"/>
              </w:rPr>
              <w:t>0</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0.05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0.1</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0.2</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0.35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bl>
    <w:p>
      <w:pPr>
        <w:spacing w:after="40"/>
      </w:pP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Why this failure mode is different</w:t>
      </w:r>
    </w:p>
    <w:p>
      <w:pPr>
        <w:spacing w:after="140"/>
      </w:pPr>
      <w:r>
        <w:rPr>
          <w:i w:val="0"/>
          <w:sz w:val="21"/>
        </w:rPr>
        <w:t>Card fraud and account takeover are unauthorised: the genuine customer did not make the payment, so authentication and device intelligence are aimed at the right target. APP fraud inverts that. The customer did make the payment, on their own device, through their own credentials, having passed every check. What failed was not the authorisation but the payer's model of what the payment was for.</w:t>
      </w:r>
    </w:p>
    <w:p>
      <w:pPr>
        <w:spacing w:after="140"/>
      </w:pPr>
      <w:r>
        <w:rPr>
          <w:i w:val="0"/>
          <w:sz w:val="21"/>
        </w:rPr>
        <w:t>That inversion has three practical consequences. Liability is contested, because no control was bypassed. Reversal is hard, because the transfer was valid at the moment it was made. And detection has to work with a signal that no existing field carries: the payer's own belief about the counterparty. A network sees who paid whom, how much, from what device, at what time. It does not see 'this was supposed to be my daughter's tuition'.</w:t>
      </w:r>
    </w:p>
    <w:p>
      <w:pPr>
        <w:spacing w:after="140"/>
      </w:pPr>
      <w:r>
        <w:rPr>
          <w:i w:val="0"/>
          <w:sz w:val="21"/>
        </w:rPr>
        <w:t>The question this project asks is whether asking for that belief, and checking it against what the beneficiary actually looks like, is worth the cost of collecting it — and for how long that remains true once attackers know the check exists. The second half is the part that is usually left out.</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declaration model for legitimate payments</w:t>
      </w:r>
    </w:p>
    <w:p>
      <w:pPr>
        <w:spacing w:after="140"/>
      </w:pPr>
      <w:r>
        <w:rPr>
          <w:i w:val="0"/>
          <w:sz w:val="21"/>
        </w:rPr>
        <w:t>A signal is only worth measuring against a realistic null. Legitimate payers do not declare purpose perfectly: they pick the nearest menu item, they pick 'other' when in a hurry, and some categories are genuinely ambiguous. The simulator therefore passes every legitimate declaration through a row-stochastic confusion matrix whose diagonal ranges from 0.65 (friend_transfer, which people routinely record as family_support or other) to 0.91 (utility_bill, which is unambiguous) to 1.00 (other, which is the null category and cannot be mislabelled into something else). The aggregate mislabel rate is approximately 18%.</w:t>
      </w:r>
    </w:p>
    <w:p>
      <w:pPr>
        <w:spacing w:after="140"/>
      </w:pPr>
      <w:r>
        <w:rPr>
          <w:i w:val="0"/>
          <w:sz w:val="21"/>
        </w:rPr>
        <w:t>This matters more than it looks. If legitimate declarations were noiseless, any fraudulent mislabel would stand out, and the measured value of the signal would be an artefact of that idealisation. The confusion matrix is the honest null against which coaching is measured.</w:t>
      </w:r>
    </w:p>
    <w:p>
      <w:pPr>
        <w:spacing w:before="240" w:after="60"/>
      </w:pPr>
      <w:r>
        <w:rPr>
          <w:b/>
          <w:sz w:val="23"/>
        </w:rPr>
        <w:t>The eleven-class taxonomy</w:t>
      </w:r>
    </w:p>
    <w:tbl>
      <w:tblPr>
        <w:tblStyle w:val="LightGrid-Accent1"/>
        <w:tblW w:type="auto" w:w="0"/>
        <w:jc w:val="center"/>
        <w:tblLook w:firstColumn="1" w:firstRow="1" w:lastColumn="0" w:lastRow="0" w:noHBand="0" w:noVBand="1" w:val="04A0"/>
      </w:tblPr>
      <w:tblGrid>
        <w:gridCol w:w="4752"/>
        <w:gridCol w:w="4752"/>
      </w:tblGrid>
      <w:tr>
        <w:tc>
          <w:tcPr>
            <w:tcW w:type="dxa" w:w="2160"/>
          </w:tcPr>
          <w:p>
            <w:r/>
            <w:r>
              <w:rPr>
                <w:b/>
                <w:sz w:val="18"/>
              </w:rPr>
              <w:t>Purpose</w:t>
            </w:r>
          </w:p>
        </w:tc>
        <w:tc>
          <w:tcPr>
            <w:tcW w:type="dxa" w:w="6912"/>
          </w:tcPr>
          <w:p>
            <w:r/>
            <w:r>
              <w:rPr>
                <w:b/>
                <w:sz w:val="18"/>
              </w:rPr>
              <w:t>Beneficiary signature it implies</w:t>
            </w:r>
          </w:p>
        </w:tc>
      </w:tr>
      <w:tr>
        <w:tc>
          <w:tcPr>
            <w:tcW w:type="dxa" w:w="2160"/>
          </w:tcPr>
          <w:p>
            <w:pPr>
              <w:spacing w:after="20"/>
            </w:pPr>
            <w:r/>
            <w:r>
              <w:rPr>
                <w:sz w:val="18"/>
              </w:rPr>
              <w:t>rent</w:t>
            </w:r>
          </w:p>
        </w:tc>
        <w:tc>
          <w:tcPr>
            <w:tcW w:type="dxa" w:w="6912"/>
          </w:tcPr>
          <w:p>
            <w:pPr>
              <w:spacing w:after="20"/>
            </w:pPr>
            <w:r/>
            <w:r>
              <w:rPr>
                <w:sz w:val="18"/>
              </w:rPr>
              <w:t>periodic, stable payee, few payers, high periodicity</w:t>
            </w:r>
          </w:p>
        </w:tc>
      </w:tr>
      <w:tr>
        <w:tc>
          <w:tcPr>
            <w:tcW w:type="dxa" w:w="2160"/>
          </w:tcPr>
          <w:p>
            <w:pPr>
              <w:spacing w:after="20"/>
            </w:pPr>
            <w:r/>
            <w:r>
              <w:rPr>
                <w:sz w:val="18"/>
              </w:rPr>
              <w:t>salary_reimburse</w:t>
            </w:r>
          </w:p>
        </w:tc>
        <w:tc>
          <w:tcPr>
            <w:tcW w:type="dxa" w:w="6912"/>
          </w:tcPr>
          <w:p>
            <w:pPr>
              <w:spacing w:after="20"/>
            </w:pPr>
            <w:r/>
            <w:r>
              <w:rPr>
                <w:sz w:val="18"/>
              </w:rPr>
              <w:t>employer-like, very low fan-in</w:t>
            </w:r>
          </w:p>
        </w:tc>
      </w:tr>
      <w:tr>
        <w:tc>
          <w:tcPr>
            <w:tcW w:type="dxa" w:w="2160"/>
          </w:tcPr>
          <w:p>
            <w:pPr>
              <w:spacing w:after="20"/>
            </w:pPr>
            <w:r/>
            <w:r>
              <w:rPr>
                <w:sz w:val="18"/>
              </w:rPr>
              <w:t>family_support</w:t>
            </w:r>
          </w:p>
        </w:tc>
        <w:tc>
          <w:tcPr>
            <w:tcW w:type="dxa" w:w="6912"/>
          </w:tcPr>
          <w:p>
            <w:pPr>
              <w:spacing w:after="20"/>
            </w:pPr>
            <w:r/>
            <w:r>
              <w:rPr>
                <w:sz w:val="18"/>
              </w:rPr>
              <w:t>recurring, reciprocal, small payer set</w:t>
            </w:r>
          </w:p>
        </w:tc>
      </w:tr>
      <w:tr>
        <w:tc>
          <w:tcPr>
            <w:tcW w:type="dxa" w:w="2160"/>
          </w:tcPr>
          <w:p>
            <w:pPr>
              <w:spacing w:after="20"/>
            </w:pPr>
            <w:r/>
            <w:r>
              <w:rPr>
                <w:sz w:val="18"/>
              </w:rPr>
              <w:t>friend_transfer</w:t>
            </w:r>
          </w:p>
        </w:tc>
        <w:tc>
          <w:tcPr>
            <w:tcW w:type="dxa" w:w="6912"/>
          </w:tcPr>
          <w:p>
            <w:pPr>
              <w:spacing w:after="20"/>
            </w:pPr>
            <w:r/>
            <w:r>
              <w:rPr>
                <w:sz w:val="18"/>
              </w:rPr>
              <w:t>low signature, bidirectional, sporadic</w:t>
            </w:r>
          </w:p>
        </w:tc>
      </w:tr>
      <w:tr>
        <w:tc>
          <w:tcPr>
            <w:tcW w:type="dxa" w:w="2160"/>
          </w:tcPr>
          <w:p>
            <w:pPr>
              <w:spacing w:after="20"/>
            </w:pPr>
            <w:r/>
            <w:r>
              <w:rPr>
                <w:sz w:val="18"/>
              </w:rPr>
              <w:t>education_fees</w:t>
            </w:r>
          </w:p>
        </w:tc>
        <w:tc>
          <w:tcPr>
            <w:tcW w:type="dxa" w:w="6912"/>
          </w:tcPr>
          <w:p>
            <w:pPr>
              <w:spacing w:after="20"/>
            </w:pPr>
            <w:r/>
            <w:r>
              <w:rPr>
                <w:sz w:val="18"/>
              </w:rPr>
              <w:t>institutional, seasonal, high fan-in, legitimate</w:t>
            </w:r>
          </w:p>
        </w:tc>
      </w:tr>
      <w:tr>
        <w:tc>
          <w:tcPr>
            <w:tcW w:type="dxa" w:w="2160"/>
          </w:tcPr>
          <w:p>
            <w:pPr>
              <w:spacing w:after="20"/>
            </w:pPr>
            <w:r/>
            <w:r>
              <w:rPr>
                <w:sz w:val="18"/>
              </w:rPr>
              <w:t>utility_bill</w:t>
            </w:r>
          </w:p>
        </w:tc>
        <w:tc>
          <w:tcPr>
            <w:tcW w:type="dxa" w:w="6912"/>
          </w:tcPr>
          <w:p>
            <w:pPr>
              <w:spacing w:after="20"/>
            </w:pPr>
            <w:r/>
            <w:r>
              <w:rPr>
                <w:sz w:val="18"/>
              </w:rPr>
              <w:t>institutional, periodic, very high fan-in, legitimate</w:t>
            </w:r>
          </w:p>
        </w:tc>
      </w:tr>
      <w:tr>
        <w:tc>
          <w:tcPr>
            <w:tcW w:type="dxa" w:w="2160"/>
          </w:tcPr>
          <w:p>
            <w:pPr>
              <w:spacing w:after="20"/>
            </w:pPr>
            <w:r/>
            <w:r>
              <w:rPr>
                <w:sz w:val="18"/>
              </w:rPr>
              <w:t>merchant_purchase</w:t>
            </w:r>
          </w:p>
        </w:tc>
        <w:tc>
          <w:tcPr>
            <w:tcW w:type="dxa" w:w="6912"/>
          </w:tcPr>
          <w:p>
            <w:pPr>
              <w:spacing w:after="20"/>
            </w:pPr>
            <w:r/>
            <w:r>
              <w:rPr>
                <w:sz w:val="18"/>
              </w:rPr>
              <w:t>commercial, high fan-in, legitimate</w:t>
            </w:r>
          </w:p>
        </w:tc>
      </w:tr>
      <w:tr>
        <w:tc>
          <w:tcPr>
            <w:tcW w:type="dxa" w:w="2160"/>
          </w:tcPr>
          <w:p>
            <w:pPr>
              <w:spacing w:after="20"/>
            </w:pPr>
            <w:r/>
            <w:r>
              <w:rPr>
                <w:sz w:val="18"/>
              </w:rPr>
              <w:t>loan_repayment</w:t>
            </w:r>
          </w:p>
        </w:tc>
        <w:tc>
          <w:tcPr>
            <w:tcW w:type="dxa" w:w="6912"/>
          </w:tcPr>
          <w:p>
            <w:pPr>
              <w:spacing w:after="20"/>
            </w:pPr>
            <w:r/>
            <w:r>
              <w:rPr>
                <w:sz w:val="18"/>
              </w:rPr>
              <w:t>periodic, institutional or individual</w:t>
            </w:r>
          </w:p>
        </w:tc>
      </w:tr>
      <w:tr>
        <w:tc>
          <w:tcPr>
            <w:tcW w:type="dxa" w:w="2160"/>
          </w:tcPr>
          <w:p>
            <w:pPr>
              <w:spacing w:after="20"/>
            </w:pPr>
            <w:r/>
            <w:r>
              <w:rPr>
                <w:sz w:val="18"/>
              </w:rPr>
              <w:t>investment</w:t>
            </w:r>
          </w:p>
        </w:tc>
        <w:tc>
          <w:tcPr>
            <w:tcW w:type="dxa" w:w="6912"/>
          </w:tcPr>
          <w:p>
            <w:pPr>
              <w:spacing w:after="20"/>
            </w:pPr>
            <w:r/>
            <w:r>
              <w:rPr>
                <w:sz w:val="18"/>
              </w:rPr>
              <w:t>no strong legitimate signature in P2P — the scam favourite</w:t>
            </w:r>
          </w:p>
        </w:tc>
      </w:tr>
      <w:tr>
        <w:tc>
          <w:tcPr>
            <w:tcW w:type="dxa" w:w="2160"/>
          </w:tcPr>
          <w:p>
            <w:pPr>
              <w:spacing w:after="20"/>
            </w:pPr>
            <w:r/>
            <w:r>
              <w:rPr>
                <w:sz w:val="18"/>
              </w:rPr>
              <w:t>medical</w:t>
            </w:r>
          </w:p>
        </w:tc>
        <w:tc>
          <w:tcPr>
            <w:tcW w:type="dxa" w:w="6912"/>
          </w:tcPr>
          <w:p>
            <w:pPr>
              <w:spacing w:after="20"/>
            </w:pPr>
            <w:r/>
            <w:r>
              <w:rPr>
                <w:sz w:val="18"/>
              </w:rPr>
              <w:t>sporadic, institutional</w:t>
            </w:r>
          </w:p>
        </w:tc>
      </w:tr>
      <w:tr>
        <w:tc>
          <w:tcPr>
            <w:tcW w:type="dxa" w:w="2160"/>
          </w:tcPr>
          <w:p>
            <w:pPr>
              <w:spacing w:after="20"/>
            </w:pPr>
            <w:r/>
            <w:r>
              <w:rPr>
                <w:sz w:val="18"/>
              </w:rPr>
              <w:t>other</w:t>
            </w:r>
          </w:p>
        </w:tc>
        <w:tc>
          <w:tcPr>
            <w:tcW w:type="dxa" w:w="6912"/>
          </w:tcPr>
          <w:p>
            <w:pPr>
              <w:spacing w:after="20"/>
            </w:pPr>
            <w:r/>
            <w:r>
              <w:rPr>
                <w:sz w:val="18"/>
              </w:rPr>
              <w:t>deliberate null category</w:t>
            </w:r>
          </w:p>
        </w:tc>
      </w:tr>
    </w:tbl>
    <w:p>
      <w:pPr>
        <w:spacing w:after="40"/>
      </w:pPr>
    </w:p>
    <w:p>
      <w:pPr>
        <w:spacing w:after="140"/>
      </w:pPr>
      <w:r>
        <w:rPr>
          <w:i w:val="0"/>
          <w:sz w:val="21"/>
        </w:rPr>
        <w:t>Cardinality is swept: K = 3 collapses this to {personal, commercial, other}, K = 6 to a mid grouping, K = 11 is the full taxonomy. A coarser menu is cheaper to deploy and easier for a payer to answer correctly, so the question of how much resolution the signal actually needs is an operational one, not a modelling detail.</w:t>
      </w:r>
    </w:p>
    <w:p>
      <w:pPr>
        <w:spacing w:before="240" w:after="60"/>
      </w:pPr>
      <w:r>
        <w:rPr>
          <w:b/>
          <w:sz w:val="23"/>
        </w:rPr>
        <w:t>A third and stronger adversary again</w:t>
      </w:r>
    </w:p>
    <w:p>
      <w:pPr>
        <w:spacing w:after="140"/>
      </w:pPr>
      <w:r>
        <w:rPr>
          <w:i w:val="0"/>
          <w:sz w:val="21"/>
        </w:rPr>
        <w:t>Both adversaries above control only what the victim declares. Neither controls which mule receives the money. A real scammer controls both, and would route the payment to an account whose beneficiary profile is plausible for the purpose the victim has been coached to declare. That attacks the purpose-beneficiary consistency mechanism directly rather than the base rate of the declared code.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t>Adversary</w:t>
            </w:r>
          </w:p>
        </w:tc>
        <w:tc>
          <w:tcPr>
            <w:tcW w:type="dxa" w:w="4608"/>
          </w:tcPr>
          <w:p>
            <w:r/>
            <w:r>
              <w:rPr>
                <w:b/>
                <w:sz w:val="18"/>
              </w:rPr>
              <w:t>Declaration</w:t>
            </w:r>
          </w:p>
        </w:tc>
        <w:tc>
          <w:tcPr>
            <w:tcW w:type="dxa" w:w="2304"/>
          </w:tcPr>
          <w:p>
            <w:r/>
            <w:r>
              <w:rPr>
                <w:b/>
                <w:sz w:val="18"/>
              </w:rPr>
              <w:t>Beneficiary routing</w:t>
            </w:r>
          </w:p>
        </w:tc>
      </w:tr>
      <w:tr>
        <w:tc>
          <w:tcPr>
            <w:tcW w:type="dxa" w:w="2160"/>
          </w:tcPr>
          <w:p>
            <w:pPr>
              <w:spacing w:after="20"/>
            </w:pPr>
            <w:r/>
            <w:r>
              <w:rPr>
                <w:sz w:val="18"/>
              </w:rPr>
              <w:t>uniform (pre-registered)</w:t>
            </w:r>
          </w:p>
        </w:tc>
        <w:tc>
          <w:tcPr>
            <w:tcW w:type="dxa" w:w="4608"/>
          </w:tcPr>
          <w:p>
            <w:pPr>
              <w:spacing w:after="20"/>
            </w:pPr>
            <w:r/>
            <w:r>
              <w:rPr>
                <w:sz w:val="18"/>
              </w:rPr>
              <w:t>uniform over the coached safe set</w:t>
            </w:r>
          </w:p>
        </w:tc>
        <w:tc>
          <w:tcPr>
            <w:tcW w:type="dxa" w:w="2304"/>
          </w:tcPr>
          <w:p>
            <w:pPr>
              <w:spacing w:after="20"/>
            </w:pPr>
            <w:r/>
            <w:r>
              <w:rPr>
                <w:sz w:val="18"/>
              </w:rPr>
              <w:t>random mule</w:t>
            </w:r>
          </w:p>
        </w:tc>
      </w:tr>
      <w:tr>
        <w:tc>
          <w:tcPr>
            <w:tcW w:type="dxa" w:w="2160"/>
          </w:tcPr>
          <w:p>
            <w:pPr>
              <w:spacing w:after="20"/>
            </w:pPr>
            <w:r/>
            <w:r>
              <w:rPr>
                <w:sz w:val="18"/>
              </w:rPr>
              <w:t>prevalence</w:t>
            </w:r>
          </w:p>
        </w:tc>
        <w:tc>
          <w:tcPr>
            <w:tcW w:type="dxa" w:w="4608"/>
          </w:tcPr>
          <w:p>
            <w:pPr>
              <w:spacing w:after="20"/>
            </w:pPr>
            <w:r/>
            <w:r>
              <w:rPr>
                <w:sz w:val="18"/>
              </w:rPr>
              <w:t>proportional to legitimate frequencies; the code carries no marginal information at rho = 1</w:t>
            </w:r>
          </w:p>
        </w:tc>
        <w:tc>
          <w:tcPr>
            <w:tcW w:type="dxa" w:w="2304"/>
          </w:tcPr>
          <w:p>
            <w:pPr>
              <w:spacing w:after="20"/>
            </w:pPr>
            <w:r/>
            <w:r>
              <w:rPr>
                <w:sz w:val="18"/>
              </w:rPr>
              <w:t>random mule</w:t>
            </w:r>
          </w:p>
        </w:tc>
      </w:tr>
      <w:tr>
        <w:tc>
          <w:tcPr>
            <w:tcW w:type="dxa" w:w="2160"/>
          </w:tcPr>
          <w:p>
            <w:pPr>
              <w:spacing w:after="20"/>
            </w:pPr>
            <w:r/>
            <w:r>
              <w:rPr>
                <w:sz w:val="18"/>
              </w:rPr>
              <w:t>matched</w:t>
            </w:r>
          </w:p>
        </w:tc>
        <w:tc>
          <w:tcPr>
            <w:tcW w:type="dxa" w:w="4608"/>
          </w:tcPr>
          <w:p>
            <w:pPr>
              <w:spacing w:after="20"/>
            </w:pPr>
            <w:r/>
            <w:r>
              <w:rPr>
                <w:sz w:val="18"/>
              </w:rPr>
              <w:t>as prevalence</w:t>
            </w:r>
          </w:p>
        </w:tc>
        <w:tc>
          <w:tcPr>
            <w:tcW w:type="dxa" w:w="2304"/>
          </w:tcPr>
          <w:p>
            <w:pPr>
              <w:spacing w:after="20"/>
            </w:pPr>
            <w:r/>
            <w:r>
              <w:rPr>
                <w:sz w:val="18"/>
              </w:rPr>
              <w:t>mule chosen to fit the declared purpose</w:t>
            </w:r>
          </w:p>
        </w:tc>
      </w:tr>
    </w:tbl>
    <w:p>
      <w:pPr>
        <w:spacing w:after="40"/>
      </w:pPr>
    </w:p>
    <w:p>
      <w:pPr>
        <w:spacing w:after="140"/>
      </w:pPr>
      <w:r>
        <w:rPr>
          <w:i w:val="0"/>
          <w:sz w:val="21"/>
        </w:rPr>
        <w:t>The matched adversary is assumed to know the defence: it scores candidate mules against the same purpose-conditional reference the defender uses. That is a deliberate worst case — the security of a declared-context control should not rest on the attacker's ignorance of how it works.</w:t>
      </w:r>
    </w:p>
    <w:p>
      <w:pPr>
        <w:spacing w:after="140"/>
      </w:pPr>
      <w:r>
        <w:rPr>
          <w:i w:val="0"/>
          <w:sz w:val="21"/>
        </w:rPr>
        <w:t>Two constraints keep it honest. It can only choose among accounts that are actually mules, so the best available match to an institutional purpose is still a poor one. And it cannot manufacture pair history: a victim has no prior relationship with any mule, whichever is chosen, so only the eleven payee-level beneficiary features are swapped and the two pair-level ones are left untouched.</w:t>
      </w:r>
    </w:p>
    <w:p>
      <w:pPr>
        <w:spacing w:after="140"/>
      </w:pPr>
      <w:r>
        <w:rPr>
          <w:i w:val="0"/>
          <w:sz w:val="21"/>
        </w:rPr>
        <w:t>Candidates are sampled from the whole mule population, weighted by a softmax of fit and by the account's own inbound volume. Selecting only the best-fitting handful would change two things at once — which mule is chosen, and how concentrated the routing is — and concentration alone makes fraudulent rows resemble each other, which a supervised model simply learns. In an early run that artefact made the 'attack' improve the baseline it was meant to defeat. Softmax weighting over the full population changes only the choice, so the surface isolates the mechanism under test.</w:t>
      </w:r>
    </w:p>
    <w:p>
      <w:pPr>
        <w:spacing w:after="140"/>
      </w:pPr>
      <w:r>
        <w:rPr>
          <w:i w:val="0"/>
          <w:sz w:val="21"/>
        </w:rPr>
        <w:t>This adversary was added after the pre-registered surface was observed to have no zero-crossing. It makes the adversary stronger, and is therefore biased against the hypothesis under test; it was named as an unmodelled limitation before any result was seen. CHANGELOG.md records it in full, and the pre-registered surface is reported unchanged as the primary analysis.</w:t>
      </w:r>
    </w:p>
    <w:p>
      <w:pPr>
        <w:spacing w:before="240" w:after="60"/>
      </w:pPr>
      <w:r>
        <w:rPr>
          <w:b/>
          <w:sz w:val="23"/>
        </w:rPr>
        <w:t>The agentic threat model</w:t>
      </w:r>
    </w:p>
    <w:p>
      <w:pPr>
        <w:spacing w:after="140"/>
      </w:pPr>
      <w:r>
        <w:rPr>
          <w:i w:val="0"/>
          <w:sz w:val="21"/>
        </w:rPr>
        <w:t>Ten attack families against a signed mandate. Eight are scope, freshness, binding or revocation violations, and are caught structurally. Two are not, and they are in the list precisely because deterministic checking cannot catch them.</w:t>
      </w:r>
    </w:p>
    <w:tbl>
      <w:tblPr>
        <w:tblStyle w:val="LightGrid-Accent1"/>
        <w:tblW w:type="auto" w:w="0"/>
        <w:jc w:val="center"/>
        <w:tblLook w:firstColumn="1" w:firstRow="1" w:lastColumn="0" w:lastRow="0" w:noHBand="0" w:noVBand="1" w:val="04A0"/>
      </w:tblPr>
      <w:tblGrid>
        <w:gridCol w:w="3168"/>
        <w:gridCol w:w="3168"/>
        <w:gridCol w:w="3168"/>
      </w:tblGrid>
      <w:tr>
        <w:tc>
          <w:tcPr>
            <w:tcW w:type="dxa" w:w="720"/>
          </w:tcPr>
          <w:p>
            <w:r/>
            <w:r>
              <w:rPr>
                <w:b/>
                <w:sz w:val="18"/>
              </w:rPr>
              <w:t>ID</w:t>
            </w:r>
          </w:p>
        </w:tc>
        <w:tc>
          <w:tcPr>
            <w:tcW w:type="dxa" w:w="5472"/>
          </w:tcPr>
          <w:p>
            <w:r/>
            <w:r>
              <w:rPr>
                <w:b/>
                <w:sz w:val="18"/>
              </w:rPr>
              <w:t>Attack family</w:t>
            </w:r>
          </w:p>
        </w:tc>
        <w:tc>
          <w:tcPr>
            <w:tcW w:type="dxa" w:w="2880"/>
          </w:tcPr>
          <w:p>
            <w:r/>
            <w:r>
              <w:rPr>
                <w:b/>
                <w:sz w:val="18"/>
              </w:rPr>
              <w:t>Expected catcher</w:t>
            </w:r>
          </w:p>
        </w:tc>
      </w:tr>
      <w:tr>
        <w:tc>
          <w:tcPr>
            <w:tcW w:type="dxa" w:w="720"/>
          </w:tcPr>
          <w:p>
            <w:pPr>
              <w:spacing w:after="20"/>
            </w:pPr>
            <w:r/>
            <w:r>
              <w:rPr>
                <w:sz w:val="18"/>
              </w:rPr>
              <w:t>A1</w:t>
            </w:r>
          </w:p>
        </w:tc>
        <w:tc>
          <w:tcPr>
            <w:tcW w:type="dxa" w:w="5472"/>
          </w:tcPr>
          <w:p>
            <w:pPr>
              <w:spacing w:after="20"/>
            </w:pPr>
            <w:r/>
            <w:r>
              <w:rPr>
                <w:sz w:val="18"/>
              </w:rPr>
              <w:t>Amount escalation beyond mandate cap</w:t>
            </w:r>
          </w:p>
        </w:tc>
        <w:tc>
          <w:tcPr>
            <w:tcW w:type="dxa" w:w="2880"/>
          </w:tcPr>
          <w:p>
            <w:pPr>
              <w:spacing w:after="20"/>
            </w:pPr>
            <w:r/>
            <w:r>
              <w:rPr>
                <w:sz w:val="18"/>
              </w:rPr>
              <w:t>C1 amount scope</w:t>
            </w:r>
          </w:p>
        </w:tc>
      </w:tr>
      <w:tr>
        <w:tc>
          <w:tcPr>
            <w:tcW w:type="dxa" w:w="720"/>
          </w:tcPr>
          <w:p>
            <w:pPr>
              <w:spacing w:after="20"/>
            </w:pPr>
            <w:r/>
            <w:r>
              <w:rPr>
                <w:sz w:val="18"/>
              </w:rPr>
              <w:t>A2</w:t>
            </w:r>
          </w:p>
        </w:tc>
        <w:tc>
          <w:tcPr>
            <w:tcW w:type="dxa" w:w="5472"/>
          </w:tcPr>
          <w:p>
            <w:pPr>
              <w:spacing w:after="20"/>
            </w:pPr>
            <w:r/>
            <w:r>
              <w:rPr>
                <w:sz w:val="18"/>
              </w:rPr>
              <w:t>Category violation</w:t>
            </w:r>
          </w:p>
        </w:tc>
        <w:tc>
          <w:tcPr>
            <w:tcW w:type="dxa" w:w="2880"/>
          </w:tcPr>
          <w:p>
            <w:pPr>
              <w:spacing w:after="20"/>
            </w:pPr>
            <w:r/>
            <w:r>
              <w:rPr>
                <w:sz w:val="18"/>
              </w:rPr>
              <w:t>C2 category scope</w:t>
            </w:r>
          </w:p>
        </w:tc>
      </w:tr>
      <w:tr>
        <w:tc>
          <w:tcPr>
            <w:tcW w:type="dxa" w:w="720"/>
          </w:tcPr>
          <w:p>
            <w:pPr>
              <w:spacing w:after="20"/>
            </w:pPr>
            <w:r/>
            <w:r>
              <w:rPr>
                <w:sz w:val="18"/>
              </w:rPr>
              <w:t>A3</w:t>
            </w:r>
          </w:p>
        </w:tc>
        <w:tc>
          <w:tcPr>
            <w:tcW w:type="dxa" w:w="5472"/>
          </w:tcPr>
          <w:p>
            <w:pPr>
              <w:spacing w:after="20"/>
            </w:pPr>
            <w:r/>
            <w:r>
              <w:rPr>
                <w:sz w:val="18"/>
              </w:rPr>
              <w:t>Mandate replay</w:t>
            </w:r>
          </w:p>
        </w:tc>
        <w:tc>
          <w:tcPr>
            <w:tcW w:type="dxa" w:w="2880"/>
          </w:tcPr>
          <w:p>
            <w:pPr>
              <w:spacing w:after="20"/>
            </w:pPr>
            <w:r/>
            <w:r>
              <w:rPr>
                <w:sz w:val="18"/>
              </w:rPr>
              <w:t>C5 nonce freshness</w:t>
            </w:r>
          </w:p>
        </w:tc>
      </w:tr>
      <w:tr>
        <w:tc>
          <w:tcPr>
            <w:tcW w:type="dxa" w:w="720"/>
          </w:tcPr>
          <w:p>
            <w:pPr>
              <w:spacing w:after="20"/>
            </w:pPr>
            <w:r/>
            <w:r>
              <w:rPr>
                <w:sz w:val="18"/>
              </w:rPr>
              <w:t>A4</w:t>
            </w:r>
          </w:p>
        </w:tc>
        <w:tc>
          <w:tcPr>
            <w:tcW w:type="dxa" w:w="5472"/>
          </w:tcPr>
          <w:p>
            <w:pPr>
              <w:spacing w:after="20"/>
            </w:pPr>
            <w:r/>
            <w:r>
              <w:rPr>
                <w:sz w:val="18"/>
              </w:rPr>
              <w:t>Cumulative aggregation across individually in-scope carts</w:t>
            </w:r>
          </w:p>
        </w:tc>
        <w:tc>
          <w:tcPr>
            <w:tcW w:type="dxa" w:w="2880"/>
          </w:tcPr>
          <w:p>
            <w:pPr>
              <w:spacing w:after="20"/>
            </w:pPr>
            <w:r/>
            <w:r>
              <w:rPr>
                <w:sz w:val="18"/>
              </w:rPr>
              <w:t>C6 cumulative cap</w:t>
            </w:r>
          </w:p>
        </w:tc>
      </w:tr>
      <w:tr>
        <w:tc>
          <w:tcPr>
            <w:tcW w:type="dxa" w:w="720"/>
          </w:tcPr>
          <w:p>
            <w:pPr>
              <w:spacing w:after="20"/>
            </w:pPr>
            <w:r/>
            <w:r>
              <w:rPr>
                <w:sz w:val="18"/>
              </w:rPr>
              <w:t>A5</w:t>
            </w:r>
          </w:p>
        </w:tc>
        <w:tc>
          <w:tcPr>
            <w:tcW w:type="dxa" w:w="5472"/>
          </w:tcPr>
          <w:p>
            <w:pPr>
              <w:spacing w:after="20"/>
            </w:pPr>
            <w:r/>
            <w:r>
              <w:rPr>
                <w:sz w:val="18"/>
              </w:rPr>
              <w:t>Expired mandate reuse</w:t>
            </w:r>
          </w:p>
        </w:tc>
        <w:tc>
          <w:tcPr>
            <w:tcW w:type="dxa" w:w="2880"/>
          </w:tcPr>
          <w:p>
            <w:pPr>
              <w:spacing w:after="20"/>
            </w:pPr>
            <w:r/>
            <w:r>
              <w:rPr>
                <w:sz w:val="18"/>
              </w:rPr>
              <w:t>C4 temporal validity</w:t>
            </w:r>
          </w:p>
        </w:tc>
      </w:tr>
      <w:tr>
        <w:tc>
          <w:tcPr>
            <w:tcW w:type="dxa" w:w="720"/>
          </w:tcPr>
          <w:p>
            <w:pPr>
              <w:spacing w:after="20"/>
            </w:pPr>
            <w:r/>
            <w:r>
              <w:rPr>
                <w:sz w:val="18"/>
              </w:rPr>
              <w:t>A6</w:t>
            </w:r>
          </w:p>
        </w:tc>
        <w:tc>
          <w:tcPr>
            <w:tcW w:type="dxa" w:w="5472"/>
          </w:tcPr>
          <w:p>
            <w:pPr>
              <w:spacing w:after="20"/>
            </w:pPr>
            <w:r/>
            <w:r>
              <w:rPr>
                <w:sz w:val="18"/>
              </w:rPr>
              <w:t>Forged agent attestation</w:t>
            </w:r>
          </w:p>
        </w:tc>
        <w:tc>
          <w:tcPr>
            <w:tcW w:type="dxa" w:w="2880"/>
          </w:tcPr>
          <w:p>
            <w:pPr>
              <w:spacing w:after="20"/>
            </w:pPr>
            <w:r/>
            <w:r>
              <w:rPr>
                <w:sz w:val="18"/>
              </w:rPr>
              <w:t>C7 agent binding</w:t>
            </w:r>
          </w:p>
        </w:tc>
      </w:tr>
      <w:tr>
        <w:tc>
          <w:tcPr>
            <w:tcW w:type="dxa" w:w="720"/>
          </w:tcPr>
          <w:p>
            <w:pPr>
              <w:spacing w:after="20"/>
            </w:pPr>
            <w:r/>
            <w:r>
              <w:rPr>
                <w:sz w:val="18"/>
              </w:rPr>
              <w:t>A7</w:t>
            </w:r>
          </w:p>
        </w:tc>
        <w:tc>
          <w:tcPr>
            <w:tcW w:type="dxa" w:w="5472"/>
          </w:tcPr>
          <w:p>
            <w:pPr>
              <w:spacing w:after="20"/>
            </w:pPr>
            <w:r/>
            <w:r>
              <w:rPr>
                <w:sz w:val="18"/>
              </w:rPr>
              <w:t>Line-item substitution after user confirmation</w:t>
            </w:r>
          </w:p>
        </w:tc>
        <w:tc>
          <w:tcPr>
            <w:tcW w:type="dxa" w:w="2880"/>
          </w:tcPr>
          <w:p>
            <w:pPr>
              <w:spacing w:after="20"/>
            </w:pPr>
            <w:r/>
            <w:r>
              <w:rPr>
                <w:sz w:val="18"/>
              </w:rPr>
              <w:t>C8 confirmation binding</w:t>
            </w:r>
          </w:p>
        </w:tc>
      </w:tr>
      <w:tr>
        <w:tc>
          <w:tcPr>
            <w:tcW w:type="dxa" w:w="720"/>
          </w:tcPr>
          <w:p>
            <w:pPr>
              <w:spacing w:after="20"/>
            </w:pPr>
            <w:r/>
            <w:r>
              <w:rPr>
                <w:sz w:val="18"/>
              </w:rPr>
              <w:t>A8</w:t>
            </w:r>
          </w:p>
        </w:tc>
        <w:tc>
          <w:tcPr>
            <w:tcW w:type="dxa" w:w="5472"/>
          </w:tcPr>
          <w:p>
            <w:pPr>
              <w:spacing w:after="20"/>
            </w:pPr>
            <w:r/>
            <w:r>
              <w:rPr>
                <w:sz w:val="18"/>
              </w:rPr>
              <w:t>Post-revocation burst</w:t>
            </w:r>
          </w:p>
        </w:tc>
        <w:tc>
          <w:tcPr>
            <w:tcW w:type="dxa" w:w="2880"/>
          </w:tcPr>
          <w:p>
            <w:pPr>
              <w:spacing w:after="20"/>
            </w:pPr>
            <w:r/>
            <w:r>
              <w:rPr>
                <w:sz w:val="18"/>
              </w:rPr>
              <w:t>C9 revocation state</w:t>
            </w:r>
          </w:p>
        </w:tc>
      </w:tr>
      <w:tr>
        <w:tc>
          <w:tcPr>
            <w:tcW w:type="dxa" w:w="720"/>
          </w:tcPr>
          <w:p>
            <w:pPr>
              <w:spacing w:after="20"/>
            </w:pPr>
            <w:r/>
            <w:r>
              <w:rPr>
                <w:sz w:val="18"/>
              </w:rPr>
              <w:t>A9</w:t>
            </w:r>
          </w:p>
        </w:tc>
        <w:tc>
          <w:tcPr>
            <w:tcW w:type="dxa" w:w="5472"/>
          </w:tcPr>
          <w:p>
            <w:pPr>
              <w:spacing w:after="20"/>
            </w:pPr>
            <w:r/>
            <w:r>
              <w:rPr>
                <w:sz w:val="18"/>
              </w:rPr>
              <w:t>In-scope malicious purchase</w:t>
            </w:r>
          </w:p>
        </w:tc>
        <w:tc>
          <w:tcPr>
            <w:tcW w:type="dxa" w:w="2880"/>
          </w:tcPr>
          <w:p>
            <w:pPr>
              <w:spacing w:after="20"/>
            </w:pPr>
            <w:r/>
            <w:r>
              <w:rPr>
                <w:sz w:val="18"/>
              </w:rPr>
              <w:t>none — bounded, not detected</w:t>
            </w:r>
          </w:p>
        </w:tc>
      </w:tr>
      <w:tr>
        <w:tc>
          <w:tcPr>
            <w:tcW w:type="dxa" w:w="720"/>
          </w:tcPr>
          <w:p>
            <w:pPr>
              <w:spacing w:after="20"/>
            </w:pPr>
            <w:r/>
            <w:r>
              <w:rPr>
                <w:sz w:val="18"/>
              </w:rPr>
              <w:t>A10</w:t>
            </w:r>
          </w:p>
        </w:tc>
        <w:tc>
          <w:tcPr>
            <w:tcW w:type="dxa" w:w="5472"/>
          </w:tcPr>
          <w:p>
            <w:pPr>
              <w:spacing w:after="20"/>
            </w:pPr>
            <w:r/>
            <w:r>
              <w:rPr>
                <w:sz w:val="18"/>
              </w:rPr>
              <w:t>Prompt-injected but in-scope purchase</w:t>
            </w:r>
          </w:p>
        </w:tc>
        <w:tc>
          <w:tcPr>
            <w:tcW w:type="dxa" w:w="2880"/>
          </w:tcPr>
          <w:p>
            <w:pPr>
              <w:spacing w:after="20"/>
            </w:pPr>
            <w:r/>
            <w:r>
              <w:rPr>
                <w:sz w:val="18"/>
              </w:rPr>
              <w:t>none — bounded, not detected</w:t>
            </w:r>
          </w:p>
        </w:tc>
      </w:tr>
    </w:tbl>
    <w:p>
      <w:pPr>
        <w:spacing w:after="40"/>
      </w:pPr>
    </w:p>
    <w:p>
      <w:pPr>
        <w:spacing w:after="140"/>
      </w:pPr>
      <w:r>
        <w:rPr>
          <w:i w:val="0"/>
          <w:sz w:val="21"/>
        </w:rPr>
        <w:t>Each family is constructed to exercise its own check and nothing else. A4, for instance, re-presents the mandate with a fresh nonce, re-signed by the principal, so that C5 and C10 both pass and only the cumulative cap can stop it — otherwise the test would report a catch that came from an invalid signature rather than from aggregation control. A test asserts this: every family must fail the check it claims to exercise.</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Population and scale</w:t>
      </w:r>
    </w:p>
    <w:tbl>
      <w:tblPr>
        <w:tblStyle w:val="LightGrid-Accent1"/>
        <w:tblW w:type="auto" w:w="0"/>
        <w:jc w:val="center"/>
        <w:tblLook w:firstColumn="1" w:firstRow="1" w:lastColumn="0" w:lastRow="0" w:noHBand="0" w:noVBand="1" w:val="04A0"/>
      </w:tblPr>
      <w:tblGrid>
        <w:gridCol w:w="4752"/>
        <w:gridCol w:w="4752"/>
      </w:tblGrid>
      <w:tr>
        <w:tc>
          <w:tcPr>
            <w:tcW w:type="dxa" w:w="3744"/>
          </w:tcPr>
          <w:p>
            <w:r/>
            <w:r>
              <w:rPr>
                <w:b/>
                <w:sz w:val="18"/>
              </w:rPr>
              <w:t>Parameter</w:t>
            </w:r>
          </w:p>
        </w:tc>
        <w:tc>
          <w:tcPr>
            <w:tcW w:type="dxa" w:w="2880"/>
          </w:tcPr>
          <w:p>
            <w:r/>
            <w:r>
              <w:rPr>
                <w:b/>
                <w:sz w:val="18"/>
              </w:rPr>
              <w:t>Value</w:t>
            </w:r>
          </w:p>
        </w:tc>
      </w:tr>
      <w:tr>
        <w:tc>
          <w:tcPr>
            <w:tcW w:type="dxa" w:w="3744"/>
          </w:tcPr>
          <w:p>
            <w:pPr>
              <w:spacing w:after="20"/>
            </w:pPr>
            <w:r/>
            <w:r>
              <w:rPr>
                <w:sz w:val="18"/>
              </w:rPr>
              <w:t>Payers</w:t>
            </w:r>
          </w:p>
        </w:tc>
        <w:tc>
          <w:tcPr>
            <w:tcW w:type="dxa" w:w="2880"/>
          </w:tcPr>
          <w:p>
            <w:pPr>
              <w:spacing w:after="20"/>
              <w:jc w:val="right"/>
            </w:pPr>
            <w:r/>
            <w:r>
              <w:rPr>
                <w:sz w:val="18"/>
              </w:rPr>
              <w:t>25,000</w:t>
            </w:r>
          </w:p>
        </w:tc>
      </w:tr>
      <w:tr>
        <w:tc>
          <w:tcPr>
            <w:tcW w:type="dxa" w:w="3744"/>
          </w:tcPr>
          <w:p>
            <w:pPr>
              <w:spacing w:after="20"/>
            </w:pPr>
            <w:r/>
            <w:r>
              <w:rPr>
                <w:sz w:val="18"/>
              </w:rPr>
              <w:t>Beneficiaries</w:t>
            </w:r>
          </w:p>
        </w:tc>
        <w:tc>
          <w:tcPr>
            <w:tcW w:type="dxa" w:w="2880"/>
          </w:tcPr>
          <w:p>
            <w:pPr>
              <w:spacing w:after="20"/>
              <w:jc w:val="right"/>
            </w:pPr>
            <w:r/>
            <w:r>
              <w:rPr>
                <w:sz w:val="18"/>
              </w:rPr>
              <w:t>20,000</w:t>
            </w:r>
          </w:p>
        </w:tc>
      </w:tr>
      <w:tr>
        <w:tc>
          <w:tcPr>
            <w:tcW w:type="dxa" w:w="3744"/>
          </w:tcPr>
          <w:p>
            <w:pPr>
              <w:spacing w:after="20"/>
            </w:pPr>
            <w:r/>
            <w:r>
              <w:rPr>
                <w:sz w:val="18"/>
              </w:rPr>
              <w:t>Window</w:t>
            </w:r>
          </w:p>
        </w:tc>
        <w:tc>
          <w:tcPr>
            <w:tcW w:type="dxa" w:w="2880"/>
          </w:tcPr>
          <w:p>
            <w:pPr>
              <w:spacing w:after="20"/>
              <w:jc w:val="right"/>
            </w:pPr>
            <w:r/>
            <w:r>
              <w:rPr>
                <w:sz w:val="18"/>
              </w:rPr>
              <w:t>12 months</w:t>
            </w:r>
          </w:p>
        </w:tc>
      </w:tr>
      <w:tr>
        <w:tc>
          <w:tcPr>
            <w:tcW w:type="dxa" w:w="3744"/>
          </w:tcPr>
          <w:p>
            <w:pPr>
              <w:spacing w:after="20"/>
            </w:pPr>
            <w:r/>
            <w:r>
              <w:rPr>
                <w:sz w:val="18"/>
              </w:rPr>
              <w:t>Transactions per ledger</w:t>
            </w:r>
          </w:p>
        </w:tc>
        <w:tc>
          <w:tcPr>
            <w:tcW w:type="dxa" w:w="2880"/>
          </w:tcPr>
          <w:p>
            <w:pPr>
              <w:spacing w:after="20"/>
              <w:jc w:val="right"/>
            </w:pPr>
            <w:r/>
            <w:r>
              <w:rPr>
                <w:sz w:val="18"/>
              </w:rPr>
              <w:t>~2.04 million</w:t>
            </w:r>
          </w:p>
        </w:tc>
      </w:tr>
      <w:tr>
        <w:tc>
          <w:tcPr>
            <w:tcW w:type="dxa" w:w="3744"/>
          </w:tcPr>
          <w:p>
            <w:pPr>
              <w:spacing w:after="20"/>
            </w:pPr>
            <w:r/>
            <w:r>
              <w:rPr>
                <w:sz w:val="18"/>
              </w:rPr>
              <w:t>Payments per payer per month</w:t>
            </w:r>
          </w:p>
        </w:tc>
        <w:tc>
          <w:tcPr>
            <w:tcW w:type="dxa" w:w="2880"/>
          </w:tcPr>
          <w:p>
            <w:pPr>
              <w:spacing w:after="20"/>
              <w:jc w:val="right"/>
            </w:pPr>
            <w:r/>
            <w:r>
              <w:rPr>
                <w:sz w:val="18"/>
              </w:rPr>
              <w:t>~6.8</w:t>
            </w:r>
          </w:p>
        </w:tc>
      </w:tr>
      <w:tr>
        <w:tc>
          <w:tcPr>
            <w:tcW w:type="dxa" w:w="3744"/>
          </w:tcPr>
          <w:p>
            <w:pPr>
              <w:spacing w:after="20"/>
            </w:pPr>
            <w:r/>
            <w:r>
              <w:rPr>
                <w:sz w:val="18"/>
              </w:rPr>
              <w:t>Beneficiary roles</w:t>
            </w:r>
          </w:p>
        </w:tc>
        <w:tc>
          <w:tcPr>
            <w:tcW w:type="dxa" w:w="2880"/>
          </w:tcPr>
          <w:p>
            <w:pPr>
              <w:spacing w:after="20"/>
              <w:jc w:val="right"/>
            </w:pPr>
            <w:r/>
            <w:r>
              <w:rPr>
                <w:sz w:val="18"/>
              </w:rPr>
              <w:t>15</w:t>
            </w:r>
          </w:p>
        </w:tc>
      </w:tr>
      <w:tr>
        <w:tc>
          <w:tcPr>
            <w:tcW w:type="dxa" w:w="3744"/>
          </w:tcPr>
          <w:p>
            <w:pPr>
              <w:spacing w:after="20"/>
            </w:pPr>
            <w:r/>
            <w:r>
              <w:rPr>
                <w:sz w:val="18"/>
              </w:rPr>
              <w:t>Scam families</w:t>
            </w:r>
          </w:p>
        </w:tc>
        <w:tc>
          <w:tcPr>
            <w:tcW w:type="dxa" w:w="2880"/>
          </w:tcPr>
          <w:p>
            <w:pPr>
              <w:spacing w:after="20"/>
              <w:jc w:val="right"/>
            </w:pPr>
            <w:r/>
            <w:r>
              <w:rPr>
                <w:sz w:val="18"/>
              </w:rPr>
              <w:t>6</w:t>
            </w:r>
          </w:p>
        </w:tc>
      </w:tr>
      <w:tr>
        <w:tc>
          <w:tcPr>
            <w:tcW w:type="dxa" w:w="3744"/>
          </w:tcPr>
          <w:p>
            <w:pPr>
              <w:spacing w:after="20"/>
            </w:pPr>
            <w:r/>
            <w:r>
              <w:rPr>
                <w:sz w:val="18"/>
              </w:rPr>
              <w:t>Fraud share of volume</w:t>
            </w:r>
          </w:p>
        </w:tc>
        <w:tc>
          <w:tcPr>
            <w:tcW w:type="dxa" w:w="2880"/>
          </w:tcPr>
          <w:p>
            <w:pPr>
              <w:spacing w:after="20"/>
              <w:jc w:val="right"/>
            </w:pPr>
            <w:r/>
            <w:r>
              <w:rPr>
                <w:sz w:val="18"/>
              </w:rPr>
              <w:t>0.80% (never rebalanced)</w:t>
            </w:r>
          </w:p>
        </w:tc>
      </w:tr>
    </w:tbl>
    <w:p>
      <w:pPr>
        <w:spacing w:after="40"/>
      </w:pPr>
    </w:p>
    <w:p>
      <w:pPr>
        <w:spacing w:after="140"/>
      </w:pPr>
      <w:r>
        <w:rPr>
          <w:i w:val="0"/>
          <w:sz w:val="21"/>
        </w:rPr>
        <w:t>Class balance is never adjusted. No resampling, no positive-class weighting. A rebalanced fraud dataset produces numbers that do not transfer to an operating point, and an operating point is the only thing this study reports.</w:t>
      </w:r>
    </w:p>
    <w:p>
      <w:pPr>
        <w:spacing w:before="240" w:after="60"/>
      </w:pPr>
      <w:r>
        <w:rPr>
          <w:b/>
          <w:sz w:val="23"/>
        </w:rPr>
        <w:t>Relationships, and why staggered starts matter</w:t>
      </w:r>
    </w:p>
    <w:p>
      <w:pPr>
        <w:spacing w:after="140"/>
      </w:pPr>
      <w:r>
        <w:rPr>
          <w:i w:val="0"/>
          <w:sz w:val="21"/>
        </w:rPr>
        <w:t>Each payer holds a portfolio of standing relationships — a landlord, one or two utility billers, an employer, friends, family, merchants, sometimes a loan, a chit fund or a school. Monthly ties draw a stable base amount once and jitter it by about 5% per payment, so rent has a periodic, stable signature that a mule inflow cannot reproduce. Sporadic ties jitter widely.</w:t>
      </w:r>
    </w:p>
    <w:p>
      <w:pPr>
        <w:spacing w:after="140"/>
      </w:pPr>
      <w:r>
        <w:rPr>
          <w:i w:val="0"/>
          <w:sz w:val="21"/>
        </w:rPr>
        <w:t>22% of relationships begin part-way through the observation window. This is not cosmetic. A payer who moved house last month has a landlord with no history at all, and that is exactly the profile a naive rule flags as fraud. Without staggered starts, 'first payment to this beneficiary' would be an almost perfect fraud rule and the false-positive population — the population that actually determines whether a control is deployable — would not exist. A separate stream of ad-hoc payments to beneficiaries the payer has no standing tie with provides the same function at higher volume.</w:t>
      </w:r>
    </w:p>
    <w:p>
      <w:pPr>
        <w:spacing w:after="140"/>
      </w:pPr>
      <w:r>
        <w:rPr>
          <w:i w:val="0"/>
          <w:sz w:val="21"/>
        </w:rPr>
        <w:t>Conversely, a bank's records predate a twelve-month observation window, so pair-level history is seeded with the tie's pre-window age. A five-year-old landlord relationship must not look as unfamiliar as a fresh mule in month one. Ad-hoc and fraudulent pairs receive no seed, because they genuinely have none.</w:t>
      </w:r>
    </w:p>
    <w:p>
      <w:pPr>
        <w:spacing w:before="240" w:after="60"/>
      </w:pPr>
      <w:r>
        <w:rPr>
          <w:b/>
          <w:sz w:val="23"/>
        </w:rPr>
        <w:t>Session telemetry from a duress latent</w:t>
      </w:r>
    </w:p>
    <w:p>
      <w:pPr>
        <w:spacing w:after="140"/>
      </w:pPr>
      <w:r>
        <w:rPr>
          <w:i w:val="0"/>
          <w:sz w:val="21"/>
        </w:rPr>
        <w:t>B2 is generated from a coercion latent rather than the label: P(coercion | scam) = 0.75 and P(coercion | legitimate) = 0.02. A coerced session runs long, hesitates on the confirmation screen, edits the amount and the payee field repeatedly, switches applications while a call is in progress, and types more slowly than that person normally does.</w:t>
      </w:r>
    </w:p>
    <w:p>
      <w:pPr>
        <w:spacing w:after="140"/>
      </w:pPr>
      <w:r>
        <w:rPr>
          <w:i w:val="0"/>
          <w:sz w:val="21"/>
        </w:rPr>
        <w:t>Two features deliberately break the clean mapping. Pasting a payee identifier is common under coercion (80%) but also common on any genuinely unfamiliar payee (45%) and uncommon on a familiar one (12%). Device novelty depends partly on coercion and partly on the payer. Without these dependencies a single session feature would be a clean coercion proxy, and B2 would be measuring the label rather than behaviour. The baseline is meant to be strong, not lucky.</w:t>
      </w:r>
    </w:p>
    <w:p>
      <w:pPr>
        <w:spacing w:before="240" w:after="60"/>
      </w:pPr>
      <w:r>
        <w:rPr>
          <w:b/>
          <w:sz w:val="23"/>
        </w:rPr>
        <w:t>Beneficiary features, and the two lookahead guards</w:t>
      </w:r>
    </w:p>
    <w:p>
      <w:pPr>
        <w:spacing w:after="140"/>
      </w:pPr>
      <w:r>
        <w:rPr>
          <w:i w:val="0"/>
          <w:sz w:val="21"/>
        </w:rPr>
        <w:t>Payee-level network aggregates are drawn per payee-month from the role's latent parameters rather than counted off the simulated panel. The 25,000 simulated payers are a sample of each beneficiary's true inbound payer base, so counting in-sample in-degree would understate a utility biller by three orders of magnitude while leaving a mule roughly correct. The fidelity scorecard reports the Spearman correlation between in-sample observed in-degree and the generated aggregates, which is what licenses the choice.</w:t>
      </w:r>
    </w:p>
    <w:p>
      <w:pPr>
        <w:pStyle w:val="ListBullet"/>
        <w:spacing w:after="60"/>
      </w:pPr>
      <w:r>
        <w:rPr>
          <w:b/>
          <w:sz w:val="21"/>
        </w:rPr>
        <w:t>Report counts are strictly as-of-time.</w:t>
      </w:r>
      <w:r>
        <w:rPr>
          <w:sz w:val="21"/>
        </w:rPr>
        <w:t xml:space="preserve"> Report timestamps are stored and searched at the transaction day, never summed ahead of time, so no test row can see a report filed after it. Only 35% of victims file, and filing carries a gamma-distributed delay averaging about eighteen days for victim realisation, NCRP filing and network propagation.</w:t>
      </w:r>
    </w:p>
    <w:p>
      <w:pPr>
        <w:pStyle w:val="ListBullet"/>
        <w:spacing w:after="60"/>
      </w:pPr>
      <w:r>
        <w:rPr>
          <w:b/>
          <w:sz w:val="21"/>
        </w:rPr>
        <w:t>Legitimate beneficiaries attract disputes.</w:t>
      </w:r>
      <w:r>
        <w:rPr>
          <w:sz w:val="21"/>
        </w:rPr>
        <w:t xml:space="preserve"> At a rate scaled by fan-in, so that prior-report count is informative without being a perfect label.</w:t>
      </w:r>
    </w:p>
    <w:p>
      <w:pPr>
        <w:pStyle w:val="ListBullet"/>
        <w:spacing w:after="60"/>
      </w:pPr>
      <w:r>
        <w:rPr>
          <w:b/>
          <w:sz w:val="21"/>
        </w:rPr>
        <w:t>Payer velocity uses only prior rows.</w:t>
      </w:r>
      <w:r>
        <w:rPr>
          <w:sz w:val="21"/>
        </w:rPr>
        <w:t xml:space="preserve"> Trailing 24-hour and 7-day counts and sums, the expanding z-score of log amount against the payer's own history, and recency are all computed from transactions that precede the row in time.</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How the consistency model is fitted</w:t>
      </w:r>
    </w:p>
    <w:p>
      <w:pPr>
        <w:spacing w:after="140"/>
      </w:pPr>
      <w:r>
        <w:rPr>
          <w:i w:val="0"/>
          <w:sz w:val="21"/>
        </w:rPr>
        <w:t>Inside every cell, on that cell's training split alone:</w:t>
      </w:r>
    </w:p>
    <w:p>
      <w:pPr>
        <w:pStyle w:val="ListBullet"/>
        <w:spacing w:after="60"/>
      </w:pPr>
      <w:r>
        <w:rPr>
          <w:sz w:val="21"/>
        </w:rPr>
        <w:t>Take training rows whose label is legitimate.</w:t>
      </w:r>
    </w:p>
    <w:p>
      <w:pPr>
        <w:pStyle w:val="ListBullet"/>
        <w:spacing w:after="60"/>
      </w:pPr>
      <w:r>
        <w:rPr>
          <w:sz w:val="21"/>
        </w:rPr>
        <w:t>Fit a quantile transformer with normal output on their beneficiary block, so heavy-tailed features such as inflow value and account age become comparable.</w:t>
      </w:r>
    </w:p>
    <w:p>
      <w:pPr>
        <w:pStyle w:val="ListBullet"/>
        <w:spacing w:after="60"/>
      </w:pPr>
      <w:r>
        <w:rPr>
          <w:sz w:val="21"/>
        </w:rPr>
        <w:t>For each declared-purpose class with at least 400 rows, estimate a mean and a Ledoit-Wolf shrunk covariance on the transformed block. Rarer classes fall back to a global legitimate reference.</w:t>
      </w:r>
    </w:p>
    <w:p>
      <w:pPr>
        <w:pStyle w:val="ListBullet"/>
        <w:spacing w:after="60"/>
      </w:pPr>
      <w:r>
        <w:rPr>
          <w:sz w:val="21"/>
        </w:rPr>
        <w:t>At scoring time, emit a Mahalanobis distance, a Gaussian log-likelihood, and thirteen per-feature standardised residuals.</w:t>
      </w:r>
    </w:p>
    <w:p>
      <w:pPr>
        <w:spacing w:after="140"/>
      </w:pPr>
      <w:r>
        <w:rPr>
          <w:i w:val="0"/>
          <w:sz w:val="21"/>
        </w:rPr>
        <w:t>Shrinkage is not optional here. Several beneficiary features are close to collinear within a purpose class, and an unshrunk covariance would invert unstably and produce residuals dominated by numerical noise rather than by the beneficiary.</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w:t>
      </w:r>
    </w:p>
    <w:p>
      <w:pPr>
        <w:spacing w:after="140"/>
      </w:pPr>
      <w:r>
        <w:rPr>
          <w:i w:val="0"/>
          <w:sz w:val="21"/>
        </w:rPr>
        <w:t>Splits satisfy two constraints simultaneously. Grouped: 30% of payers are held out and a payer appears on exactly one side, which stops the model memorising individuals. Temporal: training is months 1–9 and test is months 10–12, which stops it learning from the future. Either constraint alone would leave an obvious route to an inflated result.</w:t>
      </w:r>
    </w:p>
    <w:p>
      <w:pPr>
        <w:spacing w:before="240" w:after="60"/>
      </w:pPr>
      <w:r>
        <w:rPr>
          <w:b/>
          <w:sz w:val="23"/>
        </w:rPr>
        <w:t>Why the bootstrap is clustered on payers</w:t>
      </w:r>
    </w:p>
    <w:p>
      <w:pPr>
        <w:spacing w:after="140"/>
      </w:pPr>
      <w:r>
        <w:rPr>
          <w:i w:val="0"/>
          <w:sz w:val="21"/>
        </w:rPr>
        <w:t>A payer's transactions are correlated — same device, same habits, same beneficiary portfolio, and in the fraudulent case the same scam episode. Resampling rows would treat those as independent observations and report confidence intervals that are too narrow, which is exactly the failure that makes a small effect look real. Every interval in this document comes from 1000 resamples of test payers, and the same resample weights are shared across arms so that the paired delta is computed on matched samples. That pairing is what makes an effect of a few percentage points resolvable at all.</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Ablation at the base configuration</w:t>
      </w:r>
    </w:p>
    <w:p>
      <w:pPr>
        <w:spacing w:after="140"/>
      </w:pPr>
      <w:r>
        <w:rPr>
          <w:i w:val="0"/>
          <w:sz w:val="21"/>
        </w:rPr>
        <w:t>ρ = 0.4, λ = 0.1, K = 11, β = 0.5, seed 0. Train 1,040,110 rows / 17,500 payers; test 167,345 rows / 7,500 payers / 1,390 fraudulent transactions (0.831%). Confidence intervals are 1000-resample bootstrap clustered on test payers.</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2160"/>
          </w:tcPr>
          <w:p>
            <w:r/>
            <w:r>
              <w:rPr>
                <w:b/>
                <w:sz w:val="17"/>
              </w:rPr>
              <w:t>Arm</w:t>
            </w:r>
          </w:p>
        </w:tc>
        <w:tc>
          <w:tcPr>
            <w:tcW w:type="dxa" w:w="720"/>
          </w:tcPr>
          <w:p>
            <w:r/>
            <w:r>
              <w:rPr>
                <w:b/>
                <w:sz w:val="17"/>
              </w:rPr>
              <w:t>Feat.</w:t>
            </w:r>
          </w:p>
        </w:tc>
        <w:tc>
          <w:tcPr>
            <w:tcW w:type="dxa" w:w="1152"/>
          </w:tcPr>
          <w:p>
            <w:r/>
            <w:r>
              <w:rPr>
                <w:b/>
                <w:sz w:val="17"/>
              </w:rPr>
              <w:t>PR-AUC</w:t>
            </w:r>
          </w:p>
        </w:tc>
        <w:tc>
          <w:tcPr>
            <w:tcW w:type="dxa" w:w="2736"/>
          </w:tcPr>
          <w:p>
            <w:r/>
            <w:r>
              <w:rPr>
                <w:b/>
                <w:sz w:val="17"/>
              </w:rPr>
              <w:t>Recall @ FPR 0.1%</w:t>
            </w:r>
          </w:p>
        </w:tc>
        <w:tc>
          <w:tcPr>
            <w:tcW w:type="dxa" w:w="2736"/>
          </w:tcPr>
          <w:p>
            <w:r/>
            <w:r>
              <w:rPr>
                <w:b/>
                <w:sz w:val="17"/>
              </w:rPr>
              <w:t>FPR @ recall 70%</w:t>
            </w:r>
          </w:p>
        </w:tc>
      </w:tr>
      <w:tr>
        <w:tc>
          <w:tcPr>
            <w:tcW w:type="dxa" w:w="2160"/>
          </w:tcPr>
          <w:p>
            <w:pPr>
              <w:spacing w:after="20"/>
            </w:pPr>
            <w:r/>
            <w:r>
              <w:rPr>
                <w:sz w:val="17"/>
              </w:rPr>
              <w:t>B1</w:t>
            </w:r>
          </w:p>
        </w:tc>
        <w:tc>
          <w:tcPr>
            <w:tcW w:type="dxa" w:w="720"/>
          </w:tcPr>
          <w:p>
            <w:pPr>
              <w:spacing w:after="20"/>
              <w:jc w:val="right"/>
            </w:pPr>
            <w:r/>
            <w:r>
              <w:rPr>
                <w:sz w:val="17"/>
              </w:rPr>
              <w:t>13</w:t>
            </w:r>
          </w:p>
        </w:tc>
        <w:tc>
          <w:tcPr>
            <w:tcW w:type="dxa" w:w="1152"/>
          </w:tcPr>
          <w:p>
            <w:pPr>
              <w:spacing w:after="20"/>
              <w:jc w:val="right"/>
            </w:pPr>
            <w:r/>
            <w:r>
              <w:rPr>
                <w:sz w:val="17"/>
              </w:rPr>
              <w:t>0.3198</w:t>
            </w:r>
          </w:p>
        </w:tc>
        <w:tc>
          <w:tcPr>
            <w:tcW w:type="dxa" w:w="2736"/>
          </w:tcPr>
          <w:p>
            <w:pPr>
              <w:spacing w:after="20"/>
              <w:jc w:val="right"/>
            </w:pPr>
            <w:r/>
            <w:r>
              <w:rPr>
                <w:sz w:val="17"/>
              </w:rPr>
              <w:t>0.1978 [0.1697, 0.2280]</w:t>
            </w:r>
          </w:p>
        </w:tc>
        <w:tc>
          <w:tcPr>
            <w:tcW w:type="dxa" w:w="2736"/>
          </w:tcPr>
          <w:p>
            <w:pPr>
              <w:spacing w:after="20"/>
              <w:jc w:val="right"/>
            </w:pPr>
            <w:r/>
            <w:r>
              <w:rPr>
                <w:sz w:val="17"/>
              </w:rPr>
              <w:t>0.05066 [0.04357, 0.05648]</w:t>
            </w:r>
          </w:p>
        </w:tc>
      </w:tr>
      <w:tr>
        <w:tc>
          <w:tcPr>
            <w:tcW w:type="dxa" w:w="2160"/>
          </w:tcPr>
          <w:p>
            <w:pPr>
              <w:spacing w:after="20"/>
            </w:pPr>
            <w:r/>
            <w:r>
              <w:rPr>
                <w:sz w:val="17"/>
              </w:rPr>
              <w:t>B1+B2</w:t>
            </w:r>
          </w:p>
        </w:tc>
        <w:tc>
          <w:tcPr>
            <w:tcW w:type="dxa" w:w="720"/>
          </w:tcPr>
          <w:p>
            <w:pPr>
              <w:spacing w:after="20"/>
              <w:jc w:val="right"/>
            </w:pPr>
            <w:r/>
            <w:r>
              <w:rPr>
                <w:sz w:val="17"/>
              </w:rPr>
              <w:t>24</w:t>
            </w:r>
          </w:p>
        </w:tc>
        <w:tc>
          <w:tcPr>
            <w:tcW w:type="dxa" w:w="1152"/>
          </w:tcPr>
          <w:p>
            <w:pPr>
              <w:spacing w:after="20"/>
              <w:jc w:val="right"/>
            </w:pPr>
            <w:r/>
            <w:r>
              <w:rPr>
                <w:sz w:val="17"/>
              </w:rPr>
              <w:t>0.6977</w:t>
            </w:r>
          </w:p>
        </w:tc>
        <w:tc>
          <w:tcPr>
            <w:tcW w:type="dxa" w:w="2736"/>
          </w:tcPr>
          <w:p>
            <w:pPr>
              <w:spacing w:after="20"/>
              <w:jc w:val="right"/>
            </w:pPr>
            <w:r/>
            <w:r>
              <w:rPr>
                <w:sz w:val="17"/>
              </w:rPr>
              <w:t>0.5094 [0.4671, 0.5514]</w:t>
            </w:r>
          </w:p>
        </w:tc>
        <w:tc>
          <w:tcPr>
            <w:tcW w:type="dxa" w:w="2736"/>
          </w:tcPr>
          <w:p>
            <w:pPr>
              <w:spacing w:after="20"/>
              <w:jc w:val="right"/>
            </w:pPr>
            <w:r/>
            <w:r>
              <w:rPr>
                <w:sz w:val="17"/>
              </w:rPr>
              <w:t>0.00322 [0.00261, 0.00417]</w:t>
            </w:r>
          </w:p>
        </w:tc>
      </w:tr>
      <w:tr>
        <w:tc>
          <w:tcPr>
            <w:tcW w:type="dxa" w:w="2160"/>
          </w:tcPr>
          <w:p>
            <w:pPr>
              <w:spacing w:after="20"/>
            </w:pPr>
            <w:r/>
            <w:r>
              <w:rPr>
                <w:sz w:val="17"/>
              </w:rPr>
              <w:t>B1+B2+B3  ← baseline</w:t>
            </w:r>
          </w:p>
        </w:tc>
        <w:tc>
          <w:tcPr>
            <w:tcW w:type="dxa" w:w="720"/>
          </w:tcPr>
          <w:p>
            <w:pPr>
              <w:spacing w:after="20"/>
              <w:jc w:val="right"/>
            </w:pPr>
            <w:r/>
            <w:r>
              <w:rPr>
                <w:sz w:val="17"/>
              </w:rPr>
              <w:t>37</w:t>
            </w:r>
          </w:p>
        </w:tc>
        <w:tc>
          <w:tcPr>
            <w:tcW w:type="dxa" w:w="1152"/>
          </w:tcPr>
          <w:p>
            <w:pPr>
              <w:spacing w:after="20"/>
              <w:jc w:val="right"/>
            </w:pPr>
            <w:r/>
            <w:r>
              <w:rPr>
                <w:sz w:val="17"/>
              </w:rPr>
              <w:t>0.9624</w:t>
            </w:r>
          </w:p>
        </w:tc>
        <w:tc>
          <w:tcPr>
            <w:tcW w:type="dxa" w:w="2736"/>
          </w:tcPr>
          <w:p>
            <w:pPr>
              <w:spacing w:after="20"/>
              <w:jc w:val="right"/>
            </w:pPr>
            <w:r/>
            <w:r>
              <w:rPr>
                <w:sz w:val="17"/>
              </w:rPr>
              <w:t>0.8942 [0.8704, 0.9227]</w:t>
            </w:r>
          </w:p>
        </w:tc>
        <w:tc>
          <w:tcPr>
            <w:tcW w:type="dxa" w:w="2736"/>
          </w:tcPr>
          <w:p>
            <w:pPr>
              <w:spacing w:after="20"/>
              <w:jc w:val="right"/>
            </w:pPr>
            <w:r/>
            <w:r>
              <w:rPr>
                <w:sz w:val="17"/>
              </w:rPr>
              <w:t>0.00009 [0.00004, 0.00015]</w:t>
            </w:r>
          </w:p>
        </w:tc>
      </w:tr>
      <w:tr>
        <w:tc>
          <w:tcPr>
            <w:tcW w:type="dxa" w:w="2160"/>
          </w:tcPr>
          <w:p>
            <w:pPr>
              <w:spacing w:after="20"/>
            </w:pPr>
            <w:r/>
            <w:r>
              <w:rPr>
                <w:sz w:val="17"/>
              </w:rPr>
              <w:t>B1+B2+B3+B4a</w:t>
            </w:r>
          </w:p>
        </w:tc>
        <w:tc>
          <w:tcPr>
            <w:tcW w:type="dxa" w:w="720"/>
          </w:tcPr>
          <w:p>
            <w:pPr>
              <w:spacing w:after="20"/>
              <w:jc w:val="right"/>
            </w:pPr>
            <w:r/>
            <w:r>
              <w:rPr>
                <w:sz w:val="17"/>
              </w:rPr>
              <w:t>38</w:t>
            </w:r>
          </w:p>
        </w:tc>
        <w:tc>
          <w:tcPr>
            <w:tcW w:type="dxa" w:w="1152"/>
          </w:tcPr>
          <w:p>
            <w:pPr>
              <w:spacing w:after="20"/>
              <w:jc w:val="right"/>
            </w:pPr>
            <w:r/>
            <w:r>
              <w:rPr>
                <w:sz w:val="17"/>
              </w:rPr>
              <w:t>0.9853</w:t>
            </w:r>
          </w:p>
        </w:tc>
        <w:tc>
          <w:tcPr>
            <w:tcW w:type="dxa" w:w="2736"/>
          </w:tcPr>
          <w:p>
            <w:pPr>
              <w:spacing w:after="20"/>
              <w:jc w:val="right"/>
            </w:pPr>
            <w:r/>
            <w:r>
              <w:rPr>
                <w:sz w:val="17"/>
              </w:rPr>
              <w:t>0.9640 [0.9507, 0.9767]</w:t>
            </w:r>
          </w:p>
        </w:tc>
        <w:tc>
          <w:tcPr>
            <w:tcW w:type="dxa" w:w="2736"/>
          </w:tcPr>
          <w:p>
            <w:pPr>
              <w:spacing w:after="20"/>
              <w:jc w:val="right"/>
            </w:pPr>
            <w:r/>
            <w:r>
              <w:rPr>
                <w:sz w:val="17"/>
              </w:rPr>
              <w:t>0.00003 [0.00001, 0.00007]</w:t>
            </w:r>
          </w:p>
        </w:tc>
      </w:tr>
      <w:tr>
        <w:tc>
          <w:tcPr>
            <w:tcW w:type="dxa" w:w="2160"/>
          </w:tcPr>
          <w:p>
            <w:pPr>
              <w:spacing w:after="20"/>
            </w:pPr>
            <w:r/>
            <w:r>
              <w:rPr>
                <w:sz w:val="17"/>
              </w:rPr>
              <w:t>B1+B2+B3+B4b</w:t>
            </w:r>
          </w:p>
        </w:tc>
        <w:tc>
          <w:tcPr>
            <w:tcW w:type="dxa" w:w="720"/>
          </w:tcPr>
          <w:p>
            <w:pPr>
              <w:spacing w:after="20"/>
              <w:jc w:val="right"/>
            </w:pPr>
            <w:r/>
            <w:r>
              <w:rPr>
                <w:sz w:val="17"/>
              </w:rPr>
              <w:t>53</w:t>
            </w:r>
          </w:p>
        </w:tc>
        <w:tc>
          <w:tcPr>
            <w:tcW w:type="dxa" w:w="1152"/>
          </w:tcPr>
          <w:p>
            <w:pPr>
              <w:spacing w:after="20"/>
              <w:jc w:val="right"/>
            </w:pPr>
            <w:r/>
            <w:r>
              <w:rPr>
                <w:sz w:val="17"/>
              </w:rPr>
              <w:t>0.9858</w:t>
            </w:r>
          </w:p>
        </w:tc>
        <w:tc>
          <w:tcPr>
            <w:tcW w:type="dxa" w:w="2736"/>
          </w:tcPr>
          <w:p>
            <w:pPr>
              <w:spacing w:after="20"/>
              <w:jc w:val="right"/>
            </w:pPr>
            <w:r/>
            <w:r>
              <w:rPr>
                <w:sz w:val="17"/>
              </w:rPr>
              <w:t>0.9698 [0.9573, 0.9805]</w:t>
            </w:r>
          </w:p>
        </w:tc>
        <w:tc>
          <w:tcPr>
            <w:tcW w:type="dxa" w:w="2736"/>
          </w:tcPr>
          <w:p>
            <w:pPr>
              <w:spacing w:after="20"/>
              <w:jc w:val="right"/>
            </w:pPr>
            <w:r/>
            <w:r>
              <w:rPr>
                <w:sz w:val="17"/>
              </w:rPr>
              <w:t>0.00004 [0.00001, 0.00008]</w:t>
            </w:r>
          </w:p>
        </w:tc>
      </w:tr>
    </w:tbl>
    <w:p>
      <w:pPr>
        <w:spacing w:after="40"/>
      </w:pPr>
    </w:p>
    <w:p>
      <w:pPr>
        <w:spacing w:before="240" w:after="60"/>
      </w:pPr>
      <w:r>
        <w:rPr>
          <w:b/>
          <w:sz w:val="23"/>
        </w:rPr>
        <w:t>Paired delta against the baseline</w:t>
      </w:r>
    </w:p>
    <w:p>
      <w:pPr>
        <w:spacing w:after="140"/>
      </w:pPr>
      <w:r>
        <w:rPr>
          <w:i w:val="0"/>
          <w:sz w:val="21"/>
        </w:rPr>
        <w:t>Deltas are computed on shared bootstrap resamples and signed so that positive always means declared context helped.</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1008"/>
          </w:tcPr>
          <w:p>
            <w:r/>
            <w:r>
              <w:rPr>
                <w:b/>
                <w:sz w:val="17"/>
              </w:rPr>
              <w:t>Arm</w:t>
            </w:r>
          </w:p>
        </w:tc>
        <w:tc>
          <w:tcPr>
            <w:tcW w:type="dxa" w:w="2304"/>
          </w:tcPr>
          <w:p>
            <w:r/>
            <w:r>
              <w:rPr>
                <w:b/>
                <w:sz w:val="17"/>
              </w:rPr>
              <w:t>Metric</w:t>
            </w:r>
          </w:p>
        </w:tc>
        <w:tc>
          <w:tcPr>
            <w:tcW w:type="dxa" w:w="1440"/>
          </w:tcPr>
          <w:p>
            <w:r/>
            <w:r>
              <w:rPr>
                <w:b/>
                <w:sz w:val="17"/>
              </w:rPr>
              <w:t>Δ</w:t>
            </w:r>
          </w:p>
        </w:tc>
        <w:tc>
          <w:tcPr>
            <w:tcW w:type="dxa" w:w="2736"/>
          </w:tcPr>
          <w:p>
            <w:r/>
            <w:r>
              <w:rPr>
                <w:b/>
                <w:sz w:val="17"/>
              </w:rPr>
              <w:t>95% CI</w:t>
            </w:r>
          </w:p>
        </w:tc>
        <w:tc>
          <w:tcPr>
            <w:tcW w:type="dxa" w:w="1584"/>
          </w:tcPr>
          <w:p>
            <w:r/>
            <w:r>
              <w:rPr>
                <w:b/>
                <w:sz w:val="17"/>
              </w:rPr>
            </w:r>
          </w:p>
        </w:tc>
      </w:tr>
      <w:tr>
        <w:tc>
          <w:tcPr>
            <w:tcW w:type="dxa" w:w="1008"/>
          </w:tcPr>
          <w:p>
            <w:pPr>
              <w:spacing w:after="20"/>
            </w:pPr>
            <w:r/>
            <w:r>
              <w:rPr>
                <w:sz w:val="17"/>
              </w:rPr>
              <w:t>+B4a</w:t>
            </w:r>
          </w:p>
        </w:tc>
        <w:tc>
          <w:tcPr>
            <w:tcW w:type="dxa" w:w="2304"/>
          </w:tcPr>
          <w:p>
            <w:pPr>
              <w:spacing w:after="20"/>
            </w:pPr>
            <w:r/>
            <w:r>
              <w:rPr>
                <w:sz w:val="17"/>
              </w:rPr>
              <w:t>recall@fpr=0.001</w:t>
            </w:r>
          </w:p>
        </w:tc>
        <w:tc>
          <w:tcPr>
            <w:tcW w:type="dxa" w:w="1440"/>
          </w:tcPr>
          <w:p>
            <w:pPr>
              <w:spacing w:after="20"/>
              <w:jc w:val="right"/>
            </w:pPr>
            <w:r/>
            <w:r>
              <w:rPr>
                <w:sz w:val="17"/>
              </w:rPr>
              <w:t>+0.06978</w:t>
            </w:r>
          </w:p>
        </w:tc>
        <w:tc>
          <w:tcPr>
            <w:tcW w:type="dxa" w:w="2736"/>
          </w:tcPr>
          <w:p>
            <w:pPr>
              <w:spacing w:after="20"/>
              <w:jc w:val="right"/>
            </w:pPr>
            <w:r/>
            <w:r>
              <w:rPr>
                <w:sz w:val="17"/>
              </w:rPr>
              <w:t>[+0.04686, +0.08811]</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recall@fpr=0.005</w:t>
            </w:r>
          </w:p>
        </w:tc>
        <w:tc>
          <w:tcPr>
            <w:tcW w:type="dxa" w:w="1440"/>
          </w:tcPr>
          <w:p>
            <w:pPr>
              <w:spacing w:after="20"/>
              <w:jc w:val="right"/>
            </w:pPr>
            <w:r/>
            <w:r>
              <w:rPr>
                <w:sz w:val="17"/>
              </w:rPr>
              <w:t>+0.01079</w:t>
            </w:r>
          </w:p>
        </w:tc>
        <w:tc>
          <w:tcPr>
            <w:tcW w:type="dxa" w:w="2736"/>
          </w:tcPr>
          <w:p>
            <w:pPr>
              <w:spacing w:after="20"/>
              <w:jc w:val="right"/>
            </w:pPr>
            <w:r/>
            <w:r>
              <w:rPr>
                <w:sz w:val="17"/>
              </w:rPr>
              <w:t>[+0.00538, +0.01768]</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[-0.00071, +0.00624]</w:t>
            </w:r>
          </w:p>
        </w:tc>
        <w:tc>
          <w:tcPr>
            <w:tcW w:type="dxa" w:w="1584"/>
          </w:tcPr>
          <w:p>
            <w:pPr>
              <w:spacing w:after="20"/>
            </w:pPr>
            <w:r/>
            <w:r>
              <w:rPr>
                <w:sz w:val="17"/>
              </w:rPr>
              <w:t>—</w:t>
            </w:r>
          </w:p>
        </w:tc>
      </w:tr>
      <w:tr>
        <w:tc>
          <w:tcPr>
            <w:tcW w:type="dxa" w:w="1008"/>
          </w:tcPr>
          <w:p>
            <w:pPr>
              <w:spacing w:after="20"/>
            </w:pPr>
            <w:r/>
            <w:r>
              <w:rPr>
                <w:sz w:val="17"/>
              </w:rPr>
              <w:t>+B4a</w:t>
            </w:r>
          </w:p>
        </w:tc>
        <w:tc>
          <w:tcPr>
            <w:tcW w:type="dxa" w:w="2304"/>
          </w:tcPr>
          <w:p>
            <w:pPr>
              <w:spacing w:after="20"/>
            </w:pPr>
            <w:r/>
            <w:r>
              <w:rPr>
                <w:sz w:val="17"/>
              </w:rPr>
              <w:t>fpr@recall=0.5</w:t>
            </w:r>
          </w:p>
        </w:tc>
        <w:tc>
          <w:tcPr>
            <w:tcW w:type="dxa" w:w="1440"/>
          </w:tcPr>
          <w:p>
            <w:pPr>
              <w:spacing w:after="20"/>
              <w:jc w:val="right"/>
            </w:pPr>
            <w:r/>
            <w:r>
              <w:rPr>
                <w:sz w:val="17"/>
              </w:rPr>
              <w:t>+0.00002</w:t>
            </w:r>
          </w:p>
        </w:tc>
        <w:tc>
          <w:tcPr>
            <w:tcW w:type="dxa" w:w="2736"/>
          </w:tcPr>
          <w:p>
            <w:pPr>
              <w:spacing w:after="20"/>
              <w:jc w:val="right"/>
            </w:pPr>
            <w:r/>
            <w:r>
              <w:rPr>
                <w:sz w:val="17"/>
              </w:rPr>
              <w:t>[+0.00001, +0.00005]</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fpr@recall=0.7</w:t>
            </w:r>
          </w:p>
        </w:tc>
        <w:tc>
          <w:tcPr>
            <w:tcW w:type="dxa" w:w="1440"/>
          </w:tcPr>
          <w:p>
            <w:pPr>
              <w:spacing w:after="20"/>
              <w:jc w:val="right"/>
            </w:pPr>
            <w:r/>
            <w:r>
              <w:rPr>
                <w:sz w:val="17"/>
              </w:rPr>
              <w:t>+0.00006</w:t>
            </w:r>
          </w:p>
        </w:tc>
        <w:tc>
          <w:tcPr>
            <w:tcW w:type="dxa" w:w="2736"/>
          </w:tcPr>
          <w:p>
            <w:pPr>
              <w:spacing w:after="20"/>
              <w:jc w:val="right"/>
            </w:pPr>
            <w:r/>
            <w:r>
              <w:rPr>
                <w:sz w:val="17"/>
              </w:rPr>
              <w:t>[+0.00002, +0.00010]</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fpr@recall=0.9</w:t>
            </w:r>
          </w:p>
        </w:tc>
        <w:tc>
          <w:tcPr>
            <w:tcW w:type="dxa" w:w="1440"/>
          </w:tcPr>
          <w:p>
            <w:pPr>
              <w:spacing w:after="20"/>
              <w:jc w:val="right"/>
            </w:pPr>
            <w:r/>
            <w:r>
              <w:rPr>
                <w:sz w:val="17"/>
              </w:rPr>
              <w:t>+0.00078</w:t>
            </w:r>
          </w:p>
        </w:tc>
        <w:tc>
          <w:tcPr>
            <w:tcW w:type="dxa" w:w="2736"/>
          </w:tcPr>
          <w:p>
            <w:pPr>
              <w:spacing w:after="20"/>
              <w:jc w:val="right"/>
            </w:pPr>
            <w:r/>
            <w:r>
              <w:rPr>
                <w:sz w:val="17"/>
              </w:rPr>
              <w:t>[+0.00054, +0.00103]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recall@fpr=0.001</w:t>
            </w:r>
          </w:p>
        </w:tc>
        <w:tc>
          <w:tcPr>
            <w:tcW w:type="dxa" w:w="1440"/>
          </w:tcPr>
          <w:p>
            <w:pPr>
              <w:spacing w:after="20"/>
              <w:jc w:val="right"/>
            </w:pPr>
            <w:r/>
            <w:r>
              <w:rPr>
                <w:sz w:val="17"/>
              </w:rPr>
              <w:t>+0.07554</w:t>
            </w:r>
          </w:p>
        </w:tc>
        <w:tc>
          <w:tcPr>
            <w:tcW w:type="dxa" w:w="2736"/>
          </w:tcPr>
          <w:p>
            <w:pPr>
              <w:spacing w:after="20"/>
              <w:jc w:val="right"/>
            </w:pPr>
            <w:r/>
            <w:r>
              <w:rPr>
                <w:sz w:val="17"/>
              </w:rPr>
              <w:t>[+0.05179, +0.09429]</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recall@fpr=0.005</w:t>
            </w:r>
          </w:p>
        </w:tc>
        <w:tc>
          <w:tcPr>
            <w:tcW w:type="dxa" w:w="1440"/>
          </w:tcPr>
          <w:p>
            <w:pPr>
              <w:spacing w:after="20"/>
              <w:jc w:val="right"/>
            </w:pPr>
            <w:r/>
            <w:r>
              <w:rPr>
                <w:sz w:val="17"/>
              </w:rPr>
              <w:t>+0.01151</w:t>
            </w:r>
          </w:p>
        </w:tc>
        <w:tc>
          <w:tcPr>
            <w:tcW w:type="dxa" w:w="2736"/>
          </w:tcPr>
          <w:p>
            <w:pPr>
              <w:spacing w:after="20"/>
              <w:jc w:val="right"/>
            </w:pPr>
            <w:r/>
            <w:r>
              <w:rPr>
                <w:sz w:val="17"/>
              </w:rPr>
              <w:t>[+0.00562, +0.01833]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[-0.00073, +0.00613]</w:t>
            </w:r>
          </w:p>
        </w:tc>
        <w:tc>
          <w:tcPr>
            <w:tcW w:type="dxa" w:w="1584"/>
          </w:tcPr>
          <w:p>
            <w:pPr>
              <w:spacing w:after="20"/>
            </w:pPr>
            <w:r/>
            <w:r>
              <w:rPr>
                <w:sz w:val="17"/>
              </w:rPr>
              <w:t>—</w:t>
            </w:r>
          </w:p>
        </w:tc>
      </w:tr>
      <w:tr>
        <w:tc>
          <w:tcPr>
            <w:tcW w:type="dxa" w:w="1008"/>
          </w:tcPr>
          <w:p>
            <w:pPr>
              <w:spacing w:after="20"/>
            </w:pPr>
            <w:r/>
            <w:r>
              <w:rPr>
                <w:sz w:val="17"/>
              </w:rPr>
              <w:t>+B4b</w:t>
            </w:r>
          </w:p>
        </w:tc>
        <w:tc>
          <w:tcPr>
            <w:tcW w:type="dxa" w:w="2304"/>
          </w:tcPr>
          <w:p>
            <w:pPr>
              <w:spacing w:after="20"/>
            </w:pPr>
            <w:r/>
            <w:r>
              <w:rPr>
                <w:sz w:val="17"/>
              </w:rPr>
              <w:t>fpr@recall=0.5</w:t>
            </w:r>
          </w:p>
        </w:tc>
        <w:tc>
          <w:tcPr>
            <w:tcW w:type="dxa" w:w="1440"/>
          </w:tcPr>
          <w:p>
            <w:pPr>
              <w:spacing w:after="20"/>
              <w:jc w:val="right"/>
            </w:pPr>
            <w:r/>
            <w:r>
              <w:rPr>
                <w:sz w:val="17"/>
              </w:rPr>
              <w:t>+0.00003</w:t>
            </w:r>
          </w:p>
        </w:tc>
        <w:tc>
          <w:tcPr>
            <w:tcW w:type="dxa" w:w="2736"/>
          </w:tcPr>
          <w:p>
            <w:pPr>
              <w:spacing w:after="20"/>
              <w:jc w:val="right"/>
            </w:pPr>
            <w:r/>
            <w:r>
              <w:rPr>
                <w:sz w:val="17"/>
              </w:rPr>
              <w:t>[+0.00001, +0.00006]</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fpr@recall=0.7</w:t>
            </w:r>
          </w:p>
        </w:tc>
        <w:tc>
          <w:tcPr>
            <w:tcW w:type="dxa" w:w="1440"/>
          </w:tcPr>
          <w:p>
            <w:pPr>
              <w:spacing w:after="20"/>
              <w:jc w:val="right"/>
            </w:pPr>
            <w:r/>
            <w:r>
              <w:rPr>
                <w:sz w:val="17"/>
              </w:rPr>
              <w:t>+0.00005</w:t>
            </w:r>
          </w:p>
        </w:tc>
        <w:tc>
          <w:tcPr>
            <w:tcW w:type="dxa" w:w="2736"/>
          </w:tcPr>
          <w:p>
            <w:pPr>
              <w:spacing w:after="20"/>
              <w:jc w:val="right"/>
            </w:pPr>
            <w:r/>
            <w:r>
              <w:rPr>
                <w:sz w:val="17"/>
              </w:rPr>
              <w:t>[+0.00001, +0.00010]</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fpr@recall=0.9</w:t>
            </w:r>
          </w:p>
        </w:tc>
        <w:tc>
          <w:tcPr>
            <w:tcW w:type="dxa" w:w="1440"/>
          </w:tcPr>
          <w:p>
            <w:pPr>
              <w:spacing w:after="20"/>
              <w:jc w:val="right"/>
            </w:pPr>
            <w:r/>
            <w:r>
              <w:rPr>
                <w:sz w:val="17"/>
              </w:rPr>
              <w:t>+0.00074</w:t>
            </w:r>
          </w:p>
        </w:tc>
        <w:tc>
          <w:tcPr>
            <w:tcW w:type="dxa" w:w="2736"/>
          </w:tcPr>
          <w:p>
            <w:pPr>
              <w:spacing w:after="20"/>
              <w:jc w:val="right"/>
            </w:pPr>
            <w:r/>
            <w:r>
              <w:rPr>
                <w:sz w:val="17"/>
              </w:rPr>
              <w:t>[+0.00052, +0.00099]</w:t>
            </w:r>
          </w:p>
        </w:tc>
        <w:tc>
          <w:tcPr>
            <w:tcW w:type="dxa" w:w="1584"/>
          </w:tcPr>
          <w:p>
            <w:pPr>
              <w:spacing w:after="20"/>
            </w:pPr>
            <w:r/>
            <w:r>
              <w:rPr>
                <w:sz w:val="17"/>
              </w:rPr>
              <w:t>significant</w:t>
            </w:r>
          </w:p>
        </w:tc>
      </w:tr>
    </w:tbl>
    <w:p>
      <w:pPr>
        <w:spacing w:after="40"/>
      </w:pPr>
    </w:p>
    <w:p>
      <w:pPr>
        <w:jc w:val="center"/>
      </w:pPr>
      <w:r>
        <w:drawing>
          <wp:inline xmlns:a="http://schemas.openxmlformats.org/drawingml/2006/main" xmlns:pic="http://schemas.openxmlformats.org/drawingml/2006/picture">
            <wp:extent cx="5852160" cy="3088640"/>
            <wp:docPr id="1" name="Picture 1"/>
            <wp:cNvGraphicFramePr>
              <a:graphicFrameLocks noChangeAspect="1"/>
            </wp:cNvGraphicFramePr>
            <a:graphic>
              <a:graphicData uri="http://schemas.openxmlformats.org/drawingml/2006/picture">
                <pic:pic>
                  <pic:nvPicPr>
                    <pic:cNvPr id="0" name="ablation.png"/>
                    <pic:cNvPicPr/>
                  </pic:nvPicPr>
                  <pic:blipFill>
                    <a:blip r:embed="rId9"/>
                    <a:stretch>
                      <a:fillRect/>
                    </a:stretch>
                  </pic:blipFill>
                  <pic:spPr>
                    <a:xfrm>
                      <a:off x="0" y="0"/>
                      <a:ext cx="5852160" cy="3088640"/>
                    </a:xfrm>
                    <a:prstGeom prst="rect"/>
                  </pic:spPr>
                </pic:pic>
              </a:graphicData>
            </a:graphic>
          </wp:inline>
        </w:drawing>
      </w:r>
    </w:p>
    <w:p>
      <w:pPr>
        <w:spacing w:after="220"/>
        <w:jc w:val="center"/>
      </w:pPr>
      <w:r>
        <w:rPr>
          <w:i/>
          <w:color w:val="5B6572"/>
          <w:sz w:val="17"/>
        </w:rPr>
        <w:t>Figure 1. Each feature group added in turn. Error bars are the standard deviation across three seeds.</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jc w:val="center"/>
      </w:pPr>
      <w:r>
        <w:drawing>
          <wp:inline xmlns:a="http://schemas.openxmlformats.org/drawingml/2006/main" xmlns:pic="http://schemas.openxmlformats.org/drawingml/2006/picture">
            <wp:extent cx="5852160" cy="1991519"/>
            <wp:docPr id="2" name="Picture 2"/>
            <wp:cNvGraphicFramePr>
              <a:graphicFrameLocks noChangeAspect="1"/>
            </wp:cNvGraphicFramePr>
            <a:graphic>
              <a:graphicData uri="http://schemas.openxmlformats.org/drawingml/2006/picture">
                <pic:pic>
                  <pic:nvPicPr>
                    <pic:cNvPr id="0" name="phase_uniform.png"/>
                    <pic:cNvPicPr/>
                  </pic:nvPicPr>
                  <pic:blipFill>
                    <a:blip r:embed="rId10"/>
                    <a:stretch>
                      <a:fillRect/>
                    </a:stretch>
                  </pic:blipFill>
                  <pic:spPr>
                    <a:xfrm>
                      <a:off x="0" y="0"/>
                      <a:ext cx="5852160" cy="1991519"/>
                    </a:xfrm>
                    <a:prstGeom prst="rect"/>
                  </pic:spPr>
                </pic:pic>
              </a:graphicData>
            </a:graphic>
          </wp:inline>
        </w:drawing>
      </w:r>
    </w:p>
    <w:p>
      <w:pPr>
        <w:spacing w:after="220"/>
        <w:jc w:val="center"/>
      </w:pPr>
      <w:r>
        <w:rPr>
          <w:i/>
          <w:color w:val="5B6572"/>
          <w:sz w:val="17"/>
        </w:rPr>
        <w:t>Figure 2. Incremental value of declared payment context under the pre-registered adversary. Left: Δ recall at FPR 0.1%. Right: Δ FPR at recall 70%. Hatched cells are not significant.</w:t>
      </w:r>
    </w:p>
    <w:p>
      <w:pPr>
        <w:jc w:val="center"/>
      </w:pPr>
      <w:r>
        <w:drawing>
          <wp:inline xmlns:a="http://schemas.openxmlformats.org/drawingml/2006/main" xmlns:pic="http://schemas.openxmlformats.org/drawingml/2006/picture">
            <wp:extent cx="5852160" cy="1991519"/>
            <wp:docPr id="3" name="Picture 3"/>
            <wp:cNvGraphicFramePr>
              <a:graphicFrameLocks noChangeAspect="1"/>
            </wp:cNvGraphicFramePr>
            <a:graphic>
              <a:graphicData uri="http://schemas.openxmlformats.org/drawingml/2006/picture">
                <pic:pic>
                  <pic:nvPicPr>
                    <pic:cNvPr id="0" name="phase_prevalence.png"/>
                    <pic:cNvPicPr/>
                  </pic:nvPicPr>
                  <pic:blipFill>
                    <a:blip r:embed="rId11"/>
                    <a:stretch>
                      <a:fillRect/>
                    </a:stretch>
                  </pic:blipFill>
                  <pic:spPr>
                    <a:xfrm>
                      <a:off x="0" y="0"/>
                      <a:ext cx="5852160" cy="1991519"/>
                    </a:xfrm>
                    <a:prstGeom prst="rect"/>
                  </pic:spPr>
                </pic:pic>
              </a:graphicData>
            </a:graphic>
          </wp:inline>
        </w:drawing>
      </w:r>
    </w:p>
    <w:p>
      <w:pPr>
        <w:spacing w:after="220"/>
        <w:jc w:val="center"/>
      </w:pPr>
      <w:r>
        <w:rPr>
          <w:i/>
          <w:color w:val="5B6572"/>
          <w:sz w:val="17"/>
        </w:rPr>
        <w:t>Figure 3. The same surface under the prevalence-matched adversary, whose declared code carries no marginal information at ρ = 1. Secondary analysis; the pre-registered axis is Figure 2.</w:t>
      </w:r>
    </w:p>
    <w:p>
      <w:pPr>
        <w:jc w:val="center"/>
      </w:pPr>
      <w:r>
        <w:drawing>
          <wp:inline xmlns:a="http://schemas.openxmlformats.org/drawingml/2006/main" xmlns:pic="http://schemas.openxmlformats.org/drawingml/2006/picture">
            <wp:extent cx="5852160" cy="3413760"/>
            <wp:docPr id="4" name="Picture 4"/>
            <wp:cNvGraphicFramePr>
              <a:graphicFrameLocks noChangeAspect="1"/>
            </wp:cNvGraphicFramePr>
            <a:graphic>
              <a:graphicData uri="http://schemas.openxmlformats.org/drawingml/2006/picture">
                <pic:pic>
                  <pic:nvPicPr>
                    <pic:cNvPr id="0" name="rho_star.png"/>
                    <pic:cNvPicPr/>
                  </pic:nvPicPr>
                  <pic:blipFill>
                    <a:blip r:embed="rId12"/>
                    <a:stretch>
                      <a:fillRect/>
                    </a:stretch>
                  </pic:blipFill>
                  <pic:spPr>
                    <a:xfrm>
                      <a:off x="0" y="0"/>
                      <a:ext cx="5852160" cy="3413760"/>
                    </a:xfrm>
                    <a:prstGeom prst="rect"/>
                  </pic:spPr>
                </pic:pic>
              </a:graphicData>
            </a:graphic>
          </wp:inline>
        </w:drawing>
      </w:r>
    </w:p>
    <w:p>
      <w:pPr>
        <w:spacing w:after="220"/>
        <w:jc w:val="center"/>
      </w:pPr>
      <w:r>
        <w:rPr>
          <w:i/>
          <w:color w:val="5B6572"/>
          <w:sz w:val="17"/>
        </w:rPr>
        <w:t>Figure 4. ρ* by λ, bracketed by the sweep grid rather than interpolated.</w:t>
      </w:r>
    </w:p>
    <w:p>
      <w:pPr>
        <w:jc w:val="center"/>
      </w:pPr>
      <w:r>
        <w:drawing>
          <wp:inline xmlns:a="http://schemas.openxmlformats.org/drawingml/2006/main" xmlns:pic="http://schemas.openxmlformats.org/drawingml/2006/picture">
            <wp:extent cx="5852160" cy="2021655"/>
            <wp:docPr id="5" name="Picture 5"/>
            <wp:cNvGraphicFramePr>
              <a:graphicFrameLocks noChangeAspect="1"/>
            </wp:cNvGraphicFramePr>
            <a:graphic>
              <a:graphicData uri="http://schemas.openxmlformats.org/drawingml/2006/picture">
                <pic:pic>
                  <pic:nvPicPr>
                    <pic:cNvPr id="0" name="secondary_sweeps.png"/>
                    <pic:cNvPicPr/>
                  </pic:nvPicPr>
                  <pic:blipFill>
                    <a:blip r:embed="rId13"/>
                    <a:stretch>
                      <a:fillRect/>
                    </a:stretch>
                  </pic:blipFill>
                  <pic:spPr>
                    <a:xfrm>
                      <a:off x="0" y="0"/>
                      <a:ext cx="5852160" cy="2021655"/>
                    </a:xfrm>
                    <a:prstGeom prst="rect"/>
                  </pic:spPr>
                </pic:pic>
              </a:graphicData>
            </a:graphic>
          </wp:inline>
        </w:drawing>
      </w:r>
    </w:p>
    <w:p>
      <w:pPr>
        <w:spacing w:after="220"/>
        <w:jc w:val="center"/>
      </w:pPr>
      <w:r>
        <w:rPr>
          <w:i/>
          <w:color w:val="5B6572"/>
          <w:sz w:val="17"/>
        </w:rPr>
        <w:t>Figure 5. Purpose cardinality K and beneficiary-feature noise β at ρ = 0.4, λ = 0.10.</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A deployment sketch</w:t>
      </w:r>
    </w:p>
    <w:p>
      <w:pPr>
        <w:spacing w:after="140"/>
      </w:pPr>
      <w:r>
        <w:rPr>
          <w:i w:val="0"/>
          <w:sz w:val="21"/>
        </w:rPr>
        <w:t>Nothing here requires a new machine-learning capability. What it requires is a field, a reference table, and a policy.</w:t>
      </w:r>
    </w:p>
    <w:p>
      <w:pPr>
        <w:pStyle w:val="ListBullet"/>
        <w:spacing w:after="60"/>
      </w:pPr>
      <w:r>
        <w:rPr>
          <w:b/>
          <w:sz w:val="21"/>
        </w:rPr>
        <w:t>Capture.</w:t>
      </w:r>
      <w:r>
        <w:rPr>
          <w:sz w:val="21"/>
        </w:rPr>
        <w:t xml:space="preserve"> A purpose selection at initiation, from a menu whose cardinality is an operational choice the K sweep informs directly. A coarser menu is cheaper and easier to answer correctly.</w:t>
      </w:r>
    </w:p>
    <w:p>
      <w:pPr>
        <w:pStyle w:val="ListBullet"/>
        <w:spacing w:after="60"/>
      </w:pPr>
      <w:r>
        <w:rPr>
          <w:b/>
          <w:sz w:val="21"/>
        </w:rPr>
        <w:t>Retention.</w:t>
      </w:r>
      <w:r>
        <w:rPr>
          <w:sz w:val="21"/>
        </w:rPr>
        <w:t xml:space="preserve"> The declaration must survive to the point where the decision is made. This is the real integration work and it is a governance problem, not a protocol one.</w:t>
      </w:r>
    </w:p>
    <w:p>
      <w:pPr>
        <w:pStyle w:val="ListBullet"/>
        <w:spacing w:after="60"/>
      </w:pPr>
      <w:r>
        <w:rPr>
          <w:b/>
          <w:sz w:val="21"/>
        </w:rPr>
        <w:t>Reference build.</w:t>
      </w:r>
      <w:r>
        <w:rPr>
          <w:sz w:val="21"/>
        </w:rPr>
        <w:t xml:space="preserve"> Offline, from confirmed-good history: per purpose class, the mean and shrunk covariance of the beneficiary feature vector. Refreshed on whatever cadence the beneficiary features themselves are refreshed on.</w:t>
      </w:r>
    </w:p>
    <w:p>
      <w:pPr>
        <w:pStyle w:val="ListBullet"/>
        <w:spacing w:after="60"/>
      </w:pPr>
      <w:r>
        <w:rPr>
          <w:b/>
          <w:sz w:val="21"/>
        </w:rPr>
        <w:t>Scoring.</w:t>
      </w:r>
      <w:r>
        <w:rPr>
          <w:sz w:val="21"/>
        </w:rPr>
        <w:t xml:space="preserve"> One lookup and one quadratic form over thirteen dimensions. Microseconds, and no additional model to maintain.</w:t>
      </w:r>
    </w:p>
    <w:p>
      <w:pPr>
        <w:pStyle w:val="ListBullet"/>
        <w:spacing w:after="60"/>
      </w:pPr>
      <w:r>
        <w:rPr>
          <w:b/>
          <w:sz w:val="21"/>
        </w:rPr>
        <w:t>Policy.</w:t>
      </w:r>
      <w:r>
        <w:rPr>
          <w:sz w:val="21"/>
        </w:rPr>
        <w:t xml:space="preserve"> The phase diagram is the deployment decision. If the operating regime sits in a hatched cell, the field is not worth acting on there, whatever it costs to collect.</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br/>
        <w:t>---</w:t>
        <w:br/>
        <w:br/>
        <w:t>## 2026-08-30 — Beneficiary-matched adversary added as a third surface</w:t>
        <w:br/>
        <w:br/>
        <w:t>**Observed.** With 109 of 192 cells complete, the pre-registered surface had no</w:t>
        <w:br/>
        <w:t>zero-crossing anywhere: declared context remained significant at every value of</w:t>
        <w:br/>
        <w:t>rho, on every seed, at every lambda, under both the pre-registered adversary</w:t>
        <w:br/>
        <w:t>and the prevalence-matched one. rho* — the pre-registered primary reported</w:t>
        <w:br/>
        <w:t>quantity — was therefore undefined (`&gt; 1.0`) across the whole grid.</w:t>
        <w:br/>
        <w:br/>
        <w:t>**Diagnosed.** Both modelled adversaries control only what the victim</w:t>
        <w:br/>
        <w:t>*declares*. Neither controls *which mule receives the money*. A real scammer</w:t>
        <w:br/>
        <w:t>controls both, and would route a payment to an account whose beneficiary</w:t>
        <w:br/>
        <w:t>profile is plausible for the purpose the victim has been coached to declare.</w:t>
        <w:br/>
        <w:t>That attacks the purpose–beneficiary consistency mechanism directly rather than</w:t>
        <w:br/>
        <w:t>merely the base rate of the declared code. It was already recorded in</w:t>
        <w:br/>
        <w:t>`docs/LIMITATIONS.md` as an unmodelled adversary before the results were seen.</w:t>
        <w:br/>
        <w:br/>
        <w:t>**Added.** A third adversary, `matched`, forming a ladder in which each rung</w:t>
        <w:br/>
        <w:t>adds exactly one capability:</w:t>
        <w:br/>
        <w:br/>
        <w:t>| adversary | declaration | beneficiary routing |</w:t>
        <w:br/>
        <w:t>| --- | --- | --- |</w:t>
        <w:br/>
        <w:t>| `uniform` (pre-registered) | uniform over the coached safe set | random mule |</w:t>
        <w:br/>
        <w:t>| `prevalence` | in proportion to legitimate frequencies, so the code carries no marginal information at rho = 1 | random mule |</w:t>
        <w:br/>
        <w:t>| `matched` | as `prevalence` | mule chosen to fit the declared purpose |</w:t>
        <w:br/>
        <w:br/>
        <w:t>The matched adversary is assumed to **know the defence**: it scores candidate</w:t>
        <w:br/>
        <w:t>mules against the same purpose-conditional reference the defender uses. That is</w:t>
        <w:br/>
        <w:t>a deliberate worst case — the security of a declared-context control should not</w:t>
        <w:br/>
        <w:t>depend on the attacker's ignorance of how it works.</w:t>
        <w:br/>
        <w:br/>
        <w:t>Two constraints keep the attack honest. It can only choose among accounts that</w:t>
        <w:br/>
        <w:t>are actually mules, so the best available match to an institutional purpose is</w:t>
        <w:br/>
        <w:t>still a poor one. And it cannot manufacture pair history: a victim has no prior</w:t>
        <w:br/>
        <w:t>relationship with any mule, whichever is chosen, so only the eleven</w:t>
        <w:br/>
        <w:t>*payee-level* beneficiary features are swapped and the two *pair-level* ones</w:t>
        <w:br/>
        <w:t>are left untouched.</w:t>
        <w:br/>
        <w:br/>
        <w:t>Selection is uniform over the best 5% of available mules for that</w:t>
        <w:br/>
        <w:t>purpose-month, with a floor of ten. Taking only the single best match drove</w:t>
        <w:br/>
        <w:t>fraud to look *more* typical of its declared purpose than legitimate payments</w:t>
        <w:br/>
        <w:t>did (median Mahalanobis 2.89 against a legitimate 3.50), which a defender could</w:t>
        <w:br/>
        <w:t>then exploit in reverse. That is an artefact of an omniscient attack model</w:t>
        <w:br/>
        <w:t>rather than a property of the control, so it was designed out.</w:t>
        <w:br/>
        <w:br/>
        <w:t>**Effect on the consistency signal**, at rho = 1.0, lambda = 0.10:</w:t>
        <w:br/>
        <w:br/>
        <w:t>| adversary | fraud median Mahalanobis | legit median | fraud above legit p95 |</w:t>
        <w:br/>
        <w:t>| --- | ---: | ---: | ---: |</w:t>
        <w:br/>
        <w:t>| `uniform` | 4.07 | 3.50 | 14.6% |</w:t>
        <w:br/>
        <w:t>| `prevalence` | 4.00 | 3.50 | 12.4% |</w:t>
        <w:br/>
        <w:t>| `matched` | 3.01 | 3.50 | 0.3% |</w:t>
        <w:br/>
        <w:br/>
        <w:t>**Why this is not tuning toward a result.** The change makes the adversary</w:t>
        <w:br/>
        <w:t>*stronger*, not weaker, and is therefore biased against the hypothesis under</w:t>
        <w:br/>
        <w:t>test. It was named as a limitation before any result was seen. The</w:t>
        <w:br/>
        <w:t>pre-registered surface is reported unchanged and remains the primary analysis;</w:t>
        <w:br/>
        <w:t>this is a third, clearly labelled surface. No feature was reassigned, no metric</w:t>
        <w:br/>
        <w:t>or operating point was altered, and the falsification condition stands as</w:t>
        <w:br/>
        <w:t>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