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sz w:val="68"/>
        </w:rPr>
        <w:t>Pramana</w:t>
      </w:r>
    </w:p>
    <w:p>
      <w:pPr>
        <w:spacing w:after="320"/>
      </w:pPr>
      <w:r>
        <w:rPr>
          <w:i/>
          <w:color w:val="5B6572"/>
          <w:sz w:val="23"/>
        </w:rPr>
        <w:t>Sanskrit: a valid means of proof</w:t>
      </w:r>
    </w:p>
    <w:p>
      <w:pPr>
        <w:spacing w:after="320"/>
      </w:pPr>
      <w:r>
        <w:rPr>
          <w:b w:val="0"/>
          <w:i w:val="0"/>
          <w:sz w:val="25"/>
        </w:rPr>
        <w:t>Payments can verify that a transaction was authorised without knowing whether it matched what the payer believed they were paying for. Pramana measures when adding that context is worth it, and how much adversarial pressure it survives.</w:t>
      </w:r>
    </w:p>
    <w:tbl>
      <w:tblPr>
        <w:tblStyle w:val="LightGrid-Accent1"/>
        <w:tblW w:type="auto" w:w="0"/>
        <w:jc w:val="center"/>
        <w:tblLook w:firstColumn="1" w:firstRow="1" w:lastColumn="0" w:lastRow="0" w:noHBand="0" w:noVBand="1" w:val="04A0"/>
      </w:tblPr>
      <w:tblGrid>
        <w:gridCol w:w="4752"/>
        <w:gridCol w:w="4752"/>
      </w:tblGrid>
      <w:tr>
        <w:tc>
          <w:tcPr>
            <w:tcW w:type="dxa" w:w="2448"/>
          </w:tcPr>
          <w:p>
            <w:r/>
            <w:r>
              <w:rPr>
                <w:b/>
                <w:sz w:val="19"/>
              </w:rPr>
            </w:r>
          </w:p>
        </w:tc>
        <w:tc>
          <w:tcPr>
            <w:tcW w:type="dxa" w:w="6624"/>
          </w:tcPr>
          <w:p>
            <w:r/>
            <w:r>
              <w:rPr>
                <w:b/>
                <w:sz w:val="19"/>
              </w:rPr>
            </w:r>
          </w:p>
        </w:tc>
      </w:tr>
      <w:tr>
        <w:tc>
          <w:tcPr>
            <w:tcW w:type="dxa" w:w="2448"/>
          </w:tcPr>
          <w:p>
            <w:pPr>
              <w:spacing w:after="20"/>
            </w:pPr>
            <w:r/>
            <w:r>
              <w:rPr>
                <w:sz w:val="19"/>
              </w:rPr>
              <w:t>Research question</w:t>
            </w:r>
          </w:p>
        </w:tc>
        <w:tc>
          <w:tcPr>
            <w:tcW w:type="dxa" w:w="6624"/>
          </w:tcPr>
          <w:p>
            <w:pPr>
              <w:spacing w:after="20"/>
            </w:pPr>
            <w:r/>
            <w:r>
              <w:rPr>
                <w:sz w:val="19"/>
              </w:rPr>
              <w:t>Frozen before any code was written; see §Appendix A</w:t>
            </w:r>
          </w:p>
        </w:tc>
      </w:tr>
      <w:tr>
        <w:tc>
          <w:tcPr>
            <w:tcW w:type="dxa" w:w="2448"/>
          </w:tcPr>
          <w:p>
            <w:pPr>
              <w:spacing w:after="20"/>
            </w:pPr>
            <w:r/>
            <w:r>
              <w:rPr>
                <w:sz w:val="19"/>
              </w:rPr>
              <w:t>Pre-registration commit</w:t>
            </w:r>
          </w:p>
        </w:tc>
        <w:tc>
          <w:tcPr>
            <w:tcW w:type="dxa" w:w="6624"/>
          </w:tcPr>
          <w:p>
            <w:pPr>
              <w:spacing w:after="20"/>
            </w:pPr>
            <w:r/>
            <w:r>
              <w:rPr>
                <w:sz w:val="19"/>
              </w:rPr>
              <w:t>d3478192327f613d6b167be3daaf05b611b1c20a</w:t>
            </w:r>
          </w:p>
        </w:tc>
      </w:tr>
      <w:tr>
        <w:tc>
          <w:tcPr>
            <w:tcW w:type="dxa" w:w="2448"/>
          </w:tcPr>
          <w:p>
            <w:pPr>
              <w:spacing w:after="20"/>
            </w:pPr>
            <w:r/>
            <w:r>
              <w:rPr>
                <w:sz w:val="19"/>
              </w:rPr>
              <w:t>Repository HEAD</w:t>
            </w:r>
          </w:p>
        </w:tc>
        <w:tc>
          <w:tcPr>
            <w:tcW w:type="dxa" w:w="6624"/>
          </w:tcPr>
          <w:p>
            <w:pPr>
              <w:spacing w:after="20"/>
            </w:pPr>
            <w:r/>
            <w:r>
              <w:rPr>
                <w:sz w:val="19"/>
              </w:rPr>
              <w:t>43f2010</w:t>
            </w:r>
          </w:p>
        </w:tc>
      </w:tr>
      <w:tr>
        <w:tc>
          <w:tcPr>
            <w:tcW w:type="dxa" w:w="2448"/>
          </w:tcPr>
          <w:p>
            <w:pPr>
              <w:spacing w:after="20"/>
            </w:pPr>
            <w:r/>
            <w:r>
              <w:rPr>
                <w:sz w:val="19"/>
              </w:rPr>
              <w:t>Built</w:t>
            </w:r>
          </w:p>
        </w:tc>
        <w:tc>
          <w:tcPr>
            <w:tcW w:type="dxa" w:w="6624"/>
          </w:tcPr>
          <w:p>
            <w:pPr>
              <w:spacing w:after="20"/>
            </w:pPr>
            <w:r/>
            <w:r>
              <w:rPr>
                <w:sz w:val="19"/>
              </w:rPr>
              <w:t>2026-08-31 02:33 UTC</w:t>
            </w:r>
          </w:p>
        </w:tc>
      </w:tr>
      <w:tr>
        <w:tc>
          <w:tcPr>
            <w:tcW w:type="dxa" w:w="2448"/>
          </w:tcPr>
          <w:p>
            <w:pPr>
              <w:spacing w:after="20"/>
            </w:pPr>
            <w:r/>
            <w:r>
              <w:rPr>
                <w:sz w:val="19"/>
              </w:rPr>
              <w:t>Data</w:t>
            </w:r>
          </w:p>
        </w:tc>
        <w:tc>
          <w:tcPr>
            <w:tcW w:type="dxa" w:w="6624"/>
          </w:tcPr>
          <w:p>
            <w:pPr>
              <w:spacing w:after="20"/>
            </w:pPr>
            <w:r/>
            <w:r>
              <w:rPr>
                <w:sz w:val="19"/>
              </w:rPr>
              <w:t>Synthetic only. No live-system testing. No operational attack tooling.</w:t>
            </w:r>
          </w:p>
        </w:tc>
      </w:tr>
    </w:tbl>
    <w:p>
      <w:pPr>
        <w:spacing w:after="40"/>
      </w:pPr>
    </w:p>
    <w:p>
      <w:pPr>
        <w:spacing w:before="400" w:after="60"/>
      </w:pPr>
      <w:r>
        <w:rPr>
          <w:b/>
          <w:color w:val="11161F"/>
          <w:sz w:val="32"/>
        </w:rPr>
        <w:t>1. Executive summary</w:t>
      </w:r>
    </w:p>
    <w:p>
      <w:pPr>
        <w:spacing w:after="140"/>
      </w:pPr>
      <w:r>
        <w:rPr>
          <w:b/>
          <w:i w:val="0"/>
          <w:sz w:val="21"/>
        </w:rPr>
        <w:t xml:space="preserve">The question. </w:t>
      </w:r>
      <w:r>
        <w:rPr>
          <w:b w:val="0"/>
          <w:i/>
          <w:sz w:val="21"/>
        </w:rPr>
        <w:t>Under what levels of adversarially degraded payment-context reliability does declared payment context provide incremental fraud-detection value beyond transaction, behavioural, and beneficiary intelligence?</w:t>
      </w:r>
    </w:p>
    <w:p>
      <w:pPr>
        <w:spacing w:after="140"/>
      </w:pPr>
      <w:r>
        <w:rPr>
          <w:b/>
          <w:i w:val="0"/>
          <w:sz w:val="21"/>
        </w:rPr>
        <w:t xml:space="preserve">What we built. </w:t>
      </w:r>
      <w:r>
        <w:rPr>
          <w:b w:val="0"/>
          <w:i w:val="0"/>
          <w:sz w:val="21"/>
        </w:rPr>
        <w:t>A pre-registered phase study over a synthetic Indian payment ecosystem, and a deterministic mandate verifier for the agentic surface. The contribution is not a fraud model. It is a framework for deciding whether a payment network should spend money collecting a signal at all, with the adversarial tolerance characterised rather than assumed.</w:t>
      </w:r>
    </w:p>
    <w:p>
      <w:pPr>
        <w:spacing w:before="240" w:after="60"/>
      </w:pPr>
      <w:r>
        <w:rPr>
          <w:b/>
          <w:sz w:val="23"/>
        </w:rPr>
        <w:t>The primary reported quantity: ρ*</w:t>
      </w:r>
    </w:p>
    <w:p>
      <w:pPr>
        <w:spacing w:after="140"/>
      </w:pPr>
      <w:r>
        <w:rPr>
          <w:i w:val="0"/>
          <w:sz w:val="21"/>
        </w:rPr>
        <w:t>ρ* is the coaching level above which the incremental value of declared context stops being significant. It is bracketed by the sweep grid, not interpolated, and it is a property of this threat model and parameterisation — never a universal fact.</w:t>
      </w:r>
    </w:p>
    <w:tbl>
      <w:tblPr>
        <w:tblStyle w:val="LightGrid-Accent1"/>
        <w:tblW w:type="auto" w:w="0"/>
        <w:jc w:val="center"/>
        <w:tblLook w:firstColumn="1" w:firstRow="1" w:lastColumn="0" w:lastRow="0" w:noHBand="0" w:noVBand="1" w:val="04A0"/>
      </w:tblPr>
      <w:tblGrid>
        <w:gridCol w:w="3168"/>
        <w:gridCol w:w="3168"/>
        <w:gridCol w:w="3168"/>
      </w:tblGrid>
      <w:tr>
        <w:tc>
          <w:tcPr>
            <w:tcW w:type="dxa" w:w="2304"/>
          </w:tcPr>
          <w:p>
            <w:r/>
            <w:r>
              <w:rPr>
                <w:b/>
                <w:sz w:val="18"/>
              </w:rPr>
              <w:t>λ  structural overlap</w:t>
            </w:r>
          </w:p>
        </w:tc>
        <w:tc>
          <w:tcPr>
            <w:tcW w:type="dxa" w:w="2016"/>
          </w:tcPr>
          <w:p>
            <w:r/>
            <w:r>
              <w:rPr>
                <w:b/>
                <w:sz w:val="18"/>
              </w:rPr>
              <w:t>ρ* bracket</w:t>
            </w:r>
          </w:p>
        </w:tc>
        <w:tc>
          <w:tcPr>
            <w:tcW w:type="dxa" w:w="4752"/>
          </w:tcPr>
          <w:p>
            <w:r/>
            <w:r>
              <w:rPr>
                <w:b/>
                <w:sz w:val="18"/>
              </w:rPr>
              <w:t>Reading</w:t>
            </w:r>
          </w:p>
        </w:tc>
      </w:tr>
      <w:tr>
        <w:tc>
          <w:tcPr>
            <w:tcW w:type="dxa" w:w="2304"/>
          </w:tcPr>
          <w:p>
            <w:pPr>
              <w:spacing w:after="20"/>
              <w:jc w:val="right"/>
            </w:pPr>
            <w:r/>
            <w:r>
              <w:rPr>
                <w:sz w:val="18"/>
              </w:rPr>
              <w:t>0</w:t>
            </w:r>
          </w:p>
        </w:tc>
        <w:tc>
          <w:tcPr>
            <w:tcW w:type="dxa" w:w="2016"/>
          </w:tcPr>
          <w:p>
            <w:pPr>
              <w:spacing w:after="20"/>
              <w:jc w:val="right"/>
            </w:pPr>
            <w:r/>
            <w:r>
              <w:rPr>
                <w:sz w:val="18"/>
              </w:rPr>
              <w:t>&gt; 1.0</w:t>
            </w:r>
          </w:p>
        </w:tc>
        <w:tc>
          <w:tcPr>
            <w:tcW w:type="dxa" w:w="4752"/>
          </w:tcPr>
          <w:p>
            <w:pPr>
              <w:spacing w:after="20"/>
            </w:pPr>
            <w:r/>
            <w:r>
              <w:rPr>
                <w:sz w:val="18"/>
              </w:rPr>
              <w:t>significant throughout</w:t>
            </w:r>
          </w:p>
        </w:tc>
      </w:tr>
      <w:tr>
        <w:tc>
          <w:tcPr>
            <w:tcW w:type="dxa" w:w="2304"/>
          </w:tcPr>
          <w:p>
            <w:pPr>
              <w:spacing w:after="20"/>
              <w:jc w:val="right"/>
            </w:pPr>
            <w:r/>
            <w:r>
              <w:rPr>
                <w:sz w:val="18"/>
              </w:rPr>
              <w:t>0.05</w:t>
            </w:r>
          </w:p>
        </w:tc>
        <w:tc>
          <w:tcPr>
            <w:tcW w:type="dxa" w:w="2016"/>
          </w:tcPr>
          <w:p>
            <w:pPr>
              <w:spacing w:after="20"/>
              <w:jc w:val="right"/>
            </w:pPr>
            <w:r/>
            <w:r>
              <w:rPr>
                <w:sz w:val="18"/>
              </w:rPr>
              <w:t>&gt; 1.0</w:t>
            </w:r>
          </w:p>
        </w:tc>
        <w:tc>
          <w:tcPr>
            <w:tcW w:type="dxa" w:w="4752"/>
          </w:tcPr>
          <w:p>
            <w:pPr>
              <w:spacing w:after="20"/>
            </w:pPr>
            <w:r/>
            <w:r>
              <w:rPr>
                <w:sz w:val="18"/>
              </w:rPr>
              <w:t>significant throughout</w:t>
            </w:r>
          </w:p>
        </w:tc>
      </w:tr>
      <w:tr>
        <w:tc>
          <w:tcPr>
            <w:tcW w:type="dxa" w:w="2304"/>
          </w:tcPr>
          <w:p>
            <w:pPr>
              <w:spacing w:after="20"/>
              <w:jc w:val="right"/>
            </w:pPr>
            <w:r/>
            <w:r>
              <w:rPr>
                <w:sz w:val="18"/>
              </w:rPr>
              <w:t>0.1</w:t>
            </w:r>
          </w:p>
        </w:tc>
        <w:tc>
          <w:tcPr>
            <w:tcW w:type="dxa" w:w="2016"/>
          </w:tcPr>
          <w:p>
            <w:pPr>
              <w:spacing w:after="20"/>
              <w:jc w:val="right"/>
            </w:pPr>
            <w:r/>
            <w:r>
              <w:rPr>
                <w:sz w:val="18"/>
              </w:rPr>
              <w:t>&gt; 1.0</w:t>
            </w:r>
          </w:p>
        </w:tc>
        <w:tc>
          <w:tcPr>
            <w:tcW w:type="dxa" w:w="4752"/>
          </w:tcPr>
          <w:p>
            <w:pPr>
              <w:spacing w:after="20"/>
            </w:pPr>
            <w:r/>
            <w:r>
              <w:rPr>
                <w:sz w:val="18"/>
              </w:rPr>
              <w:t>significant throughout</w:t>
            </w:r>
          </w:p>
        </w:tc>
      </w:tr>
      <w:tr>
        <w:tc>
          <w:tcPr>
            <w:tcW w:type="dxa" w:w="2304"/>
          </w:tcPr>
          <w:p>
            <w:pPr>
              <w:spacing w:after="20"/>
              <w:jc w:val="right"/>
            </w:pPr>
            <w:r/>
            <w:r>
              <w:rPr>
                <w:sz w:val="18"/>
              </w:rPr>
              <w:t>0.2</w:t>
            </w:r>
          </w:p>
        </w:tc>
        <w:tc>
          <w:tcPr>
            <w:tcW w:type="dxa" w:w="2016"/>
          </w:tcPr>
          <w:p>
            <w:pPr>
              <w:spacing w:after="20"/>
              <w:jc w:val="right"/>
            </w:pPr>
            <w:r/>
            <w:r>
              <w:rPr>
                <w:sz w:val="18"/>
              </w:rPr>
              <w:t>&gt; 1.0</w:t>
            </w:r>
          </w:p>
        </w:tc>
        <w:tc>
          <w:tcPr>
            <w:tcW w:type="dxa" w:w="4752"/>
          </w:tcPr>
          <w:p>
            <w:pPr>
              <w:spacing w:after="20"/>
            </w:pPr>
            <w:r/>
            <w:r>
              <w:rPr>
                <w:sz w:val="18"/>
              </w:rPr>
              <w:t>significant throughout</w:t>
            </w:r>
          </w:p>
        </w:tc>
      </w:tr>
      <w:tr>
        <w:tc>
          <w:tcPr>
            <w:tcW w:type="dxa" w:w="2304"/>
          </w:tcPr>
          <w:p>
            <w:pPr>
              <w:spacing w:after="20"/>
              <w:jc w:val="right"/>
            </w:pPr>
            <w:r/>
            <w:r>
              <w:rPr>
                <w:sz w:val="18"/>
              </w:rPr>
              <w:t>0.35</w:t>
            </w:r>
          </w:p>
        </w:tc>
        <w:tc>
          <w:tcPr>
            <w:tcW w:type="dxa" w:w="2016"/>
          </w:tcPr>
          <w:p>
            <w:pPr>
              <w:spacing w:after="20"/>
              <w:jc w:val="right"/>
            </w:pPr>
            <w:r/>
            <w:r>
              <w:rPr>
                <w:sz w:val="18"/>
              </w:rPr>
              <w:t>&gt; 1.0</w:t>
            </w:r>
          </w:p>
        </w:tc>
        <w:tc>
          <w:tcPr>
            <w:tcW w:type="dxa" w:w="4752"/>
          </w:tcPr>
          <w:p>
            <w:pPr>
              <w:spacing w:after="20"/>
            </w:pPr>
            <w:r/>
            <w:r>
              <w:rPr>
                <w:sz w:val="18"/>
              </w:rPr>
              <w:t>significant throughout</w:t>
            </w:r>
          </w:p>
        </w:tc>
      </w:tr>
    </w:tbl>
    <w:p>
      <w:pPr>
        <w:spacing w:after="40"/>
      </w:pPr>
    </w:p>
    <w:p>
      <w:pPr>
        <w:spacing w:before="240" w:after="60"/>
      </w:pPr>
      <w:r>
        <w:rPr>
          <w:b/>
          <w:sz w:val="23"/>
        </w:rPr>
        <w:t>The agentic surface</w:t>
      </w:r>
    </w:p>
    <w:tbl>
      <w:tblPr>
        <w:tblStyle w:val="LightGrid-Accent1"/>
        <w:tblW w:type="auto" w:w="0"/>
        <w:jc w:val="center"/>
        <w:tblLook w:firstColumn="1" w:firstRow="1" w:lastColumn="0" w:lastRow="0" w:noHBand="0" w:noVBand="1" w:val="04A0"/>
      </w:tblPr>
      <w:tblGrid>
        <w:gridCol w:w="4752"/>
        <w:gridCol w:w="4752"/>
      </w:tblGrid>
      <w:tr>
        <w:tc>
          <w:tcPr>
            <w:tcW w:type="dxa" w:w="4752"/>
          </w:tcPr>
          <w:p>
            <w:r/>
            <w:r>
              <w:rPr>
                <w:b/>
                <w:sz w:val="18"/>
              </w:rPr>
              <w:t>Quantity</w:t>
            </w:r>
          </w:p>
        </w:tc>
        <w:tc>
          <w:tcPr>
            <w:tcW w:type="dxa" w:w="4320"/>
          </w:tcPr>
          <w:p>
            <w:r/>
            <w:r>
              <w:rPr>
                <w:b/>
                <w:sz w:val="18"/>
              </w:rPr>
              <w:t>Value</w:t>
            </w:r>
          </w:p>
        </w:tc>
      </w:tr>
      <w:tr>
        <w:tc>
          <w:tcPr>
            <w:tcW w:type="dxa" w:w="4752"/>
          </w:tcPr>
          <w:p>
            <w:pPr>
              <w:spacing w:after="20"/>
            </w:pPr>
            <w:r/>
            <w:r>
              <w:rPr>
                <w:sz w:val="18"/>
              </w:rPr>
              <w:t>Attack families caught deterministically</w:t>
            </w:r>
          </w:p>
        </w:tc>
        <w:tc>
          <w:tcPr>
            <w:tcW w:type="dxa" w:w="4320"/>
          </w:tcPr>
          <w:p>
            <w:pPr>
              <w:spacing w:after="20"/>
              <w:jc w:val="right"/>
            </w:pPr>
            <w:r/>
            <w:r>
              <w:rPr>
                <w:sz w:val="18"/>
              </w:rPr>
              <w:t>8 of 10</w:t>
            </w:r>
          </w:p>
        </w:tc>
      </w:tr>
      <w:tr>
        <w:tc>
          <w:tcPr>
            <w:tcW w:type="dxa" w:w="4752"/>
          </w:tcPr>
          <w:p>
            <w:pPr>
              <w:spacing w:after="20"/>
            </w:pPr>
            <w:r/>
            <w:r>
              <w:rPr>
                <w:sz w:val="18"/>
              </w:rPr>
              <w:t>False-positive rate on in-scope carts</w:t>
            </w:r>
          </w:p>
        </w:tc>
        <w:tc>
          <w:tcPr>
            <w:tcW w:type="dxa" w:w="4320"/>
          </w:tcPr>
          <w:p>
            <w:pPr>
              <w:spacing w:after="20"/>
              <w:jc w:val="right"/>
            </w:pPr>
            <w:r/>
            <w:r>
              <w:rPr>
                <w:sz w:val="18"/>
              </w:rPr>
              <w:t>0.0000  (0 of 20,000)</w:t>
            </w:r>
          </w:p>
        </w:tc>
      </w:tr>
      <w:tr>
        <w:tc>
          <w:tcPr>
            <w:tcW w:type="dxa" w:w="4752"/>
          </w:tcPr>
          <w:p>
            <w:pPr>
              <w:spacing w:after="20"/>
            </w:pPr>
            <w:r/>
            <w:r>
              <w:rPr>
                <w:sz w:val="18"/>
              </w:rPr>
              <w:t>Families NOT caught, by construction</w:t>
            </w:r>
          </w:p>
        </w:tc>
        <w:tc>
          <w:tcPr>
            <w:tcW w:type="dxa" w:w="4320"/>
          </w:tcPr>
          <w:p>
            <w:pPr>
              <w:spacing w:after="20"/>
              <w:jc w:val="right"/>
            </w:pPr>
            <w:r/>
            <w:r>
              <w:rPr>
                <w:sz w:val="18"/>
              </w:rPr>
              <w:t>A9, A10</w:t>
            </w:r>
          </w:p>
        </w:tc>
      </w:tr>
      <w:tr>
        <w:tc>
          <w:tcPr>
            <w:tcW w:type="dxa" w:w="4752"/>
          </w:tcPr>
          <w:p>
            <w:pPr>
              <w:spacing w:after="20"/>
            </w:pPr>
            <w:r/>
            <w:r>
              <w:rPr>
                <w:sz w:val="18"/>
              </w:rPr>
              <w:t>Mean loss without enforcement</w:t>
            </w:r>
          </w:p>
        </w:tc>
        <w:tc>
          <w:tcPr>
            <w:tcW w:type="dxa" w:w="4320"/>
          </w:tcPr>
          <w:p>
            <w:pPr>
              <w:spacing w:after="20"/>
              <w:jc w:val="right"/>
            </w:pPr>
            <w:r/>
            <w:r>
              <w:rPr>
                <w:sz w:val="18"/>
              </w:rPr>
              <w:t>₹86,787</w:t>
            </w:r>
          </w:p>
        </w:tc>
      </w:tr>
      <w:tr>
        <w:tc>
          <w:tcPr>
            <w:tcW w:type="dxa" w:w="4752"/>
          </w:tcPr>
          <w:p>
            <w:pPr>
              <w:spacing w:after="20"/>
            </w:pPr>
            <w:r/>
            <w:r>
              <w:rPr>
                <w:sz w:val="18"/>
              </w:rPr>
              <w:t>Mean loss, persistent attacker, enforced</w:t>
            </w:r>
          </w:p>
        </w:tc>
        <w:tc>
          <w:tcPr>
            <w:tcW w:type="dxa" w:w="4320"/>
          </w:tcPr>
          <w:p>
            <w:pPr>
              <w:spacing w:after="20"/>
              <w:jc w:val="right"/>
            </w:pPr>
            <w:r/>
            <w:r>
              <w:rPr>
                <w:sz w:val="18"/>
              </w:rPr>
              <w:t>₹7,001  (91.9% reduction)</w:t>
            </w:r>
          </w:p>
        </w:tc>
      </w:tr>
      <w:tr>
        <w:tc>
          <w:tcPr>
            <w:tcW w:type="dxa" w:w="4752"/>
          </w:tcPr>
          <w:p>
            <w:pPr>
              <w:spacing w:after="20"/>
            </w:pPr>
            <w:r/>
            <w:r>
              <w:rPr>
                <w:sz w:val="18"/>
              </w:rPr>
              <w:t>p95 loss, enforced</w:t>
            </w:r>
          </w:p>
        </w:tc>
        <w:tc>
          <w:tcPr>
            <w:tcW w:type="dxa" w:w="4320"/>
          </w:tcPr>
          <w:p>
            <w:pPr>
              <w:spacing w:after="20"/>
              <w:jc w:val="right"/>
            </w:pPr>
            <w:r/>
            <w:r>
              <w:rPr>
                <w:sz w:val="18"/>
              </w:rPr>
              <w:t>₹12,000</w:t>
            </w:r>
          </w:p>
        </w:tc>
      </w:tr>
    </w:tbl>
    <w:p>
      <w:pPr>
        <w:spacing w:after="40"/>
      </w:pPr>
    </w:p>
    <w:p>
      <w:pPr>
        <w:spacing w:before="240" w:after="60"/>
      </w:pPr>
      <w:r>
        <w:rPr>
          <w:b/>
          <w:sz w:val="23"/>
        </w:rPr>
        <w:t>Convergence with the RBI's April 2026 direction</w:t>
      </w:r>
    </w:p>
    <w:p>
      <w:pPr>
        <w:spacing w:after="140"/>
      </w:pPr>
      <w:r>
        <w:rPr>
          <w:i w:val="0"/>
          <w:sz w:val="21"/>
        </w:rPr>
        <w:t>The RBI discussion paper Exploring Safeguards in Digital Payments to Curb Frauds (9 April 2026; proposed, not law; comments closed 8 May 2026) puts forward four controls — a one-hour lag above ₹10,000, trusted-person authentication, a ₹25 lakh credit cap, and a kill switch. Every one of them is a friction control. None is a detection improvement. This work asks the adjacent question the paper does not: whether the payment's declared purpose is worth capturing as a detection signal, and under how much adversarial pressure that remains true.</w:t>
      </w:r>
    </w:p>
    <w:p>
      <w:pPr>
        <w:spacing w:before="400" w:after="60"/>
      </w:pPr>
      <w:r>
        <w:rPr>
          <w:b/>
          <w:color w:val="11161F"/>
          <w:sz w:val="32"/>
        </w:rPr>
        <w:t>2. The problem</w:t>
      </w:r>
    </w:p>
    <w:p>
      <w:pPr>
        <w:spacing w:after="180"/>
      </w:pPr>
      <w:r>
        <w:rPr>
          <w:i/>
          <w:color w:val="1F4E79"/>
          <w:sz w:val="18"/>
        </w:rPr>
        <w:t>Rubric: problem definition and relevance</w:t>
      </w:r>
    </w:p>
    <w:p>
      <w:pPr>
        <w:spacing w:after="140"/>
      </w:pPr>
      <w:r>
        <w:rPr>
          <w:i w:val="0"/>
          <w:sz w:val="21"/>
        </w:rPr>
        <w:t>Authorised push-payment fraud is the failure mode where every existing control works exactly as designed. The payer is authenticated. The device is recognised. The transaction is authorised. And the money is gone, because the payer was deceived about what they were paying for. Authorisation is verified; understanding is not.</w:t>
      </w:r>
    </w:p>
    <w:p>
      <w:pPr>
        <w:spacing w:before="240" w:after="60"/>
      </w:pPr>
      <w:r>
        <w:rPr>
          <w:b/>
          <w:sz w:val="23"/>
        </w:rPr>
        <w:t>Scale, in India, now</w:t>
      </w:r>
    </w:p>
    <w:tbl>
      <w:tblPr>
        <w:tblStyle w:val="LightGrid-Accent1"/>
        <w:tblW w:type="auto" w:w="0"/>
        <w:jc w:val="center"/>
        <w:tblLook w:firstColumn="1" w:firstRow="1" w:lastColumn="0" w:lastRow="0" w:noHBand="0" w:noVBand="1" w:val="04A0"/>
      </w:tblPr>
      <w:tblGrid>
        <w:gridCol w:w="3168"/>
        <w:gridCol w:w="3168"/>
        <w:gridCol w:w="3168"/>
      </w:tblGrid>
      <w:tr>
        <w:tc>
          <w:tcPr>
            <w:tcW w:type="dxa" w:w="2736"/>
          </w:tcPr>
          <w:p>
            <w:r/>
            <w:r>
              <w:rPr>
                <w:b/>
                <w:sz w:val="18"/>
              </w:rPr>
              <w:t>Quantity</w:t>
            </w:r>
          </w:p>
        </w:tc>
        <w:tc>
          <w:tcPr>
            <w:tcW w:type="dxa" w:w="2160"/>
          </w:tcPr>
          <w:p>
            <w:r/>
            <w:r>
              <w:rPr>
                <w:b/>
                <w:sz w:val="18"/>
              </w:rPr>
              <w:t>Value</w:t>
            </w:r>
          </w:p>
        </w:tc>
        <w:tc>
          <w:tcPr>
            <w:tcW w:type="dxa" w:w="4176"/>
          </w:tcPr>
          <w:p>
            <w:r/>
            <w:r>
              <w:rPr>
                <w:b/>
                <w:sz w:val="18"/>
              </w:rPr>
              <w:t>Source</w:t>
            </w:r>
          </w:p>
        </w:tc>
      </w:tr>
      <w:tr>
        <w:tc>
          <w:tcPr>
            <w:tcW w:type="dxa" w:w="2736"/>
          </w:tcPr>
          <w:p>
            <w:pPr>
              <w:spacing w:after="20"/>
            </w:pPr>
            <w:r/>
            <w:r>
              <w:rPr>
                <w:sz w:val="18"/>
              </w:rPr>
              <w:t>Reported loss, 2025</w:t>
            </w:r>
          </w:p>
        </w:tc>
        <w:tc>
          <w:tcPr>
            <w:tcW w:type="dxa" w:w="2160"/>
          </w:tcPr>
          <w:p>
            <w:pPr>
              <w:spacing w:after="20"/>
            </w:pPr>
            <w:r/>
            <w:r>
              <w:rPr>
                <w:sz w:val="18"/>
              </w:rPr>
              <w:t>₹22,931 crore</w:t>
            </w:r>
          </w:p>
        </w:tc>
        <w:tc>
          <w:tcPr>
            <w:tcW w:type="dxa" w:w="4176"/>
          </w:tcPr>
          <w:p>
            <w:pPr>
              <w:spacing w:after="20"/>
            </w:pPr>
            <w:r/>
            <w:r>
              <w:rPr>
                <w:sz w:val="18"/>
              </w:rPr>
              <w:t>NCRP, cited in the RBI discussion paper</w:t>
            </w:r>
          </w:p>
        </w:tc>
      </w:tr>
      <w:tr>
        <w:tc>
          <w:tcPr>
            <w:tcW w:type="dxa" w:w="2736"/>
          </w:tcPr>
          <w:p>
            <w:pPr>
              <w:spacing w:after="20"/>
            </w:pPr>
            <w:r/>
            <w:r>
              <w:rPr>
                <w:sz w:val="18"/>
              </w:rPr>
              <w:t>Reported cases, 2025</w:t>
            </w:r>
          </w:p>
        </w:tc>
        <w:tc>
          <w:tcPr>
            <w:tcW w:type="dxa" w:w="2160"/>
          </w:tcPr>
          <w:p>
            <w:pPr>
              <w:spacing w:after="20"/>
            </w:pPr>
            <w:r/>
            <w:r>
              <w:rPr>
                <w:sz w:val="18"/>
              </w:rPr>
              <w:t>28 lakh</w:t>
            </w:r>
          </w:p>
        </w:tc>
        <w:tc>
          <w:tcPr>
            <w:tcW w:type="dxa" w:w="4176"/>
          </w:tcPr>
          <w:p>
            <w:pPr>
              <w:spacing w:after="20"/>
            </w:pPr>
            <w:r/>
            <w:r>
              <w:rPr>
                <w:sz w:val="18"/>
              </w:rPr>
              <w:t>NCRP, cited in the same paper</w:t>
            </w:r>
          </w:p>
        </w:tc>
      </w:tr>
      <w:tr>
        <w:tc>
          <w:tcPr>
            <w:tcW w:type="dxa" w:w="2736"/>
          </w:tcPr>
          <w:p>
            <w:pPr>
              <w:spacing w:after="20"/>
            </w:pPr>
            <w:r/>
            <w:r>
              <w:rPr>
                <w:sz w:val="18"/>
              </w:rPr>
              <w:t>Implied mean case loss</w:t>
            </w:r>
          </w:p>
        </w:tc>
        <w:tc>
          <w:tcPr>
            <w:tcW w:type="dxa" w:w="2160"/>
          </w:tcPr>
          <w:p>
            <w:pPr>
              <w:spacing w:after="20"/>
            </w:pPr>
            <w:r/>
            <w:r>
              <w:rPr>
                <w:sz w:val="18"/>
              </w:rPr>
              <w:t>₹81,896</w:t>
            </w:r>
          </w:p>
        </w:tc>
        <w:tc>
          <w:tcPr>
            <w:tcW w:type="dxa" w:w="4176"/>
          </w:tcPr>
          <w:p>
            <w:pPr>
              <w:spacing w:after="20"/>
            </w:pPr>
            <w:r/>
            <w:r>
              <w:rPr>
                <w:sz w:val="18"/>
              </w:rPr>
              <w:t>derived from the two figures above</w:t>
            </w:r>
          </w:p>
        </w:tc>
      </w:tr>
      <w:tr>
        <w:tc>
          <w:tcPr>
            <w:tcW w:type="dxa" w:w="2736"/>
          </w:tcPr>
          <w:p>
            <w:pPr>
              <w:spacing w:after="20"/>
            </w:pPr>
            <w:r/>
            <w:r>
              <w:rPr>
                <w:sz w:val="18"/>
              </w:rPr>
              <w:t>Cases above ₹10,000</w:t>
            </w:r>
          </w:p>
        </w:tc>
        <w:tc>
          <w:tcPr>
            <w:tcW w:type="dxa" w:w="2160"/>
          </w:tcPr>
          <w:p>
            <w:pPr>
              <w:spacing w:after="20"/>
            </w:pPr>
            <w:r/>
            <w:r>
              <w:rPr>
                <w:sz w:val="18"/>
              </w:rPr>
              <w:t>~45% by volume</w:t>
            </w:r>
          </w:p>
        </w:tc>
        <w:tc>
          <w:tcPr>
            <w:tcW w:type="dxa" w:w="4176"/>
          </w:tcPr>
          <w:p>
            <w:pPr>
              <w:spacing w:after="20"/>
            </w:pPr>
            <w:r/>
            <w:r>
              <w:rPr>
                <w:sz w:val="18"/>
              </w:rPr>
              <w:t>RBI discussion paper, 9 April 2026</w:t>
            </w:r>
          </w:p>
        </w:tc>
      </w:tr>
      <w:tr>
        <w:tc>
          <w:tcPr>
            <w:tcW w:type="dxa" w:w="2736"/>
          </w:tcPr>
          <w:p>
            <w:pPr>
              <w:spacing w:after="20"/>
            </w:pPr>
            <w:r/>
            <w:r>
              <w:rPr>
                <w:sz w:val="18"/>
              </w:rPr>
              <w:t>Value above ₹10,000</w:t>
            </w:r>
          </w:p>
        </w:tc>
        <w:tc>
          <w:tcPr>
            <w:tcW w:type="dxa" w:w="2160"/>
          </w:tcPr>
          <w:p>
            <w:pPr>
              <w:spacing w:after="20"/>
            </w:pPr>
            <w:r/>
            <w:r>
              <w:rPr>
                <w:sz w:val="18"/>
              </w:rPr>
              <w:t>~98.5% by value</w:t>
            </w:r>
          </w:p>
        </w:tc>
        <w:tc>
          <w:tcPr>
            <w:tcW w:type="dxa" w:w="4176"/>
          </w:tcPr>
          <w:p>
            <w:pPr>
              <w:spacing w:after="20"/>
            </w:pPr>
            <w:r/>
            <w:r>
              <w:rPr>
                <w:sz w:val="18"/>
              </w:rPr>
              <w:t>RBI discussion paper, 9 April 2026</w:t>
            </w:r>
          </w:p>
        </w:tc>
      </w:tr>
    </w:tbl>
    <w:p>
      <w:pPr>
        <w:spacing w:after="40"/>
      </w:pPr>
    </w:p>
    <w:p>
      <w:pPr>
        <w:spacing w:after="180"/>
      </w:pPr>
      <w:r>
        <w:rPr>
          <w:i w:val="0"/>
          <w:sz w:val="21"/>
        </w:rPr>
        <w:t>The volume-versus-value asymmetry is the operationally important number. A control that only sees transactions above ₹10,000 misses 55% of cases but reaches 98.5% of the money. It is also the anchor this project calibrates its synthetic population against, so the simulator inherits a real constraint rather than a convenient one.</w:t>
      </w:r>
    </w:p>
    <w:p>
      <w:pPr>
        <w:spacing w:before="240" w:after="60"/>
      </w:pPr>
      <w:r>
        <w:rPr>
          <w:b/>
          <w:sz w:val="23"/>
        </w:rPr>
        <w:t>What is already proposed, and what it does not do</w:t>
      </w:r>
    </w:p>
    <w:p>
      <w:pPr>
        <w:pStyle w:val="ListBullet"/>
        <w:spacing w:after="60"/>
      </w:pPr>
      <w:r>
        <w:rPr>
          <w:b/>
          <w:sz w:val="21"/>
        </w:rPr>
        <w:t>One-hour lag above ₹10,000.</w:t>
      </w:r>
      <w:r>
        <w:rPr>
          <w:sz w:val="21"/>
        </w:rPr>
        <w:t xml:space="preserve"> Friction. Buys reversal time; detects nothing.</w:t>
      </w:r>
    </w:p>
    <w:p>
      <w:pPr>
        <w:pStyle w:val="ListBullet"/>
        <w:spacing w:after="60"/>
      </w:pPr>
      <w:r>
        <w:rPr>
          <w:b/>
          <w:sz w:val="21"/>
        </w:rPr>
        <w:t>Trusted-person authentication.</w:t>
      </w:r>
      <w:r>
        <w:rPr>
          <w:sz w:val="21"/>
        </w:rPr>
        <w:t xml:space="preserve"> Friction. Adds a human check; detects nothing.</w:t>
      </w:r>
    </w:p>
    <w:p>
      <w:pPr>
        <w:pStyle w:val="ListBullet"/>
        <w:spacing w:after="60"/>
      </w:pPr>
      <w:r>
        <w:rPr>
          <w:b/>
          <w:sz w:val="21"/>
        </w:rPr>
        <w:t>₹25 lakh credit cap.</w:t>
      </w:r>
      <w:r>
        <w:rPr>
          <w:sz w:val="21"/>
        </w:rPr>
        <w:t xml:space="preserve"> Friction. Bounds loss; detects nothing.</w:t>
      </w:r>
    </w:p>
    <w:p>
      <w:pPr>
        <w:pStyle w:val="ListBullet"/>
        <w:spacing w:after="60"/>
      </w:pPr>
      <w:r>
        <w:rPr>
          <w:b/>
          <w:sz w:val="21"/>
        </w:rPr>
        <w:t>Kill switch.</w:t>
      </w:r>
      <w:r>
        <w:rPr>
          <w:sz w:val="21"/>
        </w:rPr>
        <w:t xml:space="preserve"> Friction. Stops the bleeding after the fact; detects nothing.</w:t>
      </w:r>
    </w:p>
    <w:p>
      <w:pPr>
        <w:spacing w:after="140"/>
      </w:pPr>
      <w:r>
        <w:rPr>
          <w:i w:val="0"/>
          <w:sz w:val="21"/>
        </w:rPr>
        <w:t>Each is a reasonable control. None improves the network's ability to tell, at authorisation time, that this payment is not what the payer thinks it is. That gap is the subject of this work.</w:t>
      </w:r>
    </w:p>
    <w:p>
      <w:pPr>
        <w:spacing w:before="240" w:after="60"/>
      </w:pPr>
      <w:r>
        <w:rPr>
          <w:b/>
          <w:sz w:val="23"/>
        </w:rPr>
        <w:t>Why this failure mode is different</w:t>
      </w:r>
    </w:p>
    <w:p>
      <w:pPr>
        <w:spacing w:after="140"/>
      </w:pPr>
      <w:r>
        <w:rPr>
          <w:i w:val="0"/>
          <w:sz w:val="21"/>
        </w:rPr>
        <w:t>Card fraud and account takeover are unauthorised: the genuine customer did not make the payment, so authentication and device intelligence are aimed at the right target. APP fraud inverts that. The customer did make the payment, on their own device, through their own credentials, having passed every check. What failed was not the authorisation but the payer's model of what the payment was for.</w:t>
      </w:r>
    </w:p>
    <w:p>
      <w:pPr>
        <w:spacing w:after="140"/>
      </w:pPr>
      <w:r>
        <w:rPr>
          <w:i w:val="0"/>
          <w:sz w:val="21"/>
        </w:rPr>
        <w:t>That inversion has three practical consequences. Liability is contested, because no control was bypassed. Reversal is hard, because the transfer was valid at the moment it was made. And detection has to work with a signal that no existing field carries: the payer's own belief about the counterparty. A network sees who paid whom, how much, from what device, at what time. It does not see 'this was supposed to be my daughter's tuition'.</w:t>
      </w:r>
    </w:p>
    <w:p>
      <w:pPr>
        <w:spacing w:after="140"/>
      </w:pPr>
      <w:r>
        <w:rPr>
          <w:i w:val="0"/>
          <w:sz w:val="21"/>
        </w:rPr>
        <w:t>The question this project asks is whether asking for that belief, and checking it against what the beneficiary actually looks like, is worth the cost of collecting it — and for how long that remains true once attackers know the check exists. The second half is the part that is usually left out.</w:t>
      </w:r>
    </w:p>
    <w:p>
      <w:pPr>
        <w:spacing w:before="240" w:after="60"/>
      </w:pPr>
      <w:r>
        <w:rPr>
          <w:b/>
          <w:sz w:val="23"/>
        </w:rPr>
        <w:t>The forward surface</w:t>
      </w:r>
    </w:p>
    <w:p>
      <w:pPr>
        <w:spacing w:after="140"/>
      </w:pPr>
      <w:r>
        <w:rPr>
          <w:i w:val="0"/>
          <w:sz w:val="21"/>
        </w:rPr>
        <w:t>Agentic commerce makes the same gap structural rather than incidental. US AI-platform retail e-commerce is roughly $20.6bn in 2026, about 1.5% of e-commerce, and OpenAI deprecated Instant Checkout in March 2026. We state that ourselves: the capability retreated because the trust primitive is not settled. That is the argument, not a weakness in it. When the payer is an agent, 'what the principal intended' stops being a matter of inference and becomes a signed, checkable object — and §7 quantifies exactly how much that buys, including where it buys nothing.</w:t>
      </w:r>
    </w:p>
    <w:p>
      <w:pPr>
        <w:spacing w:before="400" w:after="60"/>
      </w:pPr>
      <w:r>
        <w:rPr>
          <w:b/>
          <w:color w:val="11161F"/>
          <w:sz w:val="32"/>
        </w:rPr>
        <w:t>3. Prior art, stated up front</w:t>
      </w:r>
    </w:p>
    <w:p>
      <w:pPr>
        <w:spacing w:after="180"/>
      </w:pPr>
      <w:r>
        <w:rPr>
          <w:i/>
          <w:color w:val="1F4E79"/>
          <w:sz w:val="18"/>
        </w:rPr>
        <w:t>Rubric: originality, honest positioning</w:t>
      </w:r>
    </w:p>
    <w:p>
      <w:pPr>
        <w:spacing w:after="140"/>
      </w:pPr>
      <w:r>
        <w:rPr>
          <w:i w:val="0"/>
          <w:sz w:val="21"/>
        </w:rPr>
        <w:t>This section exists before the results deliberately. The strongest objection to this project is that declared purpose already exists, and it does. Here is where, and here is precisely what we are and are not claiming.</w:t>
      </w:r>
    </w:p>
    <w:tbl>
      <w:tblPr>
        <w:tblStyle w:val="LightGrid-Accent1"/>
        <w:tblW w:type="auto" w:w="0"/>
        <w:jc w:val="center"/>
        <w:tblLook w:firstColumn="1" w:firstRow="1" w:lastColumn="0" w:lastRow="0" w:noHBand="0" w:noVBand="1" w:val="04A0"/>
      </w:tblPr>
      <w:tblGrid>
        <w:gridCol w:w="4752"/>
        <w:gridCol w:w="4752"/>
      </w:tblGrid>
      <w:tr>
        <w:tc>
          <w:tcPr>
            <w:tcW w:type="dxa" w:w="3888"/>
          </w:tcPr>
          <w:p>
            <w:r/>
            <w:r>
              <w:rPr>
                <w:b/>
                <w:sz w:val="18"/>
              </w:rPr>
              <w:t>What exists</w:t>
            </w:r>
          </w:p>
        </w:tc>
        <w:tc>
          <w:tcPr>
            <w:tcW w:type="dxa" w:w="5184"/>
          </w:tcPr>
          <w:p>
            <w:r/>
            <w:r>
              <w:rPr>
                <w:b/>
                <w:sz w:val="18"/>
              </w:rPr>
              <w:t>Where</w:t>
            </w:r>
          </w:p>
        </w:tc>
      </w:tr>
      <w:tr>
        <w:tc>
          <w:tcPr>
            <w:tcW w:type="dxa" w:w="3888"/>
          </w:tcPr>
          <w:p>
            <w:pPr>
              <w:spacing w:after="20"/>
            </w:pPr>
            <w:r/>
            <w:r>
              <w:rPr>
                <w:sz w:val="18"/>
              </w:rPr>
              <w:t>Structured purpose codes on payment messages</w:t>
            </w:r>
          </w:p>
        </w:tc>
        <w:tc>
          <w:tcPr>
            <w:tcW w:type="dxa" w:w="5184"/>
          </w:tcPr>
          <w:p>
            <w:pPr>
              <w:spacing w:after="20"/>
            </w:pPr>
            <w:r/>
            <w:r>
              <w:rPr>
                <w:sz w:val="18"/>
              </w:rPr>
              <w:t>ISO 20022 &lt;Purp&gt;&lt;Cd&gt;, carried in pain.001 and pacs.008</w:t>
            </w:r>
          </w:p>
        </w:tc>
      </w:tr>
      <w:tr>
        <w:tc>
          <w:tcPr>
            <w:tcW w:type="dxa" w:w="3888"/>
          </w:tcPr>
          <w:p>
            <w:pPr>
              <w:spacing w:after="20"/>
            </w:pPr>
            <w:r/>
            <w:r>
              <w:rPr>
                <w:sz w:val="18"/>
              </w:rPr>
              <w:t>Banks asking the payer the purpose of a payment</w:t>
            </w:r>
          </w:p>
        </w:tc>
        <w:tc>
          <w:tcPr>
            <w:tcW w:type="dxa" w:w="5184"/>
          </w:tcPr>
          <w:p>
            <w:pPr>
              <w:spacing w:after="20"/>
            </w:pPr>
            <w:r/>
            <w:r>
              <w:rPr>
                <w:sz w:val="18"/>
              </w:rPr>
              <w:t>UK Consumer Standard of Caution</w:t>
            </w:r>
          </w:p>
        </w:tc>
      </w:tr>
      <w:tr>
        <w:tc>
          <w:tcPr>
            <w:tcW w:type="dxa" w:w="3888"/>
          </w:tcPr>
          <w:p>
            <w:pPr>
              <w:spacing w:after="20"/>
            </w:pPr>
            <w:r/>
            <w:r>
              <w:rPr>
                <w:sz w:val="18"/>
              </w:rPr>
              <w:t>Purpose used in a decision by the receiving institution</w:t>
            </w:r>
          </w:p>
        </w:tc>
        <w:tc>
          <w:tcPr>
            <w:tcW w:type="dxa" w:w="5184"/>
          </w:tcPr>
          <w:p>
            <w:pPr>
              <w:spacing w:after="20"/>
            </w:pPr>
            <w:r/>
            <w:r>
              <w:rPr>
                <w:sz w:val="18"/>
              </w:rPr>
              <w:t>BIS Nexus guidance notes a destination PSP may consider purpose codes</w:t>
            </w:r>
          </w:p>
        </w:tc>
      </w:tr>
      <w:tr>
        <w:tc>
          <w:tcPr>
            <w:tcW w:type="dxa" w:w="3888"/>
          </w:tcPr>
          <w:p>
            <w:pPr>
              <w:spacing w:after="20"/>
            </w:pPr>
            <w:r/>
            <w:r>
              <w:rPr>
                <w:sz w:val="18"/>
              </w:rPr>
              <w:t>Cryptographically signed payment intent</w:t>
            </w:r>
          </w:p>
        </w:tc>
        <w:tc>
          <w:tcPr>
            <w:tcW w:type="dxa" w:w="5184"/>
          </w:tcPr>
          <w:p>
            <w:pPr>
              <w:spacing w:after="20"/>
            </w:pPr>
            <w:r/>
            <w:r>
              <w:rPr>
                <w:sz w:val="18"/>
              </w:rPr>
              <w:t>UPI signs payment-request parameters (not semantic purpose)</w:t>
            </w:r>
          </w:p>
        </w:tc>
      </w:tr>
      <w:tr>
        <w:tc>
          <w:tcPr>
            <w:tcW w:type="dxa" w:w="3888"/>
          </w:tcPr>
          <w:p>
            <w:pPr>
              <w:spacing w:after="20"/>
            </w:pPr>
            <w:r/>
            <w:r>
              <w:rPr>
                <w:sz w:val="18"/>
              </w:rPr>
              <w:t>Open/closed mandates with deterministic conformance checking</w:t>
            </w:r>
          </w:p>
        </w:tc>
        <w:tc>
          <w:tcPr>
            <w:tcW w:type="dxa" w:w="5184"/>
          </w:tcPr>
          <w:p>
            <w:pPr>
              <w:spacing w:after="20"/>
            </w:pPr>
            <w:r/>
            <w:r>
              <w:rPr>
                <w:sz w:val="18"/>
              </w:rPr>
              <w:t>AP2 v0.2</w:t>
            </w:r>
          </w:p>
        </w:tc>
      </w:tr>
      <w:tr>
        <w:tc>
          <w:tcPr>
            <w:tcW w:type="dxa" w:w="3888"/>
          </w:tcPr>
          <w:p>
            <w:pPr>
              <w:spacing w:after="20"/>
            </w:pPr>
            <w:r/>
            <w:r>
              <w:rPr>
                <w:sz w:val="18"/>
              </w:rPr>
              <w:t>Purpose × beneficiary as a modelling technique</w:t>
            </w:r>
          </w:p>
        </w:tc>
        <w:tc>
          <w:tcPr>
            <w:tcW w:type="dxa" w:w="5184"/>
          </w:tcPr>
          <w:p>
            <w:pPr>
              <w:spacing w:after="20"/>
            </w:pPr>
            <w:r/>
            <w:r>
              <w:rPr>
                <w:sz w:val="18"/>
              </w:rPr>
              <w:t>Ordinary feature engineering; nothing novel is claimed</w:t>
            </w:r>
          </w:p>
        </w:tc>
      </w:tr>
    </w:tbl>
    <w:p>
      <w:pPr>
        <w:spacing w:after="40"/>
      </w:pPr>
    </w:p>
    <w:p>
      <w:pPr>
        <w:spacing w:before="240" w:after="60"/>
      </w:pPr>
      <w:r>
        <w:rPr>
          <w:b/>
          <w:sz w:val="23"/>
        </w:rPr>
        <w:t>What we are not claiming</w:t>
      </w:r>
    </w:p>
    <w:p>
      <w:pPr>
        <w:pStyle w:val="ListBullet"/>
        <w:spacing w:after="60"/>
      </w:pPr>
      <w:r>
        <w:rPr>
          <w:sz w:val="21"/>
        </w:rPr>
        <w:t>That structured purpose fields do not exist.</w:t>
      </w:r>
    </w:p>
    <w:p>
      <w:pPr>
        <w:pStyle w:val="ListBullet"/>
        <w:spacing w:after="60"/>
      </w:pPr>
      <w:r>
        <w:rPr>
          <w:sz w:val="21"/>
        </w:rPr>
        <w:t>That banks do not ask purpose.</w:t>
      </w:r>
    </w:p>
    <w:p>
      <w:pPr>
        <w:pStyle w:val="ListBullet"/>
        <w:spacing w:after="60"/>
      </w:pPr>
      <w:r>
        <w:rPr>
          <w:sz w:val="21"/>
        </w:rPr>
        <w:t>That purpose is never used in decisions.</w:t>
      </w:r>
    </w:p>
    <w:p>
      <w:pPr>
        <w:pStyle w:val="ListBullet"/>
        <w:spacing w:after="60"/>
      </w:pPr>
      <w:r>
        <w:rPr>
          <w:sz w:val="21"/>
        </w:rPr>
        <w:t>That UPI lacks signed intents.</w:t>
      </w:r>
    </w:p>
    <w:p>
      <w:pPr>
        <w:pStyle w:val="ListBullet"/>
        <w:spacing w:after="60"/>
      </w:pPr>
      <w:r>
        <w:rPr>
          <w:sz w:val="21"/>
        </w:rPr>
        <w:t>That AP2 lacks mandate verification.</w:t>
      </w:r>
    </w:p>
    <w:p>
      <w:pPr>
        <w:pStyle w:val="ListBullet"/>
        <w:spacing w:after="60"/>
      </w:pPr>
      <w:r>
        <w:rPr>
          <w:sz w:val="21"/>
        </w:rPr>
        <w:t>That purpose × beneficiary is a novel technique.</w:t>
      </w:r>
    </w:p>
    <w:p>
      <w:pPr>
        <w:pStyle w:val="ListBullet"/>
        <w:spacing w:after="60"/>
      </w:pPr>
      <w:r>
        <w:rPr>
          <w:sz w:val="21"/>
        </w:rPr>
        <w:t>That nobody does this — a global negative cannot be proven.</w:t>
      </w:r>
    </w:p>
    <w:p>
      <w:pPr>
        <w:spacing w:before="240" w:after="60"/>
      </w:pPr>
      <w:r>
        <w:rPr>
          <w:b/>
          <w:sz w:val="23"/>
        </w:rPr>
        <w:t>What we do claim</w:t>
      </w:r>
    </w:p>
    <w:p>
      <w:pPr>
        <w:spacing w:before="120" w:after="180"/>
        <w:ind w:left="317"/>
      </w:pPr>
      <w:r>
        <w:rPr>
          <w:b/>
          <w:color w:val="1F4E79"/>
          <w:sz w:val="21"/>
        </w:rPr>
        <w:t>We found no publicly documented production system that models purpose–beneficiary consistency as a standalone feature class.</w:t>
      </w:r>
    </w:p>
    <w:p>
      <w:pPr>
        <w:spacing w:after="140"/>
      </w:pPr>
      <w:r>
        <w:rPr>
          <w:i w:val="0"/>
          <w:sz w:val="21"/>
        </w:rPr>
        <w:t>And, separately and more importantly: we are not aware of published work that measures the adversarial tolerance of such a signal — the level of coaching at which it stops paying for itself. That measurement, not the feature, is the contribution. A payment network deciding whether to capture and retain a field needs to know the conditions under which the field remains informative, and that is a different question from whether a model can use it.</w:t>
      </w:r>
    </w:p>
    <w:p>
      <w:pPr>
        <w:spacing w:before="400" w:after="60"/>
      </w:pPr>
      <w:r>
        <w:rPr>
          <w:b/>
          <w:color w:val="11161F"/>
          <w:sz w:val="32"/>
        </w:rPr>
        <w:t>4. Identify: the threat model</w:t>
      </w:r>
    </w:p>
    <w:p>
      <w:pPr>
        <w:spacing w:after="180"/>
      </w:pPr>
      <w:r>
        <w:rPr>
          <w:i/>
          <w:color w:val="1F4E79"/>
          <w:sz w:val="18"/>
        </w:rPr>
        <w:t>Rubric: threat identification</w:t>
      </w:r>
    </w:p>
    <w:p>
      <w:pPr>
        <w:spacing w:before="240" w:after="60"/>
      </w:pPr>
      <w:r>
        <w:rPr>
          <w:b/>
          <w:sz w:val="23"/>
        </w:rPr>
        <w:t>Scam families and what the victim is told</w:t>
      </w:r>
    </w:p>
    <w:p>
      <w:pPr>
        <w:spacing w:after="140"/>
      </w:pPr>
      <w:r>
        <w:rPr>
          <w:i w:val="0"/>
          <w:sz w:val="21"/>
        </w:rPr>
        <w:t>Six scam families drive the fraud process. Each carries a narrative, and the narrative determines what the victim believes — and therefore declares — when they are not coached otherwise.</w:t>
      </w:r>
    </w:p>
    <w:tbl>
      <w:tblPr>
        <w:tblStyle w:val="LightGrid-Accent1"/>
        <w:tblW w:type="auto" w:w="0"/>
        <w:jc w:val="center"/>
        <w:tblLook w:firstColumn="1" w:firstRow="1" w:lastColumn="0" w:lastRow="0" w:noHBand="0" w:noVBand="1" w:val="04A0"/>
      </w:tblPr>
      <w:tblGrid>
        <w:gridCol w:w="3168"/>
        <w:gridCol w:w="3168"/>
        <w:gridCol w:w="3168"/>
      </w:tblGrid>
      <w:tr>
        <w:tc>
          <w:tcPr>
            <w:tcW w:type="dxa" w:w="2736"/>
          </w:tcPr>
          <w:p>
            <w:r/>
            <w:r>
              <w:rPr>
                <w:b/>
                <w:sz w:val="18"/>
              </w:rPr>
              <w:t>Scam family</w:t>
            </w:r>
          </w:p>
        </w:tc>
        <w:tc>
          <w:tcPr>
            <w:tcW w:type="dxa" w:w="1296"/>
          </w:tcPr>
          <w:p>
            <w:r/>
            <w:r>
              <w:rPr>
                <w:b/>
                <w:sz w:val="18"/>
              </w:rPr>
              <w:t>Share</w:t>
            </w:r>
          </w:p>
        </w:tc>
        <w:tc>
          <w:tcPr>
            <w:tcW w:type="dxa" w:w="5040"/>
          </w:tcPr>
          <w:p>
            <w:r/>
            <w:r>
              <w:rPr>
                <w:b/>
                <w:sz w:val="18"/>
              </w:rPr>
              <w:t>Narrative purpose the victim declares</w:t>
            </w:r>
          </w:p>
        </w:tc>
      </w:tr>
      <w:tr>
        <w:tc>
          <w:tcPr>
            <w:tcW w:type="dxa" w:w="2736"/>
          </w:tcPr>
          <w:p>
            <w:pPr>
              <w:spacing w:after="20"/>
            </w:pPr>
            <w:r/>
            <w:r>
              <w:rPr>
                <w:sz w:val="18"/>
              </w:rPr>
              <w:t>digital_arrest</w:t>
            </w:r>
          </w:p>
        </w:tc>
        <w:tc>
          <w:tcPr>
            <w:tcW w:type="dxa" w:w="1296"/>
          </w:tcPr>
          <w:p>
            <w:pPr>
              <w:spacing w:after="20"/>
              <w:jc w:val="right"/>
            </w:pPr>
            <w:r/>
            <w:r>
              <w:rPr>
                <w:sz w:val="18"/>
              </w:rPr>
              <w:t>18%</w:t>
            </w:r>
          </w:p>
        </w:tc>
        <w:tc>
          <w:tcPr>
            <w:tcW w:type="dxa" w:w="5040"/>
          </w:tcPr>
          <w:p>
            <w:pPr>
              <w:spacing w:after="20"/>
            </w:pPr>
            <w:r/>
            <w:r>
              <w:rPr>
                <w:sz w:val="18"/>
              </w:rPr>
              <w:t>other</w:t>
            </w:r>
          </w:p>
        </w:tc>
      </w:tr>
      <w:tr>
        <w:tc>
          <w:tcPr>
            <w:tcW w:type="dxa" w:w="2736"/>
          </w:tcPr>
          <w:p>
            <w:pPr>
              <w:spacing w:after="20"/>
            </w:pPr>
            <w:r/>
            <w:r>
              <w:rPr>
                <w:sz w:val="18"/>
              </w:rPr>
              <w:t>investment_scam</w:t>
            </w:r>
          </w:p>
        </w:tc>
        <w:tc>
          <w:tcPr>
            <w:tcW w:type="dxa" w:w="1296"/>
          </w:tcPr>
          <w:p>
            <w:pPr>
              <w:spacing w:after="20"/>
              <w:jc w:val="right"/>
            </w:pPr>
            <w:r/>
            <w:r>
              <w:rPr>
                <w:sz w:val="18"/>
              </w:rPr>
              <w:t>26%</w:t>
            </w:r>
          </w:p>
        </w:tc>
        <w:tc>
          <w:tcPr>
            <w:tcW w:type="dxa" w:w="5040"/>
          </w:tcPr>
          <w:p>
            <w:pPr>
              <w:spacing w:after="20"/>
            </w:pPr>
            <w:r/>
            <w:r>
              <w:rPr>
                <w:sz w:val="18"/>
              </w:rPr>
              <w:t>investment</w:t>
            </w:r>
          </w:p>
        </w:tc>
      </w:tr>
      <w:tr>
        <w:tc>
          <w:tcPr>
            <w:tcW w:type="dxa" w:w="2736"/>
          </w:tcPr>
          <w:p>
            <w:pPr>
              <w:spacing w:after="20"/>
            </w:pPr>
            <w:r/>
            <w:r>
              <w:rPr>
                <w:sz w:val="18"/>
              </w:rPr>
              <w:t>task_scam</w:t>
            </w:r>
          </w:p>
        </w:tc>
        <w:tc>
          <w:tcPr>
            <w:tcW w:type="dxa" w:w="1296"/>
          </w:tcPr>
          <w:p>
            <w:pPr>
              <w:spacing w:after="20"/>
              <w:jc w:val="right"/>
            </w:pPr>
            <w:r/>
            <w:r>
              <w:rPr>
                <w:sz w:val="18"/>
              </w:rPr>
              <w:t>20%</w:t>
            </w:r>
          </w:p>
        </w:tc>
        <w:tc>
          <w:tcPr>
            <w:tcW w:type="dxa" w:w="5040"/>
          </w:tcPr>
          <w:p>
            <w:pPr>
              <w:spacing w:after="20"/>
            </w:pPr>
            <w:r/>
            <w:r>
              <w:rPr>
                <w:sz w:val="18"/>
              </w:rPr>
              <w:t>investment</w:t>
            </w:r>
          </w:p>
        </w:tc>
      </w:tr>
      <w:tr>
        <w:tc>
          <w:tcPr>
            <w:tcW w:type="dxa" w:w="2736"/>
          </w:tcPr>
          <w:p>
            <w:pPr>
              <w:spacing w:after="20"/>
            </w:pPr>
            <w:r/>
            <w:r>
              <w:rPr>
                <w:sz w:val="18"/>
              </w:rPr>
              <w:t>impersonation</w:t>
            </w:r>
          </w:p>
        </w:tc>
        <w:tc>
          <w:tcPr>
            <w:tcW w:type="dxa" w:w="1296"/>
          </w:tcPr>
          <w:p>
            <w:pPr>
              <w:spacing w:after="20"/>
              <w:jc w:val="right"/>
            </w:pPr>
            <w:r/>
            <w:r>
              <w:rPr>
                <w:sz w:val="18"/>
              </w:rPr>
              <w:t>14%</w:t>
            </w:r>
          </w:p>
        </w:tc>
        <w:tc>
          <w:tcPr>
            <w:tcW w:type="dxa" w:w="5040"/>
          </w:tcPr>
          <w:p>
            <w:pPr>
              <w:spacing w:after="20"/>
            </w:pPr>
            <w:r/>
            <w:r>
              <w:rPr>
                <w:sz w:val="18"/>
              </w:rPr>
              <w:t>family_support</w:t>
            </w:r>
          </w:p>
        </w:tc>
      </w:tr>
      <w:tr>
        <w:tc>
          <w:tcPr>
            <w:tcW w:type="dxa" w:w="2736"/>
          </w:tcPr>
          <w:p>
            <w:pPr>
              <w:spacing w:after="20"/>
            </w:pPr>
            <w:r/>
            <w:r>
              <w:rPr>
                <w:sz w:val="18"/>
              </w:rPr>
              <w:t>fake_fees</w:t>
            </w:r>
          </w:p>
        </w:tc>
        <w:tc>
          <w:tcPr>
            <w:tcW w:type="dxa" w:w="1296"/>
          </w:tcPr>
          <w:p>
            <w:pPr>
              <w:spacing w:after="20"/>
              <w:jc w:val="right"/>
            </w:pPr>
            <w:r/>
            <w:r>
              <w:rPr>
                <w:sz w:val="18"/>
              </w:rPr>
              <w:t>10%</w:t>
            </w:r>
          </w:p>
        </w:tc>
        <w:tc>
          <w:tcPr>
            <w:tcW w:type="dxa" w:w="5040"/>
          </w:tcPr>
          <w:p>
            <w:pPr>
              <w:spacing w:after="20"/>
            </w:pPr>
            <w:r/>
            <w:r>
              <w:rPr>
                <w:sz w:val="18"/>
              </w:rPr>
              <w:t>education_fees</w:t>
            </w:r>
          </w:p>
        </w:tc>
      </w:tr>
      <w:tr>
        <w:tc>
          <w:tcPr>
            <w:tcW w:type="dxa" w:w="2736"/>
          </w:tcPr>
          <w:p>
            <w:pPr>
              <w:spacing w:after="20"/>
            </w:pPr>
            <w:r/>
            <w:r>
              <w:rPr>
                <w:sz w:val="18"/>
              </w:rPr>
              <w:t>refund_scam</w:t>
            </w:r>
          </w:p>
        </w:tc>
        <w:tc>
          <w:tcPr>
            <w:tcW w:type="dxa" w:w="1296"/>
          </w:tcPr>
          <w:p>
            <w:pPr>
              <w:spacing w:after="20"/>
              <w:jc w:val="right"/>
            </w:pPr>
            <w:r/>
            <w:r>
              <w:rPr>
                <w:sz w:val="18"/>
              </w:rPr>
              <w:t>12%</w:t>
            </w:r>
          </w:p>
        </w:tc>
        <w:tc>
          <w:tcPr>
            <w:tcW w:type="dxa" w:w="5040"/>
          </w:tcPr>
          <w:p>
            <w:pPr>
              <w:spacing w:after="20"/>
            </w:pPr>
            <w:r/>
            <w:r>
              <w:rPr>
                <w:sz w:val="18"/>
              </w:rPr>
              <w:t>other</w:t>
            </w:r>
          </w:p>
        </w:tc>
      </w:tr>
    </w:tbl>
    <w:p>
      <w:pPr>
        <w:spacing w:after="40"/>
      </w:pPr>
    </w:p>
    <w:p>
      <w:pPr>
        <w:spacing w:before="240" w:after="60"/>
      </w:pPr>
      <w:r>
        <w:rPr>
          <w:b/>
          <w:sz w:val="23"/>
        </w:rPr>
        <w:t>The adversarial parameter: ρ</w:t>
      </w:r>
    </w:p>
    <w:p>
      <w:pPr>
        <w:spacing w:after="140"/>
      </w:pPr>
      <w:r>
        <w:rPr>
          <w:i w:val="0"/>
          <w:sz w:val="21"/>
        </w:rPr>
        <w:t>ρ is coaching effectiveness. With probability 1−ρ the victim declares what the narrative told them, in good faith. With probability ρ the attacker steers the declaration into a safe set — {friend_transfer, other, investment} — chosen because a mule account's beneficiary profile does not badly violate the legitimate profile of those purposes.</w:t>
      </w:r>
    </w:p>
    <w:p>
      <w:pPr>
        <w:pStyle w:val="ListBullet"/>
        <w:spacing w:after="60"/>
      </w:pPr>
      <w:r>
        <w:rPr>
          <w:b/>
          <w:sz w:val="21"/>
        </w:rPr>
        <w:t>At ρ = 0,</w:t>
      </w:r>
      <w:r>
        <w:rPr>
          <w:sz w:val="21"/>
        </w:rPr>
        <w:t xml:space="preserve"> a victim paying a twelve-day-old mule declares education_fees. A real education institution is years old with periodic, seasonal inflows from thousands of payers. The mismatch is large, and declared context fires.</w:t>
      </w:r>
    </w:p>
    <w:p>
      <w:pPr>
        <w:pStyle w:val="ListBullet"/>
        <w:spacing w:after="60"/>
      </w:pPr>
      <w:r>
        <w:rPr>
          <w:b/>
          <w:sz w:val="21"/>
        </w:rPr>
        <w:t>At ρ = 1,</w:t>
      </w:r>
      <w:r>
        <w:rPr>
          <w:sz w:val="21"/>
        </w:rPr>
        <w:t xml:space="preserve"> they declare friend_transfer. Friends genuinely have thin history, few payers and no periodicity. There is no mismatch left to detect.</w:t>
      </w:r>
    </w:p>
    <w:p>
      <w:pPr>
        <w:spacing w:after="140"/>
      </w:pPr>
      <w:r>
        <w:rPr>
          <w:i w:val="0"/>
          <w:sz w:val="21"/>
        </w:rPr>
        <w:t>The entire result is the shape of the curve between those two points.</w:t>
      </w:r>
    </w:p>
    <w:p>
      <w:pPr>
        <w:spacing w:before="240" w:after="60"/>
      </w:pPr>
      <w:r>
        <w:rPr>
          <w:b/>
          <w:sz w:val="23"/>
        </w:rPr>
        <w:t>A second, stronger adversary</w:t>
      </w:r>
    </w:p>
    <w:p>
      <w:pPr>
        <w:spacing w:after="140"/>
      </w:pPr>
      <w:r>
        <w:rPr>
          <w:i w:val="0"/>
          <w:sz w:val="21"/>
        </w:rPr>
        <w:t>The pre-registered adversary samples the safe set uniformly. Because legitimate 'investment' is rare (~1.8% of payments), a uniform draw leaves a base-rate trace: the declared code is itself mildly informative even at ρ = 1. We therefore also run a prevalence-matched adversary that samples the safe set in proportion to legitimate frequencies. At ρ = 1 this flattens P(fraud | declared code) to ≈ 0.0235 across the whole safe set, so the code carries no marginal information and any residual value must come from the purpose–beneficiary interaction. It is reported as a clearly separated secondary surface; it never touches the pre-registered primary axis.</w:t>
      </w:r>
    </w:p>
    <w:p>
      <w:pPr>
        <w:spacing w:before="240" w:after="60"/>
      </w:pPr>
      <w:r>
        <w:rPr>
          <w:b/>
          <w:sz w:val="23"/>
        </w:rPr>
        <w:t>The declaration model for legitimate payments</w:t>
      </w:r>
    </w:p>
    <w:p>
      <w:pPr>
        <w:spacing w:after="140"/>
      </w:pPr>
      <w:r>
        <w:rPr>
          <w:i w:val="0"/>
          <w:sz w:val="21"/>
        </w:rPr>
        <w:t>A signal is only worth measuring against a realistic null. Legitimate payers do not declare purpose perfectly: they pick the nearest menu item, they pick 'other' when in a hurry, and some categories are genuinely ambiguous. The simulator therefore passes every legitimate declaration through a row-stochastic confusion matrix whose diagonal ranges from 0.65 (friend_transfer, which people routinely record as family_support or other) to 0.91 (utility_bill, which is unambiguous) to 1.00 (other, which is the null category and cannot be mislabelled into something else). The aggregate mislabel rate is approximately 18%.</w:t>
      </w:r>
    </w:p>
    <w:p>
      <w:pPr>
        <w:spacing w:after="140"/>
      </w:pPr>
      <w:r>
        <w:rPr>
          <w:i w:val="0"/>
          <w:sz w:val="21"/>
        </w:rPr>
        <w:t>This matters more than it looks. If legitimate declarations were noiseless, any fraudulent mislabel would stand out, and the measured value of the signal would be an artefact of that idealisation. The confusion matrix is the honest null against which coaching is measured.</w:t>
      </w:r>
    </w:p>
    <w:p>
      <w:pPr>
        <w:spacing w:before="240" w:after="60"/>
      </w:pPr>
      <w:r>
        <w:rPr>
          <w:b/>
          <w:sz w:val="23"/>
        </w:rPr>
        <w:t>The eleven-class taxonomy</w:t>
      </w:r>
    </w:p>
    <w:tbl>
      <w:tblPr>
        <w:tblStyle w:val="LightGrid-Accent1"/>
        <w:tblW w:type="auto" w:w="0"/>
        <w:jc w:val="center"/>
        <w:tblLook w:firstColumn="1" w:firstRow="1" w:lastColumn="0" w:lastRow="0" w:noHBand="0" w:noVBand="1" w:val="04A0"/>
      </w:tblPr>
      <w:tblGrid>
        <w:gridCol w:w="4752"/>
        <w:gridCol w:w="4752"/>
      </w:tblGrid>
      <w:tr>
        <w:tc>
          <w:tcPr>
            <w:tcW w:type="dxa" w:w="2160"/>
          </w:tcPr>
          <w:p>
            <w:r/>
            <w:r>
              <w:rPr>
                <w:b/>
                <w:sz w:val="18"/>
              </w:rPr>
              <w:t>Purpose</w:t>
            </w:r>
          </w:p>
        </w:tc>
        <w:tc>
          <w:tcPr>
            <w:tcW w:type="dxa" w:w="6912"/>
          </w:tcPr>
          <w:p>
            <w:r/>
            <w:r>
              <w:rPr>
                <w:b/>
                <w:sz w:val="18"/>
              </w:rPr>
              <w:t>Beneficiary signature it implies</w:t>
            </w:r>
          </w:p>
        </w:tc>
      </w:tr>
      <w:tr>
        <w:tc>
          <w:tcPr>
            <w:tcW w:type="dxa" w:w="2160"/>
          </w:tcPr>
          <w:p>
            <w:pPr>
              <w:spacing w:after="20"/>
            </w:pPr>
            <w:r/>
            <w:r>
              <w:rPr>
                <w:sz w:val="18"/>
              </w:rPr>
              <w:t>rent</w:t>
            </w:r>
          </w:p>
        </w:tc>
        <w:tc>
          <w:tcPr>
            <w:tcW w:type="dxa" w:w="6912"/>
          </w:tcPr>
          <w:p>
            <w:pPr>
              <w:spacing w:after="20"/>
            </w:pPr>
            <w:r/>
            <w:r>
              <w:rPr>
                <w:sz w:val="18"/>
              </w:rPr>
              <w:t>periodic, stable payee, few payers, high periodicity</w:t>
            </w:r>
          </w:p>
        </w:tc>
      </w:tr>
      <w:tr>
        <w:tc>
          <w:tcPr>
            <w:tcW w:type="dxa" w:w="2160"/>
          </w:tcPr>
          <w:p>
            <w:pPr>
              <w:spacing w:after="20"/>
            </w:pPr>
            <w:r/>
            <w:r>
              <w:rPr>
                <w:sz w:val="18"/>
              </w:rPr>
              <w:t>salary_reimburse</w:t>
            </w:r>
          </w:p>
        </w:tc>
        <w:tc>
          <w:tcPr>
            <w:tcW w:type="dxa" w:w="6912"/>
          </w:tcPr>
          <w:p>
            <w:pPr>
              <w:spacing w:after="20"/>
            </w:pPr>
            <w:r/>
            <w:r>
              <w:rPr>
                <w:sz w:val="18"/>
              </w:rPr>
              <w:t>employer-like, very low fan-in</w:t>
            </w:r>
          </w:p>
        </w:tc>
      </w:tr>
      <w:tr>
        <w:tc>
          <w:tcPr>
            <w:tcW w:type="dxa" w:w="2160"/>
          </w:tcPr>
          <w:p>
            <w:pPr>
              <w:spacing w:after="20"/>
            </w:pPr>
            <w:r/>
            <w:r>
              <w:rPr>
                <w:sz w:val="18"/>
              </w:rPr>
              <w:t>family_support</w:t>
            </w:r>
          </w:p>
        </w:tc>
        <w:tc>
          <w:tcPr>
            <w:tcW w:type="dxa" w:w="6912"/>
          </w:tcPr>
          <w:p>
            <w:pPr>
              <w:spacing w:after="20"/>
            </w:pPr>
            <w:r/>
            <w:r>
              <w:rPr>
                <w:sz w:val="18"/>
              </w:rPr>
              <w:t>recurring, reciprocal, small payer set</w:t>
            </w:r>
          </w:p>
        </w:tc>
      </w:tr>
      <w:tr>
        <w:tc>
          <w:tcPr>
            <w:tcW w:type="dxa" w:w="2160"/>
          </w:tcPr>
          <w:p>
            <w:pPr>
              <w:spacing w:after="20"/>
            </w:pPr>
            <w:r/>
            <w:r>
              <w:rPr>
                <w:sz w:val="18"/>
              </w:rPr>
              <w:t>friend_transfer</w:t>
            </w:r>
          </w:p>
        </w:tc>
        <w:tc>
          <w:tcPr>
            <w:tcW w:type="dxa" w:w="6912"/>
          </w:tcPr>
          <w:p>
            <w:pPr>
              <w:spacing w:after="20"/>
            </w:pPr>
            <w:r/>
            <w:r>
              <w:rPr>
                <w:sz w:val="18"/>
              </w:rPr>
              <w:t>low signature, bidirectional, sporadic</w:t>
            </w:r>
          </w:p>
        </w:tc>
      </w:tr>
      <w:tr>
        <w:tc>
          <w:tcPr>
            <w:tcW w:type="dxa" w:w="2160"/>
          </w:tcPr>
          <w:p>
            <w:pPr>
              <w:spacing w:after="20"/>
            </w:pPr>
            <w:r/>
            <w:r>
              <w:rPr>
                <w:sz w:val="18"/>
              </w:rPr>
              <w:t>education_fees</w:t>
            </w:r>
          </w:p>
        </w:tc>
        <w:tc>
          <w:tcPr>
            <w:tcW w:type="dxa" w:w="6912"/>
          </w:tcPr>
          <w:p>
            <w:pPr>
              <w:spacing w:after="20"/>
            </w:pPr>
            <w:r/>
            <w:r>
              <w:rPr>
                <w:sz w:val="18"/>
              </w:rPr>
              <w:t>institutional, seasonal, high fan-in, legitimate</w:t>
            </w:r>
          </w:p>
        </w:tc>
      </w:tr>
      <w:tr>
        <w:tc>
          <w:tcPr>
            <w:tcW w:type="dxa" w:w="2160"/>
          </w:tcPr>
          <w:p>
            <w:pPr>
              <w:spacing w:after="20"/>
            </w:pPr>
            <w:r/>
            <w:r>
              <w:rPr>
                <w:sz w:val="18"/>
              </w:rPr>
              <w:t>utility_bill</w:t>
            </w:r>
          </w:p>
        </w:tc>
        <w:tc>
          <w:tcPr>
            <w:tcW w:type="dxa" w:w="6912"/>
          </w:tcPr>
          <w:p>
            <w:pPr>
              <w:spacing w:after="20"/>
            </w:pPr>
            <w:r/>
            <w:r>
              <w:rPr>
                <w:sz w:val="18"/>
              </w:rPr>
              <w:t>institutional, periodic, very high fan-in, legitimate</w:t>
            </w:r>
          </w:p>
        </w:tc>
      </w:tr>
      <w:tr>
        <w:tc>
          <w:tcPr>
            <w:tcW w:type="dxa" w:w="2160"/>
          </w:tcPr>
          <w:p>
            <w:pPr>
              <w:spacing w:after="20"/>
            </w:pPr>
            <w:r/>
            <w:r>
              <w:rPr>
                <w:sz w:val="18"/>
              </w:rPr>
              <w:t>merchant_purchase</w:t>
            </w:r>
          </w:p>
        </w:tc>
        <w:tc>
          <w:tcPr>
            <w:tcW w:type="dxa" w:w="6912"/>
          </w:tcPr>
          <w:p>
            <w:pPr>
              <w:spacing w:after="20"/>
            </w:pPr>
            <w:r/>
            <w:r>
              <w:rPr>
                <w:sz w:val="18"/>
              </w:rPr>
              <w:t>commercial, high fan-in, legitimate</w:t>
            </w:r>
          </w:p>
        </w:tc>
      </w:tr>
      <w:tr>
        <w:tc>
          <w:tcPr>
            <w:tcW w:type="dxa" w:w="2160"/>
          </w:tcPr>
          <w:p>
            <w:pPr>
              <w:spacing w:after="20"/>
            </w:pPr>
            <w:r/>
            <w:r>
              <w:rPr>
                <w:sz w:val="18"/>
              </w:rPr>
              <w:t>loan_repayment</w:t>
            </w:r>
          </w:p>
        </w:tc>
        <w:tc>
          <w:tcPr>
            <w:tcW w:type="dxa" w:w="6912"/>
          </w:tcPr>
          <w:p>
            <w:pPr>
              <w:spacing w:after="20"/>
            </w:pPr>
            <w:r/>
            <w:r>
              <w:rPr>
                <w:sz w:val="18"/>
              </w:rPr>
              <w:t>periodic, institutional or individual</w:t>
            </w:r>
          </w:p>
        </w:tc>
      </w:tr>
      <w:tr>
        <w:tc>
          <w:tcPr>
            <w:tcW w:type="dxa" w:w="2160"/>
          </w:tcPr>
          <w:p>
            <w:pPr>
              <w:spacing w:after="20"/>
            </w:pPr>
            <w:r/>
            <w:r>
              <w:rPr>
                <w:sz w:val="18"/>
              </w:rPr>
              <w:t>investment</w:t>
            </w:r>
          </w:p>
        </w:tc>
        <w:tc>
          <w:tcPr>
            <w:tcW w:type="dxa" w:w="6912"/>
          </w:tcPr>
          <w:p>
            <w:pPr>
              <w:spacing w:after="20"/>
            </w:pPr>
            <w:r/>
            <w:r>
              <w:rPr>
                <w:sz w:val="18"/>
              </w:rPr>
              <w:t>no strong legitimate signature in P2P — the scam favourite</w:t>
            </w:r>
          </w:p>
        </w:tc>
      </w:tr>
      <w:tr>
        <w:tc>
          <w:tcPr>
            <w:tcW w:type="dxa" w:w="2160"/>
          </w:tcPr>
          <w:p>
            <w:pPr>
              <w:spacing w:after="20"/>
            </w:pPr>
            <w:r/>
            <w:r>
              <w:rPr>
                <w:sz w:val="18"/>
              </w:rPr>
              <w:t>medical</w:t>
            </w:r>
          </w:p>
        </w:tc>
        <w:tc>
          <w:tcPr>
            <w:tcW w:type="dxa" w:w="6912"/>
          </w:tcPr>
          <w:p>
            <w:pPr>
              <w:spacing w:after="20"/>
            </w:pPr>
            <w:r/>
            <w:r>
              <w:rPr>
                <w:sz w:val="18"/>
              </w:rPr>
              <w:t>sporadic, institutional</w:t>
            </w:r>
          </w:p>
        </w:tc>
      </w:tr>
      <w:tr>
        <w:tc>
          <w:tcPr>
            <w:tcW w:type="dxa" w:w="2160"/>
          </w:tcPr>
          <w:p>
            <w:pPr>
              <w:spacing w:after="20"/>
            </w:pPr>
            <w:r/>
            <w:r>
              <w:rPr>
                <w:sz w:val="18"/>
              </w:rPr>
              <w:t>other</w:t>
            </w:r>
          </w:p>
        </w:tc>
        <w:tc>
          <w:tcPr>
            <w:tcW w:type="dxa" w:w="6912"/>
          </w:tcPr>
          <w:p>
            <w:pPr>
              <w:spacing w:after="20"/>
            </w:pPr>
            <w:r/>
            <w:r>
              <w:rPr>
                <w:sz w:val="18"/>
              </w:rPr>
              <w:t>deliberate null category</w:t>
            </w:r>
          </w:p>
        </w:tc>
      </w:tr>
    </w:tbl>
    <w:p>
      <w:pPr>
        <w:spacing w:after="40"/>
      </w:pPr>
    </w:p>
    <w:p>
      <w:pPr>
        <w:spacing w:after="140"/>
      </w:pPr>
      <w:r>
        <w:rPr>
          <w:i w:val="0"/>
          <w:sz w:val="21"/>
        </w:rPr>
        <w:t>Cardinality is swept: K = 3 collapses this to {personal, commercial, other}, K = 6 to a mid grouping, K = 11 is the full taxonomy. A coarser menu is cheaper to deploy and easier for a payer to answer correctly, so the question of how much resolution the signal actually needs is an operational one, not a modelling detail.</w:t>
      </w:r>
    </w:p>
    <w:p>
      <w:pPr>
        <w:spacing w:before="240" w:after="60"/>
      </w:pPr>
      <w:r>
        <w:rPr>
          <w:b/>
          <w:sz w:val="23"/>
        </w:rPr>
        <w:t>A third and stronger adversary again</w:t>
      </w:r>
    </w:p>
    <w:p>
      <w:pPr>
        <w:spacing w:after="140"/>
      </w:pPr>
      <w:r>
        <w:rPr>
          <w:i w:val="0"/>
          <w:sz w:val="21"/>
        </w:rPr>
        <w:t>Both adversaries above control only what the victim declares. Neither controls which mule receives the money. A real scammer controls both, and would route the payment to an account whose beneficiary profile is plausible for the purpose the victim has been coached to declare. That attacks the purpose-beneficiary consistency mechanism directly rather than the base rate of the declared code.</w:t>
      </w:r>
    </w:p>
    <w:tbl>
      <w:tblPr>
        <w:tblStyle w:val="LightGrid-Accent1"/>
        <w:tblW w:type="auto" w:w="0"/>
        <w:jc w:val="center"/>
        <w:tblLook w:firstColumn="1" w:firstRow="1" w:lastColumn="0" w:lastRow="0" w:noHBand="0" w:noVBand="1" w:val="04A0"/>
      </w:tblPr>
      <w:tblGrid>
        <w:gridCol w:w="3168"/>
        <w:gridCol w:w="3168"/>
        <w:gridCol w:w="3168"/>
      </w:tblGrid>
      <w:tr>
        <w:tc>
          <w:tcPr>
            <w:tcW w:type="dxa" w:w="2160"/>
          </w:tcPr>
          <w:p>
            <w:r/>
            <w:r>
              <w:rPr>
                <w:b/>
                <w:sz w:val="18"/>
              </w:rPr>
              <w:t>Adversary</w:t>
            </w:r>
          </w:p>
        </w:tc>
        <w:tc>
          <w:tcPr>
            <w:tcW w:type="dxa" w:w="4608"/>
          </w:tcPr>
          <w:p>
            <w:r/>
            <w:r>
              <w:rPr>
                <w:b/>
                <w:sz w:val="18"/>
              </w:rPr>
              <w:t>Declaration</w:t>
            </w:r>
          </w:p>
        </w:tc>
        <w:tc>
          <w:tcPr>
            <w:tcW w:type="dxa" w:w="2304"/>
          </w:tcPr>
          <w:p>
            <w:r/>
            <w:r>
              <w:rPr>
                <w:b/>
                <w:sz w:val="18"/>
              </w:rPr>
              <w:t>Beneficiary routing</w:t>
            </w:r>
          </w:p>
        </w:tc>
      </w:tr>
      <w:tr>
        <w:tc>
          <w:tcPr>
            <w:tcW w:type="dxa" w:w="2160"/>
          </w:tcPr>
          <w:p>
            <w:pPr>
              <w:spacing w:after="20"/>
            </w:pPr>
            <w:r/>
            <w:r>
              <w:rPr>
                <w:sz w:val="18"/>
              </w:rPr>
              <w:t>uniform (pre-registered)</w:t>
            </w:r>
          </w:p>
        </w:tc>
        <w:tc>
          <w:tcPr>
            <w:tcW w:type="dxa" w:w="4608"/>
          </w:tcPr>
          <w:p>
            <w:pPr>
              <w:spacing w:after="20"/>
            </w:pPr>
            <w:r/>
            <w:r>
              <w:rPr>
                <w:sz w:val="18"/>
              </w:rPr>
              <w:t>uniform over the coached safe set</w:t>
            </w:r>
          </w:p>
        </w:tc>
        <w:tc>
          <w:tcPr>
            <w:tcW w:type="dxa" w:w="2304"/>
          </w:tcPr>
          <w:p>
            <w:pPr>
              <w:spacing w:after="20"/>
            </w:pPr>
            <w:r/>
            <w:r>
              <w:rPr>
                <w:sz w:val="18"/>
              </w:rPr>
              <w:t>random mule</w:t>
            </w:r>
          </w:p>
        </w:tc>
      </w:tr>
      <w:tr>
        <w:tc>
          <w:tcPr>
            <w:tcW w:type="dxa" w:w="2160"/>
          </w:tcPr>
          <w:p>
            <w:pPr>
              <w:spacing w:after="20"/>
            </w:pPr>
            <w:r/>
            <w:r>
              <w:rPr>
                <w:sz w:val="18"/>
              </w:rPr>
              <w:t>prevalence</w:t>
            </w:r>
          </w:p>
        </w:tc>
        <w:tc>
          <w:tcPr>
            <w:tcW w:type="dxa" w:w="4608"/>
          </w:tcPr>
          <w:p>
            <w:pPr>
              <w:spacing w:after="20"/>
            </w:pPr>
            <w:r/>
            <w:r>
              <w:rPr>
                <w:sz w:val="18"/>
              </w:rPr>
              <w:t>proportional to legitimate frequencies; the code carries no marginal information at rho = 1</w:t>
            </w:r>
          </w:p>
        </w:tc>
        <w:tc>
          <w:tcPr>
            <w:tcW w:type="dxa" w:w="2304"/>
          </w:tcPr>
          <w:p>
            <w:pPr>
              <w:spacing w:after="20"/>
            </w:pPr>
            <w:r/>
            <w:r>
              <w:rPr>
                <w:sz w:val="18"/>
              </w:rPr>
              <w:t>random mule</w:t>
            </w:r>
          </w:p>
        </w:tc>
      </w:tr>
      <w:tr>
        <w:tc>
          <w:tcPr>
            <w:tcW w:type="dxa" w:w="2160"/>
          </w:tcPr>
          <w:p>
            <w:pPr>
              <w:spacing w:after="20"/>
            </w:pPr>
            <w:r/>
            <w:r>
              <w:rPr>
                <w:sz w:val="18"/>
              </w:rPr>
              <w:t>matched</w:t>
            </w:r>
          </w:p>
        </w:tc>
        <w:tc>
          <w:tcPr>
            <w:tcW w:type="dxa" w:w="4608"/>
          </w:tcPr>
          <w:p>
            <w:pPr>
              <w:spacing w:after="20"/>
            </w:pPr>
            <w:r/>
            <w:r>
              <w:rPr>
                <w:sz w:val="18"/>
              </w:rPr>
              <w:t>as prevalence</w:t>
            </w:r>
          </w:p>
        </w:tc>
        <w:tc>
          <w:tcPr>
            <w:tcW w:type="dxa" w:w="2304"/>
          </w:tcPr>
          <w:p>
            <w:pPr>
              <w:spacing w:after="20"/>
            </w:pPr>
            <w:r/>
            <w:r>
              <w:rPr>
                <w:sz w:val="18"/>
              </w:rPr>
              <w:t>mule chosen to fit the declared purpose</w:t>
            </w:r>
          </w:p>
        </w:tc>
      </w:tr>
    </w:tbl>
    <w:p>
      <w:pPr>
        <w:spacing w:after="40"/>
      </w:pPr>
    </w:p>
    <w:p>
      <w:pPr>
        <w:spacing w:after="140"/>
      </w:pPr>
      <w:r>
        <w:rPr>
          <w:i w:val="0"/>
          <w:sz w:val="21"/>
        </w:rPr>
        <w:t>The matched adversary is assumed to know the defence: it scores candidate mules against the same purpose-conditional reference the defender uses. That is a deliberate worst case — the security of a declared-context control should not rest on the attacker's ignorance of how it works.</w:t>
      </w:r>
    </w:p>
    <w:p>
      <w:pPr>
        <w:spacing w:after="140"/>
      </w:pPr>
      <w:r>
        <w:rPr>
          <w:i w:val="0"/>
          <w:sz w:val="21"/>
        </w:rPr>
        <w:t>Two constraints keep it honest. It can only choose among accounts that are actually mules, so the best available match to an institutional purpose is still a poor one. And it cannot manufacture pair history: a victim has no prior relationship with any mule, whichever is chosen, so only the eleven payee-level beneficiary features are swapped and the two pair-level ones are left untouched.</w:t>
      </w:r>
    </w:p>
    <w:p>
      <w:pPr>
        <w:spacing w:after="140"/>
      </w:pPr>
      <w:r>
        <w:rPr>
          <w:i w:val="0"/>
          <w:sz w:val="21"/>
        </w:rPr>
        <w:t>Candidates are sampled from the whole mule population, weighted by a softmax of fit and by the account's own inbound volume. Selecting only the best-fitting handful would change two things at once — which mule is chosen, and how concentrated the routing is — and concentration alone makes fraudulent rows resemble each other, which a supervised model simply learns. In an early run that artefact made the 'attack' improve the baseline it was meant to defeat. Softmax weighting over the full population changes only the choice, so the surface isolates the mechanism under test.</w:t>
      </w:r>
    </w:p>
    <w:p>
      <w:pPr>
        <w:spacing w:after="140"/>
      </w:pPr>
      <w:r>
        <w:rPr>
          <w:i w:val="0"/>
          <w:sz w:val="21"/>
        </w:rPr>
        <w:t>This adversary was added after the pre-registered surface was observed to have no zero-crossing. It makes the adversary stronger, and is therefore biased against the hypothesis under test; it was named as an unmodelled limitation before any result was seen. CHANGELOG.md records it in full, and the pre-registered surface is reported unchanged as the primary analysis.</w:t>
      </w:r>
    </w:p>
    <w:p>
      <w:pPr>
        <w:spacing w:before="240" w:after="60"/>
      </w:pPr>
      <w:r>
        <w:rPr>
          <w:b/>
          <w:sz w:val="23"/>
        </w:rPr>
        <w:t>The agentic threat model</w:t>
      </w:r>
    </w:p>
    <w:p>
      <w:pPr>
        <w:spacing w:after="140"/>
      </w:pPr>
      <w:r>
        <w:rPr>
          <w:i w:val="0"/>
          <w:sz w:val="21"/>
        </w:rPr>
        <w:t>Ten attack families against a signed mandate. Eight are scope, freshness, binding or revocation violations, and are caught structurally. Two are not, and they are in the list precisely because deterministic checking cannot catch them.</w:t>
      </w:r>
    </w:p>
    <w:tbl>
      <w:tblPr>
        <w:tblStyle w:val="LightGrid-Accent1"/>
        <w:tblW w:type="auto" w:w="0"/>
        <w:jc w:val="center"/>
        <w:tblLook w:firstColumn="1" w:firstRow="1" w:lastColumn="0" w:lastRow="0" w:noHBand="0" w:noVBand="1" w:val="04A0"/>
      </w:tblPr>
      <w:tblGrid>
        <w:gridCol w:w="3168"/>
        <w:gridCol w:w="3168"/>
        <w:gridCol w:w="3168"/>
      </w:tblGrid>
      <w:tr>
        <w:tc>
          <w:tcPr>
            <w:tcW w:type="dxa" w:w="720"/>
          </w:tcPr>
          <w:p>
            <w:r/>
            <w:r>
              <w:rPr>
                <w:b/>
                <w:sz w:val="18"/>
              </w:rPr>
              <w:t>ID</w:t>
            </w:r>
          </w:p>
        </w:tc>
        <w:tc>
          <w:tcPr>
            <w:tcW w:type="dxa" w:w="5472"/>
          </w:tcPr>
          <w:p>
            <w:r/>
            <w:r>
              <w:rPr>
                <w:b/>
                <w:sz w:val="18"/>
              </w:rPr>
              <w:t>Attack family</w:t>
            </w:r>
          </w:p>
        </w:tc>
        <w:tc>
          <w:tcPr>
            <w:tcW w:type="dxa" w:w="2880"/>
          </w:tcPr>
          <w:p>
            <w:r/>
            <w:r>
              <w:rPr>
                <w:b/>
                <w:sz w:val="18"/>
              </w:rPr>
              <w:t>Expected catcher</w:t>
            </w:r>
          </w:p>
        </w:tc>
      </w:tr>
      <w:tr>
        <w:tc>
          <w:tcPr>
            <w:tcW w:type="dxa" w:w="720"/>
          </w:tcPr>
          <w:p>
            <w:pPr>
              <w:spacing w:after="20"/>
            </w:pPr>
            <w:r/>
            <w:r>
              <w:rPr>
                <w:sz w:val="18"/>
              </w:rPr>
              <w:t>A1</w:t>
            </w:r>
          </w:p>
        </w:tc>
        <w:tc>
          <w:tcPr>
            <w:tcW w:type="dxa" w:w="5472"/>
          </w:tcPr>
          <w:p>
            <w:pPr>
              <w:spacing w:after="20"/>
            </w:pPr>
            <w:r/>
            <w:r>
              <w:rPr>
                <w:sz w:val="18"/>
              </w:rPr>
              <w:t>Amount escalation beyond mandate cap</w:t>
            </w:r>
          </w:p>
        </w:tc>
        <w:tc>
          <w:tcPr>
            <w:tcW w:type="dxa" w:w="2880"/>
          </w:tcPr>
          <w:p>
            <w:pPr>
              <w:spacing w:after="20"/>
            </w:pPr>
            <w:r/>
            <w:r>
              <w:rPr>
                <w:sz w:val="18"/>
              </w:rPr>
              <w:t>C1 amount scope</w:t>
            </w:r>
          </w:p>
        </w:tc>
      </w:tr>
      <w:tr>
        <w:tc>
          <w:tcPr>
            <w:tcW w:type="dxa" w:w="720"/>
          </w:tcPr>
          <w:p>
            <w:pPr>
              <w:spacing w:after="20"/>
            </w:pPr>
            <w:r/>
            <w:r>
              <w:rPr>
                <w:sz w:val="18"/>
              </w:rPr>
              <w:t>A2</w:t>
            </w:r>
          </w:p>
        </w:tc>
        <w:tc>
          <w:tcPr>
            <w:tcW w:type="dxa" w:w="5472"/>
          </w:tcPr>
          <w:p>
            <w:pPr>
              <w:spacing w:after="20"/>
            </w:pPr>
            <w:r/>
            <w:r>
              <w:rPr>
                <w:sz w:val="18"/>
              </w:rPr>
              <w:t>Category violation</w:t>
            </w:r>
          </w:p>
        </w:tc>
        <w:tc>
          <w:tcPr>
            <w:tcW w:type="dxa" w:w="2880"/>
          </w:tcPr>
          <w:p>
            <w:pPr>
              <w:spacing w:after="20"/>
            </w:pPr>
            <w:r/>
            <w:r>
              <w:rPr>
                <w:sz w:val="18"/>
              </w:rPr>
              <w:t>C2 category scope</w:t>
            </w:r>
          </w:p>
        </w:tc>
      </w:tr>
      <w:tr>
        <w:tc>
          <w:tcPr>
            <w:tcW w:type="dxa" w:w="720"/>
          </w:tcPr>
          <w:p>
            <w:pPr>
              <w:spacing w:after="20"/>
            </w:pPr>
            <w:r/>
            <w:r>
              <w:rPr>
                <w:sz w:val="18"/>
              </w:rPr>
              <w:t>A3</w:t>
            </w:r>
          </w:p>
        </w:tc>
        <w:tc>
          <w:tcPr>
            <w:tcW w:type="dxa" w:w="5472"/>
          </w:tcPr>
          <w:p>
            <w:pPr>
              <w:spacing w:after="20"/>
            </w:pPr>
            <w:r/>
            <w:r>
              <w:rPr>
                <w:sz w:val="18"/>
              </w:rPr>
              <w:t>Mandate replay</w:t>
            </w:r>
          </w:p>
        </w:tc>
        <w:tc>
          <w:tcPr>
            <w:tcW w:type="dxa" w:w="2880"/>
          </w:tcPr>
          <w:p>
            <w:pPr>
              <w:spacing w:after="20"/>
            </w:pPr>
            <w:r/>
            <w:r>
              <w:rPr>
                <w:sz w:val="18"/>
              </w:rPr>
              <w:t>C5 nonce freshness</w:t>
            </w:r>
          </w:p>
        </w:tc>
      </w:tr>
      <w:tr>
        <w:tc>
          <w:tcPr>
            <w:tcW w:type="dxa" w:w="720"/>
          </w:tcPr>
          <w:p>
            <w:pPr>
              <w:spacing w:after="20"/>
            </w:pPr>
            <w:r/>
            <w:r>
              <w:rPr>
                <w:sz w:val="18"/>
              </w:rPr>
              <w:t>A4</w:t>
            </w:r>
          </w:p>
        </w:tc>
        <w:tc>
          <w:tcPr>
            <w:tcW w:type="dxa" w:w="5472"/>
          </w:tcPr>
          <w:p>
            <w:pPr>
              <w:spacing w:after="20"/>
            </w:pPr>
            <w:r/>
            <w:r>
              <w:rPr>
                <w:sz w:val="18"/>
              </w:rPr>
              <w:t>Cumulative aggregation across individually in-scope carts</w:t>
            </w:r>
          </w:p>
        </w:tc>
        <w:tc>
          <w:tcPr>
            <w:tcW w:type="dxa" w:w="2880"/>
          </w:tcPr>
          <w:p>
            <w:pPr>
              <w:spacing w:after="20"/>
            </w:pPr>
            <w:r/>
            <w:r>
              <w:rPr>
                <w:sz w:val="18"/>
              </w:rPr>
              <w:t>C6 cumulative cap</w:t>
            </w:r>
          </w:p>
        </w:tc>
      </w:tr>
      <w:tr>
        <w:tc>
          <w:tcPr>
            <w:tcW w:type="dxa" w:w="720"/>
          </w:tcPr>
          <w:p>
            <w:pPr>
              <w:spacing w:after="20"/>
            </w:pPr>
            <w:r/>
            <w:r>
              <w:rPr>
                <w:sz w:val="18"/>
              </w:rPr>
              <w:t>A5</w:t>
            </w:r>
          </w:p>
        </w:tc>
        <w:tc>
          <w:tcPr>
            <w:tcW w:type="dxa" w:w="5472"/>
          </w:tcPr>
          <w:p>
            <w:pPr>
              <w:spacing w:after="20"/>
            </w:pPr>
            <w:r/>
            <w:r>
              <w:rPr>
                <w:sz w:val="18"/>
              </w:rPr>
              <w:t>Expired mandate reuse</w:t>
            </w:r>
          </w:p>
        </w:tc>
        <w:tc>
          <w:tcPr>
            <w:tcW w:type="dxa" w:w="2880"/>
          </w:tcPr>
          <w:p>
            <w:pPr>
              <w:spacing w:after="20"/>
            </w:pPr>
            <w:r/>
            <w:r>
              <w:rPr>
                <w:sz w:val="18"/>
              </w:rPr>
              <w:t>C4 temporal validity</w:t>
            </w:r>
          </w:p>
        </w:tc>
      </w:tr>
      <w:tr>
        <w:tc>
          <w:tcPr>
            <w:tcW w:type="dxa" w:w="720"/>
          </w:tcPr>
          <w:p>
            <w:pPr>
              <w:spacing w:after="20"/>
            </w:pPr>
            <w:r/>
            <w:r>
              <w:rPr>
                <w:sz w:val="18"/>
              </w:rPr>
              <w:t>A6</w:t>
            </w:r>
          </w:p>
        </w:tc>
        <w:tc>
          <w:tcPr>
            <w:tcW w:type="dxa" w:w="5472"/>
          </w:tcPr>
          <w:p>
            <w:pPr>
              <w:spacing w:after="20"/>
            </w:pPr>
            <w:r/>
            <w:r>
              <w:rPr>
                <w:sz w:val="18"/>
              </w:rPr>
              <w:t>Forged agent attestation</w:t>
            </w:r>
          </w:p>
        </w:tc>
        <w:tc>
          <w:tcPr>
            <w:tcW w:type="dxa" w:w="2880"/>
          </w:tcPr>
          <w:p>
            <w:pPr>
              <w:spacing w:after="20"/>
            </w:pPr>
            <w:r/>
            <w:r>
              <w:rPr>
                <w:sz w:val="18"/>
              </w:rPr>
              <w:t>C7 agent binding</w:t>
            </w:r>
          </w:p>
        </w:tc>
      </w:tr>
      <w:tr>
        <w:tc>
          <w:tcPr>
            <w:tcW w:type="dxa" w:w="720"/>
          </w:tcPr>
          <w:p>
            <w:pPr>
              <w:spacing w:after="20"/>
            </w:pPr>
            <w:r/>
            <w:r>
              <w:rPr>
                <w:sz w:val="18"/>
              </w:rPr>
              <w:t>A7</w:t>
            </w:r>
          </w:p>
        </w:tc>
        <w:tc>
          <w:tcPr>
            <w:tcW w:type="dxa" w:w="5472"/>
          </w:tcPr>
          <w:p>
            <w:pPr>
              <w:spacing w:after="20"/>
            </w:pPr>
            <w:r/>
            <w:r>
              <w:rPr>
                <w:sz w:val="18"/>
              </w:rPr>
              <w:t>Line-item substitution after user confirmation</w:t>
            </w:r>
          </w:p>
        </w:tc>
        <w:tc>
          <w:tcPr>
            <w:tcW w:type="dxa" w:w="2880"/>
          </w:tcPr>
          <w:p>
            <w:pPr>
              <w:spacing w:after="20"/>
            </w:pPr>
            <w:r/>
            <w:r>
              <w:rPr>
                <w:sz w:val="18"/>
              </w:rPr>
              <w:t>C8 confirmation binding</w:t>
            </w:r>
          </w:p>
        </w:tc>
      </w:tr>
      <w:tr>
        <w:tc>
          <w:tcPr>
            <w:tcW w:type="dxa" w:w="720"/>
          </w:tcPr>
          <w:p>
            <w:pPr>
              <w:spacing w:after="20"/>
            </w:pPr>
            <w:r/>
            <w:r>
              <w:rPr>
                <w:sz w:val="18"/>
              </w:rPr>
              <w:t>A8</w:t>
            </w:r>
          </w:p>
        </w:tc>
        <w:tc>
          <w:tcPr>
            <w:tcW w:type="dxa" w:w="5472"/>
          </w:tcPr>
          <w:p>
            <w:pPr>
              <w:spacing w:after="20"/>
            </w:pPr>
            <w:r/>
            <w:r>
              <w:rPr>
                <w:sz w:val="18"/>
              </w:rPr>
              <w:t>Post-revocation burst</w:t>
            </w:r>
          </w:p>
        </w:tc>
        <w:tc>
          <w:tcPr>
            <w:tcW w:type="dxa" w:w="2880"/>
          </w:tcPr>
          <w:p>
            <w:pPr>
              <w:spacing w:after="20"/>
            </w:pPr>
            <w:r/>
            <w:r>
              <w:rPr>
                <w:sz w:val="18"/>
              </w:rPr>
              <w:t>C9 revocation state</w:t>
            </w:r>
          </w:p>
        </w:tc>
      </w:tr>
      <w:tr>
        <w:tc>
          <w:tcPr>
            <w:tcW w:type="dxa" w:w="720"/>
          </w:tcPr>
          <w:p>
            <w:pPr>
              <w:spacing w:after="20"/>
            </w:pPr>
            <w:r/>
            <w:r>
              <w:rPr>
                <w:sz w:val="18"/>
              </w:rPr>
              <w:t>A9</w:t>
            </w:r>
          </w:p>
        </w:tc>
        <w:tc>
          <w:tcPr>
            <w:tcW w:type="dxa" w:w="5472"/>
          </w:tcPr>
          <w:p>
            <w:pPr>
              <w:spacing w:after="20"/>
            </w:pPr>
            <w:r/>
            <w:r>
              <w:rPr>
                <w:sz w:val="18"/>
              </w:rPr>
              <w:t>In-scope malicious purchase</w:t>
            </w:r>
          </w:p>
        </w:tc>
        <w:tc>
          <w:tcPr>
            <w:tcW w:type="dxa" w:w="2880"/>
          </w:tcPr>
          <w:p>
            <w:pPr>
              <w:spacing w:after="20"/>
            </w:pPr>
            <w:r/>
            <w:r>
              <w:rPr>
                <w:sz w:val="18"/>
              </w:rPr>
              <w:t>none — bounded, not detected</w:t>
            </w:r>
          </w:p>
        </w:tc>
      </w:tr>
      <w:tr>
        <w:tc>
          <w:tcPr>
            <w:tcW w:type="dxa" w:w="720"/>
          </w:tcPr>
          <w:p>
            <w:pPr>
              <w:spacing w:after="20"/>
            </w:pPr>
            <w:r/>
            <w:r>
              <w:rPr>
                <w:sz w:val="18"/>
              </w:rPr>
              <w:t>A10</w:t>
            </w:r>
          </w:p>
        </w:tc>
        <w:tc>
          <w:tcPr>
            <w:tcW w:type="dxa" w:w="5472"/>
          </w:tcPr>
          <w:p>
            <w:pPr>
              <w:spacing w:after="20"/>
            </w:pPr>
            <w:r/>
            <w:r>
              <w:rPr>
                <w:sz w:val="18"/>
              </w:rPr>
              <w:t>Prompt-injected but in-scope purchase</w:t>
            </w:r>
          </w:p>
        </w:tc>
        <w:tc>
          <w:tcPr>
            <w:tcW w:type="dxa" w:w="2880"/>
          </w:tcPr>
          <w:p>
            <w:pPr>
              <w:spacing w:after="20"/>
            </w:pPr>
            <w:r/>
            <w:r>
              <w:rPr>
                <w:sz w:val="18"/>
              </w:rPr>
              <w:t>none — bounded, not detected</w:t>
            </w:r>
          </w:p>
        </w:tc>
      </w:tr>
    </w:tbl>
    <w:p>
      <w:pPr>
        <w:spacing w:after="40"/>
      </w:pPr>
    </w:p>
    <w:p>
      <w:pPr>
        <w:spacing w:after="140"/>
      </w:pPr>
      <w:r>
        <w:rPr>
          <w:i w:val="0"/>
          <w:sz w:val="21"/>
        </w:rPr>
        <w:t>Each family is constructed to exercise its own check and nothing else. A4, for instance, re-presents the mandate with a fresh nonce, re-signed by the principal, so that C5 and C10 both pass and only the cumulative cap can stop it — otherwise the test would report a catch that came from an invalid signature rather than from aggregation control. A test asserts this: every family must fail the check it claims to exercise.</w:t>
      </w:r>
    </w:p>
    <w:p>
      <w:pPr>
        <w:spacing w:before="400" w:after="60"/>
      </w:pPr>
      <w:r>
        <w:rPr>
          <w:b/>
          <w:color w:val="11161F"/>
          <w:sz w:val="32"/>
        </w:rPr>
        <w:t>5. Generate: the synthetic ecosystem</w:t>
      </w:r>
    </w:p>
    <w:p>
      <w:pPr>
        <w:spacing w:after="180"/>
      </w:pPr>
      <w:r>
        <w:rPr>
          <w:i/>
          <w:color w:val="1F4E79"/>
          <w:sz w:val="18"/>
        </w:rPr>
        <w:t>Rubric: data generation and realism</w:t>
      </w:r>
    </w:p>
    <w:p>
      <w:pPr>
        <w:spacing w:before="120" w:after="180"/>
        <w:ind w:left="317"/>
      </w:pPr>
      <w:r>
        <w:rPr>
          <w:b/>
          <w:color w:val="1F4E79"/>
          <w:sz w:val="21"/>
        </w:rPr>
        <w:t>The trap: if purpose is generated from the fraud label, B4 wins trivially and the result is worthless.</w:t>
      </w:r>
    </w:p>
    <w:p>
      <w:pPr>
        <w:spacing w:after="140"/>
      </w:pPr>
      <w:r>
        <w:rPr>
          <w:i w:val="0"/>
          <w:sz w:val="21"/>
        </w:rPr>
        <w:t>Three processes run independently, and the consistency signal is emergent from their interaction rather than planted by any of them.</w:t>
      </w:r>
    </w:p>
    <w:p>
      <w:pPr>
        <w:pStyle w:val="ListBullet"/>
        <w:spacing w:after="60"/>
      </w:pPr>
      <w:r>
        <w:rPr>
          <w:b/>
          <w:sz w:val="21"/>
        </w:rPr>
        <w:t>Beneficiary behaviour is a function of payee role.</w:t>
      </w:r>
      <w:r>
        <w:rPr>
          <w:sz w:val="21"/>
        </w:rPr>
        <w:t xml:space="preserve"> Fifteen roles with latent parameters for account age, fan-in, onward fanout, inflow periodicity, geographic dispersion and balance retention.</w:t>
      </w:r>
    </w:p>
    <w:p>
      <w:pPr>
        <w:pStyle w:val="ListBullet"/>
        <w:spacing w:after="60"/>
      </w:pPr>
      <w:r>
        <w:rPr>
          <w:b/>
          <w:sz w:val="21"/>
        </w:rPr>
        <w:t>True economic purpose is a function of the payer–payee relationship.</w:t>
      </w:r>
      <w:r>
        <w:rPr>
          <w:sz w:val="21"/>
        </w:rPr>
        <w:t xml:space="preserve"> Relationship formation picks a beneficiary role appropriate to the purpose. It never inspects fraud status.</w:t>
      </w:r>
    </w:p>
    <w:p>
      <w:pPr>
        <w:pStyle w:val="ListBullet"/>
        <w:spacing w:after="60"/>
      </w:pPr>
      <w:r>
        <w:rPr>
          <w:b/>
          <w:sz w:val="21"/>
        </w:rPr>
        <w:t>Victimisation is a function of an independent campaign process.</w:t>
      </w:r>
      <w:r>
        <w:rPr>
          <w:sz w:val="21"/>
        </w:rPr>
        <w:t xml:space="preserve"> Victims are drawn from a personal susceptibility latent; the beneficiary is drawn from the mule population. Nothing in it reads a payer's relationship portfolio.</w:t>
      </w:r>
    </w:p>
    <w:p>
      <w:pPr>
        <w:spacing w:after="140"/>
      </w:pPr>
      <w:r>
        <w:rPr>
          <w:i w:val="0"/>
          <w:sz w:val="21"/>
        </w:rPr>
        <w:t>No generative step conditions purpose on the fraud label. The declared purpose of a fraudulent payment is decided at feature-construction time from the scam narrative and ρ, which is also what makes ρ sweepable without regenerating the ledger.</w:t>
      </w:r>
    </w:p>
    <w:p>
      <w:pPr>
        <w:spacing w:before="240" w:after="60"/>
      </w:pPr>
      <w:r>
        <w:rPr>
          <w:b/>
          <w:sz w:val="23"/>
        </w:rPr>
        <w:t>Population and scale</w:t>
      </w:r>
    </w:p>
    <w:tbl>
      <w:tblPr>
        <w:tblStyle w:val="LightGrid-Accent1"/>
        <w:tblW w:type="auto" w:w="0"/>
        <w:jc w:val="center"/>
        <w:tblLook w:firstColumn="1" w:firstRow="1" w:lastColumn="0" w:lastRow="0" w:noHBand="0" w:noVBand="1" w:val="04A0"/>
      </w:tblPr>
      <w:tblGrid>
        <w:gridCol w:w="4752"/>
        <w:gridCol w:w="4752"/>
      </w:tblGrid>
      <w:tr>
        <w:tc>
          <w:tcPr>
            <w:tcW w:type="dxa" w:w="3744"/>
          </w:tcPr>
          <w:p>
            <w:r/>
            <w:r>
              <w:rPr>
                <w:b/>
                <w:sz w:val="18"/>
              </w:rPr>
              <w:t>Parameter</w:t>
            </w:r>
          </w:p>
        </w:tc>
        <w:tc>
          <w:tcPr>
            <w:tcW w:type="dxa" w:w="2880"/>
          </w:tcPr>
          <w:p>
            <w:r/>
            <w:r>
              <w:rPr>
                <w:b/>
                <w:sz w:val="18"/>
              </w:rPr>
              <w:t>Value</w:t>
            </w:r>
          </w:p>
        </w:tc>
      </w:tr>
      <w:tr>
        <w:tc>
          <w:tcPr>
            <w:tcW w:type="dxa" w:w="3744"/>
          </w:tcPr>
          <w:p>
            <w:pPr>
              <w:spacing w:after="20"/>
            </w:pPr>
            <w:r/>
            <w:r>
              <w:rPr>
                <w:sz w:val="18"/>
              </w:rPr>
              <w:t>Payers</w:t>
            </w:r>
          </w:p>
        </w:tc>
        <w:tc>
          <w:tcPr>
            <w:tcW w:type="dxa" w:w="2880"/>
          </w:tcPr>
          <w:p>
            <w:pPr>
              <w:spacing w:after="20"/>
              <w:jc w:val="right"/>
            </w:pPr>
            <w:r/>
            <w:r>
              <w:rPr>
                <w:sz w:val="18"/>
              </w:rPr>
              <w:t>25,000</w:t>
            </w:r>
          </w:p>
        </w:tc>
      </w:tr>
      <w:tr>
        <w:tc>
          <w:tcPr>
            <w:tcW w:type="dxa" w:w="3744"/>
          </w:tcPr>
          <w:p>
            <w:pPr>
              <w:spacing w:after="20"/>
            </w:pPr>
            <w:r/>
            <w:r>
              <w:rPr>
                <w:sz w:val="18"/>
              </w:rPr>
              <w:t>Beneficiaries</w:t>
            </w:r>
          </w:p>
        </w:tc>
        <w:tc>
          <w:tcPr>
            <w:tcW w:type="dxa" w:w="2880"/>
          </w:tcPr>
          <w:p>
            <w:pPr>
              <w:spacing w:after="20"/>
              <w:jc w:val="right"/>
            </w:pPr>
            <w:r/>
            <w:r>
              <w:rPr>
                <w:sz w:val="18"/>
              </w:rPr>
              <w:t>20,000</w:t>
            </w:r>
          </w:p>
        </w:tc>
      </w:tr>
      <w:tr>
        <w:tc>
          <w:tcPr>
            <w:tcW w:type="dxa" w:w="3744"/>
          </w:tcPr>
          <w:p>
            <w:pPr>
              <w:spacing w:after="20"/>
            </w:pPr>
            <w:r/>
            <w:r>
              <w:rPr>
                <w:sz w:val="18"/>
              </w:rPr>
              <w:t>Window</w:t>
            </w:r>
          </w:p>
        </w:tc>
        <w:tc>
          <w:tcPr>
            <w:tcW w:type="dxa" w:w="2880"/>
          </w:tcPr>
          <w:p>
            <w:pPr>
              <w:spacing w:after="20"/>
              <w:jc w:val="right"/>
            </w:pPr>
            <w:r/>
            <w:r>
              <w:rPr>
                <w:sz w:val="18"/>
              </w:rPr>
              <w:t>12 months</w:t>
            </w:r>
          </w:p>
        </w:tc>
      </w:tr>
      <w:tr>
        <w:tc>
          <w:tcPr>
            <w:tcW w:type="dxa" w:w="3744"/>
          </w:tcPr>
          <w:p>
            <w:pPr>
              <w:spacing w:after="20"/>
            </w:pPr>
            <w:r/>
            <w:r>
              <w:rPr>
                <w:sz w:val="18"/>
              </w:rPr>
              <w:t>Transactions per ledger</w:t>
            </w:r>
          </w:p>
        </w:tc>
        <w:tc>
          <w:tcPr>
            <w:tcW w:type="dxa" w:w="2880"/>
          </w:tcPr>
          <w:p>
            <w:pPr>
              <w:spacing w:after="20"/>
              <w:jc w:val="right"/>
            </w:pPr>
            <w:r/>
            <w:r>
              <w:rPr>
                <w:sz w:val="18"/>
              </w:rPr>
              <w:t>~2.04 million</w:t>
            </w:r>
          </w:p>
        </w:tc>
      </w:tr>
      <w:tr>
        <w:tc>
          <w:tcPr>
            <w:tcW w:type="dxa" w:w="3744"/>
          </w:tcPr>
          <w:p>
            <w:pPr>
              <w:spacing w:after="20"/>
            </w:pPr>
            <w:r/>
            <w:r>
              <w:rPr>
                <w:sz w:val="18"/>
              </w:rPr>
              <w:t>Payments per payer per month</w:t>
            </w:r>
          </w:p>
        </w:tc>
        <w:tc>
          <w:tcPr>
            <w:tcW w:type="dxa" w:w="2880"/>
          </w:tcPr>
          <w:p>
            <w:pPr>
              <w:spacing w:after="20"/>
              <w:jc w:val="right"/>
            </w:pPr>
            <w:r/>
            <w:r>
              <w:rPr>
                <w:sz w:val="18"/>
              </w:rPr>
              <w:t>~6.8</w:t>
            </w:r>
          </w:p>
        </w:tc>
      </w:tr>
      <w:tr>
        <w:tc>
          <w:tcPr>
            <w:tcW w:type="dxa" w:w="3744"/>
          </w:tcPr>
          <w:p>
            <w:pPr>
              <w:spacing w:after="20"/>
            </w:pPr>
            <w:r/>
            <w:r>
              <w:rPr>
                <w:sz w:val="18"/>
              </w:rPr>
              <w:t>Beneficiary roles</w:t>
            </w:r>
          </w:p>
        </w:tc>
        <w:tc>
          <w:tcPr>
            <w:tcW w:type="dxa" w:w="2880"/>
          </w:tcPr>
          <w:p>
            <w:pPr>
              <w:spacing w:after="20"/>
              <w:jc w:val="right"/>
            </w:pPr>
            <w:r/>
            <w:r>
              <w:rPr>
                <w:sz w:val="18"/>
              </w:rPr>
              <w:t>15</w:t>
            </w:r>
          </w:p>
        </w:tc>
      </w:tr>
      <w:tr>
        <w:tc>
          <w:tcPr>
            <w:tcW w:type="dxa" w:w="3744"/>
          </w:tcPr>
          <w:p>
            <w:pPr>
              <w:spacing w:after="20"/>
            </w:pPr>
            <w:r/>
            <w:r>
              <w:rPr>
                <w:sz w:val="18"/>
              </w:rPr>
              <w:t>Scam families</w:t>
            </w:r>
          </w:p>
        </w:tc>
        <w:tc>
          <w:tcPr>
            <w:tcW w:type="dxa" w:w="2880"/>
          </w:tcPr>
          <w:p>
            <w:pPr>
              <w:spacing w:after="20"/>
              <w:jc w:val="right"/>
            </w:pPr>
            <w:r/>
            <w:r>
              <w:rPr>
                <w:sz w:val="18"/>
              </w:rPr>
              <w:t>6</w:t>
            </w:r>
          </w:p>
        </w:tc>
      </w:tr>
      <w:tr>
        <w:tc>
          <w:tcPr>
            <w:tcW w:type="dxa" w:w="3744"/>
          </w:tcPr>
          <w:p>
            <w:pPr>
              <w:spacing w:after="20"/>
            </w:pPr>
            <w:r/>
            <w:r>
              <w:rPr>
                <w:sz w:val="18"/>
              </w:rPr>
              <w:t>Fraud share of volume</w:t>
            </w:r>
          </w:p>
        </w:tc>
        <w:tc>
          <w:tcPr>
            <w:tcW w:type="dxa" w:w="2880"/>
          </w:tcPr>
          <w:p>
            <w:pPr>
              <w:spacing w:after="20"/>
              <w:jc w:val="right"/>
            </w:pPr>
            <w:r/>
            <w:r>
              <w:rPr>
                <w:sz w:val="18"/>
              </w:rPr>
              <w:t>0.80% (never rebalanced)</w:t>
            </w:r>
          </w:p>
        </w:tc>
      </w:tr>
    </w:tbl>
    <w:p>
      <w:pPr>
        <w:spacing w:after="40"/>
      </w:pPr>
    </w:p>
    <w:p>
      <w:pPr>
        <w:spacing w:after="140"/>
      </w:pPr>
      <w:r>
        <w:rPr>
          <w:i w:val="0"/>
          <w:sz w:val="21"/>
        </w:rPr>
        <w:t>Class balance is never adjusted. No resampling, no positive-class weighting. A rebalanced fraud dataset produces numbers that do not transfer to an operating point, and an operating point is the only thing this study reports.</w:t>
      </w:r>
    </w:p>
    <w:p>
      <w:pPr>
        <w:spacing w:before="240" w:after="60"/>
      </w:pPr>
      <w:r>
        <w:rPr>
          <w:b/>
          <w:sz w:val="23"/>
        </w:rPr>
        <w:t>Relationships, and why staggered starts matter</w:t>
      </w:r>
    </w:p>
    <w:p>
      <w:pPr>
        <w:spacing w:after="140"/>
      </w:pPr>
      <w:r>
        <w:rPr>
          <w:i w:val="0"/>
          <w:sz w:val="21"/>
        </w:rPr>
        <w:t>Each payer holds a portfolio of standing relationships — a landlord, one or two utility billers, an employer, friends, family, merchants, sometimes a loan, a chit fund or a school. Monthly ties draw a stable base amount once and jitter it by about 5% per payment, so rent has a periodic, stable signature that a mule inflow cannot reproduce. Sporadic ties jitter widely.</w:t>
      </w:r>
    </w:p>
    <w:p>
      <w:pPr>
        <w:spacing w:after="140"/>
      </w:pPr>
      <w:r>
        <w:rPr>
          <w:i w:val="0"/>
          <w:sz w:val="21"/>
        </w:rPr>
        <w:t>22% of relationships begin part-way through the observation window. This is not cosmetic. A payer who moved house last month has a landlord with no history at all, and that is exactly the profile a naive rule flags as fraud. Without staggered starts, 'first payment to this beneficiary' would be an almost perfect fraud rule and the false-positive population — the population that actually determines whether a control is deployable — would not exist. A separate stream of ad-hoc payments to beneficiaries the payer has no standing tie with provides the same function at higher volume.</w:t>
      </w:r>
    </w:p>
    <w:p>
      <w:pPr>
        <w:spacing w:after="140"/>
      </w:pPr>
      <w:r>
        <w:rPr>
          <w:i w:val="0"/>
          <w:sz w:val="21"/>
        </w:rPr>
        <w:t>Conversely, a bank's records predate a twelve-month observation window, so pair-level history is seeded with the tie's pre-window age. A five-year-old landlord relationship must not look as unfamiliar as a fresh mule in month one. Ad-hoc and fraudulent pairs receive no seed, because they genuinely have none.</w:t>
      </w:r>
    </w:p>
    <w:p>
      <w:pPr>
        <w:spacing w:before="240" w:after="60"/>
      </w:pPr>
      <w:r>
        <w:rPr>
          <w:b/>
          <w:sz w:val="23"/>
        </w:rPr>
        <w:t>Session telemetry from a duress latent</w:t>
      </w:r>
    </w:p>
    <w:p>
      <w:pPr>
        <w:spacing w:after="140"/>
      </w:pPr>
      <w:r>
        <w:rPr>
          <w:i w:val="0"/>
          <w:sz w:val="21"/>
        </w:rPr>
        <w:t>B2 is generated from a coercion latent rather than the label: P(coercion | scam) = 0.75 and P(coercion | legitimate) = 0.02. A coerced session runs long, hesitates on the confirmation screen, edits the amount and the payee field repeatedly, switches applications while a call is in progress, and types more slowly than that person normally does.</w:t>
      </w:r>
    </w:p>
    <w:p>
      <w:pPr>
        <w:spacing w:after="140"/>
      </w:pPr>
      <w:r>
        <w:rPr>
          <w:i w:val="0"/>
          <w:sz w:val="21"/>
        </w:rPr>
        <w:t>Two features deliberately break the clean mapping. Pasting a payee identifier is common under coercion (80%) but also common on any genuinely unfamiliar payee (45%) and uncommon on a familiar one (12%). Device novelty depends partly on coercion and partly on the payer. Without these dependencies a single session feature would be a clean coercion proxy, and B2 would be measuring the label rather than behaviour. The baseline is meant to be strong, not lucky.</w:t>
      </w:r>
    </w:p>
    <w:p>
      <w:pPr>
        <w:spacing w:before="240" w:after="60"/>
      </w:pPr>
      <w:r>
        <w:rPr>
          <w:b/>
          <w:sz w:val="23"/>
        </w:rPr>
        <w:t>Beneficiary features, and the two lookahead guards</w:t>
      </w:r>
    </w:p>
    <w:p>
      <w:pPr>
        <w:spacing w:after="140"/>
      </w:pPr>
      <w:r>
        <w:rPr>
          <w:i w:val="0"/>
          <w:sz w:val="21"/>
        </w:rPr>
        <w:t>Payee-level network aggregates are drawn per payee-month from the role's latent parameters rather than counted off the simulated panel. The 25,000 simulated payers are a sample of each beneficiary's true inbound payer base, so counting in-sample in-degree would understate a utility biller by three orders of magnitude while leaving a mule roughly correct. The fidelity scorecard reports the Spearman correlation between in-sample observed in-degree and the generated aggregates, which is what licenses the choice.</w:t>
      </w:r>
    </w:p>
    <w:p>
      <w:pPr>
        <w:pStyle w:val="ListBullet"/>
        <w:spacing w:after="60"/>
      </w:pPr>
      <w:r>
        <w:rPr>
          <w:b/>
          <w:sz w:val="21"/>
        </w:rPr>
        <w:t>Report counts are strictly as-of-time.</w:t>
      </w:r>
      <w:r>
        <w:rPr>
          <w:sz w:val="21"/>
        </w:rPr>
        <w:t xml:space="preserve"> Report timestamps are stored and searched at the transaction day, never summed ahead of time, so no test row can see a report filed after it. Only 35% of victims file, and filing carries a gamma-distributed delay averaging about eighteen days for victim realisation, NCRP filing and network propagation.</w:t>
      </w:r>
    </w:p>
    <w:p>
      <w:pPr>
        <w:pStyle w:val="ListBullet"/>
        <w:spacing w:after="60"/>
      </w:pPr>
      <w:r>
        <w:rPr>
          <w:b/>
          <w:sz w:val="21"/>
        </w:rPr>
        <w:t>Legitimate beneficiaries attract disputes.</w:t>
      </w:r>
      <w:r>
        <w:rPr>
          <w:sz w:val="21"/>
        </w:rPr>
        <w:t xml:space="preserve"> At a rate scaled by fan-in, so that prior-report count is informative without being a perfect label.</w:t>
      </w:r>
    </w:p>
    <w:p>
      <w:pPr>
        <w:pStyle w:val="ListBullet"/>
        <w:spacing w:after="60"/>
      </w:pPr>
      <w:r>
        <w:rPr>
          <w:b/>
          <w:sz w:val="21"/>
        </w:rPr>
        <w:t>Payer velocity uses only prior rows.</w:t>
      </w:r>
      <w:r>
        <w:rPr>
          <w:sz w:val="21"/>
        </w:rPr>
        <w:t xml:space="preserve"> Trailing 24-hour and 7-day counts and sums, the expanding z-score of log amount against the payer's own history, and recency are all computed from transactions that precede the row in time.</w:t>
      </w:r>
    </w:p>
    <w:p>
      <w:pPr>
        <w:spacing w:before="240" w:after="60"/>
      </w:pPr>
      <w:r>
        <w:rPr>
          <w:b/>
          <w:sz w:val="23"/>
        </w:rPr>
        <w:t>The second trap, and λ</w:t>
      </w:r>
    </w:p>
    <w:p>
      <w:pPr>
        <w:spacing w:before="120" w:after="180"/>
        <w:ind w:left="317"/>
      </w:pPr>
      <w:r>
        <w:rPr>
          <w:b/>
          <w:color w:val="B3261E"/>
          <w:sz w:val="21"/>
        </w:rPr>
        <w:t>If every high-fan-in payee is a mule, beneficiary intelligence alone is near-perfect and declared context has nothing to add.</w:t>
      </w:r>
    </w:p>
    <w:p>
      <w:pPr>
        <w:spacing w:after="140"/>
      </w:pPr>
      <w:r>
        <w:rPr>
          <w:i w:val="0"/>
          <w:sz w:val="21"/>
        </w:rPr>
        <w:t>λ is the combined population share of legitimate roles that structurally resemble mule accounts. It is the reason the experiment is non-trivial.</w:t>
      </w:r>
    </w:p>
    <w:tbl>
      <w:tblPr>
        <w:tblStyle w:val="LightGrid-Accent1"/>
        <w:tblW w:type="auto" w:w="0"/>
        <w:jc w:val="center"/>
        <w:tblLook w:firstColumn="1" w:firstRow="1" w:lastColumn="0" w:lastRow="0" w:noHBand="0" w:noVBand="1" w:val="04A0"/>
      </w:tblPr>
      <w:tblGrid>
        <w:gridCol w:w="4752"/>
        <w:gridCol w:w="4752"/>
      </w:tblGrid>
      <w:tr>
        <w:tc>
          <w:tcPr>
            <w:tcW w:type="dxa" w:w="2736"/>
          </w:tcPr>
          <w:p>
            <w:r/>
            <w:r>
              <w:rPr>
                <w:b/>
                <w:sz w:val="18"/>
              </w:rPr>
              <w:t>Legitimate role</w:t>
            </w:r>
          </w:p>
        </w:tc>
        <w:tc>
          <w:tcPr>
            <w:tcW w:type="dxa" w:w="6336"/>
          </w:tcPr>
          <w:p>
            <w:r/>
            <w:r>
              <w:rPr>
                <w:b/>
                <w:sz w:val="18"/>
              </w:rPr>
              <w:t>Why it resembles a mule</w:t>
            </w:r>
          </w:p>
        </w:tc>
      </w:tr>
      <w:tr>
        <w:tc>
          <w:tcPr>
            <w:tcW w:type="dxa" w:w="2736"/>
          </w:tcPr>
          <w:p>
            <w:pPr>
              <w:spacing w:after="20"/>
            </w:pPr>
            <w:r/>
            <w:r>
              <w:rPr>
                <w:sz w:val="18"/>
              </w:rPr>
              <w:t>property_manager</w:t>
            </w:r>
          </w:p>
        </w:tc>
        <w:tc>
          <w:tcPr>
            <w:tcW w:type="dxa" w:w="6336"/>
          </w:tcPr>
          <w:p>
            <w:pPr>
              <w:spacing w:after="20"/>
            </w:pPr>
            <w:r/>
            <w:r>
              <w:rPr>
                <w:sz w:val="18"/>
              </w:rPr>
              <w:t>high fan-in from unrelated payers</w:t>
            </w:r>
          </w:p>
        </w:tc>
      </w:tr>
      <w:tr>
        <w:tc>
          <w:tcPr>
            <w:tcW w:type="dxa" w:w="2736"/>
          </w:tcPr>
          <w:p>
            <w:pPr>
              <w:spacing w:after="20"/>
            </w:pPr>
            <w:r/>
            <w:r>
              <w:rPr>
                <w:sz w:val="18"/>
              </w:rPr>
              <w:t>education_institution</w:t>
            </w:r>
          </w:p>
        </w:tc>
        <w:tc>
          <w:tcPr>
            <w:tcW w:type="dxa" w:w="6336"/>
          </w:tcPr>
          <w:p>
            <w:pPr>
              <w:spacing w:after="20"/>
            </w:pPr>
            <w:r/>
            <w:r>
              <w:rPr>
                <w:sz w:val="18"/>
              </w:rPr>
              <w:t>very high fan-in, seasonal</w:t>
            </w:r>
          </w:p>
        </w:tc>
      </w:tr>
      <w:tr>
        <w:tc>
          <w:tcPr>
            <w:tcW w:type="dxa" w:w="2736"/>
          </w:tcPr>
          <w:p>
            <w:pPr>
              <w:spacing w:after="20"/>
            </w:pPr>
            <w:r/>
            <w:r>
              <w:rPr>
                <w:sz w:val="18"/>
              </w:rPr>
              <w:t>utility_biller</w:t>
            </w:r>
          </w:p>
        </w:tc>
        <w:tc>
          <w:tcPr>
            <w:tcW w:type="dxa" w:w="6336"/>
          </w:tcPr>
          <w:p>
            <w:pPr>
              <w:spacing w:after="20"/>
            </w:pPr>
            <w:r/>
            <w:r>
              <w:rPr>
                <w:sz w:val="18"/>
              </w:rPr>
              <w:t>enormous fan-in</w:t>
            </w:r>
          </w:p>
        </w:tc>
      </w:tr>
      <w:tr>
        <w:tc>
          <w:tcPr>
            <w:tcW w:type="dxa" w:w="2736"/>
          </w:tcPr>
          <w:p>
            <w:pPr>
              <w:spacing w:after="20"/>
            </w:pPr>
            <w:r/>
            <w:r>
              <w:rPr>
                <w:sz w:val="18"/>
              </w:rPr>
              <w:t>merchant_small</w:t>
            </w:r>
          </w:p>
        </w:tc>
        <w:tc>
          <w:tcPr>
            <w:tcW w:type="dxa" w:w="6336"/>
          </w:tcPr>
          <w:p>
            <w:pPr>
              <w:spacing w:after="20"/>
            </w:pPr>
            <w:r/>
            <w:r>
              <w:rPr>
                <w:sz w:val="18"/>
              </w:rPr>
              <w:t>high fan-in, moderate fanout, young accounts</w:t>
            </w:r>
          </w:p>
        </w:tc>
      </w:tr>
      <w:tr>
        <w:tc>
          <w:tcPr>
            <w:tcW w:type="dxa" w:w="2736"/>
          </w:tcPr>
          <w:p>
            <w:pPr>
              <w:spacing w:after="20"/>
            </w:pPr>
            <w:r/>
            <w:r>
              <w:rPr>
                <w:sz w:val="18"/>
              </w:rPr>
              <w:t>settlement_agent</w:t>
            </w:r>
          </w:p>
        </w:tc>
        <w:tc>
          <w:tcPr>
            <w:tcW w:type="dxa" w:w="6336"/>
          </w:tcPr>
          <w:p>
            <w:pPr>
              <w:spacing w:after="20"/>
            </w:pPr>
            <w:r/>
            <w:r>
              <w:rPr>
                <w:sz w:val="18"/>
              </w:rPr>
              <w:t>forwards 88% of inflow within 24 hours</w:t>
            </w:r>
          </w:p>
        </w:tc>
      </w:tr>
      <w:tr>
        <w:tc>
          <w:tcPr>
            <w:tcW w:type="dxa" w:w="2736"/>
          </w:tcPr>
          <w:p>
            <w:pPr>
              <w:spacing w:after="20"/>
            </w:pPr>
            <w:r/>
            <w:r>
              <w:rPr>
                <w:sz w:val="18"/>
              </w:rPr>
              <w:t>gig_worker</w:t>
            </w:r>
          </w:p>
        </w:tc>
        <w:tc>
          <w:tcPr>
            <w:tcW w:type="dxa" w:w="6336"/>
          </w:tcPr>
          <w:p>
            <w:pPr>
              <w:spacing w:after="20"/>
            </w:pPr>
            <w:r/>
            <w:r>
              <w:rPr>
                <w:sz w:val="18"/>
              </w:rPr>
              <w:t>young account, sweeps balance out, thin file</w:t>
            </w:r>
          </w:p>
        </w:tc>
      </w:tr>
      <w:tr>
        <w:tc>
          <w:tcPr>
            <w:tcW w:type="dxa" w:w="2736"/>
          </w:tcPr>
          <w:p>
            <w:pPr>
              <w:spacing w:after="20"/>
            </w:pPr>
            <w:r/>
            <w:r>
              <w:rPr>
                <w:sz w:val="18"/>
              </w:rPr>
              <w:t>chit_fund_collector</w:t>
            </w:r>
          </w:p>
        </w:tc>
        <w:tc>
          <w:tcPr>
            <w:tcW w:type="dxa" w:w="6336"/>
          </w:tcPr>
          <w:p>
            <w:pPr>
              <w:spacing w:after="20"/>
            </w:pPr>
            <w:r/>
            <w:r>
              <w:rPr>
                <w:sz w:val="18"/>
              </w:rPr>
              <w:t>many unrelated payers, sweeps the pot straight out, declared as 'investment'</w:t>
            </w:r>
          </w:p>
        </w:tc>
      </w:tr>
    </w:tbl>
    <w:p>
      <w:pPr>
        <w:spacing w:after="40"/>
      </w:pPr>
    </w:p>
    <w:p>
      <w:pPr>
        <w:spacing w:after="140"/>
      </w:pPr>
      <w:r>
        <w:rPr>
          <w:i w:val="0"/>
          <w:sz w:val="21"/>
        </w:rPr>
        <w:t>chit_fund_collector is the sharpest case in the whole population: entirely legitimate, collecting from many unrelated payers, forwarding the pot to that month's member, and declared under the same purpose code a coached scammer steers toward. It is exactly the ambiguity that makes ρ meaningful.</w:t>
      </w:r>
    </w:p>
    <w:p>
      <w:pPr>
        <w:spacing w:after="140"/>
      </w:pPr>
      <w:r>
        <w:rPr>
          <w:i w:val="0"/>
          <w:sz w:val="21"/>
        </w:rPr>
        <w:t>This was not obvious in advance. Our first end-to-end run gave the baseline 99.75% recall at 0.1% FPR, because no legitimate role in the original design had mule-range fanout — one feature scored AUC 0.9957 on its own. CHANGELOG.md records what was observed, what was changed, and why the change is a correction to realism rather than a move toward a preferred result. PREREGISTRATION.md itself has never been edited.</w:t>
      </w:r>
    </w:p>
    <w:p>
      <w:pPr>
        <w:spacing w:before="240" w:after="60"/>
      </w:pPr>
      <w:r>
        <w:rPr>
          <w:b/>
          <w:sz w:val="23"/>
        </w:rPr>
        <w:t>Fidelity scorecard</w:t>
      </w:r>
    </w:p>
    <w:p>
      <w:pPr>
        <w:spacing w:after="140"/>
      </w:pPr>
      <w:r>
        <w:rPr>
          <w:i w:val="0"/>
          <w:sz w:val="21"/>
        </w:rPr>
        <w:t>Reference values are published primary-source statistics, not another simulator. The two parameters of the case-size distribution were solved, not tuned, against the published mean case loss and the 45% of cases above ₹10,000.</w:t>
      </w:r>
    </w:p>
    <w:tbl>
      <w:tblPr>
        <w:tblStyle w:val="LightGrid-Accent1"/>
        <w:tblW w:type="auto" w:w="0"/>
        <w:jc w:val="center"/>
        <w:tblLook w:firstColumn="1" w:firstRow="1" w:lastColumn="0" w:lastRow="0" w:noHBand="0" w:noVBand="1" w:val="04A0"/>
      </w:tblPr>
      <w:tblGrid>
        <w:gridCol w:w="2376"/>
        <w:gridCol w:w="2376"/>
        <w:gridCol w:w="2376"/>
        <w:gridCol w:w="2376"/>
      </w:tblGrid>
      <w:tr>
        <w:tc>
          <w:tcPr>
            <w:tcW w:type="dxa" w:w="3744"/>
          </w:tcPr>
          <w:p>
            <w:r/>
            <w:r>
              <w:rPr>
                <w:b/>
                <w:sz w:val="18"/>
              </w:rPr>
              <w:t>Quantity</w:t>
            </w:r>
          </w:p>
        </w:tc>
        <w:tc>
          <w:tcPr>
            <w:tcW w:type="dxa" w:w="1872"/>
          </w:tcPr>
          <w:p>
            <w:r/>
            <w:r>
              <w:rPr>
                <w:b/>
                <w:sz w:val="18"/>
              </w:rPr>
              <w:t>Observed</w:t>
            </w:r>
          </w:p>
        </w:tc>
        <w:tc>
          <w:tcPr>
            <w:tcW w:type="dxa" w:w="1728"/>
          </w:tcPr>
          <w:p>
            <w:r/>
            <w:r>
              <w:rPr>
                <w:b/>
                <w:sz w:val="18"/>
              </w:rPr>
              <w:t>Anchor</w:t>
            </w:r>
          </w:p>
        </w:tc>
        <w:tc>
          <w:tcPr>
            <w:tcW w:type="dxa" w:w="1728"/>
          </w:tcPr>
          <w:p>
            <w:r/>
            <w:r>
              <w:rPr>
                <w:b/>
                <w:sz w:val="18"/>
              </w:rPr>
              <w:t>|error|</w:t>
            </w:r>
          </w:p>
        </w:tc>
      </w:tr>
      <w:tr>
        <w:tc>
          <w:tcPr>
            <w:tcW w:type="dxa" w:w="3744"/>
          </w:tcPr>
          <w:p>
            <w:pPr>
              <w:spacing w:after="20"/>
            </w:pPr>
            <w:r/>
            <w:r>
              <w:rPr>
                <w:sz w:val="18"/>
              </w:rPr>
              <w:t>Share of cases above ₹10,000</w:t>
            </w:r>
          </w:p>
        </w:tc>
        <w:tc>
          <w:tcPr>
            <w:tcW w:type="dxa" w:w="1872"/>
          </w:tcPr>
          <w:p>
            <w:pPr>
              <w:spacing w:after="20"/>
              <w:jc w:val="right"/>
            </w:pPr>
            <w:r/>
            <w:r>
              <w:rPr>
                <w:sz w:val="18"/>
              </w:rPr>
              <w:t>0.4495</w:t>
            </w:r>
          </w:p>
        </w:tc>
        <w:tc>
          <w:tcPr>
            <w:tcW w:type="dxa" w:w="1728"/>
          </w:tcPr>
          <w:p>
            <w:pPr>
              <w:spacing w:after="20"/>
              <w:jc w:val="right"/>
            </w:pPr>
            <w:r/>
            <w:r>
              <w:rPr>
                <w:sz w:val="18"/>
              </w:rPr>
              <w:t>0.450</w:t>
            </w:r>
          </w:p>
        </w:tc>
        <w:tc>
          <w:tcPr>
            <w:tcW w:type="dxa" w:w="1728"/>
          </w:tcPr>
          <w:p>
            <w:pPr>
              <w:spacing w:after="20"/>
              <w:jc w:val="right"/>
            </w:pPr>
            <w:r/>
            <w:r>
              <w:rPr>
                <w:sz w:val="18"/>
              </w:rPr>
              <w:t>0.0005</w:t>
            </w:r>
          </w:p>
        </w:tc>
      </w:tr>
      <w:tr>
        <w:tc>
          <w:tcPr>
            <w:tcW w:type="dxa" w:w="3744"/>
          </w:tcPr>
          <w:p>
            <w:pPr>
              <w:spacing w:after="20"/>
            </w:pPr>
            <w:r/>
            <w:r>
              <w:rPr>
                <w:sz w:val="18"/>
              </w:rPr>
              <w:t>Share of fraud value above ₹10,000</w:t>
            </w:r>
          </w:p>
        </w:tc>
        <w:tc>
          <w:tcPr>
            <w:tcW w:type="dxa" w:w="1872"/>
          </w:tcPr>
          <w:p>
            <w:pPr>
              <w:spacing w:after="20"/>
              <w:jc w:val="right"/>
            </w:pPr>
            <w:r/>
            <w:r>
              <w:rPr>
                <w:sz w:val="18"/>
              </w:rPr>
              <w:t>0.9791</w:t>
            </w:r>
          </w:p>
        </w:tc>
        <w:tc>
          <w:tcPr>
            <w:tcW w:type="dxa" w:w="1728"/>
          </w:tcPr>
          <w:p>
            <w:pPr>
              <w:spacing w:after="20"/>
              <w:jc w:val="right"/>
            </w:pPr>
            <w:r/>
            <w:r>
              <w:rPr>
                <w:sz w:val="18"/>
              </w:rPr>
              <w:t>0.985</w:t>
            </w:r>
          </w:p>
        </w:tc>
        <w:tc>
          <w:tcPr>
            <w:tcW w:type="dxa" w:w="1728"/>
          </w:tcPr>
          <w:p>
            <w:pPr>
              <w:spacing w:after="20"/>
              <w:jc w:val="right"/>
            </w:pPr>
            <w:r/>
            <w:r>
              <w:rPr>
                <w:sz w:val="18"/>
              </w:rPr>
              <w:t>0.0059</w:t>
            </w:r>
          </w:p>
        </w:tc>
      </w:tr>
      <w:tr>
        <w:tc>
          <w:tcPr>
            <w:tcW w:type="dxa" w:w="3744"/>
          </w:tcPr>
          <w:p>
            <w:pPr>
              <w:spacing w:after="20"/>
            </w:pPr>
            <w:r/>
            <w:r>
              <w:rPr>
                <w:sz w:val="18"/>
              </w:rPr>
              <w:t>Mean case loss</w:t>
            </w:r>
          </w:p>
        </w:tc>
        <w:tc>
          <w:tcPr>
            <w:tcW w:type="dxa" w:w="1872"/>
          </w:tcPr>
          <w:p>
            <w:pPr>
              <w:spacing w:after="20"/>
              <w:jc w:val="right"/>
            </w:pPr>
            <w:r/>
            <w:r>
              <w:rPr>
                <w:sz w:val="18"/>
              </w:rPr>
              <w:t>₹80,872</w:t>
            </w:r>
          </w:p>
        </w:tc>
        <w:tc>
          <w:tcPr>
            <w:tcW w:type="dxa" w:w="1728"/>
          </w:tcPr>
          <w:p>
            <w:pPr>
              <w:spacing w:after="20"/>
              <w:jc w:val="right"/>
            </w:pPr>
            <w:r/>
            <w:r>
              <w:rPr>
                <w:sz w:val="18"/>
              </w:rPr>
              <w:t>₹81,896</w:t>
            </w:r>
          </w:p>
        </w:tc>
        <w:tc>
          <w:tcPr>
            <w:tcW w:type="dxa" w:w="1728"/>
          </w:tcPr>
          <w:p>
            <w:pPr>
              <w:spacing w:after="20"/>
              <w:jc w:val="right"/>
            </w:pPr>
            <w:r/>
            <w:r>
              <w:rPr>
                <w:sz w:val="18"/>
              </w:rPr>
              <w:t>1.3%</w:t>
            </w:r>
          </w:p>
        </w:tc>
      </w:tr>
      <w:tr>
        <w:tc>
          <w:tcPr>
            <w:tcW w:type="dxa" w:w="3744"/>
          </w:tcPr>
          <w:p>
            <w:pPr>
              <w:spacing w:after="20"/>
            </w:pPr>
            <w:r/>
            <w:r>
              <w:rPr>
                <w:sz w:val="18"/>
              </w:rPr>
              <w:t>Fraud share of transaction volume</w:t>
            </w:r>
          </w:p>
        </w:tc>
        <w:tc>
          <w:tcPr>
            <w:tcW w:type="dxa" w:w="1872"/>
          </w:tcPr>
          <w:p>
            <w:pPr>
              <w:spacing w:after="20"/>
              <w:jc w:val="right"/>
            </w:pPr>
            <w:r/>
            <w:r>
              <w:rPr>
                <w:sz w:val="18"/>
              </w:rPr>
              <w:t>0.7983%</w:t>
            </w:r>
          </w:p>
        </w:tc>
        <w:tc>
          <w:tcPr>
            <w:tcW w:type="dxa" w:w="1728"/>
          </w:tcPr>
          <w:p>
            <w:pPr>
              <w:spacing w:after="20"/>
              <w:jc w:val="right"/>
            </w:pPr>
            <w:r/>
            <w:r>
              <w:rPr>
                <w:sz w:val="18"/>
              </w:rPr>
              <w:t>0.80%</w:t>
            </w:r>
          </w:p>
        </w:tc>
        <w:tc>
          <w:tcPr>
            <w:tcW w:type="dxa" w:w="1728"/>
          </w:tcPr>
          <w:p>
            <w:pPr>
              <w:spacing w:after="20"/>
              <w:jc w:val="right"/>
            </w:pPr>
            <w:r/>
            <w:r>
              <w:rPr>
                <w:sz w:val="18"/>
              </w:rPr>
              <w:t>—</w:t>
            </w:r>
          </w:p>
        </w:tc>
      </w:tr>
      <w:tr>
        <w:tc>
          <w:tcPr>
            <w:tcW w:type="dxa" w:w="3744"/>
          </w:tcPr>
          <w:p>
            <w:pPr>
              <w:spacing w:after="20"/>
            </w:pPr>
            <w:r/>
            <w:r>
              <w:rPr>
                <w:sz w:val="18"/>
              </w:rPr>
              <w:t>Fraud share of transaction value</w:t>
            </w:r>
          </w:p>
        </w:tc>
        <w:tc>
          <w:tcPr>
            <w:tcW w:type="dxa" w:w="1872"/>
          </w:tcPr>
          <w:p>
            <w:pPr>
              <w:spacing w:after="20"/>
              <w:jc w:val="right"/>
            </w:pPr>
            <w:r/>
            <w:r>
              <w:rPr>
                <w:sz w:val="18"/>
              </w:rPr>
              <w:t>5.27%</w:t>
            </w:r>
          </w:p>
        </w:tc>
        <w:tc>
          <w:tcPr>
            <w:tcW w:type="dxa" w:w="1728"/>
          </w:tcPr>
          <w:p>
            <w:pPr>
              <w:spacing w:after="20"/>
              <w:jc w:val="right"/>
            </w:pPr>
            <w:r/>
            <w:r>
              <w:rPr>
                <w:sz w:val="18"/>
              </w:rPr>
              <w:t>6%</w:t>
            </w:r>
          </w:p>
        </w:tc>
        <w:tc>
          <w:tcPr>
            <w:tcW w:type="dxa" w:w="1728"/>
          </w:tcPr>
          <w:p>
            <w:pPr>
              <w:spacing w:after="20"/>
              <w:jc w:val="right"/>
            </w:pPr>
            <w:r/>
            <w:r>
              <w:rPr>
                <w:sz w:val="18"/>
              </w:rPr>
              <w:t>—</w:t>
            </w:r>
          </w:p>
        </w:tc>
      </w:tr>
    </w:tbl>
    <w:p>
      <w:pPr>
        <w:spacing w:after="40"/>
      </w:pPr>
    </w:p>
    <w:tbl>
      <w:tblPr>
        <w:tblStyle w:val="LightGrid-Accent1"/>
        <w:tblW w:type="auto" w:w="0"/>
        <w:jc w:val="center"/>
        <w:tblLook w:firstColumn="1" w:firstRow="1" w:lastColumn="0" w:lastRow="0" w:noHBand="0" w:noVBand="1" w:val="04A0"/>
      </w:tblPr>
      <w:tblGrid>
        <w:gridCol w:w="4752"/>
        <w:gridCol w:w="4752"/>
      </w:tblGrid>
      <w:tr>
        <w:tc>
          <w:tcPr>
            <w:tcW w:type="dxa" w:w="5760"/>
          </w:tcPr>
          <w:p>
            <w:r/>
            <w:r>
              <w:rPr>
                <w:b/>
                <w:sz w:val="18"/>
              </w:rPr>
              <w:t>Structural statistic</w:t>
            </w:r>
          </w:p>
        </w:tc>
        <w:tc>
          <w:tcPr>
            <w:tcW w:type="dxa" w:w="3312"/>
          </w:tcPr>
          <w:p>
            <w:r/>
            <w:r>
              <w:rPr>
                <w:b/>
                <w:sz w:val="18"/>
              </w:rPr>
              <w:t>Value</w:t>
            </w:r>
          </w:p>
        </w:tc>
      </w:tr>
      <w:tr>
        <w:tc>
          <w:tcPr>
            <w:tcW w:type="dxa" w:w="5760"/>
          </w:tcPr>
          <w:p>
            <w:pPr>
              <w:spacing w:after="20"/>
            </w:pPr>
            <w:r/>
            <w:r>
              <w:rPr>
                <w:sz w:val="18"/>
              </w:rPr>
              <w:t>Payee in-degree CCDF log-log slope</w:t>
            </w:r>
          </w:p>
        </w:tc>
        <w:tc>
          <w:tcPr>
            <w:tcW w:type="dxa" w:w="3312"/>
          </w:tcPr>
          <w:p>
            <w:pPr>
              <w:spacing w:after="20"/>
              <w:jc w:val="right"/>
            </w:pPr>
            <w:r/>
            <w:r>
              <w:rPr>
                <w:sz w:val="18"/>
              </w:rPr>
              <w:t>-1.56</w:t>
            </w:r>
          </w:p>
        </w:tc>
      </w:tr>
      <w:tr>
        <w:tc>
          <w:tcPr>
            <w:tcW w:type="dxa" w:w="5760"/>
          </w:tcPr>
          <w:p>
            <w:pPr>
              <w:spacing w:after="20"/>
            </w:pPr>
            <w:r/>
            <w:r>
              <w:rPr>
                <w:sz w:val="18"/>
              </w:rPr>
              <w:t>Median / max payee in-degree</w:t>
            </w:r>
          </w:p>
        </w:tc>
        <w:tc>
          <w:tcPr>
            <w:tcW w:type="dxa" w:w="3312"/>
          </w:tcPr>
          <w:p>
            <w:pPr>
              <w:spacing w:after="20"/>
              <w:jc w:val="right"/>
            </w:pPr>
            <w:r/>
            <w:r>
              <w:rPr>
                <w:sz w:val="18"/>
              </w:rPr>
              <w:t>10 / 1,497</w:t>
            </w:r>
          </w:p>
        </w:tc>
      </w:tr>
      <w:tr>
        <w:tc>
          <w:tcPr>
            <w:tcW w:type="dxa" w:w="5760"/>
          </w:tcPr>
          <w:p>
            <w:pPr>
              <w:spacing w:after="20"/>
            </w:pPr>
            <w:r/>
            <w:r>
              <w:rPr>
                <w:sz w:val="18"/>
              </w:rPr>
              <w:t>Median inter-transaction gap</w:t>
            </w:r>
          </w:p>
        </w:tc>
        <w:tc>
          <w:tcPr>
            <w:tcW w:type="dxa" w:w="3312"/>
          </w:tcPr>
          <w:p>
            <w:pPr>
              <w:spacing w:after="20"/>
              <w:jc w:val="right"/>
            </w:pPr>
            <w:r/>
            <w:r>
              <w:rPr>
                <w:sz w:val="18"/>
              </w:rPr>
              <w:t>2.93 days</w:t>
            </w:r>
          </w:p>
        </w:tc>
      </w:tr>
      <w:tr>
        <w:tc>
          <w:tcPr>
            <w:tcW w:type="dxa" w:w="5760"/>
          </w:tcPr>
          <w:p>
            <w:pPr>
              <w:spacing w:after="20"/>
            </w:pPr>
            <w:r/>
            <w:r>
              <w:rPr>
                <w:sz w:val="18"/>
              </w:rPr>
              <w:t>Share of gaps under one day</w:t>
            </w:r>
          </w:p>
        </w:tc>
        <w:tc>
          <w:tcPr>
            <w:tcW w:type="dxa" w:w="3312"/>
          </w:tcPr>
          <w:p>
            <w:pPr>
              <w:spacing w:after="20"/>
              <w:jc w:val="right"/>
            </w:pPr>
            <w:r/>
            <w:r>
              <w:rPr>
                <w:sz w:val="18"/>
              </w:rPr>
              <w:t>21.4%</w:t>
            </w:r>
          </w:p>
        </w:tc>
      </w:tr>
      <w:tr>
        <w:tc>
          <w:tcPr>
            <w:tcW w:type="dxa" w:w="5760"/>
          </w:tcPr>
          <w:p>
            <w:pPr>
              <w:spacing w:after="20"/>
            </w:pPr>
            <w:r/>
            <w:r>
              <w:rPr>
                <w:sz w:val="18"/>
              </w:rPr>
              <w:t>Max |correlation| between distinct B3 features</w:t>
            </w:r>
          </w:p>
        </w:tc>
        <w:tc>
          <w:tcPr>
            <w:tcW w:type="dxa" w:w="3312"/>
          </w:tcPr>
          <w:p>
            <w:pPr>
              <w:spacing w:after="20"/>
              <w:jc w:val="right"/>
            </w:pPr>
            <w:r/>
            <w:r>
              <w:rPr>
                <w:sz w:val="18"/>
              </w:rPr>
              <w:t>0.834</w:t>
            </w:r>
          </w:p>
        </w:tc>
      </w:tr>
      <w:tr>
        <w:tc>
          <w:tcPr>
            <w:tcW w:type="dxa" w:w="5760"/>
          </w:tcPr>
          <w:p>
            <w:pPr>
              <w:spacing w:after="20"/>
            </w:pPr>
            <w:r/>
            <w:r>
              <w:rPr>
                <w:sz w:val="18"/>
              </w:rPr>
              <w:t>Latent recovery (Spearman)</w:t>
            </w:r>
          </w:p>
        </w:tc>
        <w:tc>
          <w:tcPr>
            <w:tcW w:type="dxa" w:w="3312"/>
          </w:tcPr>
          <w:p>
            <w:pPr>
              <w:spacing w:after="20"/>
              <w:jc w:val="right"/>
            </w:pPr>
            <w:r/>
            <w:r>
              <w:rPr>
                <w:sz w:val="18"/>
              </w:rPr>
              <w:t>0.658</w:t>
            </w:r>
          </w:p>
        </w:tc>
      </w:tr>
    </w:tbl>
    <w:p>
      <w:pPr>
        <w:spacing w:after="40"/>
      </w:pPr>
    </w:p>
    <w:p>
      <w:pPr>
        <w:spacing w:after="140"/>
      </w:pPr>
      <w:r>
        <w:rPr>
          <w:i/>
          <w:color w:val="5B6572"/>
          <w:sz w:val="21"/>
        </w:rPr>
        <w:t>Not run: a discriminator-AUC check against real transaction data. No labelled public APP-fraud dataset exists, and matching a second synthetic generator would demonstrate nothing. The omission is recorded rather than substituted for.</w:t>
      </w:r>
    </w:p>
    <w:p>
      <w:pPr>
        <w:spacing w:before="400" w:after="60"/>
      </w:pPr>
      <w:r>
        <w:rPr>
          <w:b/>
          <w:color w:val="11161F"/>
          <w:sz w:val="32"/>
        </w:rPr>
        <w:t>6. Defend: features, non-circularity, and deterministic checks</w:t>
      </w:r>
    </w:p>
    <w:p>
      <w:pPr>
        <w:spacing w:after="180"/>
      </w:pPr>
      <w:r>
        <w:rPr>
          <w:i/>
          <w:color w:val="1F4E79"/>
          <w:sz w:val="18"/>
        </w:rPr>
        <w:t>Rubric: technical approach and rigour</w:t>
      </w:r>
    </w:p>
    <w:p>
      <w:pPr>
        <w:spacing w:before="240" w:after="60"/>
      </w:pPr>
      <w:r>
        <w:rPr>
          <w:b/>
          <w:sz w:val="23"/>
        </w:rPr>
        <w:t>Four feature groups, one bucket each</w:t>
      </w:r>
    </w:p>
    <w:p>
      <w:pPr>
        <w:spacing w:after="140"/>
      </w:pPr>
      <w:r>
        <w:rPr>
          <w:i w:val="0"/>
          <w:sz w:val="21"/>
        </w:rPr>
        <w:t>Every model input belongs to exactly one group. This is the single most important implementation guard in the project: if B4 silently re-encoded B3, a measured gain would only mean 'we gave the model beneficiary information twice'. pramana/features/__init__.py is the authority and a build-failing test enforces it.</w:t>
      </w:r>
    </w:p>
    <w:tbl>
      <w:tblPr>
        <w:tblStyle w:val="LightGrid-Accent1"/>
        <w:tblW w:type="auto" w:w="0"/>
        <w:jc w:val="center"/>
        <w:tblLook w:firstColumn="1" w:firstRow="1" w:lastColumn="0" w:lastRow="0" w:noHBand="0" w:noVBand="1" w:val="04A0"/>
      </w:tblPr>
      <w:tblGrid>
        <w:gridCol w:w="3168"/>
        <w:gridCol w:w="3168"/>
        <w:gridCol w:w="3168"/>
      </w:tblGrid>
      <w:tr>
        <w:tc>
          <w:tcPr>
            <w:tcW w:type="dxa" w:w="2016"/>
          </w:tcPr>
          <w:p>
            <w:r/>
            <w:r>
              <w:rPr>
                <w:b/>
                <w:sz w:val="18"/>
              </w:rPr>
              <w:t>Group</w:t>
            </w:r>
          </w:p>
        </w:tc>
        <w:tc>
          <w:tcPr>
            <w:tcW w:type="dxa" w:w="6192"/>
          </w:tcPr>
          <w:p>
            <w:r/>
            <w:r>
              <w:rPr>
                <w:b/>
                <w:sz w:val="18"/>
              </w:rPr>
              <w:t>Content</w:t>
            </w:r>
          </w:p>
        </w:tc>
        <w:tc>
          <w:tcPr>
            <w:tcW w:type="dxa" w:w="720"/>
          </w:tcPr>
          <w:p>
            <w:r/>
            <w:r>
              <w:rPr>
                <w:b/>
                <w:sz w:val="18"/>
              </w:rPr>
              <w:t>n</w:t>
            </w:r>
          </w:p>
        </w:tc>
      </w:tr>
      <w:tr>
        <w:tc>
          <w:tcPr>
            <w:tcW w:type="dxa" w:w="2016"/>
          </w:tcPr>
          <w:p>
            <w:pPr>
              <w:spacing w:after="20"/>
            </w:pPr>
            <w:r/>
            <w:r>
              <w:rPr>
                <w:sz w:val="18"/>
              </w:rPr>
              <w:t>B1 transaction</w:t>
            </w:r>
          </w:p>
        </w:tc>
        <w:tc>
          <w:tcPr>
            <w:tcW w:type="dxa" w:w="6192"/>
          </w:tcPr>
          <w:p>
            <w:pPr>
              <w:spacing w:after="20"/>
            </w:pPr>
            <w:r/>
            <w:r>
              <w:rPr>
                <w:sz w:val="18"/>
              </w:rPr>
              <w:t>amount, log amount, hour/day/date, channel, first-payment flag, 24h and 7d velocity, payer-relative amount z-score, amount/balance, recency</w:t>
            </w:r>
          </w:p>
        </w:tc>
        <w:tc>
          <w:tcPr>
            <w:tcW w:type="dxa" w:w="720"/>
          </w:tcPr>
          <w:p>
            <w:pPr>
              <w:spacing w:after="20"/>
              <w:jc w:val="right"/>
            </w:pPr>
            <w:r/>
            <w:r>
              <w:rPr>
                <w:sz w:val="18"/>
              </w:rPr>
              <w:t>13</w:t>
            </w:r>
          </w:p>
        </w:tc>
      </w:tr>
      <w:tr>
        <w:tc>
          <w:tcPr>
            <w:tcW w:type="dxa" w:w="2016"/>
          </w:tcPr>
          <w:p>
            <w:pPr>
              <w:spacing w:after="20"/>
            </w:pPr>
            <w:r/>
            <w:r>
              <w:rPr>
                <w:sz w:val="18"/>
              </w:rPr>
              <w:t>B2 payer session</w:t>
            </w:r>
          </w:p>
        </w:tc>
        <w:tc>
          <w:tcPr>
            <w:tcW w:type="dxa" w:w="6192"/>
          </w:tcPr>
          <w:p>
            <w:pPr>
              <w:spacing w:after="20"/>
            </w:pPr>
            <w:r/>
            <w:r>
              <w:rPr>
                <w:sz w:val="18"/>
              </w:rPr>
              <w:t>session duration, confirm-screen dwell, amount and payee-field edits, app switches, typing speed, device novelty and age, paste use, screen-on time, concurrent call</w:t>
            </w:r>
          </w:p>
        </w:tc>
        <w:tc>
          <w:tcPr>
            <w:tcW w:type="dxa" w:w="720"/>
          </w:tcPr>
          <w:p>
            <w:pPr>
              <w:spacing w:after="20"/>
              <w:jc w:val="right"/>
            </w:pPr>
            <w:r/>
            <w:r>
              <w:rPr>
                <w:sz w:val="18"/>
              </w:rPr>
              <w:t>11</w:t>
            </w:r>
          </w:p>
        </w:tc>
      </w:tr>
      <w:tr>
        <w:tc>
          <w:tcPr>
            <w:tcW w:type="dxa" w:w="2016"/>
          </w:tcPr>
          <w:p>
            <w:pPr>
              <w:spacing w:after="20"/>
            </w:pPr>
            <w:r/>
            <w:r>
              <w:rPr>
                <w:sz w:val="18"/>
              </w:rPr>
              <w:t>B3 beneficiary</w:t>
            </w:r>
          </w:p>
        </w:tc>
        <w:tc>
          <w:tcPr>
            <w:tcW w:type="dxa" w:w="6192"/>
          </w:tcPr>
          <w:p>
            <w:pPr>
              <w:spacing w:after="20"/>
            </w:pPr>
            <w:r/>
            <w:r>
              <w:rPr>
                <w:sz w:val="18"/>
              </w:rPr>
              <w:t>account age, 30d unique inflow payers, 30d inflow value, 24h fanout, 30d unique outflow payees, reciprocity, pair relationship months and prior count, report count, payer geo dispersion, inflow CV, periodicity, balance retention</w:t>
            </w:r>
          </w:p>
        </w:tc>
        <w:tc>
          <w:tcPr>
            <w:tcW w:type="dxa" w:w="720"/>
          </w:tcPr>
          <w:p>
            <w:pPr>
              <w:spacing w:after="20"/>
              <w:jc w:val="right"/>
            </w:pPr>
            <w:r/>
            <w:r>
              <w:rPr>
                <w:sz w:val="18"/>
              </w:rPr>
              <w:t>13</w:t>
            </w:r>
          </w:p>
        </w:tc>
      </w:tr>
      <w:tr>
        <w:tc>
          <w:tcPr>
            <w:tcW w:type="dxa" w:w="2016"/>
          </w:tcPr>
          <w:p>
            <w:pPr>
              <w:spacing w:after="20"/>
            </w:pPr>
            <w:r/>
            <w:r>
              <w:rPr>
                <w:sz w:val="18"/>
              </w:rPr>
              <w:t>B4a declared context</w:t>
            </w:r>
          </w:p>
        </w:tc>
        <w:tc>
          <w:tcPr>
            <w:tcW w:type="dxa" w:w="6192"/>
          </w:tcPr>
          <w:p>
            <w:pPr>
              <w:spacing w:after="20"/>
            </w:pPr>
            <w:r/>
            <w:r>
              <w:rPr>
                <w:sz w:val="18"/>
              </w:rPr>
              <w:t>purpose code</w:t>
            </w:r>
          </w:p>
        </w:tc>
        <w:tc>
          <w:tcPr>
            <w:tcW w:type="dxa" w:w="720"/>
          </w:tcPr>
          <w:p>
            <w:pPr>
              <w:spacing w:after="20"/>
              <w:jc w:val="right"/>
            </w:pPr>
            <w:r/>
            <w:r>
              <w:rPr>
                <w:sz w:val="18"/>
              </w:rPr>
              <w:t>1</w:t>
            </w:r>
          </w:p>
        </w:tc>
      </w:tr>
      <w:tr>
        <w:tc>
          <w:tcPr>
            <w:tcW w:type="dxa" w:w="2016"/>
          </w:tcPr>
          <w:p>
            <w:pPr>
              <w:spacing w:after="20"/>
            </w:pPr>
            <w:r/>
            <w:r>
              <w:rPr>
                <w:sz w:val="18"/>
              </w:rPr>
              <w:t>B4b declared context</w:t>
            </w:r>
          </w:p>
        </w:tc>
        <w:tc>
          <w:tcPr>
            <w:tcW w:type="dxa" w:w="6192"/>
          </w:tcPr>
          <w:p>
            <w:pPr>
              <w:spacing w:after="20"/>
            </w:pPr>
            <w:r/>
            <w:r>
              <w:rPr>
                <w:sz w:val="18"/>
              </w:rPr>
              <w:t>purpose code + Mahalanobis distance + log-likelihood + 13 per-feature residuals</w:t>
            </w:r>
          </w:p>
        </w:tc>
        <w:tc>
          <w:tcPr>
            <w:tcW w:type="dxa" w:w="720"/>
          </w:tcPr>
          <w:p>
            <w:pPr>
              <w:spacing w:after="20"/>
              <w:jc w:val="right"/>
            </w:pPr>
            <w:r/>
            <w:r>
              <w:rPr>
                <w:sz w:val="18"/>
              </w:rPr>
              <w:t>16</w:t>
            </w:r>
          </w:p>
        </w:tc>
      </w:tr>
    </w:tbl>
    <w:p>
      <w:pPr>
        <w:spacing w:after="40"/>
      </w:pPr>
    </w:p>
    <w:p>
      <w:pPr>
        <w:spacing w:before="240" w:after="60"/>
      </w:pPr>
      <w:r>
        <w:rPr>
          <w:b/>
          <w:sz w:val="23"/>
        </w:rPr>
        <w:t>Why B4b cannot leak the label</w:t>
      </w:r>
    </w:p>
    <w:p>
      <w:pPr>
        <w:spacing w:after="140"/>
      </w:pPr>
      <w:r>
        <w:rPr>
          <w:i w:val="0"/>
          <w:sz w:val="21"/>
        </w:rPr>
        <w:t>The consistency residuals are an unsupervised conditional density over beneficiary features, estimated per purpose class on training legitimate rows only. The label is used in exactly one place — to exclude known fraud from the reference set — which is what a bank does in production when it builds a profile from confirmed-good history. It is never a target, never enters the transform, and is never touched at test time. The quantile transform and every per-class moment are fitted on training data alone and then frozen, so no test row influences its own residual.</w:t>
      </w:r>
    </w:p>
    <w:p>
      <w:pPr>
        <w:spacing w:before="120" w:after="180"/>
        <w:ind w:left="317"/>
      </w:pPr>
      <w:r>
        <w:rPr>
          <w:b/>
          <w:color w:val="1F4E79"/>
          <w:sz w:val="21"/>
        </w:rPr>
        <w:t>A residual is not a beneficiary feature. It is a distance between a beneficiary and a purpose.</w:t>
      </w:r>
    </w:p>
    <w:p>
      <w:pPr>
        <w:spacing w:after="140"/>
      </w:pPr>
      <w:r>
        <w:rPr>
          <w:i w:val="0"/>
          <w:sz w:val="21"/>
        </w:rPr>
        <w:t>A model holding B3 alone cannot compute it, because it is never shown the purpose. A model holding the purpose alone cannot compute it either, because it is never shown the beneficiary. It exists only in the interaction, which is the hypothesis under test.</w:t>
      </w:r>
    </w:p>
    <w:p>
      <w:pPr>
        <w:spacing w:after="140"/>
      </w:pPr>
      <w:r>
        <w:rPr>
          <w:i w:val="0"/>
          <w:sz w:val="21"/>
        </w:rPr>
        <w:t>Two tests enforce this rather than asserting it. One permutes the B3 values of the fraud rows the model excludes and requires every residual to be bit-identical. The other requires that scoring a test set leaves the fitted reference unchanged. Beneficiary noise β is applied before the consistency model is fitted, so B4b never sees a cleaner view of the beneficiary than the B3 arm it is compared against.</w:t>
      </w:r>
    </w:p>
    <w:p>
      <w:pPr>
        <w:spacing w:before="240" w:after="60"/>
      </w:pPr>
      <w:r>
        <w:rPr>
          <w:b/>
          <w:sz w:val="23"/>
        </w:rPr>
        <w:t>How the consistency model is fitted</w:t>
      </w:r>
    </w:p>
    <w:p>
      <w:pPr>
        <w:spacing w:after="140"/>
      </w:pPr>
      <w:r>
        <w:rPr>
          <w:i w:val="0"/>
          <w:sz w:val="21"/>
        </w:rPr>
        <w:t>Inside every cell, on that cell's training split alone:</w:t>
      </w:r>
    </w:p>
    <w:p>
      <w:pPr>
        <w:pStyle w:val="ListBullet"/>
        <w:spacing w:after="60"/>
      </w:pPr>
      <w:r>
        <w:rPr>
          <w:sz w:val="21"/>
        </w:rPr>
        <w:t>Take training rows whose label is legitimate.</w:t>
      </w:r>
    </w:p>
    <w:p>
      <w:pPr>
        <w:pStyle w:val="ListBullet"/>
        <w:spacing w:after="60"/>
      </w:pPr>
      <w:r>
        <w:rPr>
          <w:sz w:val="21"/>
        </w:rPr>
        <w:t>Fit a quantile transformer with normal output on their beneficiary block, so heavy-tailed features such as inflow value and account age become comparable.</w:t>
      </w:r>
    </w:p>
    <w:p>
      <w:pPr>
        <w:pStyle w:val="ListBullet"/>
        <w:spacing w:after="60"/>
      </w:pPr>
      <w:r>
        <w:rPr>
          <w:sz w:val="21"/>
        </w:rPr>
        <w:t>For each declared-purpose class with at least 400 rows, estimate a mean and a Ledoit-Wolf shrunk covariance on the transformed block. Rarer classes fall back to a global legitimate reference.</w:t>
      </w:r>
    </w:p>
    <w:p>
      <w:pPr>
        <w:pStyle w:val="ListBullet"/>
        <w:spacing w:after="60"/>
      </w:pPr>
      <w:r>
        <w:rPr>
          <w:sz w:val="21"/>
        </w:rPr>
        <w:t>At scoring time, emit a Mahalanobis distance, a Gaussian log-likelihood, and thirteen per-feature standardised residuals.</w:t>
      </w:r>
    </w:p>
    <w:p>
      <w:pPr>
        <w:spacing w:after="140"/>
      </w:pPr>
      <w:r>
        <w:rPr>
          <w:i w:val="0"/>
          <w:sz w:val="21"/>
        </w:rPr>
        <w:t>Shrinkage is not optional here. Several beneficiary features are close to collinear within a purpose class, and an unshrunk covariance would invert unstably and produce residuals dominated by numerical noise rather than by the beneficiary.</w:t>
      </w:r>
    </w:p>
    <w:p>
      <w:pPr>
        <w:spacing w:before="240" w:after="60"/>
      </w:pPr>
      <w:r>
        <w:rPr>
          <w:b/>
          <w:sz w:val="23"/>
        </w:rPr>
        <w:t>The baseline gets the advantage</w:t>
      </w:r>
    </w:p>
    <w:p>
      <w:pPr>
        <w:spacing w:after="140"/>
      </w:pPr>
      <w:r>
        <w:rPr>
          <w:i w:val="0"/>
          <w:sz w:val="21"/>
        </w:rPr>
        <w:t>Hyperparameters were selected by 24-candidate random search under 5-fold payer-grouped cross-validation using the B1+B2+B3 feature set alone, then frozen and reused verbatim for every arm including both B4 variants. The incumbent received the entire tuning budget; the challenger received none.</w:t>
      </w:r>
    </w:p>
    <w:p>
      <w:pPr>
        <w:spacing w:after="140"/>
      </w:pPr>
      <w:r>
        <w:rPr>
          <w:i w:val="0"/>
          <w:sz w:val="21"/>
        </w:rPr>
        <w:t>Splits satisfy two constraints simultaneously. Grouped: 30% of payers are held out and a payer appears on exactly one side, which stops the model memorising individuals. Temporal: training is months 1–9 and test is months 10–12, which stops it learning from the future. Either constraint alone would leave an obvious route to an inflated result.</w:t>
      </w:r>
    </w:p>
    <w:p>
      <w:pPr>
        <w:spacing w:before="240" w:after="60"/>
      </w:pPr>
      <w:r>
        <w:rPr>
          <w:b/>
          <w:sz w:val="23"/>
        </w:rPr>
        <w:t>Why the bootstrap is clustered on payers</w:t>
      </w:r>
    </w:p>
    <w:p>
      <w:pPr>
        <w:spacing w:after="140"/>
      </w:pPr>
      <w:r>
        <w:rPr>
          <w:i w:val="0"/>
          <w:sz w:val="21"/>
        </w:rPr>
        <w:t>A payer's transactions are correlated — same device, same habits, same beneficiary portfolio, and in the fraudulent case the same scam episode. Resampling rows would treat those as independent observations and report confidence intervals that are too narrow, which is exactly the failure that makes a small effect look real. Every interval in this document comes from 1000 resamples of test payers, and the same resample weights are shared across arms so that the paired delta is computed on matched samples. That pairing is what makes an effect of a few percentage points resolvable at all.</w:t>
      </w:r>
    </w:p>
    <w:p>
      <w:pPr>
        <w:spacing w:before="240" w:after="60"/>
      </w:pPr>
      <w:r>
        <w:rPr>
          <w:b/>
          <w:sz w:val="23"/>
        </w:rPr>
        <w:t>Deterministic checks on the agentic surface</w:t>
      </w:r>
    </w:p>
    <w:p>
      <w:pPr>
        <w:spacing w:after="140"/>
      </w:pPr>
      <w:r>
        <w:rPr>
          <w:i w:val="0"/>
          <w:sz w:val="21"/>
        </w:rPr>
        <w:t>Ten checks, no model, no threshold, no training data. Each returns a boolean and a reason, and the same inputs always give the same answer — the property a statistical detector cannot offer.</w:t>
      </w:r>
    </w:p>
    <w:tbl>
      <w:tblPr>
        <w:tblStyle w:val="LightGrid-Accent1"/>
        <w:tblW w:type="auto" w:w="0"/>
        <w:jc w:val="center"/>
        <w:tblLook w:firstColumn="1" w:firstRow="1" w:lastColumn="0" w:lastRow="0" w:noHBand="0" w:noVBand="1" w:val="04A0"/>
      </w:tblPr>
      <w:tblGrid>
        <w:gridCol w:w="4752"/>
        <w:gridCol w:w="4752"/>
      </w:tblGrid>
      <w:tr>
        <w:tc>
          <w:tcPr>
            <w:tcW w:type="dxa" w:w="2592"/>
          </w:tcPr>
          <w:p>
            <w:r/>
            <w:r>
              <w:rPr>
                <w:b/>
                <w:sz w:val="18"/>
              </w:rPr>
              <w:t>Check</w:t>
            </w:r>
          </w:p>
        </w:tc>
        <w:tc>
          <w:tcPr>
            <w:tcW w:type="dxa" w:w="6480"/>
          </w:tcPr>
          <w:p>
            <w:r/>
            <w:r>
              <w:rPr>
                <w:b/>
                <w:sz w:val="18"/>
              </w:rPr>
              <w:t>What it enforces</w:t>
            </w:r>
          </w:p>
        </w:tc>
      </w:tr>
      <w:tr>
        <w:tc>
          <w:tcPr>
            <w:tcW w:type="dxa" w:w="2592"/>
          </w:tcPr>
          <w:p>
            <w:pPr>
              <w:spacing w:after="20"/>
            </w:pPr>
            <w:r/>
            <w:r>
              <w:rPr>
                <w:sz w:val="18"/>
              </w:rPr>
              <w:t>C1 amount scope</w:t>
            </w:r>
          </w:p>
        </w:tc>
        <w:tc>
          <w:tcPr>
            <w:tcW w:type="dxa" w:w="6480"/>
          </w:tcPr>
          <w:p>
            <w:pPr>
              <w:spacing w:after="20"/>
            </w:pPr>
            <w:r/>
            <w:r>
              <w:rPr>
                <w:sz w:val="18"/>
              </w:rPr>
              <w:t>cart amount within the mandate cap</w:t>
            </w:r>
          </w:p>
        </w:tc>
      </w:tr>
      <w:tr>
        <w:tc>
          <w:tcPr>
            <w:tcW w:type="dxa" w:w="2592"/>
          </w:tcPr>
          <w:p>
            <w:pPr>
              <w:spacing w:after="20"/>
            </w:pPr>
            <w:r/>
            <w:r>
              <w:rPr>
                <w:sz w:val="18"/>
              </w:rPr>
              <w:t>C2 category scope</w:t>
            </w:r>
          </w:p>
        </w:tc>
        <w:tc>
          <w:tcPr>
            <w:tcW w:type="dxa" w:w="6480"/>
          </w:tcPr>
          <w:p>
            <w:pPr>
              <w:spacing w:after="20"/>
            </w:pPr>
            <w:r/>
            <w:r>
              <w:rPr>
                <w:sz w:val="18"/>
              </w:rPr>
              <w:t>MCC within the allowed set</w:t>
            </w:r>
          </w:p>
        </w:tc>
      </w:tr>
      <w:tr>
        <w:tc>
          <w:tcPr>
            <w:tcW w:type="dxa" w:w="2592"/>
          </w:tcPr>
          <w:p>
            <w:pPr>
              <w:spacing w:after="20"/>
            </w:pPr>
            <w:r/>
            <w:r>
              <w:rPr>
                <w:sz w:val="18"/>
              </w:rPr>
              <w:t>C3 merchant scope</w:t>
            </w:r>
          </w:p>
        </w:tc>
        <w:tc>
          <w:tcPr>
            <w:tcW w:type="dxa" w:w="6480"/>
          </w:tcPr>
          <w:p>
            <w:pPr>
              <w:spacing w:after="20"/>
            </w:pPr>
            <w:r/>
            <w:r>
              <w:rPr>
                <w:sz w:val="18"/>
              </w:rPr>
              <w:t>merchant within the allowed set</w:t>
            </w:r>
          </w:p>
        </w:tc>
      </w:tr>
      <w:tr>
        <w:tc>
          <w:tcPr>
            <w:tcW w:type="dxa" w:w="2592"/>
          </w:tcPr>
          <w:p>
            <w:pPr>
              <w:spacing w:after="20"/>
            </w:pPr>
            <w:r/>
            <w:r>
              <w:rPr>
                <w:sz w:val="18"/>
              </w:rPr>
              <w:t>C4 temporal validity</w:t>
            </w:r>
          </w:p>
        </w:tc>
        <w:tc>
          <w:tcPr>
            <w:tcW w:type="dxa" w:w="6480"/>
          </w:tcPr>
          <w:p>
            <w:pPr>
              <w:spacing w:after="20"/>
            </w:pPr>
            <w:r/>
            <w:r>
              <w:rPr>
                <w:sz w:val="18"/>
              </w:rPr>
              <w:t>inside the mandate's validity window</w:t>
            </w:r>
          </w:p>
        </w:tc>
      </w:tr>
      <w:tr>
        <w:tc>
          <w:tcPr>
            <w:tcW w:type="dxa" w:w="2592"/>
          </w:tcPr>
          <w:p>
            <w:pPr>
              <w:spacing w:after="20"/>
            </w:pPr>
            <w:r/>
            <w:r>
              <w:rPr>
                <w:sz w:val="18"/>
              </w:rPr>
              <w:t>C5 nonce freshness</w:t>
            </w:r>
          </w:p>
        </w:tc>
        <w:tc>
          <w:tcPr>
            <w:tcW w:type="dxa" w:w="6480"/>
          </w:tcPr>
          <w:p>
            <w:pPr>
              <w:spacing w:after="20"/>
            </w:pPr>
            <w:r/>
            <w:r>
              <w:rPr>
                <w:sz w:val="18"/>
              </w:rPr>
              <w:t>the mandate presentation has not been replayed</w:t>
            </w:r>
          </w:p>
        </w:tc>
      </w:tr>
      <w:tr>
        <w:tc>
          <w:tcPr>
            <w:tcW w:type="dxa" w:w="2592"/>
          </w:tcPr>
          <w:p>
            <w:pPr>
              <w:spacing w:after="20"/>
            </w:pPr>
            <w:r/>
            <w:r>
              <w:rPr>
                <w:sz w:val="18"/>
              </w:rPr>
              <w:t>C6 cumulative cap</w:t>
            </w:r>
          </w:p>
        </w:tc>
        <w:tc>
          <w:tcPr>
            <w:tcW w:type="dxa" w:w="6480"/>
          </w:tcPr>
          <w:p>
            <w:pPr>
              <w:spacing w:after="20"/>
            </w:pPr>
            <w:r/>
            <w:r>
              <w:rPr>
                <w:sz w:val="18"/>
              </w:rPr>
              <w:t>aggregate spend across carts within the cumulative cap</w:t>
            </w:r>
          </w:p>
        </w:tc>
      </w:tr>
      <w:tr>
        <w:tc>
          <w:tcPr>
            <w:tcW w:type="dxa" w:w="2592"/>
          </w:tcPr>
          <w:p>
            <w:pPr>
              <w:spacing w:after="20"/>
            </w:pPr>
            <w:r/>
            <w:r>
              <w:rPr>
                <w:sz w:val="18"/>
              </w:rPr>
              <w:t>C7 agent binding</w:t>
            </w:r>
          </w:p>
        </w:tc>
        <w:tc>
          <w:tcPr>
            <w:tcW w:type="dxa" w:w="6480"/>
          </w:tcPr>
          <w:p>
            <w:pPr>
              <w:spacing w:after="20"/>
            </w:pPr>
            <w:r/>
            <w:r>
              <w:rPr>
                <w:sz w:val="18"/>
              </w:rPr>
              <w:t>Ed25519 attestation by the delegated agent</w:t>
            </w:r>
          </w:p>
        </w:tc>
      </w:tr>
      <w:tr>
        <w:tc>
          <w:tcPr>
            <w:tcW w:type="dxa" w:w="2592"/>
          </w:tcPr>
          <w:p>
            <w:pPr>
              <w:spacing w:after="20"/>
            </w:pPr>
            <w:r/>
            <w:r>
              <w:rPr>
                <w:sz w:val="18"/>
              </w:rPr>
              <w:t>C8 confirmation binding</w:t>
            </w:r>
          </w:p>
        </w:tc>
        <w:tc>
          <w:tcPr>
            <w:tcW w:type="dxa" w:w="6480"/>
          </w:tcPr>
          <w:p>
            <w:pPr>
              <w:spacing w:after="20"/>
            </w:pPr>
            <w:r/>
            <w:r>
              <w:rPr>
                <w:sz w:val="18"/>
              </w:rPr>
              <w:t>what the user confirmed matches the cart's line items</w:t>
            </w:r>
          </w:p>
        </w:tc>
      </w:tr>
      <w:tr>
        <w:tc>
          <w:tcPr>
            <w:tcW w:type="dxa" w:w="2592"/>
          </w:tcPr>
          <w:p>
            <w:pPr>
              <w:spacing w:after="20"/>
            </w:pPr>
            <w:r/>
            <w:r>
              <w:rPr>
                <w:sz w:val="18"/>
              </w:rPr>
              <w:t>C9 revocation state</w:t>
            </w:r>
          </w:p>
        </w:tc>
        <w:tc>
          <w:tcPr>
            <w:tcW w:type="dxa" w:w="6480"/>
          </w:tcPr>
          <w:p>
            <w:pPr>
              <w:spacing w:after="20"/>
            </w:pPr>
            <w:r/>
            <w:r>
              <w:rPr>
                <w:sz w:val="18"/>
              </w:rPr>
              <w:t>the mandate has not been revoked</w:t>
            </w:r>
          </w:p>
        </w:tc>
      </w:tr>
      <w:tr>
        <w:tc>
          <w:tcPr>
            <w:tcW w:type="dxa" w:w="2592"/>
          </w:tcPr>
          <w:p>
            <w:pPr>
              <w:spacing w:after="20"/>
            </w:pPr>
            <w:r/>
            <w:r>
              <w:rPr>
                <w:sz w:val="18"/>
              </w:rPr>
              <w:t>C10 mandate signature</w:t>
            </w:r>
          </w:p>
        </w:tc>
        <w:tc>
          <w:tcPr>
            <w:tcW w:type="dxa" w:w="6480"/>
          </w:tcPr>
          <w:p>
            <w:pPr>
              <w:spacing w:after="20"/>
            </w:pPr>
            <w:r/>
            <w:r>
              <w:rPr>
                <w:sz w:val="18"/>
              </w:rPr>
              <w:t>Ed25519 signature by the principal over canonical JSON</w:t>
            </w:r>
          </w:p>
        </w:tc>
      </w:tr>
    </w:tbl>
    <w:p>
      <w:pPr>
        <w:spacing w:after="40"/>
      </w:pPr>
    </w:p>
    <w:p>
      <w:pPr>
        <w:spacing w:before="400" w:after="60"/>
      </w:pPr>
      <w:r>
        <w:rPr>
          <w:b/>
          <w:color w:val="11161F"/>
          <w:sz w:val="32"/>
        </w:rPr>
        <w:t>7. Results</w:t>
      </w:r>
    </w:p>
    <w:p>
      <w:pPr>
        <w:spacing w:after="180"/>
      </w:pPr>
      <w:r>
        <w:rPr>
          <w:i/>
          <w:color w:val="1F4E79"/>
          <w:sz w:val="18"/>
        </w:rPr>
        <w:t>Rubric: results, analysis and honesty</w:t>
      </w:r>
    </w:p>
    <w:p>
      <w:pPr>
        <w:spacing w:before="240" w:after="60"/>
      </w:pPr>
      <w:r>
        <w:rPr>
          <w:b/>
          <w:sz w:val="23"/>
        </w:rPr>
        <w:t>Ablation at the base configuration</w:t>
      </w:r>
    </w:p>
    <w:p>
      <w:pPr>
        <w:spacing w:after="140"/>
      </w:pPr>
      <w:r>
        <w:rPr>
          <w:i w:val="0"/>
          <w:sz w:val="21"/>
        </w:rPr>
        <w:t>ρ = 0.4, λ = 0.1, K = 11, β = 0.5, seed 0. Train 1,040,110 rows / 17,500 payers; test 167,345 rows / 7,500 payers / 1,390 fraudulent transactions (0.831%). Confidence intervals are 1000-resample bootstrap clustered on test payers.</w:t>
      </w:r>
    </w:p>
    <w:tbl>
      <w:tblPr>
        <w:tblStyle w:val="LightGrid-Accent1"/>
        <w:tblW w:type="auto" w:w="0"/>
        <w:jc w:val="center"/>
        <w:tblLook w:firstColumn="1" w:firstRow="1" w:lastColumn="0" w:lastRow="0" w:noHBand="0" w:noVBand="1" w:val="04A0"/>
      </w:tblPr>
      <w:tblGrid>
        <w:gridCol w:w="1901"/>
        <w:gridCol w:w="1901"/>
        <w:gridCol w:w="1901"/>
        <w:gridCol w:w="1901"/>
        <w:gridCol w:w="1901"/>
      </w:tblGrid>
      <w:tr>
        <w:tc>
          <w:tcPr>
            <w:tcW w:type="dxa" w:w="2160"/>
          </w:tcPr>
          <w:p>
            <w:r/>
            <w:r>
              <w:rPr>
                <w:b/>
                <w:sz w:val="17"/>
              </w:rPr>
              <w:t>Arm</w:t>
            </w:r>
          </w:p>
        </w:tc>
        <w:tc>
          <w:tcPr>
            <w:tcW w:type="dxa" w:w="720"/>
          </w:tcPr>
          <w:p>
            <w:r/>
            <w:r>
              <w:rPr>
                <w:b/>
                <w:sz w:val="17"/>
              </w:rPr>
              <w:t>Feat.</w:t>
            </w:r>
          </w:p>
        </w:tc>
        <w:tc>
          <w:tcPr>
            <w:tcW w:type="dxa" w:w="1152"/>
          </w:tcPr>
          <w:p>
            <w:r/>
            <w:r>
              <w:rPr>
                <w:b/>
                <w:sz w:val="17"/>
              </w:rPr>
              <w:t>PR-AUC</w:t>
            </w:r>
          </w:p>
        </w:tc>
        <w:tc>
          <w:tcPr>
            <w:tcW w:type="dxa" w:w="2736"/>
          </w:tcPr>
          <w:p>
            <w:r/>
            <w:r>
              <w:rPr>
                <w:b/>
                <w:sz w:val="17"/>
              </w:rPr>
              <w:t>Recall @ FPR 0.1%</w:t>
            </w:r>
          </w:p>
        </w:tc>
        <w:tc>
          <w:tcPr>
            <w:tcW w:type="dxa" w:w="2736"/>
          </w:tcPr>
          <w:p>
            <w:r/>
            <w:r>
              <w:rPr>
                <w:b/>
                <w:sz w:val="17"/>
              </w:rPr>
              <w:t>FPR @ recall 70%</w:t>
            </w:r>
          </w:p>
        </w:tc>
      </w:tr>
      <w:tr>
        <w:tc>
          <w:tcPr>
            <w:tcW w:type="dxa" w:w="2160"/>
          </w:tcPr>
          <w:p>
            <w:pPr>
              <w:spacing w:after="20"/>
            </w:pPr>
            <w:r/>
            <w:r>
              <w:rPr>
                <w:sz w:val="17"/>
              </w:rPr>
              <w:t>B1</w:t>
            </w:r>
          </w:p>
        </w:tc>
        <w:tc>
          <w:tcPr>
            <w:tcW w:type="dxa" w:w="720"/>
          </w:tcPr>
          <w:p>
            <w:pPr>
              <w:spacing w:after="20"/>
              <w:jc w:val="right"/>
            </w:pPr>
            <w:r/>
            <w:r>
              <w:rPr>
                <w:sz w:val="17"/>
              </w:rPr>
              <w:t>13</w:t>
            </w:r>
          </w:p>
        </w:tc>
        <w:tc>
          <w:tcPr>
            <w:tcW w:type="dxa" w:w="1152"/>
          </w:tcPr>
          <w:p>
            <w:pPr>
              <w:spacing w:after="20"/>
              <w:jc w:val="right"/>
            </w:pPr>
            <w:r/>
            <w:r>
              <w:rPr>
                <w:sz w:val="17"/>
              </w:rPr>
              <w:t>0.3198</w:t>
            </w:r>
          </w:p>
        </w:tc>
        <w:tc>
          <w:tcPr>
            <w:tcW w:type="dxa" w:w="2736"/>
          </w:tcPr>
          <w:p>
            <w:pPr>
              <w:spacing w:after="20"/>
              <w:jc w:val="right"/>
            </w:pPr>
            <w:r/>
            <w:r>
              <w:rPr>
                <w:sz w:val="17"/>
              </w:rPr>
              <w:t>0.1978 [0.1697, 0.2280]</w:t>
            </w:r>
          </w:p>
        </w:tc>
        <w:tc>
          <w:tcPr>
            <w:tcW w:type="dxa" w:w="2736"/>
          </w:tcPr>
          <w:p>
            <w:pPr>
              <w:spacing w:after="20"/>
              <w:jc w:val="right"/>
            </w:pPr>
            <w:r/>
            <w:r>
              <w:rPr>
                <w:sz w:val="17"/>
              </w:rPr>
              <w:t>0.05066 [0.04357, 0.05648]</w:t>
            </w:r>
          </w:p>
        </w:tc>
      </w:tr>
      <w:tr>
        <w:tc>
          <w:tcPr>
            <w:tcW w:type="dxa" w:w="2160"/>
          </w:tcPr>
          <w:p>
            <w:pPr>
              <w:spacing w:after="20"/>
            </w:pPr>
            <w:r/>
            <w:r>
              <w:rPr>
                <w:sz w:val="17"/>
              </w:rPr>
              <w:t>B1+B2</w:t>
            </w:r>
          </w:p>
        </w:tc>
        <w:tc>
          <w:tcPr>
            <w:tcW w:type="dxa" w:w="720"/>
          </w:tcPr>
          <w:p>
            <w:pPr>
              <w:spacing w:after="20"/>
              <w:jc w:val="right"/>
            </w:pPr>
            <w:r/>
            <w:r>
              <w:rPr>
                <w:sz w:val="17"/>
              </w:rPr>
              <w:t>24</w:t>
            </w:r>
          </w:p>
        </w:tc>
        <w:tc>
          <w:tcPr>
            <w:tcW w:type="dxa" w:w="1152"/>
          </w:tcPr>
          <w:p>
            <w:pPr>
              <w:spacing w:after="20"/>
              <w:jc w:val="right"/>
            </w:pPr>
            <w:r/>
            <w:r>
              <w:rPr>
                <w:sz w:val="17"/>
              </w:rPr>
              <w:t>0.6977</w:t>
            </w:r>
          </w:p>
        </w:tc>
        <w:tc>
          <w:tcPr>
            <w:tcW w:type="dxa" w:w="2736"/>
          </w:tcPr>
          <w:p>
            <w:pPr>
              <w:spacing w:after="20"/>
              <w:jc w:val="right"/>
            </w:pPr>
            <w:r/>
            <w:r>
              <w:rPr>
                <w:sz w:val="17"/>
              </w:rPr>
              <w:t>0.5094 [0.4671, 0.5514]</w:t>
            </w:r>
          </w:p>
        </w:tc>
        <w:tc>
          <w:tcPr>
            <w:tcW w:type="dxa" w:w="2736"/>
          </w:tcPr>
          <w:p>
            <w:pPr>
              <w:spacing w:after="20"/>
              <w:jc w:val="right"/>
            </w:pPr>
            <w:r/>
            <w:r>
              <w:rPr>
                <w:sz w:val="17"/>
              </w:rPr>
              <w:t>0.00322 [0.00261, 0.00417]</w:t>
            </w:r>
          </w:p>
        </w:tc>
      </w:tr>
      <w:tr>
        <w:tc>
          <w:tcPr>
            <w:tcW w:type="dxa" w:w="2160"/>
          </w:tcPr>
          <w:p>
            <w:pPr>
              <w:spacing w:after="20"/>
            </w:pPr>
            <w:r/>
            <w:r>
              <w:rPr>
                <w:sz w:val="17"/>
              </w:rPr>
              <w:t>B1+B2+B3  ← baseline</w:t>
            </w:r>
          </w:p>
        </w:tc>
        <w:tc>
          <w:tcPr>
            <w:tcW w:type="dxa" w:w="720"/>
          </w:tcPr>
          <w:p>
            <w:pPr>
              <w:spacing w:after="20"/>
              <w:jc w:val="right"/>
            </w:pPr>
            <w:r/>
            <w:r>
              <w:rPr>
                <w:sz w:val="17"/>
              </w:rPr>
              <w:t>37</w:t>
            </w:r>
          </w:p>
        </w:tc>
        <w:tc>
          <w:tcPr>
            <w:tcW w:type="dxa" w:w="1152"/>
          </w:tcPr>
          <w:p>
            <w:pPr>
              <w:spacing w:after="20"/>
              <w:jc w:val="right"/>
            </w:pPr>
            <w:r/>
            <w:r>
              <w:rPr>
                <w:sz w:val="17"/>
              </w:rPr>
              <w:t>0.9624</w:t>
            </w:r>
          </w:p>
        </w:tc>
        <w:tc>
          <w:tcPr>
            <w:tcW w:type="dxa" w:w="2736"/>
          </w:tcPr>
          <w:p>
            <w:pPr>
              <w:spacing w:after="20"/>
              <w:jc w:val="right"/>
            </w:pPr>
            <w:r/>
            <w:r>
              <w:rPr>
                <w:sz w:val="17"/>
              </w:rPr>
              <w:t>0.8942 [0.8704, 0.9227]</w:t>
            </w:r>
          </w:p>
        </w:tc>
        <w:tc>
          <w:tcPr>
            <w:tcW w:type="dxa" w:w="2736"/>
          </w:tcPr>
          <w:p>
            <w:pPr>
              <w:spacing w:after="20"/>
              <w:jc w:val="right"/>
            </w:pPr>
            <w:r/>
            <w:r>
              <w:rPr>
                <w:sz w:val="17"/>
              </w:rPr>
              <w:t>0.00009 [0.00004, 0.00015]</w:t>
            </w:r>
          </w:p>
        </w:tc>
      </w:tr>
      <w:tr>
        <w:tc>
          <w:tcPr>
            <w:tcW w:type="dxa" w:w="2160"/>
          </w:tcPr>
          <w:p>
            <w:pPr>
              <w:spacing w:after="20"/>
            </w:pPr>
            <w:r/>
            <w:r>
              <w:rPr>
                <w:sz w:val="17"/>
              </w:rPr>
              <w:t>B1+B2+B3+B4a</w:t>
            </w:r>
          </w:p>
        </w:tc>
        <w:tc>
          <w:tcPr>
            <w:tcW w:type="dxa" w:w="720"/>
          </w:tcPr>
          <w:p>
            <w:pPr>
              <w:spacing w:after="20"/>
              <w:jc w:val="right"/>
            </w:pPr>
            <w:r/>
            <w:r>
              <w:rPr>
                <w:sz w:val="17"/>
              </w:rPr>
              <w:t>38</w:t>
            </w:r>
          </w:p>
        </w:tc>
        <w:tc>
          <w:tcPr>
            <w:tcW w:type="dxa" w:w="1152"/>
          </w:tcPr>
          <w:p>
            <w:pPr>
              <w:spacing w:after="20"/>
              <w:jc w:val="right"/>
            </w:pPr>
            <w:r/>
            <w:r>
              <w:rPr>
                <w:sz w:val="17"/>
              </w:rPr>
              <w:t>0.9853</w:t>
            </w:r>
          </w:p>
        </w:tc>
        <w:tc>
          <w:tcPr>
            <w:tcW w:type="dxa" w:w="2736"/>
          </w:tcPr>
          <w:p>
            <w:pPr>
              <w:spacing w:after="20"/>
              <w:jc w:val="right"/>
            </w:pPr>
            <w:r/>
            <w:r>
              <w:rPr>
                <w:sz w:val="17"/>
              </w:rPr>
              <w:t>0.9640 [0.9507, 0.9767]</w:t>
            </w:r>
          </w:p>
        </w:tc>
        <w:tc>
          <w:tcPr>
            <w:tcW w:type="dxa" w:w="2736"/>
          </w:tcPr>
          <w:p>
            <w:pPr>
              <w:spacing w:after="20"/>
              <w:jc w:val="right"/>
            </w:pPr>
            <w:r/>
            <w:r>
              <w:rPr>
                <w:sz w:val="17"/>
              </w:rPr>
              <w:t>0.00003 [0.00001, 0.00007]</w:t>
            </w:r>
          </w:p>
        </w:tc>
      </w:tr>
      <w:tr>
        <w:tc>
          <w:tcPr>
            <w:tcW w:type="dxa" w:w="2160"/>
          </w:tcPr>
          <w:p>
            <w:pPr>
              <w:spacing w:after="20"/>
            </w:pPr>
            <w:r/>
            <w:r>
              <w:rPr>
                <w:sz w:val="17"/>
              </w:rPr>
              <w:t>B1+B2+B3+B4b</w:t>
            </w:r>
          </w:p>
        </w:tc>
        <w:tc>
          <w:tcPr>
            <w:tcW w:type="dxa" w:w="720"/>
          </w:tcPr>
          <w:p>
            <w:pPr>
              <w:spacing w:after="20"/>
              <w:jc w:val="right"/>
            </w:pPr>
            <w:r/>
            <w:r>
              <w:rPr>
                <w:sz w:val="17"/>
              </w:rPr>
              <w:t>53</w:t>
            </w:r>
          </w:p>
        </w:tc>
        <w:tc>
          <w:tcPr>
            <w:tcW w:type="dxa" w:w="1152"/>
          </w:tcPr>
          <w:p>
            <w:pPr>
              <w:spacing w:after="20"/>
              <w:jc w:val="right"/>
            </w:pPr>
            <w:r/>
            <w:r>
              <w:rPr>
                <w:sz w:val="17"/>
              </w:rPr>
              <w:t>0.9858</w:t>
            </w:r>
          </w:p>
        </w:tc>
        <w:tc>
          <w:tcPr>
            <w:tcW w:type="dxa" w:w="2736"/>
          </w:tcPr>
          <w:p>
            <w:pPr>
              <w:spacing w:after="20"/>
              <w:jc w:val="right"/>
            </w:pPr>
            <w:r/>
            <w:r>
              <w:rPr>
                <w:sz w:val="17"/>
              </w:rPr>
              <w:t>0.9698 [0.9573, 0.9805]</w:t>
            </w:r>
          </w:p>
        </w:tc>
        <w:tc>
          <w:tcPr>
            <w:tcW w:type="dxa" w:w="2736"/>
          </w:tcPr>
          <w:p>
            <w:pPr>
              <w:spacing w:after="20"/>
              <w:jc w:val="right"/>
            </w:pPr>
            <w:r/>
            <w:r>
              <w:rPr>
                <w:sz w:val="17"/>
              </w:rPr>
              <w:t>0.00004 [0.00001, 0.00008]</w:t>
            </w:r>
          </w:p>
        </w:tc>
      </w:tr>
    </w:tbl>
    <w:p>
      <w:pPr>
        <w:spacing w:after="40"/>
      </w:pPr>
    </w:p>
    <w:p>
      <w:pPr>
        <w:spacing w:before="240" w:after="60"/>
      </w:pPr>
      <w:r>
        <w:rPr>
          <w:b/>
          <w:sz w:val="23"/>
        </w:rPr>
        <w:t>Paired delta against the baseline</w:t>
      </w:r>
    </w:p>
    <w:p>
      <w:pPr>
        <w:spacing w:after="140"/>
      </w:pPr>
      <w:r>
        <w:rPr>
          <w:i w:val="0"/>
          <w:sz w:val="21"/>
        </w:rPr>
        <w:t>Deltas are computed on shared bootstrap resamples and signed so that positive always means declared context helped.</w:t>
      </w:r>
    </w:p>
    <w:tbl>
      <w:tblPr>
        <w:tblStyle w:val="LightGrid-Accent1"/>
        <w:tblW w:type="auto" w:w="0"/>
        <w:jc w:val="center"/>
        <w:tblLook w:firstColumn="1" w:firstRow="1" w:lastColumn="0" w:lastRow="0" w:noHBand="0" w:noVBand="1" w:val="04A0"/>
      </w:tblPr>
      <w:tblGrid>
        <w:gridCol w:w="1901"/>
        <w:gridCol w:w="1901"/>
        <w:gridCol w:w="1901"/>
        <w:gridCol w:w="1901"/>
        <w:gridCol w:w="1901"/>
      </w:tblGrid>
      <w:tr>
        <w:tc>
          <w:tcPr>
            <w:tcW w:type="dxa" w:w="1008"/>
          </w:tcPr>
          <w:p>
            <w:r/>
            <w:r>
              <w:rPr>
                <w:b/>
                <w:sz w:val="17"/>
              </w:rPr>
              <w:t>Arm</w:t>
            </w:r>
          </w:p>
        </w:tc>
        <w:tc>
          <w:tcPr>
            <w:tcW w:type="dxa" w:w="2304"/>
          </w:tcPr>
          <w:p>
            <w:r/>
            <w:r>
              <w:rPr>
                <w:b/>
                <w:sz w:val="17"/>
              </w:rPr>
              <w:t>Metric</w:t>
            </w:r>
          </w:p>
        </w:tc>
        <w:tc>
          <w:tcPr>
            <w:tcW w:type="dxa" w:w="1440"/>
          </w:tcPr>
          <w:p>
            <w:r/>
            <w:r>
              <w:rPr>
                <w:b/>
                <w:sz w:val="17"/>
              </w:rPr>
              <w:t>Δ</w:t>
            </w:r>
          </w:p>
        </w:tc>
        <w:tc>
          <w:tcPr>
            <w:tcW w:type="dxa" w:w="2736"/>
          </w:tcPr>
          <w:p>
            <w:r/>
            <w:r>
              <w:rPr>
                <w:b/>
                <w:sz w:val="17"/>
              </w:rPr>
              <w:t>95% CI</w:t>
            </w:r>
          </w:p>
        </w:tc>
        <w:tc>
          <w:tcPr>
            <w:tcW w:type="dxa" w:w="1584"/>
          </w:tcPr>
          <w:p>
            <w:r/>
            <w:r>
              <w:rPr>
                <w:b/>
                <w:sz w:val="17"/>
              </w:rPr>
            </w:r>
          </w:p>
        </w:tc>
      </w:tr>
      <w:tr>
        <w:tc>
          <w:tcPr>
            <w:tcW w:type="dxa" w:w="1008"/>
          </w:tcPr>
          <w:p>
            <w:pPr>
              <w:spacing w:after="20"/>
            </w:pPr>
            <w:r/>
            <w:r>
              <w:rPr>
                <w:sz w:val="17"/>
              </w:rPr>
              <w:t>+B4a</w:t>
            </w:r>
          </w:p>
        </w:tc>
        <w:tc>
          <w:tcPr>
            <w:tcW w:type="dxa" w:w="2304"/>
          </w:tcPr>
          <w:p>
            <w:pPr>
              <w:spacing w:after="20"/>
            </w:pPr>
            <w:r/>
            <w:r>
              <w:rPr>
                <w:sz w:val="17"/>
              </w:rPr>
              <w:t>recall@fpr=0.001</w:t>
            </w:r>
          </w:p>
        </w:tc>
        <w:tc>
          <w:tcPr>
            <w:tcW w:type="dxa" w:w="1440"/>
          </w:tcPr>
          <w:p>
            <w:pPr>
              <w:spacing w:after="20"/>
              <w:jc w:val="right"/>
            </w:pPr>
            <w:r/>
            <w:r>
              <w:rPr>
                <w:sz w:val="17"/>
              </w:rPr>
              <w:t>+0.06978</w:t>
            </w:r>
          </w:p>
        </w:tc>
        <w:tc>
          <w:tcPr>
            <w:tcW w:type="dxa" w:w="2736"/>
          </w:tcPr>
          <w:p>
            <w:pPr>
              <w:spacing w:after="20"/>
              <w:jc w:val="right"/>
            </w:pPr>
            <w:r/>
            <w:r>
              <w:rPr>
                <w:sz w:val="17"/>
              </w:rPr>
              <w:t>[+0.04686, +0.08811]</w:t>
            </w:r>
          </w:p>
        </w:tc>
        <w:tc>
          <w:tcPr>
            <w:tcW w:type="dxa" w:w="1584"/>
          </w:tcPr>
          <w:p>
            <w:pPr>
              <w:spacing w:after="20"/>
            </w:pPr>
            <w:r/>
            <w:r>
              <w:rPr>
                <w:sz w:val="17"/>
              </w:rPr>
              <w:t>significant</w:t>
            </w:r>
          </w:p>
        </w:tc>
      </w:tr>
      <w:tr>
        <w:tc>
          <w:tcPr>
            <w:tcW w:type="dxa" w:w="1008"/>
          </w:tcPr>
          <w:p>
            <w:pPr>
              <w:spacing w:after="20"/>
            </w:pPr>
            <w:r/>
            <w:r>
              <w:rPr>
                <w:sz w:val="17"/>
              </w:rPr>
              <w:t>+B4a</w:t>
            </w:r>
          </w:p>
        </w:tc>
        <w:tc>
          <w:tcPr>
            <w:tcW w:type="dxa" w:w="2304"/>
          </w:tcPr>
          <w:p>
            <w:pPr>
              <w:spacing w:after="20"/>
            </w:pPr>
            <w:r/>
            <w:r>
              <w:rPr>
                <w:sz w:val="17"/>
              </w:rPr>
              <w:t>recall@fpr=0.005</w:t>
            </w:r>
          </w:p>
        </w:tc>
        <w:tc>
          <w:tcPr>
            <w:tcW w:type="dxa" w:w="1440"/>
          </w:tcPr>
          <w:p>
            <w:pPr>
              <w:spacing w:after="20"/>
              <w:jc w:val="right"/>
            </w:pPr>
            <w:r/>
            <w:r>
              <w:rPr>
                <w:sz w:val="17"/>
              </w:rPr>
              <w:t>+0.01079</w:t>
            </w:r>
          </w:p>
        </w:tc>
        <w:tc>
          <w:tcPr>
            <w:tcW w:type="dxa" w:w="2736"/>
          </w:tcPr>
          <w:p>
            <w:pPr>
              <w:spacing w:after="20"/>
              <w:jc w:val="right"/>
            </w:pPr>
            <w:r/>
            <w:r>
              <w:rPr>
                <w:sz w:val="17"/>
              </w:rPr>
              <w:t>[+0.00538, +0.01768]</w:t>
            </w:r>
          </w:p>
        </w:tc>
        <w:tc>
          <w:tcPr>
            <w:tcW w:type="dxa" w:w="1584"/>
          </w:tcPr>
          <w:p>
            <w:pPr>
              <w:spacing w:after="20"/>
            </w:pPr>
            <w:r/>
            <w:r>
              <w:rPr>
                <w:sz w:val="17"/>
              </w:rPr>
              <w:t>significant</w:t>
            </w:r>
          </w:p>
        </w:tc>
      </w:tr>
      <w:tr>
        <w:tc>
          <w:tcPr>
            <w:tcW w:type="dxa" w:w="1008"/>
          </w:tcPr>
          <w:p>
            <w:pPr>
              <w:spacing w:after="20"/>
            </w:pPr>
            <w:r/>
            <w:r>
              <w:rPr>
                <w:sz w:val="17"/>
              </w:rPr>
              <w:t>+B4a</w:t>
            </w:r>
          </w:p>
        </w:tc>
        <w:tc>
          <w:tcPr>
            <w:tcW w:type="dxa" w:w="2304"/>
          </w:tcPr>
          <w:p>
            <w:pPr>
              <w:spacing w:after="20"/>
            </w:pPr>
            <w:r/>
            <w:r>
              <w:rPr>
                <w:sz w:val="17"/>
              </w:rPr>
              <w:t>recall@fpr=0.01</w:t>
            </w:r>
          </w:p>
        </w:tc>
        <w:tc>
          <w:tcPr>
            <w:tcW w:type="dxa" w:w="1440"/>
          </w:tcPr>
          <w:p>
            <w:pPr>
              <w:spacing w:after="20"/>
              <w:jc w:val="right"/>
            </w:pPr>
            <w:r/>
            <w:r>
              <w:rPr>
                <w:sz w:val="17"/>
              </w:rPr>
              <w:t>+0.00216</w:t>
            </w:r>
          </w:p>
        </w:tc>
        <w:tc>
          <w:tcPr>
            <w:tcW w:type="dxa" w:w="2736"/>
          </w:tcPr>
          <w:p>
            <w:pPr>
              <w:spacing w:after="20"/>
              <w:jc w:val="right"/>
            </w:pPr>
            <w:r/>
            <w:r>
              <w:rPr>
                <w:sz w:val="17"/>
              </w:rPr>
              <w:t>[-0.00071, +0.00624]</w:t>
            </w:r>
          </w:p>
        </w:tc>
        <w:tc>
          <w:tcPr>
            <w:tcW w:type="dxa" w:w="1584"/>
          </w:tcPr>
          <w:p>
            <w:pPr>
              <w:spacing w:after="20"/>
            </w:pPr>
            <w:r/>
            <w:r>
              <w:rPr>
                <w:sz w:val="17"/>
              </w:rPr>
              <w:t>—</w:t>
            </w:r>
          </w:p>
        </w:tc>
      </w:tr>
      <w:tr>
        <w:tc>
          <w:tcPr>
            <w:tcW w:type="dxa" w:w="1008"/>
          </w:tcPr>
          <w:p>
            <w:pPr>
              <w:spacing w:after="20"/>
            </w:pPr>
            <w:r/>
            <w:r>
              <w:rPr>
                <w:sz w:val="17"/>
              </w:rPr>
              <w:t>+B4a</w:t>
            </w:r>
          </w:p>
        </w:tc>
        <w:tc>
          <w:tcPr>
            <w:tcW w:type="dxa" w:w="2304"/>
          </w:tcPr>
          <w:p>
            <w:pPr>
              <w:spacing w:after="20"/>
            </w:pPr>
            <w:r/>
            <w:r>
              <w:rPr>
                <w:sz w:val="17"/>
              </w:rPr>
              <w:t>fpr@recall=0.5</w:t>
            </w:r>
          </w:p>
        </w:tc>
        <w:tc>
          <w:tcPr>
            <w:tcW w:type="dxa" w:w="1440"/>
          </w:tcPr>
          <w:p>
            <w:pPr>
              <w:spacing w:after="20"/>
              <w:jc w:val="right"/>
            </w:pPr>
            <w:r/>
            <w:r>
              <w:rPr>
                <w:sz w:val="17"/>
              </w:rPr>
              <w:t>+0.00002</w:t>
            </w:r>
          </w:p>
        </w:tc>
        <w:tc>
          <w:tcPr>
            <w:tcW w:type="dxa" w:w="2736"/>
          </w:tcPr>
          <w:p>
            <w:pPr>
              <w:spacing w:after="20"/>
              <w:jc w:val="right"/>
            </w:pPr>
            <w:r/>
            <w:r>
              <w:rPr>
                <w:sz w:val="17"/>
              </w:rPr>
              <w:t>[+0.00001, +0.00005]</w:t>
            </w:r>
          </w:p>
        </w:tc>
        <w:tc>
          <w:tcPr>
            <w:tcW w:type="dxa" w:w="1584"/>
          </w:tcPr>
          <w:p>
            <w:pPr>
              <w:spacing w:after="20"/>
            </w:pPr>
            <w:r/>
            <w:r>
              <w:rPr>
                <w:sz w:val="17"/>
              </w:rPr>
              <w:t>significant</w:t>
            </w:r>
          </w:p>
        </w:tc>
      </w:tr>
      <w:tr>
        <w:tc>
          <w:tcPr>
            <w:tcW w:type="dxa" w:w="1008"/>
          </w:tcPr>
          <w:p>
            <w:pPr>
              <w:spacing w:after="20"/>
            </w:pPr>
            <w:r/>
            <w:r>
              <w:rPr>
                <w:sz w:val="17"/>
              </w:rPr>
              <w:t>+B4a</w:t>
            </w:r>
          </w:p>
        </w:tc>
        <w:tc>
          <w:tcPr>
            <w:tcW w:type="dxa" w:w="2304"/>
          </w:tcPr>
          <w:p>
            <w:pPr>
              <w:spacing w:after="20"/>
            </w:pPr>
            <w:r/>
            <w:r>
              <w:rPr>
                <w:sz w:val="17"/>
              </w:rPr>
              <w:t>fpr@recall=0.7</w:t>
            </w:r>
          </w:p>
        </w:tc>
        <w:tc>
          <w:tcPr>
            <w:tcW w:type="dxa" w:w="1440"/>
          </w:tcPr>
          <w:p>
            <w:pPr>
              <w:spacing w:after="20"/>
              <w:jc w:val="right"/>
            </w:pPr>
            <w:r/>
            <w:r>
              <w:rPr>
                <w:sz w:val="17"/>
              </w:rPr>
              <w:t>+0.00006</w:t>
            </w:r>
          </w:p>
        </w:tc>
        <w:tc>
          <w:tcPr>
            <w:tcW w:type="dxa" w:w="2736"/>
          </w:tcPr>
          <w:p>
            <w:pPr>
              <w:spacing w:after="20"/>
              <w:jc w:val="right"/>
            </w:pPr>
            <w:r/>
            <w:r>
              <w:rPr>
                <w:sz w:val="17"/>
              </w:rPr>
              <w:t>[+0.00002, +0.00010]</w:t>
            </w:r>
          </w:p>
        </w:tc>
        <w:tc>
          <w:tcPr>
            <w:tcW w:type="dxa" w:w="1584"/>
          </w:tcPr>
          <w:p>
            <w:pPr>
              <w:spacing w:after="20"/>
            </w:pPr>
            <w:r/>
            <w:r>
              <w:rPr>
                <w:sz w:val="17"/>
              </w:rPr>
              <w:t>significant</w:t>
            </w:r>
          </w:p>
        </w:tc>
      </w:tr>
      <w:tr>
        <w:tc>
          <w:tcPr>
            <w:tcW w:type="dxa" w:w="1008"/>
          </w:tcPr>
          <w:p>
            <w:pPr>
              <w:spacing w:after="20"/>
            </w:pPr>
            <w:r/>
            <w:r>
              <w:rPr>
                <w:sz w:val="17"/>
              </w:rPr>
              <w:t>+B4a</w:t>
            </w:r>
          </w:p>
        </w:tc>
        <w:tc>
          <w:tcPr>
            <w:tcW w:type="dxa" w:w="2304"/>
          </w:tcPr>
          <w:p>
            <w:pPr>
              <w:spacing w:after="20"/>
            </w:pPr>
            <w:r/>
            <w:r>
              <w:rPr>
                <w:sz w:val="17"/>
              </w:rPr>
              <w:t>fpr@recall=0.9</w:t>
            </w:r>
          </w:p>
        </w:tc>
        <w:tc>
          <w:tcPr>
            <w:tcW w:type="dxa" w:w="1440"/>
          </w:tcPr>
          <w:p>
            <w:pPr>
              <w:spacing w:after="20"/>
              <w:jc w:val="right"/>
            </w:pPr>
            <w:r/>
            <w:r>
              <w:rPr>
                <w:sz w:val="17"/>
              </w:rPr>
              <w:t>+0.00078</w:t>
            </w:r>
          </w:p>
        </w:tc>
        <w:tc>
          <w:tcPr>
            <w:tcW w:type="dxa" w:w="2736"/>
          </w:tcPr>
          <w:p>
            <w:pPr>
              <w:spacing w:after="20"/>
              <w:jc w:val="right"/>
            </w:pPr>
            <w:r/>
            <w:r>
              <w:rPr>
                <w:sz w:val="17"/>
              </w:rPr>
              <w:t>[+0.00054, +0.00103]</w:t>
            </w:r>
          </w:p>
        </w:tc>
        <w:tc>
          <w:tcPr>
            <w:tcW w:type="dxa" w:w="1584"/>
          </w:tcPr>
          <w:p>
            <w:pPr>
              <w:spacing w:after="20"/>
            </w:pPr>
            <w:r/>
            <w:r>
              <w:rPr>
                <w:sz w:val="17"/>
              </w:rPr>
              <w:t>significant</w:t>
            </w:r>
          </w:p>
        </w:tc>
      </w:tr>
      <w:tr>
        <w:tc>
          <w:tcPr>
            <w:tcW w:type="dxa" w:w="1008"/>
          </w:tcPr>
          <w:p>
            <w:pPr>
              <w:spacing w:after="20"/>
            </w:pPr>
            <w:r/>
            <w:r>
              <w:rPr>
                <w:sz w:val="17"/>
              </w:rPr>
              <w:t>+B4b</w:t>
            </w:r>
          </w:p>
        </w:tc>
        <w:tc>
          <w:tcPr>
            <w:tcW w:type="dxa" w:w="2304"/>
          </w:tcPr>
          <w:p>
            <w:pPr>
              <w:spacing w:after="20"/>
            </w:pPr>
            <w:r/>
            <w:r>
              <w:rPr>
                <w:sz w:val="17"/>
              </w:rPr>
              <w:t>recall@fpr=0.001</w:t>
            </w:r>
          </w:p>
        </w:tc>
        <w:tc>
          <w:tcPr>
            <w:tcW w:type="dxa" w:w="1440"/>
          </w:tcPr>
          <w:p>
            <w:pPr>
              <w:spacing w:after="20"/>
              <w:jc w:val="right"/>
            </w:pPr>
            <w:r/>
            <w:r>
              <w:rPr>
                <w:sz w:val="17"/>
              </w:rPr>
              <w:t>+0.07554</w:t>
            </w:r>
          </w:p>
        </w:tc>
        <w:tc>
          <w:tcPr>
            <w:tcW w:type="dxa" w:w="2736"/>
          </w:tcPr>
          <w:p>
            <w:pPr>
              <w:spacing w:after="20"/>
              <w:jc w:val="right"/>
            </w:pPr>
            <w:r/>
            <w:r>
              <w:rPr>
                <w:sz w:val="17"/>
              </w:rPr>
              <w:t>[+0.05179, +0.09429]</w:t>
            </w:r>
          </w:p>
        </w:tc>
        <w:tc>
          <w:tcPr>
            <w:tcW w:type="dxa" w:w="1584"/>
          </w:tcPr>
          <w:p>
            <w:pPr>
              <w:spacing w:after="20"/>
            </w:pPr>
            <w:r/>
            <w:r>
              <w:rPr>
                <w:sz w:val="17"/>
              </w:rPr>
              <w:t>significant</w:t>
            </w:r>
          </w:p>
        </w:tc>
      </w:tr>
      <w:tr>
        <w:tc>
          <w:tcPr>
            <w:tcW w:type="dxa" w:w="1008"/>
          </w:tcPr>
          <w:p>
            <w:pPr>
              <w:spacing w:after="20"/>
            </w:pPr>
            <w:r/>
            <w:r>
              <w:rPr>
                <w:sz w:val="17"/>
              </w:rPr>
              <w:t>+B4b</w:t>
            </w:r>
          </w:p>
        </w:tc>
        <w:tc>
          <w:tcPr>
            <w:tcW w:type="dxa" w:w="2304"/>
          </w:tcPr>
          <w:p>
            <w:pPr>
              <w:spacing w:after="20"/>
            </w:pPr>
            <w:r/>
            <w:r>
              <w:rPr>
                <w:sz w:val="17"/>
              </w:rPr>
              <w:t>recall@fpr=0.005</w:t>
            </w:r>
          </w:p>
        </w:tc>
        <w:tc>
          <w:tcPr>
            <w:tcW w:type="dxa" w:w="1440"/>
          </w:tcPr>
          <w:p>
            <w:pPr>
              <w:spacing w:after="20"/>
              <w:jc w:val="right"/>
            </w:pPr>
            <w:r/>
            <w:r>
              <w:rPr>
                <w:sz w:val="17"/>
              </w:rPr>
              <w:t>+0.01151</w:t>
            </w:r>
          </w:p>
        </w:tc>
        <w:tc>
          <w:tcPr>
            <w:tcW w:type="dxa" w:w="2736"/>
          </w:tcPr>
          <w:p>
            <w:pPr>
              <w:spacing w:after="20"/>
              <w:jc w:val="right"/>
            </w:pPr>
            <w:r/>
            <w:r>
              <w:rPr>
                <w:sz w:val="17"/>
              </w:rPr>
              <w:t>[+0.00562, +0.01833]</w:t>
            </w:r>
          </w:p>
        </w:tc>
        <w:tc>
          <w:tcPr>
            <w:tcW w:type="dxa" w:w="1584"/>
          </w:tcPr>
          <w:p>
            <w:pPr>
              <w:spacing w:after="20"/>
            </w:pPr>
            <w:r/>
            <w:r>
              <w:rPr>
                <w:sz w:val="17"/>
              </w:rPr>
              <w:t>significant</w:t>
            </w:r>
          </w:p>
        </w:tc>
      </w:tr>
      <w:tr>
        <w:tc>
          <w:tcPr>
            <w:tcW w:type="dxa" w:w="1008"/>
          </w:tcPr>
          <w:p>
            <w:pPr>
              <w:spacing w:after="20"/>
            </w:pPr>
            <w:r/>
            <w:r>
              <w:rPr>
                <w:sz w:val="17"/>
              </w:rPr>
              <w:t>+B4b</w:t>
            </w:r>
          </w:p>
        </w:tc>
        <w:tc>
          <w:tcPr>
            <w:tcW w:type="dxa" w:w="2304"/>
          </w:tcPr>
          <w:p>
            <w:pPr>
              <w:spacing w:after="20"/>
            </w:pPr>
            <w:r/>
            <w:r>
              <w:rPr>
                <w:sz w:val="17"/>
              </w:rPr>
              <w:t>recall@fpr=0.01</w:t>
            </w:r>
          </w:p>
        </w:tc>
        <w:tc>
          <w:tcPr>
            <w:tcW w:type="dxa" w:w="1440"/>
          </w:tcPr>
          <w:p>
            <w:pPr>
              <w:spacing w:after="20"/>
              <w:jc w:val="right"/>
            </w:pPr>
            <w:r/>
            <w:r>
              <w:rPr>
                <w:sz w:val="17"/>
              </w:rPr>
              <w:t>+0.00216</w:t>
            </w:r>
          </w:p>
        </w:tc>
        <w:tc>
          <w:tcPr>
            <w:tcW w:type="dxa" w:w="2736"/>
          </w:tcPr>
          <w:p>
            <w:pPr>
              <w:spacing w:after="20"/>
              <w:jc w:val="right"/>
            </w:pPr>
            <w:r/>
            <w:r>
              <w:rPr>
                <w:sz w:val="17"/>
              </w:rPr>
              <w:t>[-0.00073, +0.00613]</w:t>
            </w:r>
          </w:p>
        </w:tc>
        <w:tc>
          <w:tcPr>
            <w:tcW w:type="dxa" w:w="1584"/>
          </w:tcPr>
          <w:p>
            <w:pPr>
              <w:spacing w:after="20"/>
            </w:pPr>
            <w:r/>
            <w:r>
              <w:rPr>
                <w:sz w:val="17"/>
              </w:rPr>
              <w:t>—</w:t>
            </w:r>
          </w:p>
        </w:tc>
      </w:tr>
      <w:tr>
        <w:tc>
          <w:tcPr>
            <w:tcW w:type="dxa" w:w="1008"/>
          </w:tcPr>
          <w:p>
            <w:pPr>
              <w:spacing w:after="20"/>
            </w:pPr>
            <w:r/>
            <w:r>
              <w:rPr>
                <w:sz w:val="17"/>
              </w:rPr>
              <w:t>+B4b</w:t>
            </w:r>
          </w:p>
        </w:tc>
        <w:tc>
          <w:tcPr>
            <w:tcW w:type="dxa" w:w="2304"/>
          </w:tcPr>
          <w:p>
            <w:pPr>
              <w:spacing w:after="20"/>
            </w:pPr>
            <w:r/>
            <w:r>
              <w:rPr>
                <w:sz w:val="17"/>
              </w:rPr>
              <w:t>fpr@recall=0.5</w:t>
            </w:r>
          </w:p>
        </w:tc>
        <w:tc>
          <w:tcPr>
            <w:tcW w:type="dxa" w:w="1440"/>
          </w:tcPr>
          <w:p>
            <w:pPr>
              <w:spacing w:after="20"/>
              <w:jc w:val="right"/>
            </w:pPr>
            <w:r/>
            <w:r>
              <w:rPr>
                <w:sz w:val="17"/>
              </w:rPr>
              <w:t>+0.00003</w:t>
            </w:r>
          </w:p>
        </w:tc>
        <w:tc>
          <w:tcPr>
            <w:tcW w:type="dxa" w:w="2736"/>
          </w:tcPr>
          <w:p>
            <w:pPr>
              <w:spacing w:after="20"/>
              <w:jc w:val="right"/>
            </w:pPr>
            <w:r/>
            <w:r>
              <w:rPr>
                <w:sz w:val="17"/>
              </w:rPr>
              <w:t>[+0.00001, +0.00006]</w:t>
            </w:r>
          </w:p>
        </w:tc>
        <w:tc>
          <w:tcPr>
            <w:tcW w:type="dxa" w:w="1584"/>
          </w:tcPr>
          <w:p>
            <w:pPr>
              <w:spacing w:after="20"/>
            </w:pPr>
            <w:r/>
            <w:r>
              <w:rPr>
                <w:sz w:val="17"/>
              </w:rPr>
              <w:t>significant</w:t>
            </w:r>
          </w:p>
        </w:tc>
      </w:tr>
      <w:tr>
        <w:tc>
          <w:tcPr>
            <w:tcW w:type="dxa" w:w="1008"/>
          </w:tcPr>
          <w:p>
            <w:pPr>
              <w:spacing w:after="20"/>
            </w:pPr>
            <w:r/>
            <w:r>
              <w:rPr>
                <w:sz w:val="17"/>
              </w:rPr>
              <w:t>+B4b</w:t>
            </w:r>
          </w:p>
        </w:tc>
        <w:tc>
          <w:tcPr>
            <w:tcW w:type="dxa" w:w="2304"/>
          </w:tcPr>
          <w:p>
            <w:pPr>
              <w:spacing w:after="20"/>
            </w:pPr>
            <w:r/>
            <w:r>
              <w:rPr>
                <w:sz w:val="17"/>
              </w:rPr>
              <w:t>fpr@recall=0.7</w:t>
            </w:r>
          </w:p>
        </w:tc>
        <w:tc>
          <w:tcPr>
            <w:tcW w:type="dxa" w:w="1440"/>
          </w:tcPr>
          <w:p>
            <w:pPr>
              <w:spacing w:after="20"/>
              <w:jc w:val="right"/>
            </w:pPr>
            <w:r/>
            <w:r>
              <w:rPr>
                <w:sz w:val="17"/>
              </w:rPr>
              <w:t>+0.00005</w:t>
            </w:r>
          </w:p>
        </w:tc>
        <w:tc>
          <w:tcPr>
            <w:tcW w:type="dxa" w:w="2736"/>
          </w:tcPr>
          <w:p>
            <w:pPr>
              <w:spacing w:after="20"/>
              <w:jc w:val="right"/>
            </w:pPr>
            <w:r/>
            <w:r>
              <w:rPr>
                <w:sz w:val="17"/>
              </w:rPr>
              <w:t>[+0.00001, +0.00010]</w:t>
            </w:r>
          </w:p>
        </w:tc>
        <w:tc>
          <w:tcPr>
            <w:tcW w:type="dxa" w:w="1584"/>
          </w:tcPr>
          <w:p>
            <w:pPr>
              <w:spacing w:after="20"/>
            </w:pPr>
            <w:r/>
            <w:r>
              <w:rPr>
                <w:sz w:val="17"/>
              </w:rPr>
              <w:t>significant</w:t>
            </w:r>
          </w:p>
        </w:tc>
      </w:tr>
      <w:tr>
        <w:tc>
          <w:tcPr>
            <w:tcW w:type="dxa" w:w="1008"/>
          </w:tcPr>
          <w:p>
            <w:pPr>
              <w:spacing w:after="20"/>
            </w:pPr>
            <w:r/>
            <w:r>
              <w:rPr>
                <w:sz w:val="17"/>
              </w:rPr>
              <w:t>+B4b</w:t>
            </w:r>
          </w:p>
        </w:tc>
        <w:tc>
          <w:tcPr>
            <w:tcW w:type="dxa" w:w="2304"/>
          </w:tcPr>
          <w:p>
            <w:pPr>
              <w:spacing w:after="20"/>
            </w:pPr>
            <w:r/>
            <w:r>
              <w:rPr>
                <w:sz w:val="17"/>
              </w:rPr>
              <w:t>fpr@recall=0.9</w:t>
            </w:r>
          </w:p>
        </w:tc>
        <w:tc>
          <w:tcPr>
            <w:tcW w:type="dxa" w:w="1440"/>
          </w:tcPr>
          <w:p>
            <w:pPr>
              <w:spacing w:after="20"/>
              <w:jc w:val="right"/>
            </w:pPr>
            <w:r/>
            <w:r>
              <w:rPr>
                <w:sz w:val="17"/>
              </w:rPr>
              <w:t>+0.00074</w:t>
            </w:r>
          </w:p>
        </w:tc>
        <w:tc>
          <w:tcPr>
            <w:tcW w:type="dxa" w:w="2736"/>
          </w:tcPr>
          <w:p>
            <w:pPr>
              <w:spacing w:after="20"/>
              <w:jc w:val="right"/>
            </w:pPr>
            <w:r/>
            <w:r>
              <w:rPr>
                <w:sz w:val="17"/>
              </w:rPr>
              <w:t>[+0.00052, +0.00099]</w:t>
            </w:r>
          </w:p>
        </w:tc>
        <w:tc>
          <w:tcPr>
            <w:tcW w:type="dxa" w:w="1584"/>
          </w:tcPr>
          <w:p>
            <w:pPr>
              <w:spacing w:after="20"/>
            </w:pPr>
            <w:r/>
            <w:r>
              <w:rPr>
                <w:sz w:val="17"/>
              </w:rPr>
              <w:t>significant</w:t>
            </w:r>
          </w:p>
        </w:tc>
      </w:tr>
    </w:tbl>
    <w:p>
      <w:pPr>
        <w:spacing w:after="40"/>
      </w:pPr>
    </w:p>
    <w:p>
      <w:pPr>
        <w:jc w:val="center"/>
      </w:pPr>
      <w:r>
        <w:drawing>
          <wp:inline xmlns:a="http://schemas.openxmlformats.org/drawingml/2006/main" xmlns:pic="http://schemas.openxmlformats.org/drawingml/2006/picture">
            <wp:extent cx="5852160" cy="3088640"/>
            <wp:docPr id="1" name="Picture 1"/>
            <wp:cNvGraphicFramePr>
              <a:graphicFrameLocks noChangeAspect="1"/>
            </wp:cNvGraphicFramePr>
            <a:graphic>
              <a:graphicData uri="http://schemas.openxmlformats.org/drawingml/2006/picture">
                <pic:pic>
                  <pic:nvPicPr>
                    <pic:cNvPr id="0" name="ablation.png"/>
                    <pic:cNvPicPr/>
                  </pic:nvPicPr>
                  <pic:blipFill>
                    <a:blip r:embed="rId9"/>
                    <a:stretch>
                      <a:fillRect/>
                    </a:stretch>
                  </pic:blipFill>
                  <pic:spPr>
                    <a:xfrm>
                      <a:off x="0" y="0"/>
                      <a:ext cx="5852160" cy="3088640"/>
                    </a:xfrm>
                    <a:prstGeom prst="rect"/>
                  </pic:spPr>
                </pic:pic>
              </a:graphicData>
            </a:graphic>
          </wp:inline>
        </w:drawing>
      </w:r>
    </w:p>
    <w:p>
      <w:pPr>
        <w:spacing w:after="220"/>
        <w:jc w:val="center"/>
      </w:pPr>
      <w:r>
        <w:rPr>
          <w:i/>
          <w:color w:val="5B6572"/>
          <w:sz w:val="17"/>
        </w:rPr>
        <w:t>Figure 1. Each feature group added in turn. Error bars are the standard deviation across three seeds.</w:t>
      </w:r>
    </w:p>
    <w:p>
      <w:pPr>
        <w:spacing w:before="240" w:after="60"/>
      </w:pPr>
      <w:r>
        <w:rPr>
          <w:b/>
          <w:sz w:val="23"/>
        </w:rPr>
        <w:t>The phase diagram</w:t>
      </w:r>
    </w:p>
    <w:p>
      <w:pPr>
        <w:spacing w:after="140"/>
      </w:pPr>
      <w:r>
        <w:rPr>
          <w:i w:val="0"/>
          <w:sz w:val="21"/>
        </w:rPr>
        <w:t>The primary output is a surface, not a number. Hatched cells — where the confidence interval includes zero on at least one seed — are part of the result. They are the regions where a payment network should not spend money collecting this field.</w:t>
      </w:r>
    </w:p>
    <w:p>
      <w:pPr>
        <w:jc w:val="center"/>
      </w:pPr>
      <w:r>
        <w:drawing>
          <wp:inline xmlns:a="http://schemas.openxmlformats.org/drawingml/2006/main" xmlns:pic="http://schemas.openxmlformats.org/drawingml/2006/picture">
            <wp:extent cx="5852160" cy="1991519"/>
            <wp:docPr id="2" name="Picture 2"/>
            <wp:cNvGraphicFramePr>
              <a:graphicFrameLocks noChangeAspect="1"/>
            </wp:cNvGraphicFramePr>
            <a:graphic>
              <a:graphicData uri="http://schemas.openxmlformats.org/drawingml/2006/picture">
                <pic:pic>
                  <pic:nvPicPr>
                    <pic:cNvPr id="0" name="phase_uniform.png"/>
                    <pic:cNvPicPr/>
                  </pic:nvPicPr>
                  <pic:blipFill>
                    <a:blip r:embed="rId10"/>
                    <a:stretch>
                      <a:fillRect/>
                    </a:stretch>
                  </pic:blipFill>
                  <pic:spPr>
                    <a:xfrm>
                      <a:off x="0" y="0"/>
                      <a:ext cx="5852160" cy="1991519"/>
                    </a:xfrm>
                    <a:prstGeom prst="rect"/>
                  </pic:spPr>
                </pic:pic>
              </a:graphicData>
            </a:graphic>
          </wp:inline>
        </w:drawing>
      </w:r>
    </w:p>
    <w:p>
      <w:pPr>
        <w:spacing w:after="220"/>
        <w:jc w:val="center"/>
      </w:pPr>
      <w:r>
        <w:rPr>
          <w:i/>
          <w:color w:val="5B6572"/>
          <w:sz w:val="17"/>
        </w:rPr>
        <w:t>Figure 2. Incremental value of declared payment context under the pre-registered adversary. Left: Δ recall at FPR 0.1%. Right: Δ FPR at recall 70%. Hatched cells are not significant.</w:t>
      </w:r>
    </w:p>
    <w:p>
      <w:pPr>
        <w:jc w:val="center"/>
      </w:pPr>
      <w:r>
        <w:drawing>
          <wp:inline xmlns:a="http://schemas.openxmlformats.org/drawingml/2006/main" xmlns:pic="http://schemas.openxmlformats.org/drawingml/2006/picture">
            <wp:extent cx="5852160" cy="1991519"/>
            <wp:docPr id="3" name="Picture 3"/>
            <wp:cNvGraphicFramePr>
              <a:graphicFrameLocks noChangeAspect="1"/>
            </wp:cNvGraphicFramePr>
            <a:graphic>
              <a:graphicData uri="http://schemas.openxmlformats.org/drawingml/2006/picture">
                <pic:pic>
                  <pic:nvPicPr>
                    <pic:cNvPr id="0" name="phase_prevalence.png"/>
                    <pic:cNvPicPr/>
                  </pic:nvPicPr>
                  <pic:blipFill>
                    <a:blip r:embed="rId11"/>
                    <a:stretch>
                      <a:fillRect/>
                    </a:stretch>
                  </pic:blipFill>
                  <pic:spPr>
                    <a:xfrm>
                      <a:off x="0" y="0"/>
                      <a:ext cx="5852160" cy="1991519"/>
                    </a:xfrm>
                    <a:prstGeom prst="rect"/>
                  </pic:spPr>
                </pic:pic>
              </a:graphicData>
            </a:graphic>
          </wp:inline>
        </w:drawing>
      </w:r>
    </w:p>
    <w:p>
      <w:pPr>
        <w:spacing w:after="220"/>
        <w:jc w:val="center"/>
      </w:pPr>
      <w:r>
        <w:rPr>
          <w:i/>
          <w:color w:val="5B6572"/>
          <w:sz w:val="17"/>
        </w:rPr>
        <w:t>Figure 3. The same surface under the prevalence-matched adversary, whose declared code carries no marginal information at ρ = 1. Secondary analysis; the pre-registered axis is Figure 2.</w:t>
      </w:r>
    </w:p>
    <w:p>
      <w:pPr>
        <w:jc w:val="center"/>
      </w:pPr>
      <w:r>
        <w:drawing>
          <wp:inline xmlns:a="http://schemas.openxmlformats.org/drawingml/2006/main" xmlns:pic="http://schemas.openxmlformats.org/drawingml/2006/picture">
            <wp:extent cx="5852160" cy="3413760"/>
            <wp:docPr id="4" name="Picture 4"/>
            <wp:cNvGraphicFramePr>
              <a:graphicFrameLocks noChangeAspect="1"/>
            </wp:cNvGraphicFramePr>
            <a:graphic>
              <a:graphicData uri="http://schemas.openxmlformats.org/drawingml/2006/picture">
                <pic:pic>
                  <pic:nvPicPr>
                    <pic:cNvPr id="0" name="rho_star.png"/>
                    <pic:cNvPicPr/>
                  </pic:nvPicPr>
                  <pic:blipFill>
                    <a:blip r:embed="rId12"/>
                    <a:stretch>
                      <a:fillRect/>
                    </a:stretch>
                  </pic:blipFill>
                  <pic:spPr>
                    <a:xfrm>
                      <a:off x="0" y="0"/>
                      <a:ext cx="5852160" cy="3413760"/>
                    </a:xfrm>
                    <a:prstGeom prst="rect"/>
                  </pic:spPr>
                </pic:pic>
              </a:graphicData>
            </a:graphic>
          </wp:inline>
        </w:drawing>
      </w:r>
    </w:p>
    <w:p>
      <w:pPr>
        <w:spacing w:after="220"/>
        <w:jc w:val="center"/>
      </w:pPr>
      <w:r>
        <w:rPr>
          <w:i/>
          <w:color w:val="5B6572"/>
          <w:sz w:val="17"/>
        </w:rPr>
        <w:t>Figure 4. ρ* by λ, bracketed by the sweep grid rather than interpolated.</w:t>
      </w:r>
    </w:p>
    <w:p>
      <w:pPr>
        <w:jc w:val="center"/>
      </w:pPr>
      <w:r>
        <w:drawing>
          <wp:inline xmlns:a="http://schemas.openxmlformats.org/drawingml/2006/main" xmlns:pic="http://schemas.openxmlformats.org/drawingml/2006/picture">
            <wp:extent cx="5852160" cy="2021655"/>
            <wp:docPr id="5" name="Picture 5"/>
            <wp:cNvGraphicFramePr>
              <a:graphicFrameLocks noChangeAspect="1"/>
            </wp:cNvGraphicFramePr>
            <a:graphic>
              <a:graphicData uri="http://schemas.openxmlformats.org/drawingml/2006/picture">
                <pic:pic>
                  <pic:nvPicPr>
                    <pic:cNvPr id="0" name="secondary_sweeps.png"/>
                    <pic:cNvPicPr/>
                  </pic:nvPicPr>
                  <pic:blipFill>
                    <a:blip r:embed="rId13"/>
                    <a:stretch>
                      <a:fillRect/>
                    </a:stretch>
                  </pic:blipFill>
                  <pic:spPr>
                    <a:xfrm>
                      <a:off x="0" y="0"/>
                      <a:ext cx="5852160" cy="2021655"/>
                    </a:xfrm>
                    <a:prstGeom prst="rect"/>
                  </pic:spPr>
                </pic:pic>
              </a:graphicData>
            </a:graphic>
          </wp:inline>
        </w:drawing>
      </w:r>
    </w:p>
    <w:p>
      <w:pPr>
        <w:spacing w:after="220"/>
        <w:jc w:val="center"/>
      </w:pPr>
      <w:r>
        <w:rPr>
          <w:i/>
          <w:color w:val="5B6572"/>
          <w:sz w:val="17"/>
        </w:rPr>
        <w:t>Figure 5. Purpose cardinality K and beneficiary-feature noise β at ρ = 0.4, λ = 0.10.</w:t>
      </w:r>
    </w:p>
    <w:p>
      <w:pPr>
        <w:spacing w:before="240" w:after="60"/>
      </w:pPr>
      <w:r>
        <w:rPr>
          <w:b/>
          <w:sz w:val="23"/>
        </w:rPr>
        <w:t>Agentic conformance: coverage</w:t>
      </w:r>
    </w:p>
    <w:tbl>
      <w:tblPr>
        <w:tblStyle w:val="LightGrid-Accent1"/>
        <w:tblW w:type="auto" w:w="0"/>
        <w:jc w:val="center"/>
        <w:tblLook w:firstColumn="1" w:firstRow="1" w:lastColumn="0" w:lastRow="0" w:noHBand="0" w:noVBand="1" w:val="04A0"/>
      </w:tblPr>
      <w:tblGrid>
        <w:gridCol w:w="2376"/>
        <w:gridCol w:w="2376"/>
        <w:gridCol w:w="2376"/>
        <w:gridCol w:w="2376"/>
      </w:tblGrid>
      <w:tr>
        <w:tc>
          <w:tcPr>
            <w:tcW w:type="dxa" w:w="720"/>
          </w:tcPr>
          <w:p>
            <w:r/>
            <w:r>
              <w:rPr>
                <w:b/>
                <w:sz w:val="17"/>
              </w:rPr>
              <w:t>ID</w:t>
            </w:r>
          </w:p>
        </w:tc>
        <w:tc>
          <w:tcPr>
            <w:tcW w:type="dxa" w:w="3744"/>
          </w:tcPr>
          <w:p>
            <w:r/>
            <w:r>
              <w:rPr>
                <w:b/>
                <w:sz w:val="17"/>
              </w:rPr>
              <w:t>Attack family</w:t>
            </w:r>
          </w:p>
        </w:tc>
        <w:tc>
          <w:tcPr>
            <w:tcW w:type="dxa" w:w="2880"/>
          </w:tcPr>
          <w:p>
            <w:r/>
            <w:r>
              <w:rPr>
                <w:b/>
                <w:sz w:val="17"/>
              </w:rPr>
              <w:t>Caught by</w:t>
            </w:r>
          </w:p>
        </w:tc>
        <w:tc>
          <w:tcPr>
            <w:tcW w:type="dxa" w:w="1584"/>
          </w:tcPr>
          <w:p>
            <w:r/>
            <w:r>
              <w:rPr>
                <w:b/>
                <w:sz w:val="17"/>
              </w:rPr>
              <w:t>Outcome</w:t>
            </w:r>
          </w:p>
        </w:tc>
      </w:tr>
      <w:tr>
        <w:tc>
          <w:tcPr>
            <w:tcW w:type="dxa" w:w="720"/>
          </w:tcPr>
          <w:p>
            <w:pPr>
              <w:spacing w:after="20"/>
            </w:pPr>
            <w:r/>
            <w:r>
              <w:rPr>
                <w:sz w:val="17"/>
              </w:rPr>
              <w:t>A1</w:t>
            </w:r>
          </w:p>
        </w:tc>
        <w:tc>
          <w:tcPr>
            <w:tcW w:type="dxa" w:w="3744"/>
          </w:tcPr>
          <w:p>
            <w:pPr>
              <w:spacing w:after="20"/>
            </w:pPr>
            <w:r/>
            <w:r>
              <w:rPr>
                <w:sz w:val="17"/>
              </w:rPr>
              <w:t>Amount escalation beyond mandate cap</w:t>
            </w:r>
          </w:p>
        </w:tc>
        <w:tc>
          <w:tcPr>
            <w:tcW w:type="dxa" w:w="2880"/>
          </w:tcPr>
          <w:p>
            <w:pPr>
              <w:spacing w:after="20"/>
            </w:pPr>
            <w:r/>
            <w:r>
              <w:rPr>
                <w:sz w:val="17"/>
              </w:rPr>
              <w:t>C1_amount_scope, C6_cumulative_cap</w:t>
            </w:r>
          </w:p>
        </w:tc>
        <w:tc>
          <w:tcPr>
            <w:tcW w:type="dxa" w:w="1584"/>
          </w:tcPr>
          <w:p>
            <w:pPr>
              <w:spacing w:after="20"/>
            </w:pPr>
            <w:r/>
            <w:r>
              <w:rPr>
                <w:sz w:val="17"/>
              </w:rPr>
              <w:t>caught</w:t>
            </w:r>
          </w:p>
        </w:tc>
      </w:tr>
      <w:tr>
        <w:tc>
          <w:tcPr>
            <w:tcW w:type="dxa" w:w="720"/>
          </w:tcPr>
          <w:p>
            <w:pPr>
              <w:spacing w:after="20"/>
            </w:pPr>
            <w:r/>
            <w:r>
              <w:rPr>
                <w:sz w:val="17"/>
              </w:rPr>
              <w:t>A2</w:t>
            </w:r>
          </w:p>
        </w:tc>
        <w:tc>
          <w:tcPr>
            <w:tcW w:type="dxa" w:w="3744"/>
          </w:tcPr>
          <w:p>
            <w:pPr>
              <w:spacing w:after="20"/>
            </w:pPr>
            <w:r/>
            <w:r>
              <w:rPr>
                <w:sz w:val="17"/>
              </w:rPr>
              <w:t>Category violation</w:t>
            </w:r>
          </w:p>
        </w:tc>
        <w:tc>
          <w:tcPr>
            <w:tcW w:type="dxa" w:w="2880"/>
          </w:tcPr>
          <w:p>
            <w:pPr>
              <w:spacing w:after="20"/>
            </w:pPr>
            <w:r/>
            <w:r>
              <w:rPr>
                <w:sz w:val="17"/>
              </w:rPr>
              <w:t>C2_category_scope, C3_merchant_scope</w:t>
            </w:r>
          </w:p>
        </w:tc>
        <w:tc>
          <w:tcPr>
            <w:tcW w:type="dxa" w:w="1584"/>
          </w:tcPr>
          <w:p>
            <w:pPr>
              <w:spacing w:after="20"/>
            </w:pPr>
            <w:r/>
            <w:r>
              <w:rPr>
                <w:sz w:val="17"/>
              </w:rPr>
              <w:t>caught</w:t>
            </w:r>
          </w:p>
        </w:tc>
      </w:tr>
      <w:tr>
        <w:tc>
          <w:tcPr>
            <w:tcW w:type="dxa" w:w="720"/>
          </w:tcPr>
          <w:p>
            <w:pPr>
              <w:spacing w:after="20"/>
            </w:pPr>
            <w:r/>
            <w:r>
              <w:rPr>
                <w:sz w:val="17"/>
              </w:rPr>
              <w:t>A3</w:t>
            </w:r>
          </w:p>
        </w:tc>
        <w:tc>
          <w:tcPr>
            <w:tcW w:type="dxa" w:w="3744"/>
          </w:tcPr>
          <w:p>
            <w:pPr>
              <w:spacing w:after="20"/>
            </w:pPr>
            <w:r/>
            <w:r>
              <w:rPr>
                <w:sz w:val="17"/>
              </w:rPr>
              <w:t>Mandate replay</w:t>
            </w:r>
          </w:p>
        </w:tc>
        <w:tc>
          <w:tcPr>
            <w:tcW w:type="dxa" w:w="2880"/>
          </w:tcPr>
          <w:p>
            <w:pPr>
              <w:spacing w:after="20"/>
            </w:pPr>
            <w:r/>
            <w:r>
              <w:rPr>
                <w:sz w:val="17"/>
              </w:rPr>
              <w:t>C5_nonce_freshness</w:t>
            </w:r>
          </w:p>
        </w:tc>
        <w:tc>
          <w:tcPr>
            <w:tcW w:type="dxa" w:w="1584"/>
          </w:tcPr>
          <w:p>
            <w:pPr>
              <w:spacing w:after="20"/>
            </w:pPr>
            <w:r/>
            <w:r>
              <w:rPr>
                <w:sz w:val="17"/>
              </w:rPr>
              <w:t>caught</w:t>
            </w:r>
          </w:p>
        </w:tc>
      </w:tr>
      <w:tr>
        <w:tc>
          <w:tcPr>
            <w:tcW w:type="dxa" w:w="720"/>
          </w:tcPr>
          <w:p>
            <w:pPr>
              <w:spacing w:after="20"/>
            </w:pPr>
            <w:r/>
            <w:r>
              <w:rPr>
                <w:sz w:val="17"/>
              </w:rPr>
              <w:t>A4</w:t>
            </w:r>
          </w:p>
        </w:tc>
        <w:tc>
          <w:tcPr>
            <w:tcW w:type="dxa" w:w="3744"/>
          </w:tcPr>
          <w:p>
            <w:pPr>
              <w:spacing w:after="20"/>
            </w:pPr>
            <w:r/>
            <w:r>
              <w:rPr>
                <w:sz w:val="17"/>
              </w:rPr>
              <w:t>Cumulative aggregation across in-scope carts</w:t>
            </w:r>
          </w:p>
        </w:tc>
        <w:tc>
          <w:tcPr>
            <w:tcW w:type="dxa" w:w="2880"/>
          </w:tcPr>
          <w:p>
            <w:pPr>
              <w:spacing w:after="20"/>
            </w:pPr>
            <w:r/>
            <w:r>
              <w:rPr>
                <w:sz w:val="17"/>
              </w:rPr>
              <w:t>C6_cumulative_cap</w:t>
            </w:r>
          </w:p>
        </w:tc>
        <w:tc>
          <w:tcPr>
            <w:tcW w:type="dxa" w:w="1584"/>
          </w:tcPr>
          <w:p>
            <w:pPr>
              <w:spacing w:after="20"/>
            </w:pPr>
            <w:r/>
            <w:r>
              <w:rPr>
                <w:sz w:val="17"/>
              </w:rPr>
              <w:t>caught</w:t>
            </w:r>
          </w:p>
        </w:tc>
      </w:tr>
      <w:tr>
        <w:tc>
          <w:tcPr>
            <w:tcW w:type="dxa" w:w="720"/>
          </w:tcPr>
          <w:p>
            <w:pPr>
              <w:spacing w:after="20"/>
            </w:pPr>
            <w:r/>
            <w:r>
              <w:rPr>
                <w:sz w:val="17"/>
              </w:rPr>
              <w:t>A5</w:t>
            </w:r>
          </w:p>
        </w:tc>
        <w:tc>
          <w:tcPr>
            <w:tcW w:type="dxa" w:w="3744"/>
          </w:tcPr>
          <w:p>
            <w:pPr>
              <w:spacing w:after="20"/>
            </w:pPr>
            <w:r/>
            <w:r>
              <w:rPr>
                <w:sz w:val="17"/>
              </w:rPr>
              <w:t>Expired mandate reuse</w:t>
            </w:r>
          </w:p>
        </w:tc>
        <w:tc>
          <w:tcPr>
            <w:tcW w:type="dxa" w:w="2880"/>
          </w:tcPr>
          <w:p>
            <w:pPr>
              <w:spacing w:after="20"/>
            </w:pPr>
            <w:r/>
            <w:r>
              <w:rPr>
                <w:sz w:val="17"/>
              </w:rPr>
              <w:t>C4_temporal_validity</w:t>
            </w:r>
          </w:p>
        </w:tc>
        <w:tc>
          <w:tcPr>
            <w:tcW w:type="dxa" w:w="1584"/>
          </w:tcPr>
          <w:p>
            <w:pPr>
              <w:spacing w:after="20"/>
            </w:pPr>
            <w:r/>
            <w:r>
              <w:rPr>
                <w:sz w:val="17"/>
              </w:rPr>
              <w:t>caught</w:t>
            </w:r>
          </w:p>
        </w:tc>
      </w:tr>
      <w:tr>
        <w:tc>
          <w:tcPr>
            <w:tcW w:type="dxa" w:w="720"/>
          </w:tcPr>
          <w:p>
            <w:pPr>
              <w:spacing w:after="20"/>
            </w:pPr>
            <w:r/>
            <w:r>
              <w:rPr>
                <w:sz w:val="17"/>
              </w:rPr>
              <w:t>A6</w:t>
            </w:r>
          </w:p>
        </w:tc>
        <w:tc>
          <w:tcPr>
            <w:tcW w:type="dxa" w:w="3744"/>
          </w:tcPr>
          <w:p>
            <w:pPr>
              <w:spacing w:after="20"/>
            </w:pPr>
            <w:r/>
            <w:r>
              <w:rPr>
                <w:sz w:val="17"/>
              </w:rPr>
              <w:t>Forged agent attestation</w:t>
            </w:r>
          </w:p>
        </w:tc>
        <w:tc>
          <w:tcPr>
            <w:tcW w:type="dxa" w:w="2880"/>
          </w:tcPr>
          <w:p>
            <w:pPr>
              <w:spacing w:after="20"/>
            </w:pPr>
            <w:r/>
            <w:r>
              <w:rPr>
                <w:sz w:val="17"/>
              </w:rPr>
              <w:t>C7_agent_binding</w:t>
            </w:r>
          </w:p>
        </w:tc>
        <w:tc>
          <w:tcPr>
            <w:tcW w:type="dxa" w:w="1584"/>
          </w:tcPr>
          <w:p>
            <w:pPr>
              <w:spacing w:after="20"/>
            </w:pPr>
            <w:r/>
            <w:r>
              <w:rPr>
                <w:sz w:val="17"/>
              </w:rPr>
              <w:t>caught</w:t>
            </w:r>
          </w:p>
        </w:tc>
      </w:tr>
      <w:tr>
        <w:tc>
          <w:tcPr>
            <w:tcW w:type="dxa" w:w="720"/>
          </w:tcPr>
          <w:p>
            <w:pPr>
              <w:spacing w:after="20"/>
            </w:pPr>
            <w:r/>
            <w:r>
              <w:rPr>
                <w:sz w:val="17"/>
              </w:rPr>
              <w:t>A7</w:t>
            </w:r>
          </w:p>
        </w:tc>
        <w:tc>
          <w:tcPr>
            <w:tcW w:type="dxa" w:w="3744"/>
          </w:tcPr>
          <w:p>
            <w:pPr>
              <w:spacing w:after="20"/>
            </w:pPr>
            <w:r/>
            <w:r>
              <w:rPr>
                <w:sz w:val="17"/>
              </w:rPr>
              <w:t>Line-item substitution post-confirmation</w:t>
            </w:r>
          </w:p>
        </w:tc>
        <w:tc>
          <w:tcPr>
            <w:tcW w:type="dxa" w:w="2880"/>
          </w:tcPr>
          <w:p>
            <w:pPr>
              <w:spacing w:after="20"/>
            </w:pPr>
            <w:r/>
            <w:r>
              <w:rPr>
                <w:sz w:val="17"/>
              </w:rPr>
              <w:t>C8_confirmation_bind</w:t>
            </w:r>
          </w:p>
        </w:tc>
        <w:tc>
          <w:tcPr>
            <w:tcW w:type="dxa" w:w="1584"/>
          </w:tcPr>
          <w:p>
            <w:pPr>
              <w:spacing w:after="20"/>
            </w:pPr>
            <w:r/>
            <w:r>
              <w:rPr>
                <w:sz w:val="17"/>
              </w:rPr>
              <w:t>caught</w:t>
            </w:r>
          </w:p>
        </w:tc>
      </w:tr>
      <w:tr>
        <w:tc>
          <w:tcPr>
            <w:tcW w:type="dxa" w:w="720"/>
          </w:tcPr>
          <w:p>
            <w:pPr>
              <w:spacing w:after="20"/>
            </w:pPr>
            <w:r/>
            <w:r>
              <w:rPr>
                <w:sz w:val="17"/>
              </w:rPr>
              <w:t>A8</w:t>
            </w:r>
          </w:p>
        </w:tc>
        <w:tc>
          <w:tcPr>
            <w:tcW w:type="dxa" w:w="3744"/>
          </w:tcPr>
          <w:p>
            <w:pPr>
              <w:spacing w:after="20"/>
            </w:pPr>
            <w:r/>
            <w:r>
              <w:rPr>
                <w:sz w:val="17"/>
              </w:rPr>
              <w:t>Post-revocation burst</w:t>
            </w:r>
          </w:p>
        </w:tc>
        <w:tc>
          <w:tcPr>
            <w:tcW w:type="dxa" w:w="2880"/>
          </w:tcPr>
          <w:p>
            <w:pPr>
              <w:spacing w:after="20"/>
            </w:pPr>
            <w:r/>
            <w:r>
              <w:rPr>
                <w:sz w:val="17"/>
              </w:rPr>
              <w:t>C9_revocation_state</w:t>
            </w:r>
          </w:p>
        </w:tc>
        <w:tc>
          <w:tcPr>
            <w:tcW w:type="dxa" w:w="1584"/>
          </w:tcPr>
          <w:p>
            <w:pPr>
              <w:spacing w:after="20"/>
            </w:pPr>
            <w:r/>
            <w:r>
              <w:rPr>
                <w:sz w:val="17"/>
              </w:rPr>
              <w:t>caught</w:t>
            </w:r>
          </w:p>
        </w:tc>
      </w:tr>
      <w:tr>
        <w:tc>
          <w:tcPr>
            <w:tcW w:type="dxa" w:w="720"/>
          </w:tcPr>
          <w:p>
            <w:pPr>
              <w:spacing w:after="20"/>
            </w:pPr>
            <w:r/>
            <w:r>
              <w:rPr>
                <w:sz w:val="17"/>
              </w:rPr>
              <w:t>A9</w:t>
            </w:r>
          </w:p>
        </w:tc>
        <w:tc>
          <w:tcPr>
            <w:tcW w:type="dxa" w:w="3744"/>
          </w:tcPr>
          <w:p>
            <w:pPr>
              <w:spacing w:after="20"/>
            </w:pPr>
            <w:r/>
            <w:r>
              <w:rPr>
                <w:sz w:val="17"/>
              </w:rPr>
              <w:t>In-scope malicious purchase</w:t>
            </w:r>
          </w:p>
        </w:tc>
        <w:tc>
          <w:tcPr>
            <w:tcW w:type="dxa" w:w="2880"/>
          </w:tcPr>
          <w:p>
            <w:pPr>
              <w:spacing w:after="20"/>
            </w:pPr>
            <w:r/>
            <w:r>
              <w:rPr>
                <w:sz w:val="17"/>
              </w:rPr>
              <w:t>—</w:t>
            </w:r>
          </w:p>
        </w:tc>
        <w:tc>
          <w:tcPr>
            <w:tcW w:type="dxa" w:w="1584"/>
          </w:tcPr>
          <w:p>
            <w:pPr>
              <w:spacing w:after="20"/>
            </w:pPr>
            <w:r/>
            <w:r>
              <w:rPr>
                <w:sz w:val="17"/>
              </w:rPr>
              <w:t>NOT CAUGHT</w:t>
            </w:r>
          </w:p>
        </w:tc>
      </w:tr>
      <w:tr>
        <w:tc>
          <w:tcPr>
            <w:tcW w:type="dxa" w:w="720"/>
          </w:tcPr>
          <w:p>
            <w:pPr>
              <w:spacing w:after="20"/>
            </w:pPr>
            <w:r/>
            <w:r>
              <w:rPr>
                <w:sz w:val="17"/>
              </w:rPr>
              <w:t>A10</w:t>
            </w:r>
          </w:p>
        </w:tc>
        <w:tc>
          <w:tcPr>
            <w:tcW w:type="dxa" w:w="3744"/>
          </w:tcPr>
          <w:p>
            <w:pPr>
              <w:spacing w:after="20"/>
            </w:pPr>
            <w:r/>
            <w:r>
              <w:rPr>
                <w:sz w:val="17"/>
              </w:rPr>
              <w:t>Prompt-injected but in-scope purchase</w:t>
            </w:r>
          </w:p>
        </w:tc>
        <w:tc>
          <w:tcPr>
            <w:tcW w:type="dxa" w:w="2880"/>
          </w:tcPr>
          <w:p>
            <w:pPr>
              <w:spacing w:after="20"/>
            </w:pPr>
            <w:r/>
            <w:r>
              <w:rPr>
                <w:sz w:val="17"/>
              </w:rPr>
              <w:t>—</w:t>
            </w:r>
          </w:p>
        </w:tc>
        <w:tc>
          <w:tcPr>
            <w:tcW w:type="dxa" w:w="1584"/>
          </w:tcPr>
          <w:p>
            <w:pPr>
              <w:spacing w:after="20"/>
            </w:pPr>
            <w:r/>
            <w:r>
              <w:rPr>
                <w:sz w:val="17"/>
              </w:rPr>
              <w:t>NOT CAUGHT</w:t>
            </w:r>
          </w:p>
        </w:tc>
      </w:tr>
    </w:tbl>
    <w:p>
      <w:pPr>
        <w:spacing w:after="40"/>
      </w:pPr>
    </w:p>
    <w:p>
      <w:pPr>
        <w:spacing w:after="140"/>
      </w:pPr>
      <w:r>
        <w:rPr>
          <w:i w:val="0"/>
          <w:sz w:val="21"/>
        </w:rPr>
        <w:t>Coverage: 8 of 10 families caught deterministically, at a false-positive rate of 0.0000 — 0 of 20,000 conforming in-scope carts rejected.</w:t>
      </w:r>
    </w:p>
    <w:p>
      <w:pPr>
        <w:spacing w:before="120" w:after="180"/>
        <w:ind w:left="317"/>
      </w:pPr>
      <w:r>
        <w:rPr>
          <w:b/>
          <w:color w:val="B3261E"/>
          <w:sz w:val="21"/>
        </w:rPr>
        <w:t>A9 and A10 are the most important rows in that table. They are uncaught by construction, not by omission.</w:t>
      </w:r>
    </w:p>
    <w:p>
      <w:pPr>
        <w:spacing w:after="140"/>
      </w:pPr>
      <w:r>
        <w:rPr>
          <w:i w:val="0"/>
          <w:sz w:val="21"/>
        </w:rPr>
        <w:t>An agent that spends inside the mandate — whether compromised or steered by a prompt injection — passes every check. Conformance checking does not detect that. What it does is bound the loss. This is also the direct answer to 'AP2 already specifies mandate verification': the contribution is not the checks, it is the measurement of what they do and do not buy.</w:t>
      </w:r>
    </w:p>
    <w:p>
      <w:pPr>
        <w:spacing w:before="240" w:after="60"/>
      </w:pPr>
      <w:r>
        <w:rPr>
          <w:b/>
          <w:sz w:val="23"/>
        </w:rPr>
        <w:t>Agentic conformance: bounded loss on the families it cannot catch</w:t>
      </w:r>
    </w:p>
    <w:tbl>
      <w:tblPr>
        <w:tblStyle w:val="LightGrid-Accent1"/>
        <w:tblW w:type="auto" w:w="0"/>
        <w:jc w:val="center"/>
        <w:tblLook w:firstColumn="1" w:firstRow="1" w:lastColumn="0" w:lastRow="0" w:noHBand="0" w:noVBand="1" w:val="04A0"/>
      </w:tblPr>
      <w:tblGrid>
        <w:gridCol w:w="2376"/>
        <w:gridCol w:w="2376"/>
        <w:gridCol w:w="2376"/>
        <w:gridCol w:w="2376"/>
      </w:tblGrid>
      <w:tr>
        <w:tc>
          <w:tcPr>
            <w:tcW w:type="dxa" w:w="3312"/>
          </w:tcPr>
          <w:p>
            <w:r/>
            <w:r>
              <w:rPr>
                <w:b/>
                <w:sz w:val="18"/>
              </w:rPr>
              <w:t>Scenario</w:t>
            </w:r>
          </w:p>
        </w:tc>
        <w:tc>
          <w:tcPr>
            <w:tcW w:type="dxa" w:w="2016"/>
          </w:tcPr>
          <w:p>
            <w:r/>
            <w:r>
              <w:rPr>
                <w:b/>
                <w:sz w:val="18"/>
              </w:rPr>
              <w:t>Mean loss</w:t>
            </w:r>
          </w:p>
        </w:tc>
        <w:tc>
          <w:tcPr>
            <w:tcW w:type="dxa" w:w="1872"/>
          </w:tcPr>
          <w:p>
            <w:r/>
            <w:r>
              <w:rPr>
                <w:b/>
                <w:sz w:val="18"/>
              </w:rPr>
              <w:t>p95 loss</w:t>
            </w:r>
          </w:p>
        </w:tc>
        <w:tc>
          <w:tcPr>
            <w:tcW w:type="dxa" w:w="1872"/>
          </w:tcPr>
          <w:p>
            <w:r/>
            <w:r>
              <w:rPr>
                <w:b/>
                <w:sz w:val="18"/>
              </w:rPr>
              <w:t>Reduction</w:t>
            </w:r>
          </w:p>
        </w:tc>
      </w:tr>
      <w:tr>
        <w:tc>
          <w:tcPr>
            <w:tcW w:type="dxa" w:w="3312"/>
          </w:tcPr>
          <w:p>
            <w:pPr>
              <w:spacing w:after="20"/>
            </w:pPr>
            <w:r/>
            <w:r>
              <w:rPr>
                <w:sz w:val="18"/>
              </w:rPr>
              <w:t>No mandate enforcement</w:t>
            </w:r>
          </w:p>
        </w:tc>
        <w:tc>
          <w:tcPr>
            <w:tcW w:type="dxa" w:w="2016"/>
          </w:tcPr>
          <w:p>
            <w:pPr>
              <w:spacing w:after="20"/>
              <w:jc w:val="right"/>
            </w:pPr>
            <w:r/>
            <w:r>
              <w:rPr>
                <w:sz w:val="18"/>
              </w:rPr>
              <w:t>₹86,787</w:t>
            </w:r>
          </w:p>
        </w:tc>
        <w:tc>
          <w:tcPr>
            <w:tcW w:type="dxa" w:w="1872"/>
          </w:tcPr>
          <w:p>
            <w:pPr>
              <w:spacing w:after="20"/>
              <w:jc w:val="right"/>
            </w:pPr>
            <w:r/>
            <w:r>
              <w:rPr>
                <w:sz w:val="18"/>
              </w:rPr>
              <w:t>₹269,864</w:t>
            </w:r>
          </w:p>
        </w:tc>
        <w:tc>
          <w:tcPr>
            <w:tcW w:type="dxa" w:w="1872"/>
          </w:tcPr>
          <w:p>
            <w:pPr>
              <w:spacing w:after="20"/>
              <w:jc w:val="right"/>
            </w:pPr>
            <w:r/>
            <w:r>
              <w:rPr>
                <w:sz w:val="18"/>
              </w:rPr>
              <w:t>—</w:t>
            </w:r>
          </w:p>
        </w:tc>
      </w:tr>
      <w:tr>
        <w:tc>
          <w:tcPr>
            <w:tcW w:type="dxa" w:w="3312"/>
          </w:tcPr>
          <w:p>
            <w:pPr>
              <w:spacing w:after="20"/>
            </w:pPr>
            <w:r/>
            <w:r>
              <w:rPr>
                <w:sz w:val="18"/>
              </w:rPr>
              <w:t>Enforced, single cart</w:t>
            </w:r>
          </w:p>
        </w:tc>
        <w:tc>
          <w:tcPr>
            <w:tcW w:type="dxa" w:w="2016"/>
          </w:tcPr>
          <w:p>
            <w:pPr>
              <w:spacing w:after="20"/>
              <w:jc w:val="right"/>
            </w:pPr>
            <w:r/>
            <w:r>
              <w:rPr>
                <w:sz w:val="18"/>
              </w:rPr>
              <w:t>₹3,602</w:t>
            </w:r>
          </w:p>
        </w:tc>
        <w:tc>
          <w:tcPr>
            <w:tcW w:type="dxa" w:w="1872"/>
          </w:tcPr>
          <w:p>
            <w:pPr>
              <w:spacing w:after="20"/>
              <w:jc w:val="right"/>
            </w:pPr>
            <w:r/>
            <w:r>
              <w:rPr>
                <w:sz w:val="18"/>
              </w:rPr>
              <w:t>₹5,000</w:t>
            </w:r>
          </w:p>
        </w:tc>
        <w:tc>
          <w:tcPr>
            <w:tcW w:type="dxa" w:w="1872"/>
          </w:tcPr>
          <w:p>
            <w:pPr>
              <w:spacing w:after="20"/>
              <w:jc w:val="right"/>
            </w:pPr>
            <w:r/>
            <w:r>
              <w:rPr>
                <w:sz w:val="18"/>
              </w:rPr>
              <w:t>95.8%</w:t>
            </w:r>
          </w:p>
        </w:tc>
      </w:tr>
      <w:tr>
        <w:tc>
          <w:tcPr>
            <w:tcW w:type="dxa" w:w="3312"/>
          </w:tcPr>
          <w:p>
            <w:pPr>
              <w:spacing w:after="20"/>
            </w:pPr>
            <w:r/>
            <w:r>
              <w:rPr>
                <w:sz w:val="18"/>
              </w:rPr>
              <w:t>Enforced, persistent attacker</w:t>
            </w:r>
          </w:p>
        </w:tc>
        <w:tc>
          <w:tcPr>
            <w:tcW w:type="dxa" w:w="2016"/>
          </w:tcPr>
          <w:p>
            <w:pPr>
              <w:spacing w:after="20"/>
              <w:jc w:val="right"/>
            </w:pPr>
            <w:r/>
            <w:r>
              <w:rPr>
                <w:sz w:val="18"/>
              </w:rPr>
              <w:t>₹7,001</w:t>
            </w:r>
          </w:p>
        </w:tc>
        <w:tc>
          <w:tcPr>
            <w:tcW w:type="dxa" w:w="1872"/>
          </w:tcPr>
          <w:p>
            <w:pPr>
              <w:spacing w:after="20"/>
              <w:jc w:val="right"/>
            </w:pPr>
            <w:r/>
            <w:r>
              <w:rPr>
                <w:sz w:val="18"/>
              </w:rPr>
              <w:t>₹12,000</w:t>
            </w:r>
          </w:p>
        </w:tc>
        <w:tc>
          <w:tcPr>
            <w:tcW w:type="dxa" w:w="1872"/>
          </w:tcPr>
          <w:p>
            <w:pPr>
              <w:spacing w:after="20"/>
              <w:jc w:val="right"/>
            </w:pPr>
            <w:r/>
            <w:r>
              <w:rPr>
                <w:sz w:val="18"/>
              </w:rPr>
              <w:t>91.9%</w:t>
            </w:r>
          </w:p>
        </w:tc>
      </w:tr>
    </w:tbl>
    <w:p>
      <w:pPr>
        <w:spacing w:after="40"/>
      </w:pPr>
    </w:p>
    <w:p>
      <w:pPr>
        <w:spacing w:after="140"/>
      </w:pPr>
      <w:r>
        <w:rPr>
          <w:i w:val="0"/>
          <w:sz w:val="21"/>
        </w:rPr>
        <w:t>The attacker's desired spend is drawn from the same RBI-calibrated case-size distribution used everywhere else, so the comparison is against a realistic loss profile rather than a convenient one.</w:t>
      </w:r>
    </w:p>
    <w:p>
      <w:pPr>
        <w:spacing w:before="240" w:after="60"/>
      </w:pPr>
      <w:r>
        <w:rPr>
          <w:b/>
          <w:sz w:val="23"/>
        </w:rPr>
        <w:t>What the adversary ladder shows</w:t>
      </w:r>
    </w:p>
    <w:p>
      <w:pPr>
        <w:spacing w:after="140"/>
      </w:pPr>
      <w:r>
        <w:rPr>
          <w:i w:val="0"/>
          <w:sz w:val="21"/>
        </w:rPr>
        <w:t>Reading the three surfaces together is the point of running them. All three start at the same value at rho = 0, because with no coaching there is nothing for any adversary to do. They separate as rho rises, and the rate of separation is the measurement.</w:t>
      </w:r>
    </w:p>
    <w:tbl>
      <w:tblPr>
        <w:tblStyle w:val="LightGrid-Accent1"/>
        <w:tblW w:type="auto" w:w="0"/>
        <w:jc w:val="center"/>
        <w:tblLook w:firstColumn="1" w:firstRow="1" w:lastColumn="0" w:lastRow="0" w:noHBand="0" w:noVBand="1" w:val="04A0"/>
      </w:tblPr>
      <w:tblGrid>
        <w:gridCol w:w="2376"/>
        <w:gridCol w:w="2376"/>
        <w:gridCol w:w="2376"/>
        <w:gridCol w:w="2376"/>
      </w:tblGrid>
      <w:tr>
        <w:tc>
          <w:tcPr>
            <w:tcW w:type="dxa" w:w="4320"/>
          </w:tcPr>
          <w:p>
            <w:r/>
            <w:r>
              <w:rPr>
                <w:b/>
                <w:sz w:val="18"/>
              </w:rPr>
              <w:t>Adversary</w:t>
            </w:r>
          </w:p>
        </w:tc>
        <w:tc>
          <w:tcPr>
            <w:tcW w:type="dxa" w:w="1728"/>
          </w:tcPr>
          <w:p>
            <w:r/>
            <w:r>
              <w:rPr>
                <w:b/>
                <w:sz w:val="18"/>
              </w:rPr>
              <w:t>Delta at rho = 0</w:t>
            </w:r>
          </w:p>
        </w:tc>
        <w:tc>
          <w:tcPr>
            <w:tcW w:type="dxa" w:w="1728"/>
          </w:tcPr>
          <w:p>
            <w:r/>
            <w:r>
              <w:rPr>
                <w:b/>
                <w:sz w:val="18"/>
              </w:rPr>
              <w:t>Delta at rho = 1</w:t>
            </w:r>
          </w:p>
        </w:tc>
        <w:tc>
          <w:tcPr>
            <w:tcW w:type="dxa" w:w="1296"/>
          </w:tcPr>
          <w:p>
            <w:r/>
            <w:r>
              <w:rPr>
                <w:b/>
                <w:sz w:val="18"/>
              </w:rPr>
              <w:t>Decay</w:t>
            </w:r>
          </w:p>
        </w:tc>
      </w:tr>
      <w:tr>
        <w:tc>
          <w:tcPr>
            <w:tcW w:type="dxa" w:w="4320"/>
          </w:tcPr>
          <w:p>
            <w:pPr>
              <w:spacing w:after="20"/>
            </w:pPr>
            <w:r/>
            <w:r>
              <w:rPr>
                <w:sz w:val="18"/>
              </w:rPr>
              <w:t>uniform (pre-registered), lambda = 0.05</w:t>
            </w:r>
          </w:p>
        </w:tc>
        <w:tc>
          <w:tcPr>
            <w:tcW w:type="dxa" w:w="1728"/>
          </w:tcPr>
          <w:p>
            <w:pPr>
              <w:spacing w:after="20"/>
              <w:jc w:val="right"/>
            </w:pPr>
            <w:r/>
            <w:r>
              <w:rPr>
                <w:sz w:val="18"/>
              </w:rPr>
              <w:t>+0.0782</w:t>
            </w:r>
          </w:p>
        </w:tc>
        <w:tc>
          <w:tcPr>
            <w:tcW w:type="dxa" w:w="1728"/>
          </w:tcPr>
          <w:p>
            <w:pPr>
              <w:spacing w:after="20"/>
              <w:jc w:val="right"/>
            </w:pPr>
            <w:r/>
            <w:r>
              <w:rPr>
                <w:sz w:val="18"/>
              </w:rPr>
              <w:t>+0.0636</w:t>
            </w:r>
          </w:p>
        </w:tc>
        <w:tc>
          <w:tcPr>
            <w:tcW w:type="dxa" w:w="1296"/>
          </w:tcPr>
          <w:p>
            <w:pPr>
              <w:spacing w:after="20"/>
              <w:jc w:val="right"/>
            </w:pPr>
            <w:r/>
            <w:r>
              <w:rPr>
                <w:sz w:val="18"/>
              </w:rPr>
              <w:t>-19%</w:t>
            </w:r>
          </w:p>
        </w:tc>
      </w:tr>
      <w:tr>
        <w:tc>
          <w:tcPr>
            <w:tcW w:type="dxa" w:w="4320"/>
          </w:tcPr>
          <w:p>
            <w:pPr>
              <w:spacing w:after="20"/>
            </w:pPr>
            <w:r/>
            <w:r>
              <w:rPr>
                <w:sz w:val="18"/>
              </w:rPr>
              <w:t>prevalence, lambda = 0.05</w:t>
            </w:r>
          </w:p>
        </w:tc>
        <w:tc>
          <w:tcPr>
            <w:tcW w:type="dxa" w:w="1728"/>
          </w:tcPr>
          <w:p>
            <w:pPr>
              <w:spacing w:after="20"/>
              <w:jc w:val="right"/>
            </w:pPr>
            <w:r/>
            <w:r>
              <w:rPr>
                <w:sz w:val="18"/>
              </w:rPr>
              <w:t>+0.0782</w:t>
            </w:r>
          </w:p>
        </w:tc>
        <w:tc>
          <w:tcPr>
            <w:tcW w:type="dxa" w:w="1728"/>
          </w:tcPr>
          <w:p>
            <w:pPr>
              <w:spacing w:after="20"/>
              <w:jc w:val="right"/>
            </w:pPr>
            <w:r/>
            <w:r>
              <w:rPr>
                <w:sz w:val="18"/>
              </w:rPr>
              <w:t>+0.0536</w:t>
            </w:r>
          </w:p>
        </w:tc>
        <w:tc>
          <w:tcPr>
            <w:tcW w:type="dxa" w:w="1296"/>
          </w:tcPr>
          <w:p>
            <w:pPr>
              <w:spacing w:after="20"/>
              <w:jc w:val="right"/>
            </w:pPr>
            <w:r/>
            <w:r>
              <w:rPr>
                <w:sz w:val="18"/>
              </w:rPr>
              <w:t>-31%</w:t>
            </w:r>
          </w:p>
        </w:tc>
      </w:tr>
      <w:tr>
        <w:tc>
          <w:tcPr>
            <w:tcW w:type="dxa" w:w="4320"/>
          </w:tcPr>
          <w:p>
            <w:pPr>
              <w:spacing w:after="20"/>
            </w:pPr>
            <w:r/>
            <w:r>
              <w:rPr>
                <w:sz w:val="18"/>
              </w:rPr>
              <w:t>beneficiary-matched, lambda = 0.05</w:t>
            </w:r>
          </w:p>
        </w:tc>
        <w:tc>
          <w:tcPr>
            <w:tcW w:type="dxa" w:w="1728"/>
          </w:tcPr>
          <w:p>
            <w:pPr>
              <w:spacing w:after="20"/>
              <w:jc w:val="right"/>
            </w:pPr>
            <w:r/>
            <w:r>
              <w:rPr>
                <w:sz w:val="18"/>
              </w:rPr>
              <w:t>+0.0782</w:t>
            </w:r>
          </w:p>
        </w:tc>
        <w:tc>
          <w:tcPr>
            <w:tcW w:type="dxa" w:w="1728"/>
          </w:tcPr>
          <w:p>
            <w:pPr>
              <w:spacing w:after="20"/>
              <w:jc w:val="right"/>
            </w:pPr>
            <w:r/>
            <w:r>
              <w:rPr>
                <w:sz w:val="18"/>
              </w:rPr>
              <w:t>+0.0333</w:t>
            </w:r>
          </w:p>
        </w:tc>
        <w:tc>
          <w:tcPr>
            <w:tcW w:type="dxa" w:w="1296"/>
          </w:tcPr>
          <w:p>
            <w:pPr>
              <w:spacing w:after="20"/>
              <w:jc w:val="right"/>
            </w:pPr>
            <w:r/>
            <w:r>
              <w:rPr>
                <w:sz w:val="18"/>
              </w:rPr>
              <w:t>-57%</w:t>
            </w:r>
          </w:p>
        </w:tc>
      </w:tr>
    </w:tbl>
    <w:p>
      <w:pPr>
        <w:spacing w:after="40"/>
      </w:pPr>
    </w:p>
    <w:p>
      <w:pPr>
        <w:spacing w:after="140"/>
      </w:pPr>
      <w:r>
        <w:rPr>
          <w:i w:val="0"/>
          <w:sz w:val="21"/>
        </w:rPr>
        <w:t>The pre-registered adversary barely dents the signal. Making the declared code information-free roughly doubles the decay. Letting the attacker also choose the beneficiary roughly triples it. On M1 the incremental value nevertheless remains significant in 30 of 30 cells on every surface, so rho* &gt; 1.0 throughout: within the range modelled, no level of coaching removes the signal entirely, even against an adversary assumed to know the defence.</w:t>
      </w:r>
    </w:p>
    <w:p>
      <w:pPr>
        <w:spacing w:before="120" w:after="180"/>
        <w:ind w:left="317"/>
      </w:pPr>
      <w:r>
        <w:rPr>
          <w:b/>
          <w:color w:val="1F4E79"/>
          <w:sz w:val="21"/>
        </w:rPr>
        <w:t>The attacker faces a trade-off it cannot avoid: matching the declared purpose requires concentrating its routing onto accounts that fit, and that concentration is itself visible to beneficiary intelligence.</w:t>
      </w:r>
    </w:p>
    <w:p>
      <w:pPr>
        <w:spacing w:after="140"/>
      </w:pPr>
      <w:r>
        <w:rPr>
          <w:i w:val="0"/>
          <w:sz w:val="21"/>
        </w:rPr>
        <w:t>Under the matched adversary the baseline B1+B2+B3 arm *improves* — at rho = 1, lambda = 0.10 it rises from 0.9065 to 0.9446 — because the purpose-matched routing makes fraudulent beneficiaries resemble one another. Evading the consistency check is not free. That interaction is the most operationally interesting result in the study, and it is not something the pre-registered adversary could have revealed.</w:t>
      </w:r>
    </w:p>
    <w:p>
      <w:pPr>
        <w:spacing w:before="240" w:after="60"/>
      </w:pPr>
      <w:r>
        <w:rPr>
          <w:b/>
          <w:sz w:val="23"/>
        </w:rPr>
        <w:t>The two evidential regimes, side by side</w:t>
      </w:r>
    </w:p>
    <w:tbl>
      <w:tblPr>
        <w:tblStyle w:val="LightGrid-Accent1"/>
        <w:tblW w:type="auto" w:w="0"/>
        <w:jc w:val="center"/>
        <w:tblLook w:firstColumn="1" w:firstRow="1" w:lastColumn="0" w:lastRow="0" w:noHBand="0" w:noVBand="1" w:val="04A0"/>
      </w:tblPr>
      <w:tblGrid>
        <w:gridCol w:w="3168"/>
        <w:gridCol w:w="3168"/>
        <w:gridCol w:w="3168"/>
      </w:tblGrid>
      <w:tr>
        <w:tc>
          <w:tcPr>
            <w:tcW w:type="dxa" w:w="2160"/>
          </w:tcPr>
          <w:p>
            <w:r/>
            <w:r>
              <w:rPr>
                <w:b/>
                <w:sz w:val="18"/>
              </w:rPr>
            </w:r>
          </w:p>
        </w:tc>
        <w:tc>
          <w:tcPr>
            <w:tcW w:type="dxa" w:w="3456"/>
          </w:tcPr>
          <w:p>
            <w:r/>
            <w:r>
              <w:rPr>
                <w:b/>
                <w:sz w:val="18"/>
              </w:rPr>
              <w:t>Human declaration</w:t>
            </w:r>
          </w:p>
        </w:tc>
        <w:tc>
          <w:tcPr>
            <w:tcW w:type="dxa" w:w="3456"/>
          </w:tcPr>
          <w:p>
            <w:r/>
            <w:r>
              <w:rPr>
                <w:b/>
                <w:sz w:val="18"/>
              </w:rPr>
              <w:t>Signed mandate</w:t>
            </w:r>
          </w:p>
        </w:tc>
      </w:tr>
      <w:tr>
        <w:tc>
          <w:tcPr>
            <w:tcW w:type="dxa" w:w="2160"/>
          </w:tcPr>
          <w:p>
            <w:pPr>
              <w:spacing w:after="20"/>
            </w:pPr>
            <w:r/>
            <w:r>
              <w:rPr>
                <w:sz w:val="18"/>
              </w:rPr>
              <w:t>Nature of evidence</w:t>
            </w:r>
          </w:p>
        </w:tc>
        <w:tc>
          <w:tcPr>
            <w:tcW w:type="dxa" w:w="3456"/>
          </w:tcPr>
          <w:p>
            <w:pPr>
              <w:spacing w:after="20"/>
            </w:pPr>
            <w:r/>
            <w:r>
              <w:rPr>
                <w:sz w:val="18"/>
              </w:rPr>
              <w:t>probabilistic, possibly deceptive</w:t>
            </w:r>
          </w:p>
        </w:tc>
        <w:tc>
          <w:tcPr>
            <w:tcW w:type="dxa" w:w="3456"/>
          </w:tcPr>
          <w:p>
            <w:pPr>
              <w:spacing w:after="20"/>
            </w:pPr>
            <w:r/>
            <w:r>
              <w:rPr>
                <w:sz w:val="18"/>
              </w:rPr>
              <w:t>cryptographic, constraint-bounded</w:t>
            </w:r>
          </w:p>
        </w:tc>
      </w:tr>
      <w:tr>
        <w:tc>
          <w:tcPr>
            <w:tcW w:type="dxa" w:w="2160"/>
          </w:tcPr>
          <w:p>
            <w:pPr>
              <w:spacing w:after="20"/>
            </w:pPr>
            <w:r/>
            <w:r>
              <w:rPr>
                <w:sz w:val="18"/>
              </w:rPr>
              <w:t>Failure mode</w:t>
            </w:r>
          </w:p>
        </w:tc>
        <w:tc>
          <w:tcPr>
            <w:tcW w:type="dxa" w:w="3456"/>
          </w:tcPr>
          <w:p>
            <w:pPr>
              <w:spacing w:after="20"/>
            </w:pPr>
            <w:r/>
            <w:r>
              <w:rPr>
                <w:sz w:val="18"/>
              </w:rPr>
              <w:t>coaching (ρ)</w:t>
            </w:r>
          </w:p>
        </w:tc>
        <w:tc>
          <w:tcPr>
            <w:tcW w:type="dxa" w:w="3456"/>
          </w:tcPr>
          <w:p>
            <w:pPr>
              <w:spacing w:after="20"/>
            </w:pPr>
            <w:r/>
            <w:r>
              <w:rPr>
                <w:sz w:val="18"/>
              </w:rPr>
              <w:t>in-scope abuse (A9/A10)</w:t>
            </w:r>
          </w:p>
        </w:tc>
      </w:tr>
      <w:tr>
        <w:tc>
          <w:tcPr>
            <w:tcW w:type="dxa" w:w="2160"/>
          </w:tcPr>
          <w:p>
            <w:pPr>
              <w:spacing w:after="20"/>
            </w:pPr>
            <w:r/>
            <w:r>
              <w:rPr>
                <w:sz w:val="18"/>
              </w:rPr>
              <w:t>What it delivers</w:t>
            </w:r>
          </w:p>
        </w:tc>
        <w:tc>
          <w:tcPr>
            <w:tcW w:type="dxa" w:w="3456"/>
          </w:tcPr>
          <w:p>
            <w:pPr>
              <w:spacing w:after="20"/>
            </w:pPr>
            <w:r/>
            <w:r>
              <w:rPr>
                <w:sz w:val="18"/>
              </w:rPr>
              <w:t>a shift in ranking</w:t>
            </w:r>
          </w:p>
        </w:tc>
        <w:tc>
          <w:tcPr>
            <w:tcW w:type="dxa" w:w="3456"/>
          </w:tcPr>
          <w:p>
            <w:pPr>
              <w:spacing w:after="20"/>
            </w:pPr>
            <w:r/>
            <w:r>
              <w:rPr>
                <w:sz w:val="18"/>
              </w:rPr>
              <w:t>a deterministic reject, or a bounded loss</w:t>
            </w:r>
          </w:p>
        </w:tc>
      </w:tr>
      <w:tr>
        <w:tc>
          <w:tcPr>
            <w:tcW w:type="dxa" w:w="2160"/>
          </w:tcPr>
          <w:p>
            <w:pPr>
              <w:spacing w:after="20"/>
            </w:pPr>
            <w:r/>
            <w:r>
              <w:rPr>
                <w:sz w:val="18"/>
              </w:rPr>
              <w:t>False positives</w:t>
            </w:r>
          </w:p>
        </w:tc>
        <w:tc>
          <w:tcPr>
            <w:tcW w:type="dxa" w:w="3456"/>
          </w:tcPr>
          <w:p>
            <w:pPr>
              <w:spacing w:after="20"/>
            </w:pPr>
            <w:r/>
            <w:r>
              <w:rPr>
                <w:sz w:val="18"/>
              </w:rPr>
              <w:t>non-zero by construction</w:t>
            </w:r>
          </w:p>
        </w:tc>
        <w:tc>
          <w:tcPr>
            <w:tcW w:type="dxa" w:w="3456"/>
          </w:tcPr>
          <w:p>
            <w:pPr>
              <w:spacing w:after="20"/>
            </w:pPr>
            <w:r/>
            <w:r>
              <w:rPr>
                <w:sz w:val="18"/>
              </w:rPr>
              <w:t>zero on conforming traffic</w:t>
            </w:r>
          </w:p>
        </w:tc>
      </w:tr>
      <w:tr>
        <w:tc>
          <w:tcPr>
            <w:tcW w:type="dxa" w:w="2160"/>
          </w:tcPr>
          <w:p>
            <w:pPr>
              <w:spacing w:after="20"/>
            </w:pPr>
            <w:r/>
            <w:r>
              <w:rPr>
                <w:sz w:val="18"/>
              </w:rPr>
              <w:t>Degrades under pressure</w:t>
            </w:r>
          </w:p>
        </w:tc>
        <w:tc>
          <w:tcPr>
            <w:tcW w:type="dxa" w:w="3456"/>
          </w:tcPr>
          <w:p>
            <w:pPr>
              <w:spacing w:after="20"/>
            </w:pPr>
            <w:r/>
            <w:r>
              <w:rPr>
                <w:sz w:val="18"/>
              </w:rPr>
              <w:t>yes — see the phase diagram</w:t>
            </w:r>
          </w:p>
        </w:tc>
        <w:tc>
          <w:tcPr>
            <w:tcW w:type="dxa" w:w="3456"/>
          </w:tcPr>
          <w:p>
            <w:pPr>
              <w:spacing w:after="20"/>
            </w:pPr>
            <w:r/>
            <w:r>
              <w:rPr>
                <w:sz w:val="18"/>
              </w:rPr>
              <w:t>no — but its scope is narrower</w:t>
            </w:r>
          </w:p>
        </w:tc>
      </w:tr>
    </w:tbl>
    <w:p>
      <w:pPr>
        <w:spacing w:after="40"/>
      </w:pPr>
    </w:p>
    <w:p>
      <w:pPr>
        <w:spacing w:after="140"/>
      </w:pPr>
      <w:r>
        <w:rPr>
          <w:i w:val="0"/>
          <w:sz w:val="21"/>
        </w:rPr>
        <w:t>These are not the same claim and this project does not blur them. They are the same underlying question asked of two different kinds of evidence.</w:t>
      </w:r>
    </w:p>
    <w:p>
      <w:pPr>
        <w:spacing w:before="400" w:after="60"/>
      </w:pPr>
      <w:r>
        <w:rPr>
          <w:b/>
          <w:color w:val="11161F"/>
          <w:sz w:val="32"/>
        </w:rPr>
        <w:t>8. Feasibility</w:t>
      </w:r>
    </w:p>
    <w:p>
      <w:pPr>
        <w:spacing w:after="180"/>
      </w:pPr>
      <w:r>
        <w:rPr>
          <w:i/>
          <w:color w:val="1F4E79"/>
          <w:sz w:val="18"/>
        </w:rPr>
        <w:t>Rubric: implementation feasibility</w:t>
      </w:r>
    </w:p>
    <w:p>
      <w:pPr>
        <w:pStyle w:val="ListBullet"/>
        <w:spacing w:after="60"/>
      </w:pPr>
      <w:r>
        <w:rPr>
          <w:b/>
          <w:sz w:val="21"/>
        </w:rPr>
        <w:t>No new rail field is needed for corporate flows.</w:t>
      </w:r>
      <w:r>
        <w:rPr>
          <w:sz w:val="21"/>
        </w:rPr>
        <w:t xml:space="preserve"> ISO 20022 &lt;Purp&gt;&lt;Cd&gt; already travels in pain.001 and pacs.008. The message structure exists and is standardised.</w:t>
      </w:r>
    </w:p>
    <w:p>
      <w:pPr>
        <w:pStyle w:val="ListBullet"/>
        <w:spacing w:after="60"/>
      </w:pPr>
      <w:r>
        <w:rPr>
          <w:b/>
          <w:sz w:val="21"/>
        </w:rPr>
        <w:t>Consumer flows need retention, not invention.</w:t>
      </w:r>
      <w:r>
        <w:rPr>
          <w:sz w:val="21"/>
        </w:rPr>
        <w:t xml:space="preserve"> The gap is not that the field cannot be carried; it is whether a consumer-initiated declaration survives end-to-end rather than being discarded at a gateway. That is an operational and governance question, not a protocol one.</w:t>
      </w:r>
    </w:p>
    <w:p>
      <w:pPr>
        <w:pStyle w:val="ListBullet"/>
        <w:spacing w:after="60"/>
      </w:pPr>
      <w:r>
        <w:rPr>
          <w:b/>
          <w:sz w:val="21"/>
        </w:rPr>
        <w:t>Latency is not a constraint.</w:t>
      </w:r>
      <w:r>
        <w:rPr>
          <w:sz w:val="21"/>
        </w:rPr>
        <w:t xml:space="preserve"> The consistency residuals are a lookup of per-purpose moments and one quadratic form over thirteen dimensions. It is microseconds, and the reference distributions are refreshed offline.</w:t>
      </w:r>
    </w:p>
    <w:p>
      <w:pPr>
        <w:pStyle w:val="ListBullet"/>
        <w:spacing w:after="60"/>
      </w:pPr>
      <w:r>
        <w:rPr>
          <w:b/>
          <w:sz w:val="21"/>
        </w:rPr>
        <w:t>The reference set is built from confirmed-good history.</w:t>
      </w:r>
      <w:r>
        <w:rPr>
          <w:sz w:val="21"/>
        </w:rPr>
        <w:t xml:space="preserve"> Exactly the data a bank already holds. No new labelling process is required, and the model never needs fraud labels to compute a residual.</w:t>
      </w:r>
    </w:p>
    <w:p>
      <w:pPr>
        <w:pStyle w:val="ListBullet"/>
        <w:spacing w:after="60"/>
      </w:pPr>
      <w:r>
        <w:rPr>
          <w:b/>
          <w:sz w:val="21"/>
        </w:rPr>
        <w:t>Governance is the real cost.</w:t>
      </w:r>
      <w:r>
        <w:rPr>
          <w:sz w:val="21"/>
        </w:rPr>
        <w:t xml:space="preserve"> A declared-purpose field is payer-supplied data used in an adverse decision. It needs a retention policy, an explanation path, and a false-positive appeal route. §9 does not pretend otherwise.</w:t>
      </w:r>
    </w:p>
    <w:p>
      <w:pPr>
        <w:pStyle w:val="ListBullet"/>
        <w:spacing w:after="60"/>
      </w:pPr>
      <w:r>
        <w:rPr>
          <w:b/>
          <w:sz w:val="21"/>
        </w:rPr>
        <w:t>It converges with where the RBI is already heading.</w:t>
      </w:r>
      <w:r>
        <w:rPr>
          <w:sz w:val="21"/>
        </w:rPr>
        <w:t xml:space="preserve"> The April 2026 discussion paper proposes four friction controls. A detection signal is complementary to all four, and this work characterises the conditions under which it is worth having.</w:t>
      </w:r>
    </w:p>
    <w:p>
      <w:pPr>
        <w:spacing w:before="240" w:after="60"/>
      </w:pPr>
      <w:r>
        <w:rPr>
          <w:b/>
          <w:sz w:val="23"/>
        </w:rPr>
        <w:t>A deployment sketch</w:t>
      </w:r>
    </w:p>
    <w:p>
      <w:pPr>
        <w:spacing w:after="140"/>
      </w:pPr>
      <w:r>
        <w:rPr>
          <w:i w:val="0"/>
          <w:sz w:val="21"/>
        </w:rPr>
        <w:t>Nothing here requires a new machine-learning capability. What it requires is a field, a reference table, and a policy.</w:t>
      </w:r>
    </w:p>
    <w:p>
      <w:pPr>
        <w:pStyle w:val="ListBullet"/>
        <w:spacing w:after="60"/>
      </w:pPr>
      <w:r>
        <w:rPr>
          <w:b/>
          <w:sz w:val="21"/>
        </w:rPr>
        <w:t>Capture.</w:t>
      </w:r>
      <w:r>
        <w:rPr>
          <w:sz w:val="21"/>
        </w:rPr>
        <w:t xml:space="preserve"> A purpose selection at initiation, from a menu whose cardinality is an operational choice the K sweep informs directly. A coarser menu is cheaper and easier to answer correctly.</w:t>
      </w:r>
    </w:p>
    <w:p>
      <w:pPr>
        <w:pStyle w:val="ListBullet"/>
        <w:spacing w:after="60"/>
      </w:pPr>
      <w:r>
        <w:rPr>
          <w:b/>
          <w:sz w:val="21"/>
        </w:rPr>
        <w:t>Retention.</w:t>
      </w:r>
      <w:r>
        <w:rPr>
          <w:sz w:val="21"/>
        </w:rPr>
        <w:t xml:space="preserve"> The declaration must survive to the point where the decision is made. This is the real integration work and it is a governance problem, not a protocol one.</w:t>
      </w:r>
    </w:p>
    <w:p>
      <w:pPr>
        <w:pStyle w:val="ListBullet"/>
        <w:spacing w:after="60"/>
      </w:pPr>
      <w:r>
        <w:rPr>
          <w:b/>
          <w:sz w:val="21"/>
        </w:rPr>
        <w:t>Reference build.</w:t>
      </w:r>
      <w:r>
        <w:rPr>
          <w:sz w:val="21"/>
        </w:rPr>
        <w:t xml:space="preserve"> Offline, from confirmed-good history: per purpose class, the mean and shrunk covariance of the beneficiary feature vector. Refreshed on whatever cadence the beneficiary features themselves are refreshed on.</w:t>
      </w:r>
    </w:p>
    <w:p>
      <w:pPr>
        <w:pStyle w:val="ListBullet"/>
        <w:spacing w:after="60"/>
      </w:pPr>
      <w:r>
        <w:rPr>
          <w:b/>
          <w:sz w:val="21"/>
        </w:rPr>
        <w:t>Scoring.</w:t>
      </w:r>
      <w:r>
        <w:rPr>
          <w:sz w:val="21"/>
        </w:rPr>
        <w:t xml:space="preserve"> One lookup and one quadratic form over thirteen dimensions. Microseconds, and no additional model to maintain.</w:t>
      </w:r>
    </w:p>
    <w:p>
      <w:pPr>
        <w:pStyle w:val="ListBullet"/>
        <w:spacing w:after="60"/>
      </w:pPr>
      <w:r>
        <w:rPr>
          <w:b/>
          <w:sz w:val="21"/>
        </w:rPr>
        <w:t>Policy.</w:t>
      </w:r>
      <w:r>
        <w:rPr>
          <w:sz w:val="21"/>
        </w:rPr>
        <w:t xml:space="preserve"> The phase diagram is the deployment decision. If the operating regime sits in a hatched cell, the field is not worth acting on there, whatever it costs to collect.</w:t>
      </w:r>
    </w:p>
    <w:p>
      <w:pPr>
        <w:spacing w:before="240" w:after="60"/>
      </w:pPr>
      <w:r>
        <w:rPr>
          <w:b/>
          <w:sz w:val="23"/>
        </w:rPr>
        <w:t>What this analysis is actually for</w:t>
      </w:r>
    </w:p>
    <w:p>
      <w:pPr>
        <w:spacing w:before="120" w:after="180"/>
        <w:ind w:left="317"/>
      </w:pPr>
      <w:r>
        <w:rPr>
          <w:b/>
          <w:color w:val="1F4E79"/>
          <w:sz w:val="21"/>
        </w:rPr>
        <w:t>Before a payment network spends money collecting another signal, can we quantify when that signal remains useful under adversarial pressure?</w:t>
      </w:r>
    </w:p>
    <w:p>
      <w:pPr>
        <w:spacing w:after="140"/>
      </w:pPr>
      <w:r>
        <w:rPr>
          <w:i w:val="0"/>
          <w:sz w:val="21"/>
        </w:rPr>
        <w:t>That is the deliverable. Not a better fraud classifier — a decision framework with a measured adversarial tolerance, and a published generative process so the partition can be challenged.</w:t>
      </w:r>
    </w:p>
    <w:p>
      <w:pPr>
        <w:spacing w:before="400" w:after="60"/>
      </w:pPr>
      <w:r>
        <w:rPr>
          <w:b/>
          <w:color w:val="11161F"/>
          <w:sz w:val="32"/>
        </w:rPr>
        <w:t>9. Limitations</w:t>
      </w:r>
    </w:p>
    <w:p>
      <w:pPr>
        <w:spacing w:after="180"/>
      </w:pPr>
      <w:r>
        <w:rPr>
          <w:i/>
          <w:color w:val="1F4E79"/>
          <w:sz w:val="18"/>
        </w:rPr>
        <w:t>Rubric: honesty and self-assessment</w:t>
      </w:r>
    </w:p>
    <w:p>
      <w:pPr>
        <w:pStyle w:val="ListBullet"/>
        <w:spacing w:after="60"/>
      </w:pPr>
      <w:r>
        <w:rPr>
          <w:b/>
          <w:sz w:val="21"/>
        </w:rPr>
        <w:t>No labelled public APP dataset exists.</w:t>
      </w:r>
      <w:r>
        <w:rPr>
          <w:sz w:val="21"/>
        </w:rPr>
        <w:t xml:space="preserve"> Every number here comes from a simulator. We make no claim about absolute detection rates; the results characterise relative behaviour across parameter regimes.</w:t>
      </w:r>
    </w:p>
    <w:p>
      <w:pPr>
        <w:pStyle w:val="ListBullet"/>
        <w:spacing w:after="60"/>
      </w:pPr>
      <w:r>
        <w:rPr>
          <w:b/>
          <w:sz w:val="21"/>
        </w:rPr>
        <w:t>Absolute performance is higher than any deployed system.</w:t>
      </w:r>
      <w:r>
        <w:rPr>
          <w:sz w:val="21"/>
        </w:rPr>
        <w:t xml:space="preserve"> The baseline reaches ~0.90 recall at 0.1% FPR. Session telemetry was deliberately made strong so the baseline would not be a strawman, and recall at 0.5% and 1% FPR is consequently saturated for the B4 arms. Those operating points were not changed after seeing results; the saturation is reported instead.</w:t>
      </w:r>
    </w:p>
    <w:p>
      <w:pPr>
        <w:pStyle w:val="ListBullet"/>
        <w:spacing w:after="60"/>
      </w:pPr>
      <w:r>
        <w:rPr>
          <w:b/>
          <w:sz w:val="21"/>
        </w:rPr>
        <w:t>Production systems already capture much of B2 and B3.</w:t>
      </w:r>
      <w:r>
        <w:rPr>
          <w:sz w:val="21"/>
        </w:rPr>
        <w:t xml:space="preserve"> The experiment asks the narrower question of whether a further signal earns its collection cost once those are in place.</w:t>
      </w:r>
    </w:p>
    <w:p>
      <w:pPr>
        <w:pStyle w:val="ListBullet"/>
        <w:spacing w:after="60"/>
      </w:pPr>
      <w:r>
        <w:rPr>
          <w:b/>
          <w:sz w:val="21"/>
        </w:rPr>
        <w:t>The consumer population rate of &lt;Purp&gt; is unverified.</w:t>
      </w:r>
      <w:r>
        <w:rPr>
          <w:sz w:val="21"/>
        </w:rPr>
        <w:t xml:space="preserve"> That the field exists is established. How often it is populated on consumer flows, and whether it survives end-to-end, is not established from any primary source available to us.</w:t>
      </w:r>
    </w:p>
    <w:p>
      <w:pPr>
        <w:pStyle w:val="ListBullet"/>
        <w:spacing w:after="60"/>
      </w:pPr>
      <w:r>
        <w:rPr>
          <w:b/>
          <w:sz w:val="21"/>
        </w:rPr>
        <w:t>Results are conditional on the generative model.</w:t>
      </w:r>
      <w:r>
        <w:rPr>
          <w:sz w:val="21"/>
        </w:rPr>
        <w:t xml:space="preserve"> ρ* is a property of this simulator under this threat model and this parameterisation. It is not a universal threshold and must never be quoted as one.</w:t>
      </w:r>
    </w:p>
    <w:p>
      <w:pPr>
        <w:pStyle w:val="ListBullet"/>
        <w:spacing w:after="60"/>
      </w:pPr>
      <w:r>
        <w:rPr>
          <w:b/>
          <w:sz w:val="21"/>
        </w:rPr>
        <w:t>The ρ mechanism is one adversary among many.</w:t>
      </w:r>
      <w:r>
        <w:rPr>
          <w:sz w:val="21"/>
        </w:rPr>
        <w:t xml:space="preserve"> An adversary who also controls which mule receives the payment, choosing one whose profile matches the declared purpose, is not modelled.</w:t>
      </w:r>
    </w:p>
    <w:p>
      <w:pPr>
        <w:pStyle w:val="ListBullet"/>
        <w:spacing w:after="60"/>
      </w:pPr>
      <w:r>
        <w:rPr>
          <w:b/>
          <w:sz w:val="21"/>
        </w:rPr>
        <w:t>The agentic module bounds loss; it does not detect intent.</w:t>
      </w:r>
      <w:r>
        <w:rPr>
          <w:sz w:val="21"/>
        </w:rPr>
        <w:t xml:space="preserve"> Two of ten families pass every check by construction.</w:t>
      </w:r>
    </w:p>
    <w:p>
      <w:pPr>
        <w:pStyle w:val="ListBullet"/>
        <w:spacing w:after="60"/>
      </w:pPr>
      <w:r>
        <w:rPr>
          <w:b/>
          <w:sz w:val="21"/>
        </w:rPr>
        <w:t>The generative model was corrected after the pre-registration.</w:t>
      </w:r>
      <w:r>
        <w:rPr>
          <w:sz w:val="21"/>
        </w:rPr>
        <w:t xml:space="preserve"> CHANGELOG.md records every change, what was observed that prompted it, and why it is a realism correction. PREREGISTRATION.md has never been edited and was the sole content of the first commit.</w:t>
      </w:r>
    </w:p>
    <w:p>
      <w:pPr>
        <w:spacing w:before="240" w:after="60"/>
      </w:pPr>
      <w:r>
        <w:rPr>
          <w:b/>
          <w:sz w:val="23"/>
        </w:rPr>
        <w:t>The circularity objection, answered before it is asked</w:t>
      </w:r>
    </w:p>
    <w:p>
      <w:pPr>
        <w:spacing w:after="140"/>
      </w:pPr>
      <w:r>
        <w:rPr>
          <w:i w:val="0"/>
          <w:sz w:val="21"/>
        </w:rPr>
        <w:t>We plant context metadata, so we make no claim about absolute detection rates. What is not circular: the deterministic results are structural, the phase diagram measures relative behaviour across parameter regimes rather than a point estimate, and we have published the generative process. We are characterising when a control is worth deploying, not claiming a benchmark win.</w:t>
      </w:r>
    </w:p>
    <w:p>
      <w:pPr>
        <w:spacing w:before="400" w:after="60"/>
      </w:pPr>
      <w:r>
        <w:rPr>
          <w:b/>
          <w:color w:val="11161F"/>
          <w:sz w:val="32"/>
        </w:rPr>
        <w:t>10. Responsible AI and compliance</w:t>
      </w:r>
    </w:p>
    <w:p>
      <w:pPr>
        <w:spacing w:after="180"/>
      </w:pPr>
      <w:r>
        <w:rPr>
          <w:i/>
          <w:color w:val="1F4E79"/>
          <w:sz w:val="18"/>
        </w:rPr>
        <w:t>Rubric: responsible innovation</w:t>
      </w:r>
    </w:p>
    <w:p>
      <w:pPr>
        <w:pStyle w:val="ListBullet"/>
        <w:spacing w:after="60"/>
      </w:pPr>
      <w:r>
        <w:rPr>
          <w:b/>
          <w:sz w:val="21"/>
        </w:rPr>
        <w:t>Synthetic data only.</w:t>
      </w:r>
      <w:r>
        <w:rPr>
          <w:sz w:val="21"/>
        </w:rPr>
        <w:t xml:space="preserve"> No real payment data, no real accounts, no personal data of any kind. Every ledger is generated from a published process and is reproducible from a seed.</w:t>
      </w:r>
    </w:p>
    <w:p>
      <w:pPr>
        <w:pStyle w:val="ListBullet"/>
        <w:spacing w:after="60"/>
      </w:pPr>
      <w:r>
        <w:rPr>
          <w:b/>
          <w:sz w:val="21"/>
        </w:rPr>
        <w:t>No live-system testing.</w:t>
      </w:r>
      <w:r>
        <w:rPr>
          <w:sz w:val="21"/>
        </w:rPr>
        <w:t xml:space="preserve"> Nothing in this repository contacts a payment network, a bank, a merchant, or an agent platform.</w:t>
      </w:r>
    </w:p>
    <w:p>
      <w:pPr>
        <w:pStyle w:val="ListBullet"/>
        <w:spacing w:after="60"/>
      </w:pPr>
      <w:r>
        <w:rPr>
          <w:b/>
          <w:sz w:val="21"/>
        </w:rPr>
        <w:t>No operational attack tooling.</w:t>
      </w:r>
      <w:r>
        <w:rPr>
          <w:sz w:val="21"/>
        </w:rPr>
        <w:t xml:space="preserve"> The agentic attack families construct malformed mandates against a local verifier with locally generated keys. There is no capability here that is useful against a real system.</w:t>
      </w:r>
    </w:p>
    <w:p>
      <w:pPr>
        <w:pStyle w:val="ListBullet"/>
        <w:spacing w:after="60"/>
      </w:pPr>
      <w:r>
        <w:rPr>
          <w:b/>
          <w:sz w:val="21"/>
        </w:rPr>
        <w:t>Primary sources only.</w:t>
      </w:r>
      <w:r>
        <w:rPr>
          <w:sz w:val="21"/>
        </w:rPr>
        <w:t xml:space="preserve"> RBI, ISO 20022, AP2, BIS Nexus and named public statistics. No statistics aggregators.</w:t>
      </w:r>
    </w:p>
    <w:p>
      <w:pPr>
        <w:pStyle w:val="ListBullet"/>
        <w:spacing w:after="60"/>
      </w:pPr>
      <w:r>
        <w:rPr>
          <w:b/>
          <w:sz w:val="21"/>
        </w:rPr>
        <w:t>Fairness.</w:t>
      </w:r>
      <w:r>
        <w:rPr>
          <w:sz w:val="21"/>
        </w:rPr>
        <w:t xml:space="preserve"> A declared-purpose control acts on payer-supplied text in an adverse decision. The phase diagram is the fairness argument as much as the efficacy one: it identifies the regimes in which the signal is not informative, and deploying an uninformative signal in an adverse decision is the failure mode that matters.</w:t>
      </w:r>
    </w:p>
    <w:p>
      <w:pPr>
        <w:pStyle w:val="ListBullet"/>
        <w:spacing w:after="60"/>
      </w:pPr>
      <w:r>
        <w:rPr>
          <w:b/>
          <w:sz w:val="21"/>
        </w:rPr>
        <w:t>Reproducibility.</w:t>
      </w:r>
      <w:r>
        <w:rPr>
          <w:sz w:val="21"/>
        </w:rPr>
        <w:t xml:space="preserve"> Pre-registration in the first commit, frozen hyperparameters with the full trial log, seeds fixed, and every result written to JSON that the prototype and this document both read.</w:t>
      </w:r>
    </w:p>
    <w:p>
      <w:r>
        <w:br w:type="page"/>
      </w:r>
    </w:p>
    <w:p>
      <w:pPr>
        <w:spacing w:before="400" w:after="60"/>
      </w:pPr>
      <w:r>
        <w:rPr>
          <w:b/>
          <w:color w:val="11161F"/>
          <w:sz w:val="32"/>
        </w:rPr>
        <w:t>Appendix A. Pre-registration (verbatim, unedited)</w:t>
      </w:r>
    </w:p>
    <w:p>
      <w:pPr>
        <w:spacing w:after="140"/>
      </w:pPr>
      <w:r>
        <w:rPr>
          <w:i/>
          <w:color w:val="5B6572"/>
          <w:sz w:val="21"/>
        </w:rPr>
        <w:t>Sole content of commit d3478192327f613d6b167be3daaf05b611b1c20a. Verify with git log --reverse --stat.</w:t>
      </w:r>
    </w:p>
    <w:p>
      <w:r>
        <w:rPr>
          <w:rFonts w:ascii="Consolas" w:hAnsi="Consolas"/>
          <w:sz w:val="15"/>
        </w:rPr>
        <w:t># Pre-registration</w:t>
        <w:br/>
        <w:br/>
        <w:t>Committed: 2026-08-30T02:07:43+05:30 (2026-08-29T20:37:43Z)</w:t>
        <w:br/>
        <w:t>Commit: this file was the *sole* content of the first commit in this</w:t>
        <w:br/>
        <w:t>repository. Verify with `git log --reverse --stat | head -20`.</w:t>
        <w:br/>
        <w:br/>
        <w:t>NOT MODIFIED AFTER RESULTS WERE OBSERVED.</w:t>
        <w:br/>
        <w:br/>
        <w:t>## Research question</w:t>
        <w:br/>
        <w:br/>
        <w:t>Under what levels of adversarially degraded payment-context</w:t>
        <w:br/>
        <w:t>reliability does declared payment context provide incremental</w:t>
        <w:br/>
        <w:t>fraud-detection value beyond transaction, behavioural, and</w:t>
        <w:br/>
        <w:t>beneficiary intelligence?</w:t>
        <w:br/>
        <w:br/>
        <w:t>## Feature groups (fixed; every feature assigned before any run)</w:t>
        <w:br/>
        <w:br/>
        <w:t>B1 TRANSACTION</w:t>
        <w:br/>
        <w:t xml:space="preserve">  amount, log_amount, hour_of_day, day_of_week, day_of_month,</w:t>
        <w:br/>
        <w:t xml:space="preserve">  channel, is_first_payment_to_payee, payer_txn_count_24h,</w:t>
        <w:br/>
        <w:t xml:space="preserve">  payer_txn_count_7d, payer_amount_sum_24h,</w:t>
        <w:br/>
        <w:t xml:space="preserve">  amount_z_vs_payer_history, amount_over_balance_ratio,</w:t>
        <w:br/>
        <w:t xml:space="preserve">  days_since_payer_last_txn</w:t>
        <w:br/>
        <w:br/>
        <w:t>B2 PAYER SESSION</w:t>
        <w:br/>
        <w:t xml:space="preserve">  session_duration_s, time_on_confirm_screen_s,</w:t>
        <w:br/>
        <w:t xml:space="preserve">  n_amount_edits, n_payee_field_edits, n_app_switches,</w:t>
        <w:br/>
        <w:t xml:space="preserve">  typing_speed_cps, is_new_device, device_age_days,</w:t>
        <w:br/>
        <w:t xml:space="preserve">  paste_used_for_payee, screen_on_time_before_txn_s,</w:t>
        <w:br/>
        <w:t xml:space="preserve">  concurrent_call_active</w:t>
        <w:br/>
        <w:br/>
        <w:t>B3 BENEFICIARY</w:t>
        <w:br/>
        <w:t xml:space="preserve">  payee_account_age_days, payee_unique_inflow_payers_30d,</w:t>
        <w:br/>
        <w:t xml:space="preserve">  payee_inflow_amount_30d, payee_fanout_ratio_24h,</w:t>
        <w:br/>
        <w:t xml:space="preserve">  payee_unique_outflow_payees_30d, payee_reciprocity_flag,</w:t>
        <w:br/>
        <w:t xml:space="preserve">  payer_payee_relationship_months, payer_payee_prior_txn_count,</w:t>
        <w:br/>
        <w:t xml:space="preserve">  payee_report_count, payee_payer_geo_dispersion,</w:t>
        <w:br/>
        <w:t xml:space="preserve">  payee_inflow_amount_cv, payee_inflow_periodicity_score,</w:t>
        <w:br/>
        <w:t xml:space="preserve">  payee_balance_retention_ratio</w:t>
        <w:br/>
        <w:br/>
        <w:t>B4 DECLARED CONTEXT</w:t>
        <w:br/>
        <w:t xml:space="preserve">  purpose_code (categorical)</w:t>
        <w:br/>
        <w:t xml:space="preserve">  Variant a: purpose_code only</w:t>
        <w:br/>
        <w:t xml:space="preserve">  Variant b: purpose_code + conditional consistency residuals</w:t>
        <w:br/>
        <w:t xml:space="preserve">             (Mahalanobis distance and per-feature z-scores of</w:t>
        <w:br/>
        <w:t xml:space="preserve">             the payee's B3 vector under the purpose-conditional</w:t>
        <w:br/>
        <w:t xml:space="preserve">             distribution estimated on TRAINING LEGITIMATE</w:t>
        <w:br/>
        <w:t xml:space="preserve">             PAYMENTS ONLY. Label is never used.)</w:t>
        <w:br/>
        <w:br/>
        <w:t>## Model</w:t>
        <w:br/>
        <w:br/>
        <w:t>LightGBM. Hyperparameters selected by 5-fold CV on the</w:t>
        <w:br/>
        <w:t>B1+B2+B3 baseline ONLY, then frozen and reused for all arms.</w:t>
        <w:br/>
        <w:t>Baseline receives &gt;= the tuning budget of the full model.</w:t>
        <w:br/>
        <w:br/>
        <w:t>## Splits</w:t>
        <w:br/>
        <w:br/>
        <w:t>Grouped by payer_id (no payer appears in both splits).</w:t>
        <w:br/>
        <w:t>Temporal: months 1-9 train, months 10-12 test.</w:t>
        <w:br/>
        <w:br/>
        <w:t>## Primary metrics (both reported; neither pre-selected as headline)</w:t>
        <w:br/>
        <w:br/>
        <w:t xml:space="preserve">  M1  recall @ FPR = 0.1%, 0.5%, 1.0%</w:t>
        <w:br/>
        <w:t xml:space="preserve">  M2  FPR @ recall = 50%, 70%, 90%</w:t>
        <w:br/>
        <w:br/>
        <w:t>Secondary: PR-AUC, ROC-AUC, value-weighted detection rate.</w:t>
        <w:br/>
        <w:t>All with 1000-resample bootstrap 95% CIs.</w:t>
        <w:br/>
        <w:br/>
        <w:t>## Primary sweep</w:t>
        <w:br/>
        <w:br/>
        <w:t xml:space="preserve">  rho  = coaching effectiveness in {0.0, 0.2, 0.4, 0.6, 0.8, 1.0}</w:t>
        <w:br/>
        <w:br/>
        <w:t>Secondary sweeps</w:t>
        <w:br/>
        <w:br/>
        <w:t xml:space="preserve">  lambda = structural-overlap rate in {0.0, 0.05, 0.10, 0.20, 0.35}</w:t>
        <w:br/>
        <w:t xml:space="preserve">  K      = purpose cardinality in {3, 6, 11}</w:t>
        <w:br/>
        <w:t xml:space="preserve">  beta   = beneficiary-feature noise sigma in {0.0, 0.5, 1.0}</w:t>
        <w:br/>
        <w:br/>
        <w:t>3 seeds per cell.</w:t>
        <w:br/>
        <w:br/>
        <w:t>## Primary reported quantity</w:t>
        <w:br/>
        <w:br/>
        <w:t>rho*, the coaching-effectiveness threshold above which the</w:t>
        <w:br/>
        <w:t>incremental value of B4 ceases to be significant</w:t>
        <w:br/>
        <w:t>(lower bound of the bootstrap 95% CI on delta crosses zero).</w:t>
        <w:br/>
        <w:br/>
        <w:t>## Falsification condition</w:t>
        <w:br/>
        <w:br/>
        <w:t>If, at lambda &gt;= 0.10 and rho &lt;= 0.2 (the most favourable</w:t>
        <w:br/>
        <w:t>realistic regime), the 95% CI on delta for BOTH M1 and M2</w:t>
        <w:br/>
        <w:t>includes zero across all seeds, we conclude declared payment</w:t>
        <w:br/>
        <w:t>context provides no measurable incremental value in this model</w:t>
        <w:br/>
        <w:t>and we report that as the result.</w:t>
        <w:br/>
        <w:br/>
        <w:t>## What we will NOT do</w:t>
        <w:br/>
        <w:br/>
        <w:t>- Report only the best-performing sweep cell.</w:t>
        <w:br/>
        <w:t>- Add features to B4 after seeing results.</w:t>
        <w:br/>
        <w:t>- Reassign a feature between groups after seeing results.</w:t>
        <w:br/>
        <w:t>- Change the operating points after seeing results.</w:t>
        <w:br/>
        <w:br/>
        <w:t>## Parameterisation decisions fixed at pre-registration time</w:t>
        <w:br/>
        <w:br/>
        <w:t>These resolve underspecified points in the design. They are recorded</w:t>
        <w:br/>
        <w:t>here, before any data was generated, so that they cannot be tuned later.</w:t>
        <w:br/>
        <w:br/>
        <w:t>1. `lambda` is the *combined population share* of the four legitimate</w:t>
        <w:br/>
        <w:t xml:space="preserve">   high-fan-in payee roles (property_manager, education_institution,</w:t>
        <w:br/>
        <w:t xml:space="preserve">   utility_biller, merchant_small), split among those four in the</w:t>
        <w:br/>
        <w:t xml:space="preserve">   proportions of the base role table. The remaining eight roles are</w:t>
        <w:br/>
        <w:t xml:space="preserve">   renormalised to `1 - lambda`.</w:t>
        <w:br/>
        <w:t>2. At `lambda = 0` the purpose taxonomy does NOT shrink. Relationships</w:t>
        <w:br/>
        <w:t xml:space="preserve">   that would have used a lambda-class payee fall back to individual or</w:t>
        <w:br/>
        <w:t xml:space="preserve">   large-merchant payees, so K remains 11 at every lambda and lambda</w:t>
        <w:br/>
        <w:t xml:space="preserve">   varies structural overlap alone.</w:t>
        <w:br/>
        <w:t>3. The fidelity scorecard is calibrated against published primary-source</w:t>
        <w:br/>
        <w:t xml:space="preserve">   statistics only. No discriminator-AUC-versus-real-data check is run,</w:t>
        <w:br/>
        <w:t xml:space="preserve">   because no labelled public APP-fraud transaction dataset exists; this</w:t>
        <w:br/>
        <w:t xml:space="preserve">   is recorded as a limitation rather than substituted with a comparison</w:t>
        <w:br/>
        <w:t xml:space="preserve">   against another simulator.</w:t>
        <w:br/>
      </w:r>
    </w:p>
    <w:p>
      <w:r>
        <w:br w:type="page"/>
      </w:r>
    </w:p>
    <w:p>
      <w:pPr>
        <w:spacing w:before="400" w:after="60"/>
      </w:pPr>
      <w:r>
        <w:rPr>
          <w:b/>
          <w:color w:val="11161F"/>
          <w:sz w:val="32"/>
        </w:rPr>
        <w:t>Appendix B. Changes made after pre-registration</w:t>
      </w:r>
    </w:p>
    <w:p>
      <w:r>
        <w:rPr>
          <w:rFonts w:ascii="Consolas" w:hAnsi="Consolas"/>
          <w:sz w:val="15"/>
        </w:rPr>
        <w:t># Changelog</w:t>
        <w:br/>
        <w:br/>
        <w:t>This file records every change made to the generative model *after* the</w:t>
        <w:br/>
        <w:t>pre-registration was committed. `PREREGISTRATION.md` is never edited. Each</w:t>
        <w:br/>
        <w:t>entry states what was observed, what was changed, and why the change is a</w:t>
        <w:br/>
        <w:t>correction to realism rather than a move toward a preferred result.</w:t>
        <w:br/>
        <w:br/>
        <w:t>---</w:t>
        <w:br/>
        <w:br/>
        <w:t>## 2026-08-30 — Legitimate high-fanout accounts, account openings, and cover traffic</w:t>
        <w:br/>
        <w:br/>
        <w:t>**Observed.** The first end-to-end run at rho=0.4, lambda=0.10, beta=0.5 gave</w:t>
        <w:br/>
        <w:t>the B1+B2+B3 baseline PR-AUC 0.9982 and 99.75% recall at 0.1% FPR. The</w:t>
        <w:br/>
        <w:t>baseline was saturated, so every cell of the phase study would have read zero</w:t>
        <w:br/>
        <w:t>for reasons that had nothing to do with coaching.</w:t>
        <w:br/>
        <w:br/>
        <w:t>**Diagnosed.** `payee_fanout_ratio_24h` alone scored AUC 0.9957. In the role</w:t>
        <w:br/>
        <w:t>table as originally specified, every legitimate role had a fanout ratio</w:t>
        <w:br/>
        <w:t>between 0.05 and 0.45 and every mule role between 0.85 and 0.92 — the two</w:t>
        <w:br/>
        <w:t>sets did not overlap at all. 0.7% of legitimate payments went to a payee</w:t>
        <w:br/>
        <w:t>forwarding more than 70% of inflow within 24 hours, against 88.5% of</w:t>
        <w:br/>
        <w:t>fraudulent ones. `payee_balance_retention_ratio` was generated as</w:t>
        <w:br/>
        <w:t>`1 - fanout`, so it carried the same giveaway a second time. Separately,</w:t>
        <w:br/>
        <w:t>2.3% of legitimate payees were under 120 days old against 47.9% of</w:t>
        <w:br/>
        <w:t>fraudulent ones, and *every* payment to a mule account was fraudulent, which</w:t>
        <w:br/>
        <w:t>made "is this payee a mule" equivalent to the label.</w:t>
        <w:br/>
        <w:br/>
        <w:t>**Changed.**</w:t>
        <w:br/>
        <w:br/>
        <w:t>1. Three legitimate roles with mule-range fanout were added, and joined the</w:t>
        <w:br/>
        <w:t xml:space="preserve">   lambda set: `settlement_agent` (0.88), `gig_worker` (0.80),</w:t>
        <w:br/>
        <w:t xml:space="preserve">   `chit_fund_collector` (0.84). All three exist in real networks —</w:t>
        <w:br/>
        <w:t xml:space="preserve">   aggregators that settle nightly, gig workers who sweep their balance, and</w:t>
        <w:br/>
        <w:t xml:space="preserve">   rotating savings groups that pass the pot straight to the month's member.</w:t>
        <w:br/>
        <w:t>2. A 14% account-opening rate was applied to the legitimate roles for which a</w:t>
        <w:br/>
        <w:t xml:space="preserve">   new account is plausible, so that a thin file is not by itself evidence of</w:t>
        <w:br/>
        <w:t xml:space="preserve">   a mule. Institutional roles are excluded: a three-week-old utility biller</w:t>
        <w:br/>
        <w:t xml:space="preserve">   with five thousand inbound payers is not a real object.</w:t>
        <w:br/>
        <w:t>3. 35% of mule accounts now also carry ordinary legitimate traffic — accounts</w:t>
        <w:br/>
        <w:t xml:space="preserve">   that were a real person's before they were sold, rented or coerced.</w:t>
        <w:br/>
        <w:t xml:space="preserve">   4.65% of legitimate payments now land on an account that is also a mule.</w:t>
        <w:br/>
        <w:t>4. `payee_balance_retention_ratio` is generated from its own per-role process</w:t>
        <w:br/>
        <w:t xml:space="preserve">   instead of as an algebraic transform of fanout.</w:t>
        <w:br/>
        <w:br/>
        <w:t>**Effect.** Top single-feature B3 AUC fell from 0.9957 to 0.9077. The</w:t>
        <w:br/>
        <w:t>baseline remains strong (PR-AUC 0.961, recall 0.895 at 0.1% FPR) and is still</w:t>
        <w:br/>
        <w:t>given the entire tuning budget.</w:t>
        <w:br/>
        <w:br/>
        <w:t>**Why this is not tuning toward a result.** `PREREGISTRATION.md` defines</w:t>
        <w:br/>
        <w:t>lambda as the "structural-overlap rate" without naming which beneficiary</w:t>
        <w:br/>
        <w:t>features overlap. Extending it to govern overlap on fanout and account age,</w:t>
        <w:br/>
        <w:t>as well as fan-in, specifies that definition rather than changing it. The</w:t>
        <w:br/>
        <w:t>changes were made once, before the sweep, on stated realism grounds, and were</w:t>
        <w:br/>
        <w:t>not iterated on. No feature was reassigned between groups, no feature was</w:t>
        <w:br/>
        <w:t>added to B4, no metric or operating point was altered, and the falsification</w:t>
        <w:br/>
        <w:t>condition stands as written.</w:t>
        <w:br/>
        <w:br/>
        <w:t>---</w:t>
        <w:br/>
        <w:br/>
        <w:t>## 2026-08-30 — Beneficiary-matched adversary added as a third surface</w:t>
        <w:br/>
        <w:br/>
        <w:t>**Observed.** With 109 of 192 cells complete, the pre-registered surface had no</w:t>
        <w:br/>
        <w:t>zero-crossing anywhere: declared context remained significant at every value of</w:t>
        <w:br/>
        <w:t>rho, on every seed, at every lambda, under both the pre-registered adversary</w:t>
        <w:br/>
        <w:t>and the prevalence-matched one. rho* — the pre-registered primary reported</w:t>
        <w:br/>
        <w:t>quantity — was therefore undefined (`&gt; 1.0`) across the whole grid.</w:t>
        <w:br/>
        <w:br/>
        <w:t>**Diagnosed.** Both modelled adversaries control only what the victim</w:t>
        <w:br/>
        <w:t>*declares*. Neither controls *which mule receives the money*. A real scammer</w:t>
        <w:br/>
        <w:t>controls both, and would route a payment to an account whose beneficiary</w:t>
        <w:br/>
        <w:t>profile is plausible for the purpose the victim has been coached to declare.</w:t>
        <w:br/>
        <w:t>That attacks the purpose–beneficiary consistency mechanism directly rather than</w:t>
        <w:br/>
        <w:t>merely the base rate of the declared code. It was already recorded in</w:t>
        <w:br/>
        <w:t>`docs/LIMITATIONS.md` as an unmodelled adversary before the results were seen.</w:t>
        <w:br/>
        <w:br/>
        <w:t>**Added.** A third adversary, `matched`, forming a ladder in which each rung</w:t>
        <w:br/>
        <w:t>adds exactly one capability:</w:t>
        <w:br/>
        <w:br/>
        <w:t>| adversary | declaration | beneficiary routing |</w:t>
        <w:br/>
        <w:t>| --- | --- | --- |</w:t>
        <w:br/>
        <w:t>| `uniform` (pre-registered) | uniform over the coached safe set | random mule |</w:t>
        <w:br/>
        <w:t>| `prevalence` | in proportion to legitimate frequencies, so the code carries no marginal information at rho = 1 | random mule |</w:t>
        <w:br/>
        <w:t>| `matched` | as `prevalence` | mule chosen to fit the declared purpose |</w:t>
        <w:br/>
        <w:br/>
        <w:t>The matched adversary is assumed to **know the defence**: it scores candidate</w:t>
        <w:br/>
        <w:t>mules against the same purpose-conditional reference the defender uses. That is</w:t>
        <w:br/>
        <w:t>a deliberate worst case — the security of a declared-context control should not</w:t>
        <w:br/>
        <w:t>depend on the attacker's ignorance of how it works.</w:t>
        <w:br/>
        <w:br/>
        <w:t>Two constraints keep the attack honest. It can only choose among accounts that</w:t>
        <w:br/>
        <w:t>are actually mules, so the best available match to an institutional purpose is</w:t>
        <w:br/>
        <w:t>still a poor one. And it cannot manufacture pair history: a victim has no prior</w:t>
        <w:br/>
        <w:t>relationship with any mule, whichever is chosen, so only the eleven</w:t>
        <w:br/>
        <w:t>*payee-level* beneficiary features are swapped and the two *pair-level* ones</w:t>
        <w:br/>
        <w:t>are left untouched.</w:t>
        <w:br/>
        <w:br/>
        <w:t>Selection is uniform over the best 5% of available mules for that</w:t>
        <w:br/>
        <w:t>purpose-month, with a floor of ten. Taking only the single best match drove</w:t>
        <w:br/>
        <w:t>fraud to look *more* typical of its declared purpose than legitimate payments</w:t>
        <w:br/>
        <w:t>did (median Mahalanobis 2.89 against a legitimate 3.50), which a defender could</w:t>
        <w:br/>
        <w:t>then exploit in reverse. That is an artefact of an omniscient attack model</w:t>
        <w:br/>
        <w:t>rather than a property of the control, so it was designed out.</w:t>
        <w:br/>
        <w:br/>
        <w:t>**Effect on the consistency signal**, at rho = 1.0, lambda = 0.10:</w:t>
        <w:br/>
        <w:br/>
        <w:t>| adversary | fraud median Mahalanobis | legit median | fraud above legit p95 |</w:t>
        <w:br/>
        <w:t>| --- | ---: | ---: | ---: |</w:t>
        <w:br/>
        <w:t>| `uniform` | 4.07 | 3.50 | 14.6% |</w:t>
        <w:br/>
        <w:t>| `prevalence` | 4.00 | 3.50 | 12.4% |</w:t>
        <w:br/>
        <w:t>| `matched` | 3.01 | 3.50 | 0.3% |</w:t>
        <w:br/>
        <w:br/>
        <w:t>**Why this is not tuning toward a result.** The change makes the adversary</w:t>
        <w:br/>
        <w:t>*stronger*, not weaker, and is therefore biased against the hypothesis under</w:t>
        <w:br/>
        <w:t>test. It was named as a limitation before any result was seen. The</w:t>
        <w:br/>
        <w:t>pre-registered surface is reported unchanged and remains the primary analysis;</w:t>
        <w:br/>
        <w:t>this is a third, clearly labelled surface. No feature was reassigned, no metric</w:t>
        <w:br/>
        <w:t>or operating point was altered, and the falsification condition stands as</w:t>
        <w:br/>
        <w:t>written.</w:t>
        <w:br/>
      </w:r>
    </w:p>
    <w:p>
      <w:r>
        <w:br w:type="page"/>
      </w:r>
    </w:p>
    <w:p>
      <w:pPr>
        <w:spacing w:before="400" w:after="60"/>
      </w:pPr>
      <w:r>
        <w:rPr>
          <w:b/>
          <w:color w:val="11161F"/>
          <w:sz w:val="32"/>
        </w:rPr>
        <w:t>Appendix C. Frozen hyperparameters</w:t>
      </w:r>
    </w:p>
    <w:p>
      <w:pPr>
        <w:spacing w:after="140"/>
      </w:pPr>
      <w:r>
        <w:rPr>
          <w:i w:val="0"/>
          <w:sz w:val="21"/>
        </w:rPr>
        <w:t>Selected on: B1+B2+B3 (baseline arm only). Criterion: mean PR-AUC over 5-fold GroupKFold on payer_id. Candidates: 24. Tuning rows: 450000. Best CV PR-AUC: 0.94991 ± 0.00358.</w:t>
      </w:r>
    </w:p>
    <w:p>
      <w:r>
        <w:rPr>
          <w:rFonts w:ascii="Consolas" w:hAnsi="Consolas"/>
          <w:sz w:val="17"/>
        </w:rPr>
        <w:t>{</w:t>
        <w:br/>
        <w:t xml:space="preserve">  "n_estimators": 600,</w:t>
        <w:br/>
        <w:t xml:space="preserve">  "learning_rate": 0.03,</w:t>
        <w:br/>
        <w:t xml:space="preserve">  "num_leaves": 255,</w:t>
        <w:br/>
        <w:t xml:space="preserve">  "min_child_samples": 150,</w:t>
        <w:br/>
        <w:t xml:space="preserve">  "colsample_bytree": 0.6,</w:t>
        <w:br/>
        <w:t xml:space="preserve">  "subsample": 0.85,</w:t>
        <w:br/>
        <w:t xml:space="preserve">  "subsample_freq": 1,</w:t>
        <w:br/>
        <w:t xml:space="preserve">  "reg_lambda": 0.0,</w:t>
        <w:br/>
        <w:t xml:space="preserve">  "max_depth": -1</w:t>
        <w:br/>
        <w:t>}</w:t>
      </w:r>
    </w:p>
    <w:p>
      <w:pPr>
        <w:spacing w:before="400" w:after="60"/>
      </w:pPr>
      <w:r>
        <w:rPr>
          <w:b/>
          <w:color w:val="11161F"/>
          <w:sz w:val="32"/>
        </w:rPr>
        <w:t>Appendix D. Reproduction</w:t>
      </w:r>
    </w:p>
    <w:p>
      <w:r>
        <w:rPr>
          <w:rFonts w:ascii="Consolas" w:hAnsi="Consolas"/>
          <w:sz w:val="18"/>
        </w:rPr>
        <w:t>uv venv --python 3.12 .venv &amp;&amp; uv pip install -r requirements.txt</w:t>
        <w:br/>
        <w:t>make test        # hygiene and conformance tests</w:t>
        <w:br/>
        <w:t>make tune        # select and freeze baseline hyperparameters</w:t>
        <w:br/>
        <w:t>make ablation    # base-configuration table with CIs</w:t>
        <w:br/>
        <w:t>make sweep       # phase study</w:t>
        <w:br/>
        <w:t>make agentic     # conformance coverage and bounded loss</w:t>
        <w:br/>
        <w:t>make fidelity    # realism scorecard</w:t>
        <w:br/>
        <w:t>make figures     # phase diagrams</w:t>
        <w:br/>
        <w:t>make inspector   # worked consistency cases</w:t>
        <w:br/>
        <w:t>make ui &amp;&amp; make api</w:t>
        <w:br/>
      </w:r>
    </w:p>
    <w:p>
      <w:pPr>
        <w:spacing w:after="140"/>
      </w:pPr>
      <w:r>
        <w:rPr>
          <w:i w:val="0"/>
          <w:sz w:val="21"/>
        </w:rPr>
        <w:t>Full data card at docs/DATA_CARD.md, model card at docs/MODEL_CARD.md, limitations at docs/LIMITATIONS.md.</w:t>
      </w:r>
    </w:p>
    <w:sectPr w:rsidR="00FC693F" w:rsidRPr="0006063C" w:rsidSect="00034616">
      <w:pgSz w:w="12240" w:h="15840"/>
      <w:pgMar w:top="1224"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4" w:lineRule="auto"/>
    </w:pPr>
    <w:rPr>
      <w:rFonts w:ascii="Calibri" w:hAnsi="Calibri" w:eastAsia="Calibri"/>
      <w:color w:val="1116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