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44A79" w:rsidRDefault="009449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4"/>
        <w:rPr>
          <w:rFonts w:ascii="Calibri" w:eastAsia="Calibri" w:hAnsi="Calibri" w:cs="Calibri"/>
          <w:b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Email to the Manager </w:t>
      </w:r>
    </w:p>
    <w:p w14:paraId="00000002" w14:textId="77777777" w:rsidR="00944A79" w:rsidRDefault="009449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To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: Joe (Manager at Citi Finance) </w:t>
      </w:r>
    </w:p>
    <w:p w14:paraId="00000003" w14:textId="3BA47D51" w:rsidR="00944A79" w:rsidRDefault="009449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From</w:t>
      </w:r>
      <w:r>
        <w:rPr>
          <w:rFonts w:ascii="Calibri" w:eastAsia="Calibri" w:hAnsi="Calibri" w:cs="Calibri"/>
          <w:color w:val="000000"/>
          <w:sz w:val="20"/>
          <w:szCs w:val="20"/>
        </w:rPr>
        <w:t>: &lt;</w:t>
      </w:r>
      <w:r w:rsidR="0051085C">
        <w:rPr>
          <w:rFonts w:ascii="Calibri" w:eastAsia="Calibri" w:hAnsi="Calibri" w:cs="Calibri"/>
          <w:color w:val="000000"/>
          <w:sz w:val="20"/>
          <w:szCs w:val="20"/>
        </w:rPr>
        <w:t>Aakanksha Malik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&gt; (Financial Analyst at Citi Finance) </w:t>
      </w:r>
    </w:p>
    <w:p w14:paraId="00000004" w14:textId="672A4056" w:rsidR="00944A79" w:rsidRDefault="009449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Date</w:t>
      </w:r>
      <w:r>
        <w:rPr>
          <w:rFonts w:ascii="Calibri" w:eastAsia="Calibri" w:hAnsi="Calibri" w:cs="Calibri"/>
          <w:color w:val="000000"/>
          <w:sz w:val="20"/>
          <w:szCs w:val="20"/>
        </w:rPr>
        <w:t>: &lt;</w:t>
      </w:r>
      <w:r w:rsidR="0051085C">
        <w:rPr>
          <w:rFonts w:ascii="Calibri" w:eastAsia="Calibri" w:hAnsi="Calibri" w:cs="Calibri"/>
          <w:color w:val="000000"/>
          <w:sz w:val="20"/>
          <w:szCs w:val="20"/>
        </w:rPr>
        <w:t>24/03/2025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&gt; </w:t>
      </w:r>
    </w:p>
    <w:p w14:paraId="00000005" w14:textId="77777777" w:rsidR="00944A79" w:rsidRDefault="009449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6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Subject: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Verification of 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color w:val="000000"/>
          <w:sz w:val="20"/>
          <w:szCs w:val="20"/>
        </w:rPr>
        <w:t>isk-</w:t>
      </w:r>
      <w:r>
        <w:rPr>
          <w:rFonts w:ascii="Calibri" w:eastAsia="Calibri" w:hAnsi="Calibri" w:cs="Calibri"/>
          <w:sz w:val="20"/>
          <w:szCs w:val="20"/>
        </w:rPr>
        <w:t>w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eighted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color w:val="000000"/>
          <w:sz w:val="20"/>
          <w:szCs w:val="20"/>
        </w:rPr>
        <w:t>ssets provided by operating units</w:t>
      </w:r>
    </w:p>
    <w:p w14:paraId="00000006" w14:textId="77777777" w:rsidR="00944A79" w:rsidRDefault="00944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7"/>
        <w:rPr>
          <w:rFonts w:ascii="Calibri" w:eastAsia="Calibri" w:hAnsi="Calibri" w:cs="Calibri"/>
          <w:color w:val="000000"/>
          <w:sz w:val="20"/>
          <w:szCs w:val="20"/>
        </w:rPr>
      </w:pPr>
    </w:p>
    <w:p w14:paraId="00000007" w14:textId="77777777" w:rsidR="00944A79" w:rsidRDefault="009449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7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Dear Joe, </w:t>
      </w:r>
    </w:p>
    <w:p w14:paraId="3A593878" w14:textId="77777777" w:rsidR="0051085C" w:rsidRDefault="005108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7"/>
        <w:rPr>
          <w:rFonts w:ascii="Calibri" w:eastAsia="Calibri" w:hAnsi="Calibri" w:cs="Calibri"/>
          <w:color w:val="000000"/>
          <w:sz w:val="20"/>
          <w:szCs w:val="20"/>
        </w:rPr>
      </w:pPr>
    </w:p>
    <w:p w14:paraId="72B42B32" w14:textId="77777777" w:rsidR="0051085C" w:rsidRDefault="005108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7"/>
        <w:rPr>
          <w:rFonts w:ascii="Calibri" w:eastAsia="Calibri" w:hAnsi="Calibri" w:cs="Calibri"/>
          <w:color w:val="000000"/>
          <w:sz w:val="20"/>
          <w:szCs w:val="20"/>
        </w:rPr>
      </w:pPr>
      <w:r w:rsidRPr="0051085C">
        <w:rPr>
          <w:rFonts w:ascii="Calibri" w:eastAsia="Calibri" w:hAnsi="Calibri" w:cs="Calibri"/>
          <w:color w:val="000000"/>
          <w:sz w:val="20"/>
          <w:szCs w:val="20"/>
        </w:rPr>
        <w:t xml:space="preserve">As part of the annual capital adequacy exercise, I have tried to verify the risk-weighted assets and capital adequacy ratio for each of the operating units. </w:t>
      </w:r>
    </w:p>
    <w:p w14:paraId="7EC41375" w14:textId="1997E18A" w:rsidR="0051085C" w:rsidRDefault="005108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7"/>
        <w:rPr>
          <w:rFonts w:ascii="Calibri" w:eastAsia="Calibri" w:hAnsi="Calibri" w:cs="Calibri"/>
          <w:color w:val="000000"/>
          <w:sz w:val="20"/>
          <w:szCs w:val="20"/>
        </w:rPr>
      </w:pPr>
      <w:r w:rsidRPr="0051085C">
        <w:rPr>
          <w:rFonts w:ascii="Calibri" w:eastAsia="Calibri" w:hAnsi="Calibri" w:cs="Calibri"/>
          <w:color w:val="000000"/>
          <w:sz w:val="20"/>
          <w:szCs w:val="20"/>
        </w:rPr>
        <w:t>Operating units A, B, C, and D have supplied the following key information:</w:t>
      </w:r>
    </w:p>
    <w:p w14:paraId="2686B9F0" w14:textId="77777777" w:rsidR="0051085C" w:rsidRDefault="005108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7"/>
        <w:rPr>
          <w:rFonts w:ascii="Calibri" w:eastAsia="Calibri" w:hAnsi="Calibri" w:cs="Calibri"/>
          <w:color w:val="000000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72"/>
        <w:gridCol w:w="812"/>
        <w:gridCol w:w="889"/>
        <w:gridCol w:w="992"/>
        <w:gridCol w:w="850"/>
      </w:tblGrid>
      <w:tr w:rsidR="0051085C" w14:paraId="65E4BBAB" w14:textId="021CB853" w:rsidTr="0051085C">
        <w:trPr>
          <w:jc w:val="center"/>
        </w:trPr>
        <w:tc>
          <w:tcPr>
            <w:tcW w:w="2672" w:type="dxa"/>
          </w:tcPr>
          <w:p w14:paraId="4C979CC4" w14:textId="63879620" w:rsidR="0051085C" w:rsidRPr="0051085C" w:rsidRDefault="0051085C">
            <w:pPr>
              <w:widowControl w:val="0"/>
              <w:spacing w:before="120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51085C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Operating units ($'m)</w:t>
            </w:r>
          </w:p>
        </w:tc>
        <w:tc>
          <w:tcPr>
            <w:tcW w:w="812" w:type="dxa"/>
          </w:tcPr>
          <w:p w14:paraId="6F65EBC8" w14:textId="2207315B" w:rsidR="0051085C" w:rsidRPr="0051085C" w:rsidRDefault="0051085C" w:rsidP="0051085C">
            <w:pPr>
              <w:widowControl w:val="0"/>
              <w:spacing w:before="120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51085C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889" w:type="dxa"/>
          </w:tcPr>
          <w:p w14:paraId="34135D08" w14:textId="08FD26D6" w:rsidR="0051085C" w:rsidRPr="0051085C" w:rsidRDefault="0051085C" w:rsidP="0051085C">
            <w:pPr>
              <w:widowControl w:val="0"/>
              <w:spacing w:before="120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51085C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992" w:type="dxa"/>
          </w:tcPr>
          <w:p w14:paraId="22D7F63C" w14:textId="72C78AC0" w:rsidR="0051085C" w:rsidRPr="0051085C" w:rsidRDefault="0051085C" w:rsidP="0051085C">
            <w:pPr>
              <w:widowControl w:val="0"/>
              <w:spacing w:before="120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51085C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850" w:type="dxa"/>
          </w:tcPr>
          <w:p w14:paraId="520E2A79" w14:textId="6C22CBA1" w:rsidR="0051085C" w:rsidRPr="0051085C" w:rsidRDefault="0051085C" w:rsidP="0051085C">
            <w:pPr>
              <w:widowControl w:val="0"/>
              <w:spacing w:before="120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51085C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</w:p>
        </w:tc>
      </w:tr>
      <w:tr w:rsidR="0051085C" w14:paraId="5EE1E438" w14:textId="48A9D771" w:rsidTr="0051085C">
        <w:trPr>
          <w:jc w:val="center"/>
        </w:trPr>
        <w:tc>
          <w:tcPr>
            <w:tcW w:w="2672" w:type="dxa"/>
          </w:tcPr>
          <w:p w14:paraId="13007F11" w14:textId="446A0811" w:rsidR="0051085C" w:rsidRPr="00944919" w:rsidRDefault="0051085C">
            <w:pPr>
              <w:widowControl w:val="0"/>
              <w:spacing w:before="12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944919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Risk-Weighted Assets (RWA)</w:t>
            </w:r>
          </w:p>
        </w:tc>
        <w:tc>
          <w:tcPr>
            <w:tcW w:w="812" w:type="dxa"/>
          </w:tcPr>
          <w:p w14:paraId="151770E4" w14:textId="4D71DAB8" w:rsidR="0051085C" w:rsidRDefault="0051085C">
            <w:pPr>
              <w:widowControl w:val="0"/>
              <w:spacing w:before="12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70.25</w:t>
            </w:r>
          </w:p>
        </w:tc>
        <w:tc>
          <w:tcPr>
            <w:tcW w:w="889" w:type="dxa"/>
          </w:tcPr>
          <w:p w14:paraId="3F5299C5" w14:textId="6896CAC3" w:rsidR="0051085C" w:rsidRDefault="0051085C">
            <w:pPr>
              <w:widowControl w:val="0"/>
              <w:spacing w:before="12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59.5</w:t>
            </w:r>
          </w:p>
        </w:tc>
        <w:tc>
          <w:tcPr>
            <w:tcW w:w="992" w:type="dxa"/>
          </w:tcPr>
          <w:p w14:paraId="36BAEE02" w14:textId="316DA6B9" w:rsidR="0051085C" w:rsidRDefault="0051085C">
            <w:pPr>
              <w:widowControl w:val="0"/>
              <w:spacing w:before="12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850" w:type="dxa"/>
          </w:tcPr>
          <w:p w14:paraId="3C49820B" w14:textId="5FE13AB8" w:rsidR="0051085C" w:rsidRDefault="0051085C">
            <w:pPr>
              <w:widowControl w:val="0"/>
              <w:spacing w:before="12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200.2</w:t>
            </w:r>
          </w:p>
        </w:tc>
      </w:tr>
      <w:tr w:rsidR="0051085C" w14:paraId="696CF7E6" w14:textId="2C081A6E" w:rsidTr="0051085C">
        <w:trPr>
          <w:jc w:val="center"/>
        </w:trPr>
        <w:tc>
          <w:tcPr>
            <w:tcW w:w="2672" w:type="dxa"/>
          </w:tcPr>
          <w:p w14:paraId="1AFD2764" w14:textId="56192A4F" w:rsidR="0051085C" w:rsidRPr="00944919" w:rsidRDefault="0051085C">
            <w:pPr>
              <w:widowControl w:val="0"/>
              <w:spacing w:before="12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944919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Capital Adequacy Ratio (CET1/RWA)</w:t>
            </w:r>
          </w:p>
        </w:tc>
        <w:tc>
          <w:tcPr>
            <w:tcW w:w="812" w:type="dxa"/>
          </w:tcPr>
          <w:p w14:paraId="7CDCE225" w14:textId="5B66DA03" w:rsidR="0051085C" w:rsidRDefault="0051085C">
            <w:pPr>
              <w:widowControl w:val="0"/>
              <w:spacing w:before="12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14.2</w:t>
            </w:r>
          </w:p>
        </w:tc>
        <w:tc>
          <w:tcPr>
            <w:tcW w:w="889" w:type="dxa"/>
          </w:tcPr>
          <w:p w14:paraId="40DC95D6" w14:textId="1424F4A1" w:rsidR="0051085C" w:rsidRDefault="0051085C">
            <w:pPr>
              <w:widowControl w:val="0"/>
              <w:spacing w:before="12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25.2%</w:t>
            </w:r>
          </w:p>
        </w:tc>
        <w:tc>
          <w:tcPr>
            <w:tcW w:w="992" w:type="dxa"/>
          </w:tcPr>
          <w:p w14:paraId="4DEAAABA" w14:textId="2923F1ED" w:rsidR="0051085C" w:rsidRDefault="0051085C">
            <w:pPr>
              <w:widowControl w:val="0"/>
              <w:spacing w:before="12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8.2%</w:t>
            </w:r>
          </w:p>
        </w:tc>
        <w:tc>
          <w:tcPr>
            <w:tcW w:w="850" w:type="dxa"/>
          </w:tcPr>
          <w:p w14:paraId="3EA48753" w14:textId="48469739" w:rsidR="0051085C" w:rsidRDefault="0051085C">
            <w:pPr>
              <w:widowControl w:val="0"/>
              <w:spacing w:before="12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10.0%</w:t>
            </w:r>
          </w:p>
        </w:tc>
      </w:tr>
    </w:tbl>
    <w:p w14:paraId="7669A149" w14:textId="77777777" w:rsidR="00944919" w:rsidRDefault="00944919" w:rsidP="005108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7"/>
        <w:rPr>
          <w:rFonts w:ascii="Calibri" w:eastAsia="Calibri" w:hAnsi="Calibri" w:cs="Calibri"/>
          <w:color w:val="000000"/>
          <w:sz w:val="20"/>
          <w:szCs w:val="20"/>
          <w:lang w:val="en-IN"/>
        </w:rPr>
      </w:pPr>
    </w:p>
    <w:p w14:paraId="779DE5F8" w14:textId="3D68BEB9" w:rsidR="0051085C" w:rsidRPr="0051085C" w:rsidRDefault="0051085C" w:rsidP="005108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7"/>
        <w:rPr>
          <w:rFonts w:ascii="Calibri" w:eastAsia="Calibri" w:hAnsi="Calibri" w:cs="Calibri"/>
          <w:color w:val="000000"/>
          <w:sz w:val="20"/>
          <w:szCs w:val="20"/>
          <w:lang w:val="en-IN"/>
        </w:rPr>
      </w:pPr>
      <w:r w:rsidRPr="0051085C">
        <w:rPr>
          <w:rFonts w:ascii="Calibri" w:eastAsia="Calibri" w:hAnsi="Calibri" w:cs="Calibri"/>
          <w:color w:val="000000"/>
          <w:sz w:val="20"/>
          <w:szCs w:val="20"/>
          <w:lang w:val="en-IN"/>
        </w:rPr>
        <w:t>I have independently verified the risk-weighted assets (RWA) and capital adequacy ratios for each unit and identified the following critical issues:</w:t>
      </w:r>
    </w:p>
    <w:p w14:paraId="7F8C4BEF" w14:textId="77777777" w:rsidR="0051085C" w:rsidRPr="0051085C" w:rsidRDefault="0051085C" w:rsidP="0051085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libri" w:eastAsia="Calibri" w:hAnsi="Calibri" w:cs="Calibri"/>
          <w:color w:val="000000"/>
          <w:sz w:val="20"/>
          <w:szCs w:val="20"/>
          <w:lang w:val="en-IN"/>
        </w:rPr>
      </w:pPr>
      <w:r w:rsidRPr="0051085C">
        <w:rPr>
          <w:rFonts w:ascii="Calibri" w:eastAsia="Calibri" w:hAnsi="Calibri" w:cs="Calibri"/>
          <w:b/>
          <w:bCs/>
          <w:color w:val="000000"/>
          <w:sz w:val="20"/>
          <w:szCs w:val="20"/>
          <w:lang w:val="en-IN"/>
        </w:rPr>
        <w:t>Unit C:</w:t>
      </w:r>
      <w:r w:rsidRPr="0051085C">
        <w:rPr>
          <w:rFonts w:ascii="Calibri" w:eastAsia="Calibri" w:hAnsi="Calibri" w:cs="Calibri"/>
          <w:color w:val="000000"/>
          <w:sz w:val="20"/>
          <w:szCs w:val="20"/>
          <w:lang w:val="en-IN"/>
        </w:rPr>
        <w:t xml:space="preserve"> The capital adequacy ratio has fallen below the minimum required threshold of 10.5%, necessitating immediate corrective measures.</w:t>
      </w:r>
    </w:p>
    <w:p w14:paraId="0A5117FB" w14:textId="7AC9217F" w:rsidR="0051085C" w:rsidRDefault="0051085C" w:rsidP="0051085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libri" w:eastAsia="Calibri" w:hAnsi="Calibri" w:cs="Calibri"/>
          <w:color w:val="000000"/>
          <w:sz w:val="20"/>
          <w:szCs w:val="20"/>
          <w:lang w:val="en-IN"/>
        </w:rPr>
      </w:pPr>
      <w:r w:rsidRPr="0051085C">
        <w:rPr>
          <w:rFonts w:ascii="Calibri" w:eastAsia="Calibri" w:hAnsi="Calibri" w:cs="Calibri"/>
          <w:b/>
          <w:bCs/>
          <w:color w:val="000000"/>
          <w:sz w:val="20"/>
          <w:szCs w:val="20"/>
          <w:lang w:val="en-IN"/>
        </w:rPr>
        <w:t>Unit D:</w:t>
      </w:r>
      <w:r w:rsidRPr="0051085C">
        <w:rPr>
          <w:rFonts w:ascii="Calibri" w:eastAsia="Calibri" w:hAnsi="Calibri" w:cs="Calibri"/>
          <w:color w:val="000000"/>
          <w:sz w:val="20"/>
          <w:szCs w:val="20"/>
          <w:lang w:val="en-IN"/>
        </w:rPr>
        <w:t xml:space="preserve"> The RWA appears to have been miscalculated. Based on the provided information, the correct RWA should be $447.5 million (rather than $200 million), with Common Equity Tier 1 Capital of $20 million, resulting in a capital adequacy ratio of 4.5%. The revised RWA has been determined by applying the appropriate risk weights to asset values, as detailed below.</w:t>
      </w:r>
    </w:p>
    <w:p w14:paraId="3C0C42BA" w14:textId="77777777" w:rsidR="00944919" w:rsidRPr="00944919" w:rsidRDefault="00944919" w:rsidP="009449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Calibri" w:eastAsia="Calibri" w:hAnsi="Calibri" w:cs="Calibri"/>
          <w:color w:val="000000"/>
          <w:sz w:val="20"/>
          <w:szCs w:val="20"/>
          <w:lang w:val="en-IN"/>
        </w:rPr>
      </w:pPr>
    </w:p>
    <w:tbl>
      <w:tblPr>
        <w:tblStyle w:val="TableGrid"/>
        <w:tblW w:w="0" w:type="auto"/>
        <w:jc w:val="center"/>
        <w:tblLook w:val="0420" w:firstRow="1" w:lastRow="0" w:firstColumn="0" w:lastColumn="0" w:noHBand="0" w:noVBand="1"/>
      </w:tblPr>
      <w:tblGrid>
        <w:gridCol w:w="1975"/>
        <w:gridCol w:w="1975"/>
        <w:gridCol w:w="1975"/>
        <w:gridCol w:w="1975"/>
      </w:tblGrid>
      <w:tr w:rsidR="0051085C" w:rsidRPr="00944919" w14:paraId="576E7C2F" w14:textId="77777777" w:rsidTr="00944919">
        <w:trPr>
          <w:trHeight w:val="380"/>
          <w:jc w:val="center"/>
        </w:trPr>
        <w:tc>
          <w:tcPr>
            <w:tcW w:w="1975" w:type="dxa"/>
          </w:tcPr>
          <w:p w14:paraId="0A4266B5" w14:textId="449F054B" w:rsidR="0051085C" w:rsidRPr="00944919" w:rsidRDefault="0051085C" w:rsidP="0051085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44919">
              <w:rPr>
                <w:rFonts w:ascii="Calibri" w:hAnsi="Calibri" w:cs="Calibri"/>
                <w:b/>
                <w:bCs/>
                <w:sz w:val="20"/>
                <w:szCs w:val="20"/>
              </w:rPr>
              <w:t>Asset Type</w:t>
            </w:r>
          </w:p>
        </w:tc>
        <w:tc>
          <w:tcPr>
            <w:tcW w:w="1975" w:type="dxa"/>
          </w:tcPr>
          <w:p w14:paraId="306AE221" w14:textId="239AEF81" w:rsidR="0051085C" w:rsidRPr="00944919" w:rsidRDefault="0051085C" w:rsidP="0051085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44919">
              <w:rPr>
                <w:rFonts w:ascii="Calibri" w:hAnsi="Calibri" w:cs="Calibri"/>
                <w:b/>
                <w:bCs/>
                <w:sz w:val="20"/>
                <w:szCs w:val="20"/>
              </w:rPr>
              <w:t>Asset Value ($'m)</w:t>
            </w:r>
          </w:p>
        </w:tc>
        <w:tc>
          <w:tcPr>
            <w:tcW w:w="1975" w:type="dxa"/>
          </w:tcPr>
          <w:p w14:paraId="0F71E48F" w14:textId="09E2F8DD" w:rsidR="0051085C" w:rsidRPr="00944919" w:rsidRDefault="0051085C" w:rsidP="0051085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44919">
              <w:rPr>
                <w:rFonts w:ascii="Calibri" w:hAnsi="Calibri" w:cs="Calibri"/>
                <w:b/>
                <w:bCs/>
                <w:sz w:val="20"/>
                <w:szCs w:val="20"/>
              </w:rPr>
              <w:t>Risk Weight</w:t>
            </w:r>
          </w:p>
        </w:tc>
        <w:tc>
          <w:tcPr>
            <w:tcW w:w="1975" w:type="dxa"/>
          </w:tcPr>
          <w:p w14:paraId="1F59E9E3" w14:textId="6371F752" w:rsidR="0051085C" w:rsidRPr="00944919" w:rsidRDefault="0051085C" w:rsidP="0051085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44919">
              <w:rPr>
                <w:rFonts w:ascii="Calibri" w:hAnsi="Calibri" w:cs="Calibri"/>
                <w:b/>
                <w:bCs/>
                <w:sz w:val="20"/>
                <w:szCs w:val="20"/>
              </w:rPr>
              <w:t>RWA ($'m)</w:t>
            </w:r>
          </w:p>
        </w:tc>
      </w:tr>
      <w:tr w:rsidR="0051085C" w:rsidRPr="00944919" w14:paraId="476B8556" w14:textId="77777777" w:rsidTr="00944919">
        <w:trPr>
          <w:trHeight w:val="380"/>
          <w:jc w:val="center"/>
        </w:trPr>
        <w:tc>
          <w:tcPr>
            <w:tcW w:w="1975" w:type="dxa"/>
          </w:tcPr>
          <w:p w14:paraId="6785C84D" w14:textId="02E70EAF" w:rsidR="0051085C" w:rsidRPr="00944919" w:rsidRDefault="0051085C" w:rsidP="0051085C">
            <w:pPr>
              <w:rPr>
                <w:rFonts w:ascii="Calibri" w:hAnsi="Calibri" w:cs="Calibri"/>
                <w:sz w:val="20"/>
                <w:szCs w:val="20"/>
              </w:rPr>
            </w:pPr>
            <w:r w:rsidRPr="00944919">
              <w:rPr>
                <w:rFonts w:ascii="Calibri" w:hAnsi="Calibri" w:cs="Calibri"/>
                <w:sz w:val="20"/>
                <w:szCs w:val="20"/>
              </w:rPr>
              <w:t>Loans for Cards</w:t>
            </w:r>
          </w:p>
        </w:tc>
        <w:tc>
          <w:tcPr>
            <w:tcW w:w="1975" w:type="dxa"/>
          </w:tcPr>
          <w:p w14:paraId="126228E3" w14:textId="752B0C43" w:rsidR="0051085C" w:rsidRPr="00944919" w:rsidRDefault="0051085C" w:rsidP="0051085C">
            <w:pPr>
              <w:rPr>
                <w:rFonts w:ascii="Calibri" w:hAnsi="Calibri" w:cs="Calibri"/>
                <w:sz w:val="20"/>
                <w:szCs w:val="20"/>
              </w:rPr>
            </w:pPr>
            <w:r w:rsidRPr="00944919">
              <w:rPr>
                <w:rFonts w:ascii="Calibri" w:hAnsi="Calibri" w:cs="Calibri"/>
                <w:sz w:val="20"/>
                <w:szCs w:val="20"/>
              </w:rPr>
              <w:t>20.0</w:t>
            </w:r>
          </w:p>
        </w:tc>
        <w:tc>
          <w:tcPr>
            <w:tcW w:w="1975" w:type="dxa"/>
          </w:tcPr>
          <w:p w14:paraId="5AC74A0E" w14:textId="0F826B7E" w:rsidR="0051085C" w:rsidRPr="00944919" w:rsidRDefault="0051085C" w:rsidP="0051085C">
            <w:pPr>
              <w:rPr>
                <w:rFonts w:ascii="Calibri" w:hAnsi="Calibri" w:cs="Calibri"/>
                <w:sz w:val="20"/>
                <w:szCs w:val="20"/>
              </w:rPr>
            </w:pPr>
            <w:r w:rsidRPr="00944919">
              <w:rPr>
                <w:rFonts w:ascii="Calibri" w:hAnsi="Calibri" w:cs="Calibri"/>
                <w:sz w:val="20"/>
                <w:szCs w:val="20"/>
              </w:rPr>
              <w:t>25%</w:t>
            </w:r>
          </w:p>
        </w:tc>
        <w:tc>
          <w:tcPr>
            <w:tcW w:w="1975" w:type="dxa"/>
          </w:tcPr>
          <w:p w14:paraId="2A70E0C4" w14:textId="196282A3" w:rsidR="0051085C" w:rsidRPr="00944919" w:rsidRDefault="0051085C" w:rsidP="0051085C">
            <w:pPr>
              <w:rPr>
                <w:rFonts w:ascii="Calibri" w:hAnsi="Calibri" w:cs="Calibri"/>
                <w:sz w:val="20"/>
                <w:szCs w:val="20"/>
              </w:rPr>
            </w:pPr>
            <w:r w:rsidRPr="00944919">
              <w:rPr>
                <w:rFonts w:ascii="Calibri" w:hAnsi="Calibri" w:cs="Calibri"/>
                <w:sz w:val="20"/>
                <w:szCs w:val="20"/>
              </w:rPr>
              <w:t>5.0</w:t>
            </w:r>
          </w:p>
        </w:tc>
      </w:tr>
      <w:tr w:rsidR="0051085C" w:rsidRPr="00944919" w14:paraId="00AB04C0" w14:textId="77777777" w:rsidTr="00944919">
        <w:trPr>
          <w:trHeight w:val="380"/>
          <w:jc w:val="center"/>
        </w:trPr>
        <w:tc>
          <w:tcPr>
            <w:tcW w:w="1975" w:type="dxa"/>
          </w:tcPr>
          <w:p w14:paraId="6B2BFA2D" w14:textId="3BE1D9F8" w:rsidR="0051085C" w:rsidRPr="00944919" w:rsidRDefault="0051085C" w:rsidP="0051085C">
            <w:pPr>
              <w:rPr>
                <w:rFonts w:ascii="Calibri" w:hAnsi="Calibri" w:cs="Calibri"/>
                <w:sz w:val="20"/>
                <w:szCs w:val="20"/>
              </w:rPr>
            </w:pPr>
            <w:r w:rsidRPr="00944919">
              <w:rPr>
                <w:rFonts w:ascii="Calibri" w:hAnsi="Calibri" w:cs="Calibri"/>
                <w:sz w:val="20"/>
                <w:szCs w:val="20"/>
              </w:rPr>
              <w:t>Consumer Mortgages</w:t>
            </w:r>
          </w:p>
        </w:tc>
        <w:tc>
          <w:tcPr>
            <w:tcW w:w="1975" w:type="dxa"/>
          </w:tcPr>
          <w:p w14:paraId="11296EB0" w14:textId="6273DCFA" w:rsidR="0051085C" w:rsidRPr="00944919" w:rsidRDefault="0051085C" w:rsidP="0051085C">
            <w:pPr>
              <w:rPr>
                <w:rFonts w:ascii="Calibri" w:hAnsi="Calibri" w:cs="Calibri"/>
                <w:sz w:val="20"/>
                <w:szCs w:val="20"/>
              </w:rPr>
            </w:pPr>
            <w:r w:rsidRPr="00944919">
              <w:rPr>
                <w:rFonts w:ascii="Calibri" w:hAnsi="Calibri" w:cs="Calibri"/>
                <w:sz w:val="20"/>
                <w:szCs w:val="20"/>
              </w:rPr>
              <w:t>50.0</w:t>
            </w:r>
          </w:p>
        </w:tc>
        <w:tc>
          <w:tcPr>
            <w:tcW w:w="1975" w:type="dxa"/>
          </w:tcPr>
          <w:p w14:paraId="7D87FD6C" w14:textId="11F15EFB" w:rsidR="0051085C" w:rsidRPr="00944919" w:rsidRDefault="0051085C" w:rsidP="0051085C">
            <w:pPr>
              <w:rPr>
                <w:rFonts w:ascii="Calibri" w:hAnsi="Calibri" w:cs="Calibri"/>
                <w:sz w:val="20"/>
                <w:szCs w:val="20"/>
              </w:rPr>
            </w:pPr>
            <w:r w:rsidRPr="00944919">
              <w:rPr>
                <w:rFonts w:ascii="Calibri" w:hAnsi="Calibri" w:cs="Calibri"/>
                <w:sz w:val="20"/>
                <w:szCs w:val="20"/>
              </w:rPr>
              <w:t>55%</w:t>
            </w:r>
          </w:p>
        </w:tc>
        <w:tc>
          <w:tcPr>
            <w:tcW w:w="1975" w:type="dxa"/>
          </w:tcPr>
          <w:p w14:paraId="65120DDF" w14:textId="73D575D5" w:rsidR="0051085C" w:rsidRPr="00944919" w:rsidRDefault="0051085C" w:rsidP="0051085C">
            <w:pPr>
              <w:rPr>
                <w:rFonts w:ascii="Calibri" w:hAnsi="Calibri" w:cs="Calibri"/>
                <w:sz w:val="20"/>
                <w:szCs w:val="20"/>
              </w:rPr>
            </w:pPr>
            <w:r w:rsidRPr="00944919">
              <w:rPr>
                <w:rFonts w:ascii="Calibri" w:hAnsi="Calibri" w:cs="Calibri"/>
                <w:sz w:val="20"/>
                <w:szCs w:val="20"/>
              </w:rPr>
              <w:t>27.5</w:t>
            </w:r>
          </w:p>
        </w:tc>
      </w:tr>
      <w:tr w:rsidR="0051085C" w:rsidRPr="00944919" w14:paraId="0125CACD" w14:textId="77777777" w:rsidTr="00944919">
        <w:trPr>
          <w:trHeight w:val="380"/>
          <w:jc w:val="center"/>
        </w:trPr>
        <w:tc>
          <w:tcPr>
            <w:tcW w:w="1975" w:type="dxa"/>
          </w:tcPr>
          <w:p w14:paraId="68772E2E" w14:textId="21E1CBDA" w:rsidR="0051085C" w:rsidRPr="00944919" w:rsidRDefault="0051085C" w:rsidP="0051085C">
            <w:pPr>
              <w:rPr>
                <w:rFonts w:ascii="Calibri" w:hAnsi="Calibri" w:cs="Calibri"/>
                <w:sz w:val="20"/>
                <w:szCs w:val="20"/>
              </w:rPr>
            </w:pPr>
            <w:r w:rsidRPr="00944919">
              <w:rPr>
                <w:rFonts w:ascii="Calibri" w:hAnsi="Calibri" w:cs="Calibri"/>
                <w:sz w:val="20"/>
                <w:szCs w:val="20"/>
              </w:rPr>
              <w:t>Retail Banking</w:t>
            </w:r>
          </w:p>
        </w:tc>
        <w:tc>
          <w:tcPr>
            <w:tcW w:w="1975" w:type="dxa"/>
          </w:tcPr>
          <w:p w14:paraId="3F33808A" w14:textId="6E563892" w:rsidR="0051085C" w:rsidRPr="00944919" w:rsidRDefault="0051085C" w:rsidP="0051085C">
            <w:pPr>
              <w:rPr>
                <w:rFonts w:ascii="Calibri" w:hAnsi="Calibri" w:cs="Calibri"/>
                <w:sz w:val="20"/>
                <w:szCs w:val="20"/>
              </w:rPr>
            </w:pPr>
            <w:r w:rsidRPr="00944919">
              <w:rPr>
                <w:rFonts w:ascii="Calibri" w:hAnsi="Calibri" w:cs="Calibri"/>
                <w:sz w:val="20"/>
                <w:szCs w:val="20"/>
              </w:rPr>
              <w:t>350.0</w:t>
            </w:r>
          </w:p>
        </w:tc>
        <w:tc>
          <w:tcPr>
            <w:tcW w:w="1975" w:type="dxa"/>
          </w:tcPr>
          <w:p w14:paraId="35D70234" w14:textId="7CC51E3A" w:rsidR="0051085C" w:rsidRPr="00944919" w:rsidRDefault="0051085C" w:rsidP="0051085C">
            <w:pPr>
              <w:rPr>
                <w:rFonts w:ascii="Calibri" w:hAnsi="Calibri" w:cs="Calibri"/>
                <w:sz w:val="20"/>
                <w:szCs w:val="20"/>
              </w:rPr>
            </w:pPr>
            <w:r w:rsidRPr="00944919">
              <w:rPr>
                <w:rFonts w:ascii="Calibri" w:hAnsi="Calibri" w:cs="Calibri"/>
                <w:sz w:val="20"/>
                <w:szCs w:val="20"/>
              </w:rPr>
              <w:t>90%</w:t>
            </w:r>
          </w:p>
        </w:tc>
        <w:tc>
          <w:tcPr>
            <w:tcW w:w="1975" w:type="dxa"/>
          </w:tcPr>
          <w:p w14:paraId="147C5717" w14:textId="31258FEE" w:rsidR="0051085C" w:rsidRPr="00944919" w:rsidRDefault="0051085C" w:rsidP="0051085C">
            <w:pPr>
              <w:rPr>
                <w:rFonts w:ascii="Calibri" w:hAnsi="Calibri" w:cs="Calibri"/>
                <w:sz w:val="20"/>
                <w:szCs w:val="20"/>
              </w:rPr>
            </w:pPr>
            <w:r w:rsidRPr="00944919">
              <w:rPr>
                <w:rFonts w:ascii="Calibri" w:hAnsi="Calibri" w:cs="Calibri"/>
                <w:sz w:val="20"/>
                <w:szCs w:val="20"/>
              </w:rPr>
              <w:t>315.0</w:t>
            </w:r>
          </w:p>
        </w:tc>
      </w:tr>
      <w:tr w:rsidR="0051085C" w:rsidRPr="00944919" w14:paraId="1D41E610" w14:textId="77777777" w:rsidTr="00944919">
        <w:trPr>
          <w:trHeight w:val="380"/>
          <w:jc w:val="center"/>
        </w:trPr>
        <w:tc>
          <w:tcPr>
            <w:tcW w:w="1975" w:type="dxa"/>
          </w:tcPr>
          <w:p w14:paraId="4FAEFF42" w14:textId="0423B561" w:rsidR="0051085C" w:rsidRPr="00944919" w:rsidRDefault="0051085C" w:rsidP="0051085C">
            <w:pPr>
              <w:rPr>
                <w:rFonts w:ascii="Calibri" w:hAnsi="Calibri" w:cs="Calibri"/>
                <w:sz w:val="20"/>
                <w:szCs w:val="20"/>
              </w:rPr>
            </w:pPr>
            <w:r w:rsidRPr="00944919">
              <w:rPr>
                <w:rFonts w:ascii="Calibri" w:hAnsi="Calibri" w:cs="Calibri"/>
                <w:sz w:val="20"/>
                <w:szCs w:val="20"/>
              </w:rPr>
              <w:t>Unsecured Retail Lending</w:t>
            </w:r>
          </w:p>
        </w:tc>
        <w:tc>
          <w:tcPr>
            <w:tcW w:w="1975" w:type="dxa"/>
          </w:tcPr>
          <w:p w14:paraId="07836038" w14:textId="68F1FB3D" w:rsidR="0051085C" w:rsidRPr="00944919" w:rsidRDefault="0051085C" w:rsidP="0051085C">
            <w:pPr>
              <w:rPr>
                <w:rFonts w:ascii="Calibri" w:hAnsi="Calibri" w:cs="Calibri"/>
                <w:sz w:val="20"/>
                <w:szCs w:val="20"/>
              </w:rPr>
            </w:pPr>
            <w:r w:rsidRPr="0094491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975" w:type="dxa"/>
          </w:tcPr>
          <w:p w14:paraId="560F04A2" w14:textId="26404B6C" w:rsidR="0051085C" w:rsidRPr="00944919" w:rsidRDefault="0051085C" w:rsidP="0051085C">
            <w:pPr>
              <w:rPr>
                <w:rFonts w:ascii="Calibri" w:hAnsi="Calibri" w:cs="Calibri"/>
                <w:sz w:val="20"/>
                <w:szCs w:val="20"/>
              </w:rPr>
            </w:pPr>
            <w:r w:rsidRPr="00944919">
              <w:rPr>
                <w:rFonts w:ascii="Calibri" w:hAnsi="Calibri" w:cs="Calibri"/>
                <w:sz w:val="20"/>
                <w:szCs w:val="20"/>
              </w:rPr>
              <w:t>100%</w:t>
            </w:r>
          </w:p>
        </w:tc>
        <w:tc>
          <w:tcPr>
            <w:tcW w:w="1975" w:type="dxa"/>
          </w:tcPr>
          <w:p w14:paraId="19318ED9" w14:textId="0B9A362B" w:rsidR="0051085C" w:rsidRPr="00944919" w:rsidRDefault="0051085C" w:rsidP="0051085C">
            <w:pPr>
              <w:rPr>
                <w:rFonts w:ascii="Calibri" w:hAnsi="Calibri" w:cs="Calibri"/>
                <w:sz w:val="20"/>
                <w:szCs w:val="20"/>
              </w:rPr>
            </w:pPr>
            <w:r w:rsidRPr="0094491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</w:tr>
      <w:tr w:rsidR="0051085C" w:rsidRPr="00944919" w14:paraId="491F1F9D" w14:textId="77777777" w:rsidTr="00944919">
        <w:trPr>
          <w:trHeight w:val="356"/>
          <w:jc w:val="center"/>
        </w:trPr>
        <w:tc>
          <w:tcPr>
            <w:tcW w:w="1975" w:type="dxa"/>
          </w:tcPr>
          <w:p w14:paraId="705E83A0" w14:textId="00FB04E1" w:rsidR="0051085C" w:rsidRPr="00944919" w:rsidRDefault="0051085C" w:rsidP="0051085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44919">
              <w:rPr>
                <w:rFonts w:ascii="Calibri" w:hAnsi="Calibri" w:cs="Calibr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975" w:type="dxa"/>
          </w:tcPr>
          <w:p w14:paraId="74EC86D6" w14:textId="7BF8D963" w:rsidR="0051085C" w:rsidRPr="00944919" w:rsidRDefault="0051085C" w:rsidP="0051085C">
            <w:pPr>
              <w:rPr>
                <w:rFonts w:ascii="Calibri" w:hAnsi="Calibri" w:cs="Calibri"/>
                <w:sz w:val="20"/>
                <w:szCs w:val="20"/>
              </w:rPr>
            </w:pPr>
            <w:r w:rsidRPr="00944919">
              <w:rPr>
                <w:rFonts w:ascii="Calibri" w:hAnsi="Calibri" w:cs="Calibri"/>
                <w:sz w:val="20"/>
                <w:szCs w:val="20"/>
              </w:rPr>
              <w:t>520.0</w:t>
            </w:r>
          </w:p>
        </w:tc>
        <w:tc>
          <w:tcPr>
            <w:tcW w:w="1975" w:type="dxa"/>
          </w:tcPr>
          <w:p w14:paraId="30FDA75F" w14:textId="77777777" w:rsidR="0051085C" w:rsidRPr="00944919" w:rsidRDefault="0051085C" w:rsidP="0051085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75" w:type="dxa"/>
          </w:tcPr>
          <w:p w14:paraId="0E0AA315" w14:textId="5D60D905" w:rsidR="0051085C" w:rsidRPr="00944919" w:rsidRDefault="0051085C" w:rsidP="0051085C">
            <w:pPr>
              <w:rPr>
                <w:rFonts w:ascii="Calibri" w:hAnsi="Calibri" w:cs="Calibri"/>
                <w:sz w:val="20"/>
                <w:szCs w:val="20"/>
              </w:rPr>
            </w:pPr>
            <w:r w:rsidRPr="00944919">
              <w:rPr>
                <w:rFonts w:ascii="Calibri" w:hAnsi="Calibri" w:cs="Calibri"/>
                <w:sz w:val="20"/>
                <w:szCs w:val="20"/>
              </w:rPr>
              <w:t>447.5</w:t>
            </w:r>
          </w:p>
        </w:tc>
      </w:tr>
    </w:tbl>
    <w:p w14:paraId="25CE23E8" w14:textId="77777777" w:rsidR="0051085C" w:rsidRPr="0051085C" w:rsidRDefault="0051085C" w:rsidP="0051085C"/>
    <w:p w14:paraId="2388CB93" w14:textId="77777777" w:rsidR="00944919" w:rsidRDefault="00944919" w:rsidP="009449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 w:rsidRPr="00944919">
        <w:rPr>
          <w:rFonts w:ascii="Calibri" w:eastAsia="Calibri" w:hAnsi="Calibri" w:cs="Calibri"/>
          <w:color w:val="000000"/>
          <w:sz w:val="20"/>
          <w:szCs w:val="20"/>
        </w:rPr>
        <w:t>The revised ratio is significantly below the minimum requirement of 10.5% and thus requires urgent remedial action.</w:t>
      </w:r>
    </w:p>
    <w:p w14:paraId="4B435F4F" w14:textId="79AE2763" w:rsidR="0051085C" w:rsidRDefault="00944919" w:rsidP="009449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 w:rsidRPr="00944919">
        <w:rPr>
          <w:rFonts w:ascii="Calibri" w:eastAsia="Calibri" w:hAnsi="Calibri" w:cs="Calibri"/>
          <w:color w:val="000000"/>
          <w:sz w:val="20"/>
          <w:szCs w:val="20"/>
        </w:rPr>
        <w:t>Capital adequacy ratios for units C and D need to be improved urgently either by increasing CET1 and/or reducing RWAs. Please let me know if you would like to discuss this further or would prefer me to flag it with the respective operating units.</w:t>
      </w:r>
    </w:p>
    <w:p w14:paraId="4AB82929" w14:textId="77777777" w:rsidR="00944919" w:rsidRDefault="00944919" w:rsidP="009449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libri" w:eastAsia="Calibri" w:hAnsi="Calibri" w:cs="Calibri"/>
          <w:color w:val="000000"/>
          <w:sz w:val="20"/>
          <w:szCs w:val="20"/>
        </w:rPr>
      </w:pPr>
    </w:p>
    <w:p w14:paraId="0000000D" w14:textId="77777777" w:rsidR="00944A79" w:rsidRDefault="009449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7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Many thanks, </w:t>
      </w:r>
    </w:p>
    <w:p w14:paraId="0000000E" w14:textId="665E4C3E" w:rsidR="00944A79" w:rsidRDefault="009449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lastRenderedPageBreak/>
        <w:t>Aakanksha Malik</w:t>
      </w:r>
    </w:p>
    <w:p w14:paraId="0000000F" w14:textId="77777777" w:rsidR="00944A79" w:rsidRDefault="009449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Financial Analyst, </w:t>
      </w:r>
    </w:p>
    <w:p w14:paraId="00000010" w14:textId="77777777" w:rsidR="00944A79" w:rsidRDefault="009449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Citi Finance</w:t>
      </w:r>
    </w:p>
    <w:sectPr w:rsidR="00944A79">
      <w:footerReference w:type="default" r:id="rId8"/>
      <w:pgSz w:w="11920" w:h="16840"/>
      <w:pgMar w:top="713" w:right="725" w:bottom="2752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509C7" w14:textId="77777777" w:rsidR="00944919" w:rsidRDefault="00944919">
      <w:pPr>
        <w:spacing w:line="240" w:lineRule="auto"/>
      </w:pPr>
      <w:r>
        <w:separator/>
      </w:r>
    </w:p>
  </w:endnote>
  <w:endnote w:type="continuationSeparator" w:id="0">
    <w:p w14:paraId="1085E503" w14:textId="77777777" w:rsidR="00944919" w:rsidRDefault="009449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1" w14:textId="77777777" w:rsidR="00944A79" w:rsidRDefault="00944A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EDDEC" w14:textId="77777777" w:rsidR="00944919" w:rsidRDefault="00944919">
      <w:pPr>
        <w:spacing w:line="240" w:lineRule="auto"/>
      </w:pPr>
      <w:r>
        <w:separator/>
      </w:r>
    </w:p>
  </w:footnote>
  <w:footnote w:type="continuationSeparator" w:id="0">
    <w:p w14:paraId="252E7AEF" w14:textId="77777777" w:rsidR="00944919" w:rsidRDefault="009449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53BB5"/>
    <w:multiLevelType w:val="multilevel"/>
    <w:tmpl w:val="90A6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400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A79"/>
    <w:rsid w:val="0051085C"/>
    <w:rsid w:val="00944919"/>
    <w:rsid w:val="00944A79"/>
    <w:rsid w:val="00B9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97A5"/>
  <w15:docId w15:val="{1205337B-3367-4CD6-98D4-22FD3A37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34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3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F227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273"/>
  </w:style>
  <w:style w:type="paragraph" w:styleId="Footer">
    <w:name w:val="footer"/>
    <w:basedOn w:val="Normal"/>
    <w:link w:val="FooterChar"/>
    <w:uiPriority w:val="99"/>
    <w:unhideWhenUsed/>
    <w:rsid w:val="00FF227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273"/>
  </w:style>
  <w:style w:type="character" w:styleId="CommentReference">
    <w:name w:val="annotation reference"/>
    <w:basedOn w:val="DefaultParagraphFont"/>
    <w:uiPriority w:val="99"/>
    <w:semiHidden/>
    <w:unhideWhenUsed/>
    <w:rsid w:val="004C3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3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33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3BF"/>
    <w:rPr>
      <w:b/>
      <w:bCs/>
      <w:sz w:val="20"/>
      <w:szCs w:val="20"/>
    </w:rPr>
  </w:style>
  <w:style w:type="table" w:styleId="TableGrid">
    <w:name w:val="Table Grid"/>
    <w:basedOn w:val="TableNormal"/>
    <w:uiPriority w:val="59"/>
    <w:unhideWhenUsed/>
    <w:rsid w:val="00CF66D2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2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085C"/>
    <w:rPr>
      <w:b/>
      <w:bCs/>
    </w:rPr>
  </w:style>
  <w:style w:type="table" w:styleId="PlainTable1">
    <w:name w:val="Plain Table 1"/>
    <w:basedOn w:val="TableNormal"/>
    <w:uiPriority w:val="41"/>
    <w:rsid w:val="0051085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4491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4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fIPZ/4naGyUiUFZMHunhNovKAg==">AMUW2mUQOfzFus2ti+B1ydoT0FROad1b+VHtYbx+U7FU78OUNUqID4LrgJIQCow5uWxSXykrkxfwns6oIZoIuJo/5tLu0OQFNQArMqbEaexum4U2XkP2toD+1ctZB+mPXQV80sWZ826m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aakanksha malik</dc:creator>
  <cp:lastModifiedBy>aakanksha malik</cp:lastModifiedBy>
  <cp:revision>2</cp:revision>
  <dcterms:created xsi:type="dcterms:W3CDTF">2025-03-24T15:02:00Z</dcterms:created>
  <dcterms:modified xsi:type="dcterms:W3CDTF">2025-03-24T15:02:00Z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86a02c-2dfb-4efe-823f-aa2d1f0e6ab7_Enabled">
    <vt:lpwstr>true</vt:lpwstr>
  </property>
  <property fmtid="{D5CDD505-2E9C-101B-9397-08002B2CF9AE}" pid="3" name="MSIP_Label_3486a02c-2dfb-4efe-823f-aa2d1f0e6ab7_SetDate">
    <vt:lpwstr>2023-01-05T13:17:55Z</vt:lpwstr>
  </property>
  <property fmtid="{D5CDD505-2E9C-101B-9397-08002B2CF9AE}" pid="4" name="MSIP_Label_3486a02c-2dfb-4efe-823f-aa2d1f0e6ab7_Method">
    <vt:lpwstr>Privileged</vt:lpwstr>
  </property>
  <property fmtid="{D5CDD505-2E9C-101B-9397-08002B2CF9AE}" pid="5" name="MSIP_Label_3486a02c-2dfb-4efe-823f-aa2d1f0e6ab7_Name">
    <vt:lpwstr>CLAPUBLIC</vt:lpwstr>
  </property>
  <property fmtid="{D5CDD505-2E9C-101B-9397-08002B2CF9AE}" pid="6" name="MSIP_Label_3486a02c-2dfb-4efe-823f-aa2d1f0e6ab7_SiteId">
    <vt:lpwstr>e0fd434d-ba64-497b-90d2-859c472e1a92</vt:lpwstr>
  </property>
  <property fmtid="{D5CDD505-2E9C-101B-9397-08002B2CF9AE}" pid="7" name="MSIP_Label_3486a02c-2dfb-4efe-823f-aa2d1f0e6ab7_ActionId">
    <vt:lpwstr>6f0b03b8-ff13-4121-b7ee-17d290244bda</vt:lpwstr>
  </property>
  <property fmtid="{D5CDD505-2E9C-101B-9397-08002B2CF9AE}" pid="8" name="MSIP_Label_3486a02c-2dfb-4efe-823f-aa2d1f0e6ab7_ContentBits">
    <vt:lpwstr>2</vt:lpwstr>
  </property>
  <property fmtid="{D5CDD505-2E9C-101B-9397-08002B2CF9AE}" pid="9" name="Classification">
    <vt:lpwstr>PUBLIC</vt:lpwstr>
  </property>
</Properties>
</file>