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EE" w:rsidRDefault="00B030A1" w:rsidP="007D18EE">
      <w:pPr>
        <w:pStyle w:val="Title"/>
        <w:rPr>
          <w:rFonts w:asciiTheme="minorHAnsi" w:hAnsiTheme="minorHAnsi"/>
        </w:rPr>
      </w:pPr>
      <w:r w:rsidRPr="00171D45">
        <w:rPr>
          <w:rFonts w:asciiTheme="minorHAnsi" w:hAnsiTheme="minorHAnsi"/>
        </w:rPr>
        <w:t>Working with Landsat Data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171D45" w:rsidTr="00171D45">
        <w:tc>
          <w:tcPr>
            <w:tcW w:w="153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71D45" w:rsidRPr="004608A6" w:rsidRDefault="004608A6" w:rsidP="004608A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4608A6">
              <w:rPr>
                <w:rFonts w:cs="Arial"/>
                <w:sz w:val="22"/>
              </w:rPr>
              <w:t xml:space="preserve">Create a folder called </w:t>
            </w:r>
            <w:r w:rsidRPr="004608A6">
              <w:rPr>
                <w:rFonts w:cs="Arial"/>
                <w:b/>
                <w:sz w:val="22"/>
              </w:rPr>
              <w:t>Landsat</w:t>
            </w:r>
            <w:r w:rsidRPr="004608A6">
              <w:rPr>
                <w:rFonts w:cs="Arial"/>
                <w:sz w:val="22"/>
              </w:rPr>
              <w:t>. On DIA 322 computers, you might want to create this folder in your user Documents folder (e.g. C:\Users\jdoe\Documents\Landsat). On the DIA 222 computers, you might want to create this folder on the D: drive under D:\course number\user name\ (e.g. D:\ES212\jdoe\Landsat).</w:t>
            </w:r>
          </w:p>
          <w:p w:rsidR="00171D45" w:rsidRPr="007A2CDB" w:rsidRDefault="00EC6A85" w:rsidP="007E463A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hyperlink r:id="rId7" w:history="1">
              <w:r w:rsidR="00171D45" w:rsidRPr="004608A6">
                <w:rPr>
                  <w:rStyle w:val="Hyperlink"/>
                  <w:rFonts w:eastAsia="Times New Roman" w:cs="Arial"/>
                  <w:sz w:val="22"/>
                </w:rPr>
                <w:t>Download the data</w:t>
              </w:r>
            </w:hyperlink>
            <w:r w:rsidR="00171D45" w:rsidRPr="004608A6">
              <w:rPr>
                <w:rFonts w:eastAsia="Times New Roman" w:cs="Arial"/>
                <w:color w:val="000000"/>
                <w:sz w:val="22"/>
              </w:rPr>
              <w:t xml:space="preserve"> for this exercise</w:t>
            </w:r>
            <w:r w:rsidR="007E463A" w:rsidRPr="004608A6">
              <w:rPr>
                <w:rFonts w:eastAsia="Times New Roman" w:cs="Arial"/>
                <w:color w:val="000000"/>
                <w:sz w:val="22"/>
              </w:rPr>
              <w:t>. Step 1 of this tutorial will walk you through the extraction process</w:t>
            </w:r>
            <w:r w:rsidR="00171D45" w:rsidRPr="004608A6"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</w:tbl>
    <w:p w:rsidR="00171D45" w:rsidRPr="00171D45" w:rsidRDefault="003F2062" w:rsidP="00171D45">
      <w:r>
        <w:t>The data used in this exercise are from Landsat 7. The following procedures also apply to Landsat 5 and 8 (except where indicated).</w:t>
      </w:r>
      <w:r w:rsidR="00CA14BC">
        <w:t xml:space="preserve"> </w:t>
      </w:r>
      <w:r w:rsidR="005B0729">
        <w:t>Note that o</w:t>
      </w:r>
      <w:r w:rsidR="00CA14BC">
        <w:t xml:space="preserve">ne important difference between Landsat 5/7 and </w:t>
      </w:r>
      <w:r w:rsidR="005B0729">
        <w:t>Landsat 8 is in the band configuration (see tables in Step 1).</w: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464" w:rsidRDefault="003B1464">
          <w:pPr>
            <w:pStyle w:val="TOCHeading"/>
          </w:pPr>
          <w:r>
            <w:t>Contents</w:t>
          </w:r>
        </w:p>
        <w:p w:rsidR="00DB2DF9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11539" w:history="1">
            <w:r w:rsidR="00DB2DF9" w:rsidRPr="008069D9">
              <w:rPr>
                <w:rStyle w:val="Hyperlink"/>
                <w:rFonts w:cs="Helvetica"/>
                <w:noProof/>
              </w:rPr>
              <w:t>Step 1: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Extracting Imagery from a Downloaded Landsat File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_Toc410411539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DB2DF9" w:rsidRDefault="00EC6A85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0411540" w:history="1">
            <w:r w:rsidR="00DB2DF9" w:rsidRPr="008069D9">
              <w:rPr>
                <w:rStyle w:val="Hyperlink"/>
                <w:noProof/>
              </w:rPr>
              <w:t>Step 2: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Converting Raw Data to Radiance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_Toc410411540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DB2DF9" w:rsidRDefault="00EC6A85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0411541" w:history="1">
            <w:r w:rsidR="00DB2DF9" w:rsidRPr="008069D9">
              <w:rPr>
                <w:rStyle w:val="Hyperlink"/>
                <w:noProof/>
              </w:rPr>
              <w:t>Step 3: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Converting Radiance Data to Reflectance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_Toc410411541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DB2DF9" w:rsidRDefault="00EC6A85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0411542" w:history="1">
            <w:r w:rsidR="00DB2DF9" w:rsidRPr="008069D9">
              <w:rPr>
                <w:rStyle w:val="Hyperlink"/>
                <w:noProof/>
              </w:rPr>
              <w:t>Step 4: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Creating a Landsat Composite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_Toc410411542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:rsidR="0066121C" w:rsidRDefault="00EC6A85" w:rsidP="00D93A85">
      <w:r>
        <w:pict>
          <v:rect id="_x0000_i1025" style="width:0;height:.75pt" o:hralign="center" o:hrstd="t" o:hrnoshade="t" o:hr="t" fillcolor="#ccc" stroked="f"/>
        </w:pict>
      </w:r>
      <w:bookmarkEnd w:id="0"/>
    </w:p>
    <w:p w:rsidR="002E7A3D" w:rsidRPr="002E7A3D" w:rsidRDefault="0062194F" w:rsidP="00816D1F">
      <w:pPr>
        <w:pStyle w:val="Stepheader-GIS"/>
        <w:rPr>
          <w:rFonts w:ascii="Helvetica" w:hAnsi="Helvetica" w:cs="Helvetica"/>
        </w:rPr>
      </w:pPr>
      <w:bookmarkStart w:id="1" w:name="_Toc410411539"/>
      <w:r>
        <w:t xml:space="preserve">Extracting Imagery from </w:t>
      </w:r>
      <w:r w:rsidR="004125EA">
        <w:t xml:space="preserve">a </w:t>
      </w:r>
      <w:r>
        <w:t xml:space="preserve">Downloaded </w:t>
      </w:r>
      <w:r w:rsidR="004125EA">
        <w:t xml:space="preserve">Landsat </w:t>
      </w:r>
      <w:r w:rsidR="005513E5">
        <w:t>F</w:t>
      </w:r>
      <w:r>
        <w:t>ile</w:t>
      </w:r>
      <w:bookmarkEnd w:id="1"/>
    </w:p>
    <w:p w:rsidR="0062194F" w:rsidRDefault="007E463A" w:rsidP="0062194F">
      <w:r>
        <w:t>Landsat</w:t>
      </w:r>
      <w:r w:rsidR="0062194F">
        <w:t xml:space="preserve"> imagery is compressed in a tar/gz format (an archiving/compression format popular in UNIX operating </w:t>
      </w:r>
      <w:r w:rsidR="005513E5">
        <w:t>system environments in the late</w:t>
      </w:r>
      <w:r w:rsidR="0062194F">
        <w:t xml:space="preserve"> twentieth century). A freeware tool called </w:t>
      </w:r>
      <w:hyperlink r:id="rId8" w:history="1">
        <w:r w:rsidR="0062194F" w:rsidRPr="0062194F">
          <w:rPr>
            <w:rStyle w:val="Hyperlink"/>
          </w:rPr>
          <w:t>7-zip</w:t>
        </w:r>
      </w:hyperlink>
      <w:r w:rsidR="0062194F">
        <w:t xml:space="preserve"> will be used to extract the files.</w:t>
      </w:r>
    </w:p>
    <w:p w:rsidR="0062194F" w:rsidRDefault="0062194F" w:rsidP="0062194F">
      <w:pPr>
        <w:pStyle w:val="Instructions-GIS"/>
      </w:pPr>
      <w:r>
        <w:t xml:space="preserve">Right-click the file and select </w:t>
      </w:r>
      <w:r w:rsidRPr="0062194F">
        <w:rPr>
          <w:b/>
        </w:rPr>
        <w:t>7-zip &gt;&gt; Open Archive</w:t>
      </w:r>
      <w:r>
        <w:t>.</w:t>
      </w:r>
    </w:p>
    <w:p w:rsidR="0062194F" w:rsidRDefault="0062194F" w:rsidP="0062194F">
      <w:pPr>
        <w:pStyle w:val="Instructions-GIS"/>
      </w:pPr>
      <w:r>
        <w:t>In the archive window, double-click the .tar file.</w:t>
      </w:r>
    </w:p>
    <w:p w:rsidR="0062194F" w:rsidRDefault="0062194F" w:rsidP="0062194F">
      <w:pPr>
        <w:pStyle w:val="Instructions-GIS"/>
      </w:pPr>
      <w:r>
        <w:t>This will open the contents of the .tar file (much like double-clicking a .zip file will show its contents).</w:t>
      </w:r>
    </w:p>
    <w:p w:rsidR="0062194F" w:rsidRDefault="0062194F" w:rsidP="0062194F">
      <w:pPr>
        <w:pStyle w:val="Instructions-GIS"/>
      </w:pPr>
      <w:r>
        <w:rPr>
          <w:noProof/>
        </w:rPr>
        <w:lastRenderedPageBreak/>
        <w:drawing>
          <wp:inline distT="0" distB="0" distL="0" distR="0">
            <wp:extent cx="3077005" cy="2581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CC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4F" w:rsidRDefault="0062194F" w:rsidP="0062194F">
      <w:pPr>
        <w:pStyle w:val="Instructions-GIS"/>
      </w:pPr>
      <w:r>
        <w:t>Extract all files to you</w:t>
      </w:r>
      <w:r w:rsidR="004125EA">
        <w:t>r</w:t>
      </w:r>
      <w:r>
        <w:t xml:space="preserve"> project folder.</w:t>
      </w:r>
    </w:p>
    <w:p w:rsidR="004125EA" w:rsidRDefault="00DD0FF7" w:rsidP="00DD0FF7">
      <w:r>
        <w:t>The L</w:t>
      </w:r>
      <w:r w:rsidR="0062194F">
        <w:t xml:space="preserve">andsat bands are stored as separate </w:t>
      </w:r>
      <w:r>
        <w:t xml:space="preserve">files in a </w:t>
      </w:r>
      <w:r w:rsidRPr="00DD0FF7">
        <w:rPr>
          <w:i/>
        </w:rPr>
        <w:t>.tif</w:t>
      </w:r>
      <w:r>
        <w:t xml:space="preserve"> file format. The number of available bands will be dependent on the Landsat source (i.e. Landsat 5, Landsat 7 or Landsat 8). </w:t>
      </w:r>
    </w:p>
    <w:tbl>
      <w:tblPr>
        <w:tblW w:w="189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68"/>
        <w:gridCol w:w="1650"/>
        <w:gridCol w:w="1442"/>
      </w:tblGrid>
      <w:tr w:rsidR="004125EA" w:rsidRPr="004125EA" w:rsidTr="0006740E">
        <w:trPr>
          <w:tblCellSpacing w:w="15" w:type="dxa"/>
        </w:trPr>
        <w:tc>
          <w:tcPr>
            <w:tcW w:w="2268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 xml:space="preserve">Landsat </w:t>
            </w:r>
            <w:r w:rsidR="0006740E"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 xml:space="preserve">4 and 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1558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Wavelength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(nanometer)</w:t>
            </w: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Resolution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(meters)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1 - Blue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2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 Green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3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 Red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4 - Near Infrared (NIR)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76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5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6740E"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SWIR</w:t>
            </w:r>
            <w:r w:rsidR="0006740E">
              <w:rPr>
                <w:rFonts w:ascii="Times New Roman" w:eastAsia="Times New Roman" w:hAnsi="Times New Roman" w:cs="Times New Roman"/>
                <w:szCs w:val="24"/>
              </w:rPr>
              <w:t xml:space="preserve"> 1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6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(Thermal)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120* (30)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7</w:t>
            </w:r>
            <w:r w:rsidR="0006740E">
              <w:rPr>
                <w:rFonts w:ascii="Times New Roman" w:eastAsia="Times New Roman" w:hAnsi="Times New Roman" w:cs="Times New Roman"/>
                <w:szCs w:val="24"/>
              </w:rPr>
              <w:t xml:space="preserve"> – SWIR 2</w:t>
            </w:r>
          </w:p>
        </w:tc>
        <w:tc>
          <w:tcPr>
            <w:tcW w:w="1558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Cs w:val="24"/>
              </w:rPr>
              <w:t>0-2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35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</w:tbl>
    <w:p w:rsidR="004125EA" w:rsidRDefault="004125EA" w:rsidP="00DD0FF7"/>
    <w:tbl>
      <w:tblPr>
        <w:tblW w:w="189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68"/>
        <w:gridCol w:w="1837"/>
        <w:gridCol w:w="1442"/>
      </w:tblGrid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Landsat 7</w:t>
            </w:r>
          </w:p>
        </w:tc>
        <w:tc>
          <w:tcPr>
            <w:tcW w:w="155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Wavelength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(micrometers)</w:t>
            </w:r>
          </w:p>
        </w:tc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Resolution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(meters)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1- Blue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2- Green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3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 Red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4 - Near Infrared (NIR)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76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5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- SWIR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Band 6 </w:t>
            </w:r>
            <w:r>
              <w:rPr>
                <w:rFonts w:ascii="Times New Roman" w:eastAsia="Times New Roman" w:hAnsi="Times New Roman" w:cs="Times New Roman"/>
                <w:szCs w:val="24"/>
              </w:rPr>
              <w:t>(Thermal)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60 * (30)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7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-235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8</w:t>
            </w:r>
          </w:p>
        </w:tc>
        <w:tc>
          <w:tcPr>
            <w:tcW w:w="1555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</w:tr>
    </w:tbl>
    <w:p w:rsidR="004125EA" w:rsidRDefault="004125EA" w:rsidP="00DD0FF7"/>
    <w:tbl>
      <w:tblPr>
        <w:tblW w:w="189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5"/>
        <w:gridCol w:w="1837"/>
        <w:gridCol w:w="1442"/>
      </w:tblGrid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Landsat 8</w:t>
            </w: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Wavelength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(micrometers)</w:t>
            </w:r>
          </w:p>
        </w:tc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Resolution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(meters)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1 - Coastal aerosol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43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2 - Blue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51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3 - Green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530 -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4 - Red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67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5 - Near Infrared (NIR)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850 -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88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6 - SWIR 1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157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165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7 - SWIR 2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2110 - 2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8 - Panchromatic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68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9 - Cirrus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36</w:t>
            </w:r>
            <w:r>
              <w:rPr>
                <w:rFonts w:ascii="Times New Roman" w:eastAsia="Times New Roman" w:hAnsi="Times New Roman" w:cs="Times New Roman"/>
                <w:szCs w:val="24"/>
              </w:rPr>
              <w:t>0 - 1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38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10 - Thermal Infrared (TIRS) 1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1060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1119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100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Band 11 - Thermal Infrared (TIRS) 2 </w:t>
            </w:r>
          </w:p>
        </w:tc>
        <w:tc>
          <w:tcPr>
            <w:tcW w:w="1556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11500 - 12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51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100</w:t>
            </w:r>
          </w:p>
        </w:tc>
      </w:tr>
    </w:tbl>
    <w:p w:rsidR="004125EA" w:rsidRDefault="004125EA" w:rsidP="00DD0FF7"/>
    <w:p w:rsidR="0062194F" w:rsidRDefault="00DD0FF7" w:rsidP="00DD0FF7">
      <w:r>
        <w:t>In t</w:t>
      </w:r>
      <w:r w:rsidR="005513E5">
        <w:t>h</w:t>
      </w:r>
      <w:r>
        <w:t>is</w:t>
      </w:r>
      <w:r w:rsidR="0005709E">
        <w:t xml:space="preserve"> working</w:t>
      </w:r>
      <w:r>
        <w:t xml:space="preserve"> example, we </w:t>
      </w:r>
      <w:r w:rsidR="004125EA">
        <w:t xml:space="preserve">are working with </w:t>
      </w:r>
      <w:r w:rsidR="004125EA" w:rsidRPr="007E463A">
        <w:t>a</w:t>
      </w:r>
      <w:r w:rsidR="004125EA" w:rsidRPr="0005709E">
        <w:rPr>
          <w:b/>
        </w:rPr>
        <w:t xml:space="preserve"> Landsat 5</w:t>
      </w:r>
      <w:r w:rsidR="004125EA">
        <w:t xml:space="preserve"> file</w:t>
      </w:r>
      <w:r>
        <w:t>.</w:t>
      </w:r>
    </w:p>
    <w:p w:rsidR="0005709E" w:rsidRDefault="0005709E" w:rsidP="00DD0FF7"/>
    <w:p w:rsidR="00DD0FF7" w:rsidRDefault="009B28D1" w:rsidP="006568FD">
      <w:pPr>
        <w:pStyle w:val="Stepheader-GIS"/>
      </w:pPr>
      <w:bookmarkStart w:id="2" w:name="_Toc410411540"/>
      <w:r>
        <w:t>Converting Raw Data to Radiance</w:t>
      </w:r>
      <w:bookmarkEnd w:id="2"/>
    </w:p>
    <w:p w:rsidR="00DD0FF7" w:rsidRDefault="00DD0FF7" w:rsidP="00DD0FF7">
      <w:r>
        <w:t xml:space="preserve">The pixel values are stored as integers and represent a </w:t>
      </w:r>
      <w:r w:rsidR="005513E5">
        <w:t>minimally processed</w:t>
      </w:r>
      <w:r>
        <w:t xml:space="preserve"> </w:t>
      </w:r>
      <w:r w:rsidR="006568FD">
        <w:t xml:space="preserve">image. From </w:t>
      </w:r>
      <w:hyperlink r:id="rId10" w:history="1">
        <w:r w:rsidR="006568FD" w:rsidRPr="006568FD">
          <w:rPr>
            <w:rStyle w:val="Hyperlink"/>
          </w:rPr>
          <w:t>Landsat’s website</w:t>
        </w:r>
      </w:hyperlink>
      <w:r w:rsidR="006568FD">
        <w:t xml:space="preserve"> (March, 2014):</w:t>
      </w:r>
    </w:p>
    <w:p w:rsidR="006568FD" w:rsidRDefault="006568FD" w:rsidP="00DD0FF7">
      <w:r>
        <w:rPr>
          <w:noProof/>
        </w:rPr>
        <w:drawing>
          <wp:inline distT="0" distB="0" distL="0" distR="0">
            <wp:extent cx="5487166" cy="2705478"/>
            <wp:effectExtent l="171450" t="171450" r="38036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59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05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8FD" w:rsidRDefault="006568FD" w:rsidP="00DD0FF7">
      <w:r>
        <w:t xml:space="preserve">Computing Radiance values for each band </w:t>
      </w:r>
      <w:proofErr w:type="gramStart"/>
      <w:r>
        <w:t>is described</w:t>
      </w:r>
      <w:proofErr w:type="gramEnd"/>
      <w:r>
        <w:t xml:space="preserve"> in </w:t>
      </w:r>
      <w:hyperlink r:id="rId12" w:history="1">
        <w:r w:rsidRPr="006568FD">
          <w:rPr>
            <w:rStyle w:val="Hyperlink"/>
          </w:rPr>
          <w:t>this Landsat document</w:t>
        </w:r>
      </w:hyperlink>
      <w:r>
        <w:t>:</w:t>
      </w:r>
    </w:p>
    <w:p w:rsidR="006568FD" w:rsidRDefault="006568FD" w:rsidP="00DD0FF7">
      <w:r>
        <w:rPr>
          <w:noProof/>
        </w:rPr>
        <w:drawing>
          <wp:inline distT="0" distB="0" distL="0" distR="0">
            <wp:extent cx="6706536" cy="6125430"/>
            <wp:effectExtent l="171450" t="171450" r="380365" b="370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DB3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612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45E" w:rsidRDefault="006568FD" w:rsidP="00DD0FF7">
      <w:r>
        <w:t xml:space="preserve">You want to use the </w:t>
      </w:r>
      <w:r w:rsidRPr="007E463A">
        <w:rPr>
          <w:b/>
        </w:rPr>
        <w:t>second</w:t>
      </w:r>
      <w:r>
        <w:t xml:space="preserve"> L</w:t>
      </w:r>
      <w:r w:rsidRPr="006568FD">
        <w:rPr>
          <w:rFonts w:ascii="Symbol" w:hAnsi="Symbol"/>
          <w:vertAlign w:val="subscript"/>
        </w:rPr>
        <w:t></w:t>
      </w:r>
      <w:r>
        <w:t xml:space="preserve"> formula</w:t>
      </w:r>
      <w:r w:rsidR="007E463A">
        <w:t xml:space="preserve"> listed above</w:t>
      </w:r>
      <w:r>
        <w:t xml:space="preserve">. The parameters LMAX, LMIN, QCALMAX and QCALMIN can be found in the </w:t>
      </w:r>
      <w:r w:rsidRPr="0005709E">
        <w:rPr>
          <w:b/>
        </w:rPr>
        <w:t>*_MTL.txt</w:t>
      </w:r>
      <w:r>
        <w:t xml:space="preserve"> file which was extracted with the other files in the </w:t>
      </w:r>
      <w:r w:rsidRPr="006568FD">
        <w:rPr>
          <w:i/>
        </w:rPr>
        <w:t>.tar.gz</w:t>
      </w:r>
      <w:r>
        <w:t xml:space="preserve"> file.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6033"/>
      </w:tblGrid>
      <w:tr w:rsidR="0089045E" w:rsidTr="0005709E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89045E" w:rsidRDefault="0089045E" w:rsidP="00DD0FF7">
            <w:r>
              <w:t>Equation Parameter</w:t>
            </w:r>
            <w:r w:rsidR="007E463A">
              <w:t>s</w:t>
            </w:r>
          </w:p>
        </w:tc>
        <w:tc>
          <w:tcPr>
            <w:tcW w:w="6156" w:type="dxa"/>
            <w:tcBorders>
              <w:top w:val="single" w:sz="4" w:space="0" w:color="auto"/>
              <w:bottom w:val="single" w:sz="4" w:space="0" w:color="auto"/>
            </w:tcBorders>
          </w:tcPr>
          <w:p w:rsidR="0089045E" w:rsidRDefault="007E463A" w:rsidP="00DD0FF7">
            <w:r>
              <w:t>MTL</w:t>
            </w:r>
            <w:r w:rsidR="0089045E">
              <w:t xml:space="preserve"> file parameter</w:t>
            </w:r>
            <w:r>
              <w:t>s</w:t>
            </w:r>
          </w:p>
        </w:tc>
      </w:tr>
      <w:tr w:rsidR="0089045E" w:rsidTr="0005709E">
        <w:tc>
          <w:tcPr>
            <w:tcW w:w="3420" w:type="dxa"/>
            <w:tcBorders>
              <w:top w:val="single" w:sz="4" w:space="0" w:color="auto"/>
            </w:tcBorders>
          </w:tcPr>
          <w:p w:rsidR="0089045E" w:rsidRDefault="0089045E" w:rsidP="00DD0FF7">
            <w:r>
              <w:t>LMIN</w:t>
            </w:r>
          </w:p>
        </w:tc>
        <w:tc>
          <w:tcPr>
            <w:tcW w:w="6156" w:type="dxa"/>
            <w:tcBorders>
              <w:top w:val="single" w:sz="4" w:space="0" w:color="auto"/>
            </w:tcBorders>
          </w:tcPr>
          <w:p w:rsidR="0089045E" w:rsidRDefault="0089045E" w:rsidP="00DD0FF7">
            <w:r w:rsidRPr="0089045E">
              <w:t>RADIANCE_MINIMUM_BAND</w:t>
            </w:r>
          </w:p>
        </w:tc>
      </w:tr>
      <w:tr w:rsidR="0089045E" w:rsidTr="0005709E">
        <w:tc>
          <w:tcPr>
            <w:tcW w:w="3420" w:type="dxa"/>
          </w:tcPr>
          <w:p w:rsidR="0089045E" w:rsidRDefault="0089045E" w:rsidP="00DD0FF7">
            <w:r>
              <w:t>LMAX</w:t>
            </w:r>
          </w:p>
        </w:tc>
        <w:tc>
          <w:tcPr>
            <w:tcW w:w="6156" w:type="dxa"/>
          </w:tcPr>
          <w:p w:rsidR="0089045E" w:rsidRDefault="0089045E" w:rsidP="00DD0FF7">
            <w:r>
              <w:t>RADIANCE_MAXIMUM_BAND</w:t>
            </w:r>
          </w:p>
        </w:tc>
      </w:tr>
      <w:tr w:rsidR="0089045E" w:rsidTr="0005709E">
        <w:tc>
          <w:tcPr>
            <w:tcW w:w="3420" w:type="dxa"/>
          </w:tcPr>
          <w:p w:rsidR="0089045E" w:rsidRDefault="0089045E" w:rsidP="00DD0FF7">
            <w:r>
              <w:t>QCALMIN</w:t>
            </w:r>
          </w:p>
        </w:tc>
        <w:tc>
          <w:tcPr>
            <w:tcW w:w="6156" w:type="dxa"/>
          </w:tcPr>
          <w:p w:rsidR="0089045E" w:rsidRPr="0089045E" w:rsidRDefault="0089045E" w:rsidP="00DD0FF7">
            <w:r>
              <w:t>QUANTIZE_CAL_MIN_BAND</w:t>
            </w:r>
          </w:p>
        </w:tc>
      </w:tr>
      <w:tr w:rsidR="0089045E" w:rsidTr="0005709E">
        <w:tc>
          <w:tcPr>
            <w:tcW w:w="3420" w:type="dxa"/>
          </w:tcPr>
          <w:p w:rsidR="0089045E" w:rsidRDefault="0089045E" w:rsidP="00DD0FF7">
            <w:r>
              <w:t>QCALMAX</w:t>
            </w:r>
          </w:p>
        </w:tc>
        <w:tc>
          <w:tcPr>
            <w:tcW w:w="6156" w:type="dxa"/>
          </w:tcPr>
          <w:p w:rsidR="0089045E" w:rsidRDefault="0089045E" w:rsidP="00DD0FF7">
            <w:r w:rsidRPr="0089045E">
              <w:t>QUANTIZE_CAL_MAX</w:t>
            </w:r>
            <w:r>
              <w:t>_BAND</w:t>
            </w:r>
          </w:p>
        </w:tc>
      </w:tr>
      <w:tr w:rsidR="0089045E" w:rsidTr="0005709E">
        <w:tc>
          <w:tcPr>
            <w:tcW w:w="3420" w:type="dxa"/>
            <w:tcBorders>
              <w:bottom w:val="single" w:sz="4" w:space="0" w:color="auto"/>
            </w:tcBorders>
          </w:tcPr>
          <w:p w:rsidR="0089045E" w:rsidRDefault="0089045E" w:rsidP="00DD0FF7">
            <w:r>
              <w:t>QCAL</w:t>
            </w:r>
          </w:p>
        </w:tc>
        <w:tc>
          <w:tcPr>
            <w:tcW w:w="6156" w:type="dxa"/>
            <w:tcBorders>
              <w:bottom w:val="single" w:sz="4" w:space="0" w:color="auto"/>
            </w:tcBorders>
          </w:tcPr>
          <w:p w:rsidR="0089045E" w:rsidRDefault="0089045E" w:rsidP="00DD0FF7">
            <w:r>
              <w:t>The actual pixel value</w:t>
            </w:r>
          </w:p>
        </w:tc>
      </w:tr>
    </w:tbl>
    <w:p w:rsidR="0005709E" w:rsidRDefault="0005709E" w:rsidP="00DD0FF7"/>
    <w:p w:rsidR="0089045E" w:rsidRDefault="0089045E" w:rsidP="00DD0FF7">
      <w:r>
        <w:t>Note that each parameter has a unique value for each band.</w:t>
      </w:r>
    </w:p>
    <w:p w:rsidR="006E2D43" w:rsidRDefault="006E2D43" w:rsidP="006E2D43">
      <w:pPr>
        <w:pStyle w:val="Instructions-GIS"/>
      </w:pPr>
      <w:r>
        <w:t xml:space="preserve">Find the values for each parameter </w:t>
      </w:r>
      <w:r w:rsidRPr="0005709E">
        <w:rPr>
          <w:i/>
        </w:rPr>
        <w:t>and</w:t>
      </w:r>
      <w:r>
        <w:t xml:space="preserve"> each band in the </w:t>
      </w:r>
      <w:r w:rsidRPr="0005709E">
        <w:rPr>
          <w:b/>
        </w:rPr>
        <w:t>*_MTL.txt</w:t>
      </w:r>
      <w:r>
        <w:t xml:space="preserve"> file and </w:t>
      </w:r>
      <w:r w:rsidR="007E463A">
        <w:t>populate the following table (which you will reproduce in a spreadsheet). An</w:t>
      </w:r>
      <w:r>
        <w:t xml:space="preserve"> example i</w:t>
      </w:r>
      <w:r w:rsidR="007E463A">
        <w:t>s presented for the first band.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55"/>
        <w:gridCol w:w="1870"/>
        <w:gridCol w:w="1882"/>
        <w:gridCol w:w="1887"/>
      </w:tblGrid>
      <w:tr w:rsidR="006E2D43" w:rsidTr="006E2D43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6E2D43">
            <w:pPr>
              <w:jc w:val="center"/>
            </w:pPr>
            <w:r>
              <w:t>Band number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LMIN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LMAX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QCALMIN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QCALMAX</w:t>
            </w:r>
          </w:p>
        </w:tc>
      </w:tr>
      <w:tr w:rsidR="006E2D43" w:rsidTr="006E2D43"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 w:rsidRPr="006E2D43">
              <w:t>-1.520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 w:rsidRPr="006E2D43">
              <w:t>193.000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>
              <w:t>1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>
              <w:t>255</w:t>
            </w:r>
          </w:p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3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4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5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6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6E2D43">
            <w:pPr>
              <w:jc w:val="center"/>
            </w:pPr>
            <w:r>
              <w:t>7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</w:tr>
    </w:tbl>
    <w:p w:rsidR="006E2D43" w:rsidRDefault="006E2D43" w:rsidP="00C368DF">
      <w:pPr>
        <w:pStyle w:val="Instructions-GIS"/>
      </w:pPr>
      <w:r>
        <w:t>Next, using the Raster Calculator, you will create a Radiance raster for each band u</w:t>
      </w:r>
      <w:r w:rsidR="00C368DF">
        <w:t>sing the values tabulated above and name them Radiance1.img, Radiance2.img, …, Radiance</w:t>
      </w:r>
      <w:r w:rsidR="005513E5">
        <w:t>7</w:t>
      </w:r>
      <w:r w:rsidR="00C368DF">
        <w:t>.img.</w:t>
      </w:r>
    </w:p>
    <w:p w:rsidR="00C368DF" w:rsidRDefault="003F7BD2" w:rsidP="00DD0FF7">
      <w:r>
        <w:t xml:space="preserve">The following example is for band 1. </w:t>
      </w:r>
    </w:p>
    <w:p w:rsidR="003F7BD2" w:rsidRDefault="003F7BD2" w:rsidP="00DD0FF7">
      <w:r>
        <w:rPr>
          <w:noProof/>
        </w:rPr>
        <w:drawing>
          <wp:inline distT="0" distB="0" distL="0" distR="0">
            <wp:extent cx="3991532" cy="600159"/>
            <wp:effectExtent l="171450" t="17145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95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0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2D43" w:rsidRDefault="009B28D1" w:rsidP="00DD0FF7">
      <w:r>
        <w:t>Next, we will want to normalize the upwelling radiance to the downwelling sunlight impinging on the earth’s surface. This will eliminate the</w:t>
      </w:r>
      <w:r w:rsidR="0005709E">
        <w:t xml:space="preserve"> influence of the</w:t>
      </w:r>
      <w:r>
        <w:t xml:space="preserve"> sun’s spectral shape from that of the ground features being investigated.</w:t>
      </w:r>
    </w:p>
    <w:p w:rsidR="009B28D1" w:rsidRDefault="009B28D1" w:rsidP="00DD0FF7"/>
    <w:p w:rsidR="009B28D1" w:rsidRDefault="009B28D1" w:rsidP="009B28D1">
      <w:pPr>
        <w:pStyle w:val="Stepheader-GIS"/>
      </w:pPr>
      <w:bookmarkStart w:id="3" w:name="_Toc410411541"/>
      <w:r>
        <w:t>Converting Radiance Data to Reflectance</w:t>
      </w:r>
      <w:bookmarkEnd w:id="3"/>
    </w:p>
    <w:p w:rsidR="009B28D1" w:rsidRDefault="009B28D1" w:rsidP="00DD0FF7">
      <w:r>
        <w:t xml:space="preserve">The same </w:t>
      </w:r>
      <w:hyperlink r:id="rId15" w:history="1">
        <w:r w:rsidRPr="006568FD">
          <w:rPr>
            <w:rStyle w:val="Hyperlink"/>
          </w:rPr>
          <w:t>Landsat document</w:t>
        </w:r>
      </w:hyperlink>
      <w:r>
        <w:t xml:space="preserve"> used in the last step provides instructions on converting radiance data to reflectance data.</w:t>
      </w:r>
      <w:r w:rsidR="00CD0307">
        <w:t xml:space="preserve"> </w:t>
      </w:r>
      <w:r w:rsidR="005513E5">
        <w:t>Note that b</w:t>
      </w:r>
      <w:r w:rsidR="00CD0307">
        <w:t>and 6 is a thermal infrared band and is</w:t>
      </w:r>
      <w:r w:rsidR="005513E5">
        <w:t xml:space="preserve"> therefore computed differently.</w:t>
      </w:r>
    </w:p>
    <w:p w:rsidR="003F2062" w:rsidRDefault="003F2062" w:rsidP="00DD0FF7">
      <w:r>
        <w:t>Landsat 5 and 7:</w:t>
      </w:r>
    </w:p>
    <w:p w:rsidR="006E2D43" w:rsidRDefault="009B28D1" w:rsidP="00DD0FF7">
      <w:r>
        <w:rPr>
          <w:noProof/>
        </w:rPr>
        <w:drawing>
          <wp:inline distT="0" distB="0" distL="0" distR="0">
            <wp:extent cx="5468114" cy="3372321"/>
            <wp:effectExtent l="171450" t="171450" r="38036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2CB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372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062" w:rsidRDefault="003F2062" w:rsidP="00DD0FF7">
      <w:r>
        <w:t xml:space="preserve">Note, when working with </w:t>
      </w:r>
      <w:r w:rsidRPr="00CA14BC">
        <w:rPr>
          <w:b/>
        </w:rPr>
        <w:t>Landsat 8</w:t>
      </w:r>
      <w:r>
        <w:t xml:space="preserve"> data, use the </w:t>
      </w:r>
      <w:hyperlink r:id="rId17" w:history="1">
        <w:r w:rsidRPr="003F2062">
          <w:rPr>
            <w:rStyle w:val="Hyperlink"/>
          </w:rPr>
          <w:t>following formula</w:t>
        </w:r>
      </w:hyperlink>
      <w:r>
        <w:t>:</w:t>
      </w:r>
    </w:p>
    <w:p w:rsidR="003F2062" w:rsidRDefault="003F2062" w:rsidP="00DD0FF7">
      <w:r>
        <w:rPr>
          <w:noProof/>
        </w:rPr>
        <w:drawing>
          <wp:inline distT="0" distB="0" distL="0" distR="0">
            <wp:extent cx="6916115" cy="5934903"/>
            <wp:effectExtent l="152400" t="152400" r="361315" b="3708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E45BB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5934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062" w:rsidRDefault="003F2062" w:rsidP="00DD0FF7"/>
    <w:p w:rsidR="003F2062" w:rsidRDefault="009B28D1" w:rsidP="00DD0FF7">
      <w:r>
        <w:t xml:space="preserve">The solar irradiance </w:t>
      </w:r>
      <w:r w:rsidR="003F1B97">
        <w:t>values for each band, ESUN</w:t>
      </w:r>
      <w:r w:rsidR="003F1B97" w:rsidRPr="003F1B97">
        <w:rPr>
          <w:rFonts w:ascii="Symbol" w:hAnsi="Symbol"/>
          <w:vertAlign w:val="subscript"/>
        </w:rPr>
        <w:t></w:t>
      </w:r>
      <w:r w:rsidR="003F1B97">
        <w:t xml:space="preserve">, </w:t>
      </w:r>
      <w:r>
        <w:t>at the top of the earth’</w:t>
      </w:r>
      <w:r w:rsidR="003F1B97">
        <w:t>s atmosphere (exoatmospheric irradiance) are listed below. Note that the tabulated values are optimized for Landsat 7 data (hence the addition of b</w:t>
      </w:r>
      <w:r w:rsidR="007E463A">
        <w:t xml:space="preserve">and 8 not present in Landsat 5) but can be used with Landsat </w:t>
      </w:r>
      <w:r w:rsidR="00CA14BC">
        <w:t xml:space="preserve">5 </w:t>
      </w:r>
      <w:r w:rsidR="007E463A">
        <w:t>data.</w:t>
      </w:r>
      <w:r w:rsidR="003F2062">
        <w:t xml:space="preserve"> </w:t>
      </w:r>
    </w:p>
    <w:p w:rsidR="009B28D1" w:rsidRDefault="003F2062" w:rsidP="00DD0FF7">
      <w:r>
        <w:t xml:space="preserve">NOTE: If working with Landsat 8 data, you </w:t>
      </w:r>
      <w:r w:rsidRPr="003F2062">
        <w:rPr>
          <w:b/>
        </w:rPr>
        <w:t xml:space="preserve">do not </w:t>
      </w:r>
      <w:r>
        <w:t xml:space="preserve">need to optimize for </w:t>
      </w:r>
      <w:r w:rsidRPr="003F2062">
        <w:t>exoatmospheric spectral irradiances</w:t>
      </w:r>
      <w:r>
        <w:t>.</w:t>
      </w:r>
    </w:p>
    <w:tbl>
      <w:tblPr>
        <w:tblW w:w="4707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3636"/>
      </w:tblGrid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Band</w:t>
            </w:r>
          </w:p>
        </w:tc>
        <w:tc>
          <w:tcPr>
            <w:tcW w:w="359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watts/(meter squared * μm)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1970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2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1842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3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1547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4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1044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5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225.7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7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82.06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8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1369</w:t>
            </w:r>
          </w:p>
        </w:tc>
      </w:tr>
    </w:tbl>
    <w:p w:rsidR="003F1B97" w:rsidRDefault="003F1B97" w:rsidP="00DD0FF7"/>
    <w:p w:rsidR="003F1B97" w:rsidRDefault="003F1B97" w:rsidP="00DD0FF7">
      <w:r>
        <w:t xml:space="preserve">The earth-sun distance, </w:t>
      </w:r>
      <w:r w:rsidRPr="003F1B97">
        <w:rPr>
          <w:i/>
        </w:rPr>
        <w:t>d</w:t>
      </w:r>
      <w:r>
        <w:t xml:space="preserve">, varies throughout the year. A range of values is shown below. Note that Landsat offers an </w:t>
      </w:r>
      <w:hyperlink r:id="rId19" w:history="1">
        <w:r w:rsidRPr="005513E5">
          <w:rPr>
            <w:rStyle w:val="Hyperlink"/>
          </w:rPr>
          <w:t>Excel spreadsheet</w:t>
        </w:r>
      </w:hyperlink>
      <w:r>
        <w:t xml:space="preserve"> with additional distance values.</w:t>
      </w:r>
    </w:p>
    <w:tbl>
      <w:tblPr>
        <w:tblW w:w="7800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2"/>
        <w:gridCol w:w="1024"/>
        <w:gridCol w:w="597"/>
        <w:gridCol w:w="1024"/>
        <w:gridCol w:w="597"/>
        <w:gridCol w:w="1024"/>
        <w:gridCol w:w="597"/>
        <w:gridCol w:w="1024"/>
        <w:gridCol w:w="597"/>
        <w:gridCol w:w="1039"/>
      </w:tblGrid>
      <w:tr w:rsidR="003F1B97" w:rsidRPr="003F1B97" w:rsidTr="003F1B97">
        <w:trPr>
          <w:trHeight w:val="210"/>
          <w:tblCellSpacing w:w="15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:rsidR="003F1B97" w:rsidRPr="003F1B97" w:rsidRDefault="003F1B97" w:rsidP="003F1B97">
            <w:pPr>
              <w:spacing w:before="0" w:after="0" w:line="210" w:lineRule="atLeast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F1B9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Earth-Sun Distance in Astronomical Units</w:t>
            </w:r>
            <w:r w:rsidRPr="003F1B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</w:tr>
      <w:tr w:rsidR="003F1B97" w:rsidRPr="003F1B97" w:rsidTr="006C34F8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 xml:space="preserve">Day of Year 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.98331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.99446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1.01403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1.01281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.99253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.98365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.99926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1.01577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1.00969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.98916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.98536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1.00353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1.01667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1.00566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.98608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.98774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1.00756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1.01646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1.00119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.98426</w:t>
            </w:r>
          </w:p>
        </w:tc>
      </w:tr>
      <w:tr w:rsidR="003F1B97" w:rsidRPr="003F1B97" w:rsidTr="006C34F8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60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.99084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135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1.01087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213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1.01497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288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.99718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365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.98333</w:t>
            </w:r>
          </w:p>
        </w:tc>
      </w:tr>
    </w:tbl>
    <w:p w:rsidR="003F1B97" w:rsidRDefault="006C34F8" w:rsidP="00DD0FF7">
      <w:r>
        <w:t xml:space="preserve">The sun solar zenith angle, </w:t>
      </w:r>
      <w:r>
        <w:rPr>
          <w:rFonts w:ascii="Symbol" w:hAnsi="Symbol"/>
        </w:rPr>
        <w:t></w:t>
      </w:r>
      <w:r w:rsidRPr="006C34F8">
        <w:rPr>
          <w:vertAlign w:val="subscript"/>
        </w:rPr>
        <w:t>s</w:t>
      </w:r>
      <w:r>
        <w:t>, is found in the *_MTL.txt file and is listed as the parameter SUN_ELEVATION.</w:t>
      </w:r>
    </w:p>
    <w:p w:rsidR="006C34F8" w:rsidRDefault="006C34F8" w:rsidP="00DD0FF7">
      <w:r>
        <w:rPr>
          <w:noProof/>
        </w:rPr>
        <w:drawing>
          <wp:inline distT="0" distB="0" distL="0" distR="0">
            <wp:extent cx="3029373" cy="724001"/>
            <wp:effectExtent l="171450" t="171450" r="38100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F30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04D" w:rsidRDefault="006C34F8" w:rsidP="00DD0FF7">
      <w:pPr>
        <w:rPr>
          <w:color w:val="C00000"/>
        </w:rPr>
      </w:pPr>
      <w:r w:rsidRPr="006C34F8">
        <w:rPr>
          <w:color w:val="C00000"/>
        </w:rPr>
        <w:t xml:space="preserve">Caution: </w:t>
      </w:r>
    </w:p>
    <w:p w:rsidR="006C34F8" w:rsidRPr="0005709E" w:rsidRDefault="00C4304D" w:rsidP="00C4304D">
      <w:pPr>
        <w:ind w:left="720"/>
        <w:rPr>
          <w:color w:val="C00000"/>
        </w:rPr>
      </w:pPr>
      <w:r>
        <w:rPr>
          <w:color w:val="C00000"/>
        </w:rPr>
        <w:t>T</w:t>
      </w:r>
      <w:r w:rsidR="006C34F8" w:rsidRPr="006C34F8">
        <w:rPr>
          <w:color w:val="C00000"/>
        </w:rPr>
        <w:t>he formula c</w:t>
      </w:r>
      <w:r>
        <w:rPr>
          <w:color w:val="C00000"/>
        </w:rPr>
        <w:t>alls for a trigonometric</w:t>
      </w:r>
      <w:r w:rsidR="006C34F8" w:rsidRPr="006C34F8">
        <w:rPr>
          <w:color w:val="C00000"/>
        </w:rPr>
        <w:t xml:space="preserve"> function, </w:t>
      </w:r>
      <w:r w:rsidR="006C34F8" w:rsidRPr="00C4304D">
        <w:rPr>
          <w:i/>
          <w:color w:val="C00000"/>
        </w:rPr>
        <w:t>cos()</w:t>
      </w:r>
      <w:r w:rsidR="006C34F8" w:rsidRPr="006C34F8">
        <w:rPr>
          <w:color w:val="C00000"/>
        </w:rPr>
        <w:t>. Some applications require that the angle be defined in units of radians while others require that the angle be defined in units of degrees.</w:t>
      </w:r>
      <w:r>
        <w:rPr>
          <w:color w:val="C00000"/>
        </w:rPr>
        <w:t xml:space="preserve"> According to ArcGIS documentation, the angle value must be in </w:t>
      </w:r>
      <w:r w:rsidRPr="00C4304D">
        <w:rPr>
          <w:color w:val="C00000"/>
          <w:u w:val="single"/>
        </w:rPr>
        <w:t>radians</w:t>
      </w:r>
      <w:r w:rsidR="0005709E">
        <w:rPr>
          <w:color w:val="C00000"/>
        </w:rPr>
        <w:t xml:space="preserve"> when using Raster Calculator.</w:t>
      </w:r>
    </w:p>
    <w:p w:rsidR="00C4304D" w:rsidRPr="006C34F8" w:rsidRDefault="00C4304D" w:rsidP="00C4304D">
      <w:pPr>
        <w:ind w:left="720"/>
        <w:rPr>
          <w:color w:val="C00000"/>
        </w:rPr>
      </w:pPr>
      <w:r>
        <w:rPr>
          <w:color w:val="C00000"/>
        </w:rPr>
        <w:t xml:space="preserve">The formula </w:t>
      </w:r>
      <w:r w:rsidR="005513E5">
        <w:rPr>
          <w:color w:val="C00000"/>
        </w:rPr>
        <w:t>explicitly</w:t>
      </w:r>
      <w:r>
        <w:rPr>
          <w:color w:val="C00000"/>
        </w:rPr>
        <w:t xml:space="preserve"> asks for a </w:t>
      </w:r>
      <w:r w:rsidRPr="0005709E">
        <w:rPr>
          <w:i/>
          <w:color w:val="C00000"/>
        </w:rPr>
        <w:t>zenith angle</w:t>
      </w:r>
      <w:r>
        <w:rPr>
          <w:color w:val="C00000"/>
        </w:rPr>
        <w:t xml:space="preserve"> which is measured from nadir (solar noon) to the sun location whereas </w:t>
      </w:r>
      <w:r w:rsidRPr="0005709E">
        <w:rPr>
          <w:i/>
          <w:color w:val="C00000"/>
        </w:rPr>
        <w:t>solar elevation</w:t>
      </w:r>
      <w:r>
        <w:rPr>
          <w:color w:val="C00000"/>
        </w:rPr>
        <w:t xml:space="preserve"> </w:t>
      </w:r>
      <w:r w:rsidR="0005709E">
        <w:rPr>
          <w:color w:val="C00000"/>
        </w:rPr>
        <w:t xml:space="preserve">(as presented in the MTL file) </w:t>
      </w:r>
      <w:r>
        <w:rPr>
          <w:color w:val="C00000"/>
        </w:rPr>
        <w:t>is measured from the horizon up.</w:t>
      </w:r>
    </w:p>
    <w:p w:rsidR="006C34F8" w:rsidRDefault="006C34F8" w:rsidP="00DD0FF7"/>
    <w:p w:rsidR="006E2D43" w:rsidRDefault="003F1B97" w:rsidP="003F1B97">
      <w:pPr>
        <w:pStyle w:val="Instructions-GIS"/>
      </w:pPr>
      <w:r>
        <w:t xml:space="preserve">Next, using </w:t>
      </w:r>
      <w:r w:rsidRPr="00CA14BC">
        <w:rPr>
          <w:b/>
        </w:rPr>
        <w:t>Raster Calculator</w:t>
      </w:r>
      <w:r>
        <w:t xml:space="preserve">, compute the reflectance rasters for </w:t>
      </w:r>
      <w:r w:rsidR="00CD0307">
        <w:t>bands 1, 2, 3, 4, 5, and 7</w:t>
      </w:r>
      <w:r w:rsidR="0005709E">
        <w:t xml:space="preserve"> (band 6 will be treated differently in a later step)</w:t>
      </w:r>
      <w:r>
        <w:t xml:space="preserve">. </w:t>
      </w:r>
      <w:r w:rsidR="00C4304D">
        <w:t xml:space="preserve">Name the outputs Reflectance1, Reflectance2, …, Reflectance7.  </w:t>
      </w:r>
      <w:r>
        <w:t xml:space="preserve">This scene was acquired on October </w:t>
      </w:r>
      <w:r w:rsidR="006C34F8">
        <w:t>11</w:t>
      </w:r>
      <w:r>
        <w:t xml:space="preserve">, </w:t>
      </w:r>
      <w:r w:rsidR="006C34F8">
        <w:t xml:space="preserve">1993 (day </w:t>
      </w:r>
      <w:r w:rsidR="006C34F8" w:rsidRPr="00C4304D">
        <w:rPr>
          <w:b/>
        </w:rPr>
        <w:t>284</w:t>
      </w:r>
      <w:r w:rsidR="006C34F8">
        <w:t xml:space="preserve"> of the year 1993)</w:t>
      </w:r>
      <w:r>
        <w:t>.</w:t>
      </w:r>
      <w:r w:rsidR="006C34F8">
        <w:t xml:space="preserve"> Use an earth-sun distance of </w:t>
      </w:r>
      <w:r w:rsidR="006C34F8" w:rsidRPr="00C4304D">
        <w:rPr>
          <w:b/>
        </w:rPr>
        <w:t>0.998</w:t>
      </w:r>
      <w:r w:rsidR="006C34F8">
        <w:t>.</w:t>
      </w:r>
      <w:r w:rsidR="00C4304D">
        <w:t xml:space="preserve"> Also, you will need to adjust the solar angle (see cautionary note above) as follows: angle = </w:t>
      </w:r>
      <w:r w:rsidR="00C4304D" w:rsidRPr="00C4304D">
        <w:rPr>
          <w:rFonts w:ascii="Symbol" w:hAnsi="Symbol"/>
          <w:sz w:val="28"/>
        </w:rPr>
        <w:t></w:t>
      </w:r>
      <w:r w:rsidR="00C4304D">
        <w:t xml:space="preserve">/180 * (90 - 33.56) = </w:t>
      </w:r>
      <w:r w:rsidR="00C4304D" w:rsidRPr="00C4304D">
        <w:rPr>
          <w:b/>
        </w:rPr>
        <w:t>0.985</w:t>
      </w:r>
      <w:r w:rsidR="00C4304D">
        <w:t>.</w:t>
      </w:r>
    </w:p>
    <w:p w:rsidR="003F1B97" w:rsidRDefault="003F1B97" w:rsidP="003F1B97">
      <w:r>
        <w:t xml:space="preserve">The following example is for band 1. </w:t>
      </w:r>
      <w:r w:rsidR="00F92607">
        <w:t xml:space="preserve">Note the use of the </w:t>
      </w:r>
      <w:r w:rsidR="00F92607" w:rsidRPr="005513E5">
        <w:rPr>
          <w:i/>
        </w:rPr>
        <w:t>Power()</w:t>
      </w:r>
      <w:r w:rsidR="00F92607">
        <w:t xml:space="preserve"> function to raise the distance to the power of 2 and </w:t>
      </w:r>
      <w:r w:rsidR="005513E5">
        <w:t xml:space="preserve">note the </w:t>
      </w:r>
      <w:r w:rsidR="00F92607">
        <w:t xml:space="preserve">upper case C </w:t>
      </w:r>
      <w:r w:rsidR="0005709E">
        <w:t>in</w:t>
      </w:r>
      <w:r w:rsidR="00F92607">
        <w:t xml:space="preserve"> the </w:t>
      </w:r>
      <w:r w:rsidR="00F92607" w:rsidRPr="005513E5">
        <w:rPr>
          <w:i/>
        </w:rPr>
        <w:t>Cos()</w:t>
      </w:r>
      <w:r w:rsidR="00F92607">
        <w:t xml:space="preserve"> function</w:t>
      </w:r>
    </w:p>
    <w:p w:rsidR="003F1B97" w:rsidRPr="005513E5" w:rsidRDefault="00F92607" w:rsidP="00DD0FF7">
      <w:pPr>
        <w:rPr>
          <w:rFonts w:ascii="Courier New" w:hAnsi="Courier New" w:cs="Courier New"/>
          <w:color w:val="0000FF"/>
        </w:rPr>
      </w:pPr>
      <w:r w:rsidRPr="005513E5">
        <w:rPr>
          <w:rFonts w:ascii="Courier New" w:hAnsi="Courier New" w:cs="Courier New"/>
          <w:color w:val="0000FF"/>
        </w:rPr>
        <w:t>3.1416 * "Radiance1.img" * Power(0.998,2) / (1970 * Cos(0.985) )</w:t>
      </w:r>
    </w:p>
    <w:p w:rsidR="00F92607" w:rsidRDefault="00F92607" w:rsidP="00DD0FF7">
      <w:r>
        <w:rPr>
          <w:noProof/>
        </w:rPr>
        <w:drawing>
          <wp:inline distT="0" distB="0" distL="0" distR="0">
            <wp:extent cx="3372321" cy="562053"/>
            <wp:effectExtent l="171450" t="171450" r="38100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B53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2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607" w:rsidRDefault="00CD0307" w:rsidP="00DD0FF7">
      <w:r>
        <w:t>Band 6 is a thermal infrared band and is computed differently as outlined in the Landsat document:</w:t>
      </w:r>
    </w:p>
    <w:p w:rsidR="00CD0307" w:rsidRDefault="00CD0307" w:rsidP="00DD0FF7">
      <w:r>
        <w:rPr>
          <w:noProof/>
        </w:rPr>
        <w:drawing>
          <wp:inline distT="0" distB="0" distL="0" distR="0">
            <wp:extent cx="5611008" cy="4582165"/>
            <wp:effectExtent l="171450" t="171450" r="389890" b="3708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9C5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82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307" w:rsidRDefault="0005709E" w:rsidP="00CD0307">
      <w:pPr>
        <w:pStyle w:val="Instructions-GIS"/>
      </w:pPr>
      <w:r>
        <w:t>For band 6</w:t>
      </w:r>
      <w:r w:rsidR="00CD0307">
        <w:t>, compute the thermal infrared temperature values as follows:</w:t>
      </w:r>
    </w:p>
    <w:p w:rsidR="00CD0307" w:rsidRPr="00CD0307" w:rsidRDefault="00CD0307" w:rsidP="00DD0FF7">
      <w:pPr>
        <w:rPr>
          <w:rFonts w:ascii="Courier New" w:hAnsi="Courier New" w:cs="Courier New"/>
          <w:color w:val="0000FF"/>
        </w:rPr>
      </w:pPr>
      <w:r w:rsidRPr="00CD0307">
        <w:rPr>
          <w:rFonts w:ascii="Courier New" w:hAnsi="Courier New" w:cs="Courier New"/>
          <w:color w:val="0000FF"/>
        </w:rPr>
        <w:t>1260.56 / Ln(607.76/"Radiance6.img" + 1)</w:t>
      </w:r>
    </w:p>
    <w:p w:rsidR="00CD0307" w:rsidRPr="00CD0307" w:rsidRDefault="00CD0307" w:rsidP="00CD0307">
      <w:pPr>
        <w:pStyle w:val="Instructions-GIS"/>
      </w:pPr>
      <w:r>
        <w:t>Name the output file Thermal6.img.</w:t>
      </w:r>
    </w:p>
    <w:p w:rsidR="00CD0307" w:rsidRDefault="00CD0307" w:rsidP="00DD0FF7">
      <w:r>
        <w:rPr>
          <w:noProof/>
        </w:rPr>
        <w:drawing>
          <wp:inline distT="0" distB="0" distL="0" distR="0">
            <wp:extent cx="2715004" cy="571580"/>
            <wp:effectExtent l="171450" t="171450" r="371475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641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8FD" w:rsidRDefault="006568FD" w:rsidP="00DD0FF7"/>
    <w:p w:rsidR="00DD0FF7" w:rsidRDefault="00DD0FF7" w:rsidP="00DD0FF7">
      <w:pPr>
        <w:pStyle w:val="Stepheader-GIS"/>
      </w:pPr>
      <w:bookmarkStart w:id="4" w:name="_Toc410411542"/>
      <w:r>
        <w:t>Creating a Landsat Composite</w:t>
      </w:r>
      <w:bookmarkEnd w:id="4"/>
    </w:p>
    <w:p w:rsidR="00DD0FF7" w:rsidRDefault="00CD0307" w:rsidP="00DD0FF7">
      <w:r>
        <w:t>Next. w</w:t>
      </w:r>
      <w:r w:rsidR="00DD0FF7">
        <w:t>e</w:t>
      </w:r>
      <w:r>
        <w:t>’ll</w:t>
      </w:r>
      <w:r w:rsidR="00DD0FF7">
        <w:t xml:space="preserve"> combine these bands to generate a composite Landsat raster file.</w:t>
      </w:r>
    </w:p>
    <w:p w:rsidR="00DD0FF7" w:rsidRDefault="00DD0FF7" w:rsidP="00DD0FF7">
      <w:pPr>
        <w:pStyle w:val="Instructions-GIS"/>
      </w:pPr>
      <w:r>
        <w:t xml:space="preserve">In a new ArcMap session, open </w:t>
      </w:r>
      <w:r w:rsidRPr="00DD0FF7">
        <w:rPr>
          <w:b/>
        </w:rPr>
        <w:t>Data Management Tools &gt;&gt; Raster &gt;&gt; Ras</w:t>
      </w:r>
      <w:r w:rsidR="009B28D1">
        <w:rPr>
          <w:b/>
        </w:rPr>
        <w:t>t</w:t>
      </w:r>
      <w:r w:rsidRPr="00DD0FF7">
        <w:rPr>
          <w:b/>
        </w:rPr>
        <w:t>er Processing &gt;&gt; Composite Bands</w:t>
      </w:r>
      <w:r>
        <w:t xml:space="preserve"> and fill out the parameters as shown below.</w:t>
      </w:r>
    </w:p>
    <w:p w:rsidR="00DD0FF7" w:rsidRDefault="00166DFA" w:rsidP="00DD0FF7">
      <w:r>
        <w:rPr>
          <w:noProof/>
        </w:rPr>
        <w:drawing>
          <wp:inline distT="0" distB="0" distL="0" distR="0">
            <wp:extent cx="4867955" cy="173379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677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FA" w:rsidRDefault="00166DFA" w:rsidP="00166DFA">
      <w:pPr>
        <w:pStyle w:val="Instructions-GIS"/>
      </w:pPr>
      <w:r>
        <w:t>Name the output Landsat.img.</w:t>
      </w:r>
    </w:p>
    <w:p w:rsidR="00166DFA" w:rsidRDefault="00166DFA" w:rsidP="00D06493">
      <w:r>
        <w:t>You now have a complete, post-process</w:t>
      </w:r>
      <w:r w:rsidR="005513E5">
        <w:t>ed</w:t>
      </w:r>
      <w:r>
        <w:t>, Landsat scene. Note, however, that the file is stored as a float which can take up a lot of disk space.</w:t>
      </w:r>
    </w:p>
    <w:p w:rsidR="00770E84" w:rsidRDefault="00EC6A85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6" style="width:0;height:.75pt" o:hralign="center" o:hrstd="t" o:hrnoshade="t" o:hr="t" fillcolor="#ccc" stroked="f"/>
        </w:pict>
      </w:r>
    </w:p>
    <w:p w:rsidR="005B30F8" w:rsidRPr="002E7A3D" w:rsidRDefault="004608A6" w:rsidP="004608A6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5AD3F6EE" wp14:editId="10B4F4A9">
            <wp:extent cx="723014" cy="2529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7-04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C6A85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4/6/2017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D77B37" w:rsidRDefault="00D77B37">
      <w:bookmarkStart w:id="5" w:name="_GoBack"/>
      <w:bookmarkEnd w:id="5"/>
    </w:p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E0777"/>
    <w:multiLevelType w:val="hybridMultilevel"/>
    <w:tmpl w:val="206C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43A03"/>
    <w:multiLevelType w:val="hybridMultilevel"/>
    <w:tmpl w:val="6B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D"/>
    <w:rsid w:val="00004A9D"/>
    <w:rsid w:val="0001374B"/>
    <w:rsid w:val="00014094"/>
    <w:rsid w:val="0001595C"/>
    <w:rsid w:val="000316BB"/>
    <w:rsid w:val="00053336"/>
    <w:rsid w:val="0005709E"/>
    <w:rsid w:val="0006740E"/>
    <w:rsid w:val="0009238D"/>
    <w:rsid w:val="00096612"/>
    <w:rsid w:val="000D425F"/>
    <w:rsid w:val="000E52DD"/>
    <w:rsid w:val="00162314"/>
    <w:rsid w:val="00166DFA"/>
    <w:rsid w:val="00171D45"/>
    <w:rsid w:val="00177C3E"/>
    <w:rsid w:val="0018258A"/>
    <w:rsid w:val="001A7375"/>
    <w:rsid w:val="001D4F7F"/>
    <w:rsid w:val="001F4E86"/>
    <w:rsid w:val="00201B67"/>
    <w:rsid w:val="00210987"/>
    <w:rsid w:val="00212411"/>
    <w:rsid w:val="002134BA"/>
    <w:rsid w:val="00220467"/>
    <w:rsid w:val="0023109D"/>
    <w:rsid w:val="00264C61"/>
    <w:rsid w:val="00275270"/>
    <w:rsid w:val="002A08EC"/>
    <w:rsid w:val="002B2646"/>
    <w:rsid w:val="002C2BC1"/>
    <w:rsid w:val="002C681C"/>
    <w:rsid w:val="002E6AB6"/>
    <w:rsid w:val="002E7A3D"/>
    <w:rsid w:val="0030204D"/>
    <w:rsid w:val="00305E21"/>
    <w:rsid w:val="00317982"/>
    <w:rsid w:val="003269A1"/>
    <w:rsid w:val="003439C9"/>
    <w:rsid w:val="00343FD4"/>
    <w:rsid w:val="00351A7C"/>
    <w:rsid w:val="00366211"/>
    <w:rsid w:val="00371344"/>
    <w:rsid w:val="00394804"/>
    <w:rsid w:val="003B1464"/>
    <w:rsid w:val="003D6BC2"/>
    <w:rsid w:val="003E1D7B"/>
    <w:rsid w:val="003E4905"/>
    <w:rsid w:val="003F1B97"/>
    <w:rsid w:val="003F2062"/>
    <w:rsid w:val="003F6D27"/>
    <w:rsid w:val="003F7BD2"/>
    <w:rsid w:val="00401F9B"/>
    <w:rsid w:val="004027F5"/>
    <w:rsid w:val="00403F99"/>
    <w:rsid w:val="00411027"/>
    <w:rsid w:val="004125EA"/>
    <w:rsid w:val="00447FF8"/>
    <w:rsid w:val="004608A6"/>
    <w:rsid w:val="004633D0"/>
    <w:rsid w:val="0047322C"/>
    <w:rsid w:val="00490244"/>
    <w:rsid w:val="004A7BA1"/>
    <w:rsid w:val="004D02F5"/>
    <w:rsid w:val="004E3F80"/>
    <w:rsid w:val="004E6ADD"/>
    <w:rsid w:val="004F27A6"/>
    <w:rsid w:val="004F716F"/>
    <w:rsid w:val="00506CAD"/>
    <w:rsid w:val="005112CD"/>
    <w:rsid w:val="00520F5D"/>
    <w:rsid w:val="00527D53"/>
    <w:rsid w:val="00533806"/>
    <w:rsid w:val="00535057"/>
    <w:rsid w:val="00536FD8"/>
    <w:rsid w:val="005513E5"/>
    <w:rsid w:val="0057419D"/>
    <w:rsid w:val="00584AA1"/>
    <w:rsid w:val="00595472"/>
    <w:rsid w:val="005A3041"/>
    <w:rsid w:val="005A6E76"/>
    <w:rsid w:val="005B0729"/>
    <w:rsid w:val="005B30F8"/>
    <w:rsid w:val="005C768C"/>
    <w:rsid w:val="005F3D31"/>
    <w:rsid w:val="00602C8D"/>
    <w:rsid w:val="006050EB"/>
    <w:rsid w:val="0062194F"/>
    <w:rsid w:val="00624903"/>
    <w:rsid w:val="006324B3"/>
    <w:rsid w:val="00636646"/>
    <w:rsid w:val="006366B7"/>
    <w:rsid w:val="006440C4"/>
    <w:rsid w:val="006568FD"/>
    <w:rsid w:val="0066121C"/>
    <w:rsid w:val="0066548D"/>
    <w:rsid w:val="00694F6A"/>
    <w:rsid w:val="00697A4E"/>
    <w:rsid w:val="006A1705"/>
    <w:rsid w:val="006A5B82"/>
    <w:rsid w:val="006C34F8"/>
    <w:rsid w:val="006D1E54"/>
    <w:rsid w:val="006D68FB"/>
    <w:rsid w:val="006E2D43"/>
    <w:rsid w:val="006E4C03"/>
    <w:rsid w:val="0073290E"/>
    <w:rsid w:val="007632E3"/>
    <w:rsid w:val="00770E84"/>
    <w:rsid w:val="007A2CDB"/>
    <w:rsid w:val="007C5AE2"/>
    <w:rsid w:val="007D18EE"/>
    <w:rsid w:val="007D7E25"/>
    <w:rsid w:val="007D7F29"/>
    <w:rsid w:val="007E463A"/>
    <w:rsid w:val="007F7E46"/>
    <w:rsid w:val="00816D1F"/>
    <w:rsid w:val="00827F37"/>
    <w:rsid w:val="00831CD8"/>
    <w:rsid w:val="00871017"/>
    <w:rsid w:val="008747F7"/>
    <w:rsid w:val="008812F0"/>
    <w:rsid w:val="00885CF1"/>
    <w:rsid w:val="0089045E"/>
    <w:rsid w:val="008B776E"/>
    <w:rsid w:val="008F5181"/>
    <w:rsid w:val="008F64FA"/>
    <w:rsid w:val="008F71DE"/>
    <w:rsid w:val="00982EF9"/>
    <w:rsid w:val="009B28D1"/>
    <w:rsid w:val="009C7D8B"/>
    <w:rsid w:val="009D7346"/>
    <w:rsid w:val="009D786E"/>
    <w:rsid w:val="009E4525"/>
    <w:rsid w:val="009E5130"/>
    <w:rsid w:val="009F51CC"/>
    <w:rsid w:val="00A33E49"/>
    <w:rsid w:val="00A36C95"/>
    <w:rsid w:val="00A51045"/>
    <w:rsid w:val="00A63256"/>
    <w:rsid w:val="00A6339A"/>
    <w:rsid w:val="00A82A3F"/>
    <w:rsid w:val="00A8303D"/>
    <w:rsid w:val="00AA76FD"/>
    <w:rsid w:val="00AB0C0A"/>
    <w:rsid w:val="00AB0DBC"/>
    <w:rsid w:val="00AB4930"/>
    <w:rsid w:val="00AD21DA"/>
    <w:rsid w:val="00AD2A07"/>
    <w:rsid w:val="00AD44AD"/>
    <w:rsid w:val="00AD6898"/>
    <w:rsid w:val="00AE2BC3"/>
    <w:rsid w:val="00AF0BD1"/>
    <w:rsid w:val="00B02B9C"/>
    <w:rsid w:val="00B030A1"/>
    <w:rsid w:val="00B14108"/>
    <w:rsid w:val="00B2792D"/>
    <w:rsid w:val="00B669CD"/>
    <w:rsid w:val="00B7003B"/>
    <w:rsid w:val="00B75DCC"/>
    <w:rsid w:val="00B76842"/>
    <w:rsid w:val="00B80FFA"/>
    <w:rsid w:val="00B924C3"/>
    <w:rsid w:val="00BB551A"/>
    <w:rsid w:val="00BC0583"/>
    <w:rsid w:val="00BC0F57"/>
    <w:rsid w:val="00BD19F3"/>
    <w:rsid w:val="00BE0ADC"/>
    <w:rsid w:val="00BE57FF"/>
    <w:rsid w:val="00C144BB"/>
    <w:rsid w:val="00C17189"/>
    <w:rsid w:val="00C26E6E"/>
    <w:rsid w:val="00C368DF"/>
    <w:rsid w:val="00C3716C"/>
    <w:rsid w:val="00C4304D"/>
    <w:rsid w:val="00C9224E"/>
    <w:rsid w:val="00CA0995"/>
    <w:rsid w:val="00CA1034"/>
    <w:rsid w:val="00CA14BC"/>
    <w:rsid w:val="00CA7469"/>
    <w:rsid w:val="00CA7CBD"/>
    <w:rsid w:val="00CB234C"/>
    <w:rsid w:val="00CC0C1A"/>
    <w:rsid w:val="00CD0307"/>
    <w:rsid w:val="00D0046C"/>
    <w:rsid w:val="00D06493"/>
    <w:rsid w:val="00D2307B"/>
    <w:rsid w:val="00D230A9"/>
    <w:rsid w:val="00D6058A"/>
    <w:rsid w:val="00D73E96"/>
    <w:rsid w:val="00D77B37"/>
    <w:rsid w:val="00D86D43"/>
    <w:rsid w:val="00D93A85"/>
    <w:rsid w:val="00DB137F"/>
    <w:rsid w:val="00DB2DF9"/>
    <w:rsid w:val="00DD0FF7"/>
    <w:rsid w:val="00DE0400"/>
    <w:rsid w:val="00DE3F11"/>
    <w:rsid w:val="00DF64D5"/>
    <w:rsid w:val="00E011A9"/>
    <w:rsid w:val="00E16BF5"/>
    <w:rsid w:val="00E17381"/>
    <w:rsid w:val="00E316F1"/>
    <w:rsid w:val="00E37172"/>
    <w:rsid w:val="00E65B3E"/>
    <w:rsid w:val="00E65FF1"/>
    <w:rsid w:val="00E83AD7"/>
    <w:rsid w:val="00E9708F"/>
    <w:rsid w:val="00EB29DD"/>
    <w:rsid w:val="00EC6A85"/>
    <w:rsid w:val="00EE15A0"/>
    <w:rsid w:val="00F0171A"/>
    <w:rsid w:val="00F03029"/>
    <w:rsid w:val="00F04A66"/>
    <w:rsid w:val="00F210F2"/>
    <w:rsid w:val="00F2155F"/>
    <w:rsid w:val="00F25B1B"/>
    <w:rsid w:val="00F3772A"/>
    <w:rsid w:val="00F44471"/>
    <w:rsid w:val="00F70129"/>
    <w:rsid w:val="00F756DA"/>
    <w:rsid w:val="00F92607"/>
    <w:rsid w:val="00FB2346"/>
    <w:rsid w:val="00FC0A80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24F12EC-CE52-429F-B197-E0D7D0B6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  <w:style w:type="paragraph" w:styleId="NoSpacing">
    <w:name w:val="No Spacing"/>
    <w:uiPriority w:val="1"/>
    <w:qFormat/>
    <w:rsid w:val="00B7003B"/>
    <w:pPr>
      <w:spacing w:after="0" w:line="240" w:lineRule="auto"/>
    </w:pPr>
    <w:rPr>
      <w:rFonts w:ascii="Arial" w:hAnsi="Arial"/>
      <w:sz w:val="24"/>
    </w:rPr>
  </w:style>
  <w:style w:type="paragraph" w:customStyle="1" w:styleId="instructions-gis0">
    <w:name w:val="instructions-gis"/>
    <w:basedOn w:val="Normal"/>
    <w:rsid w:val="00D8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-zip.org/" TargetMode="External"/><Relationship Id="rId13" Type="http://schemas.openxmlformats.org/officeDocument/2006/relationships/image" Target="media/image3.tmp"/><Relationship Id="rId18" Type="http://schemas.openxmlformats.org/officeDocument/2006/relationships/image" Target="media/image6.tmp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tmp"/><Relationship Id="rId7" Type="http://schemas.openxmlformats.org/officeDocument/2006/relationships/hyperlink" Target="http://personal.colby.edu/personal/m/mgimond/Spatial/Data/LT50110291993284AAA02.tar.gz" TargetMode="External"/><Relationship Id="rId12" Type="http://schemas.openxmlformats.org/officeDocument/2006/relationships/hyperlink" Target="https://landsat.gsfc.nasa.gov/wp-content/uploads/2016/08/Landsat7_Handbook.pdf" TargetMode="External"/><Relationship Id="rId17" Type="http://schemas.openxmlformats.org/officeDocument/2006/relationships/hyperlink" Target="http://landsat.usgs.gov/Landsat8_Using_Product.php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1.tmp"/><Relationship Id="rId5" Type="http://schemas.openxmlformats.org/officeDocument/2006/relationships/settings" Target="settings.xml"/><Relationship Id="rId15" Type="http://schemas.openxmlformats.org/officeDocument/2006/relationships/hyperlink" Target="https://landsat.gsfc.nasa.gov/wp-content/uploads/2016/08/Landsat7_Handbook.pdf" TargetMode="External"/><Relationship Id="rId23" Type="http://schemas.openxmlformats.org/officeDocument/2006/relationships/image" Target="media/image10.tmp"/><Relationship Id="rId10" Type="http://schemas.openxmlformats.org/officeDocument/2006/relationships/hyperlink" Target="https://landsat.usgs.gov/Landsat_Processing_Details.php" TargetMode="External"/><Relationship Id="rId19" Type="http://schemas.openxmlformats.org/officeDocument/2006/relationships/hyperlink" Target="http://landsathandbook.gsfc.nasa.gov/excel_docs/d.xls" TargetMode="Externa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4.tmp"/><Relationship Id="rId22" Type="http://schemas.openxmlformats.org/officeDocument/2006/relationships/image" Target="media/image9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FB2C5-9E92-41A3-989A-77172DEF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Landsat</vt:lpstr>
    </vt:vector>
  </TitlesOfParts>
  <Company>Colby College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Landsat</dc:title>
  <dc:creator>mgimond</dc:creator>
  <cp:lastModifiedBy>Manny</cp:lastModifiedBy>
  <cp:revision>6</cp:revision>
  <cp:lastPrinted>2011-02-22T19:37:00Z</cp:lastPrinted>
  <dcterms:created xsi:type="dcterms:W3CDTF">2015-01-31T01:06:00Z</dcterms:created>
  <dcterms:modified xsi:type="dcterms:W3CDTF">2017-04-06T14:43:00Z</dcterms:modified>
</cp:coreProperties>
</file>