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40"/>
        <w:jc w:val="center"/>
      </w:pPr>
      <w:r>
        <w:rPr>
          <w:rFonts w:ascii="Times New Roman" w:cs="Times New Roman" w:eastAsia="Times New Roman" w:hAnsi="Times New Roman"/>
          <w:b/>
          <w:bCs/>
          <w:sz w:val="34"/>
          <w:szCs w:val="34"/>
        </w:rPr>
        <w:t xml:space="preserve">Multi-Architecture Deep Learning for Glaucoma Detection:</w:t>
      </w:r>
    </w:p>
    <w:p>
      <w:pPr>
        <w:spacing w:after="160" w:before="0" w:line="240"/>
        <w:jc w:val="center"/>
      </w:pPr>
      <w:r>
        <w:rPr>
          <w:rFonts w:ascii="Times New Roman" w:cs="Times New Roman" w:eastAsia="Times New Roman" w:hAnsi="Times New Roman"/>
          <w:b/>
          <w:bCs/>
          <w:sz w:val="28"/>
          <w:szCs w:val="28"/>
        </w:rPr>
        <w:t xml:space="preserve">A Comparative Study of Convolutional and State-Space Models on Retinal Fundus Imagery</w:t>
      </w:r>
    </w:p>
    <w:p>
      <w:pPr>
        <w:spacing w:after="40" w:before="0" w:line="240"/>
        <w:jc w:val="center"/>
      </w:pPr>
      <w:r>
        <w:rPr>
          <w:rFonts w:ascii="Times New Roman" w:cs="Times New Roman" w:eastAsia="Times New Roman" w:hAnsi="Times New Roman"/>
          <w:sz w:val="22"/>
          <w:szCs w:val="22"/>
        </w:rPr>
        <w:t xml:space="preserve">Aakarsh Shrey</w:t>
      </w:r>
    </w:p>
    <w:p>
      <w:pPr>
        <w:spacing w:after="40" w:before="0" w:line="240"/>
        <w:jc w:val="center"/>
      </w:pPr>
      <w:r>
        <w:rPr>
          <w:rFonts w:ascii="Times New Roman" w:cs="Times New Roman" w:eastAsia="Times New Roman" w:hAnsi="Times New Roman"/>
          <w:sz w:val="20"/>
          <w:szCs w:val="20"/>
        </w:rPr>
        <w:t xml:space="preserve">Department of Computer Science and Engineering</w:t>
      </w:r>
    </w:p>
    <w:p>
      <w:pPr>
        <w:spacing w:after="200" w:before="0" w:line="240"/>
        <w:jc w:val="center"/>
      </w:pPr>
      <w:r>
        <w:rPr>
          <w:rFonts w:ascii="Times New Roman" w:cs="Times New Roman" w:eastAsia="Times New Roman" w:hAnsi="Times New Roman"/>
          <w:sz w:val="20"/>
          <w:szCs w:val="20"/>
        </w:rPr>
        <w:t xml:space="preserve">April 2026</w:t>
      </w:r>
    </w:p>
    <w:p>
      <w:pPr>
        <w:spacing w:after="80" w:before="80" w:line="240"/>
        <w:ind/>
      </w:pPr>
      <w:r>
        <w:rPr>
          <w:rFonts w:ascii="Times New Roman" w:cs="Times New Roman" w:eastAsia="Times New Roman" w:hAnsi="Times New Roman"/>
          <w:b/>
          <w:bCs/>
          <w:sz w:val="20"/>
          <w:szCs w:val="20"/>
        </w:rPr>
        <w:t xml:space="preserve">Abstract—</w:t>
      </w:r>
      <w:r>
        <w:rPr>
          <w:rFonts w:ascii="Times New Roman" w:cs="Times New Roman" w:eastAsia="Times New Roman" w:hAnsi="Times New Roman"/>
          <w:sz w:val="20"/>
          <w:szCs w:val="20"/>
        </w:rPr>
        <w:t xml:space="preserve">Glaucoma is a leading cause of irreversible blindness, affecting over 76 million individuals globally. Timely screening via automated retinal fundus analysis offers a scalable alternative to manual clinical review, particularly in resource-constrained settings with ophthalmologist shortages. This paper presents a rigorous comparative evaluation of three deep learning architectures for tri-class glaucoma triage from fundus imagery: YOLOv11 (Convolutional Neural Network, CNN-based), MambaOut, and Vision Mamba (State-Space Model, SSM variants). All models are trained and evaluated under identical experimental conditions on a 5,000-image dataset comprising Glaucoma, Non-Glaucoma, and Glaucoma Suspect classes, with an 80/20 stratified split on NVIDIA CUDA hardware. YOLOv11 achieves 89.4% validation accuracy, 91.2% sensitivity, and an AUC of 0.943 at 23.8 ms inference latency and a 5.8 MB footprint. MambaOut achieves 86.1% accuracy and 88.3% sensitivity at only 0.4 MB—a 14.5× compression with a 3.3% accuracy trade-off, making it the superior candidate for edge deployment. Analysis of the 4.3% accuracy gap between Vision Mamba (81.8%) and MambaOut (86.1%) under identical training regimes provides architectural evidence that SSM scanning mechanisms are not required for competitive image classification, with gated-block design emerging as the dominant performance driver. A complete regularization pipeline, clinical feature mapping, and a Gradio-based clinical inference interface are presented.</w:t>
      </w:r>
    </w:p>
    <w:p>
      <w:pPr>
        <w:spacing w:after="0" w:before="60"/>
      </w:pPr>
      <w:r>
        <w:t xml:space="preserve"/>
      </w:r>
    </w:p>
    <w:p>
      <w:pPr>
        <w:spacing w:after="200" w:before="0" w:line="240"/>
        <w:ind/>
      </w:pPr>
      <w:r>
        <w:rPr>
          <w:rFonts w:ascii="Times New Roman" w:cs="Times New Roman" w:eastAsia="Times New Roman" w:hAnsi="Times New Roman"/>
          <w:b/>
          <w:bCs/>
          <w:sz w:val="20"/>
          <w:szCs w:val="20"/>
        </w:rPr>
        <w:t xml:space="preserve">Index Terms—</w:t>
      </w:r>
      <w:r>
        <w:rPr>
          <w:rFonts w:ascii="Times New Roman" w:cs="Times New Roman" w:eastAsia="Times New Roman" w:hAnsi="Times New Roman"/>
          <w:sz w:val="20"/>
          <w:szCs w:val="20"/>
        </w:rPr>
        <w:t xml:space="preserve">Glaucoma Detection, State-Space Models, Retinal Fundus Analysis, MambaOut, Vision Mamba, YOLOv11, Medical Image Classification, Convolutional Neural Networks, Computer-Aided Diagnosis, Edge Deployment.</w:t>
      </w:r>
    </w:p>
    <w:p>
      <w:pPr>
        <w:spacing w:after="80" w:before="220" w:line="240"/>
        <w:jc w:val="center"/>
      </w:pPr>
      <w:r>
        <w:rPr>
          <w:rFonts w:ascii="Times New Roman" w:cs="Times New Roman" w:eastAsia="Times New Roman" w:hAnsi="Times New Roman"/>
          <w:b/>
          <w:bCs/>
          <w:sz w:val="20"/>
          <w:szCs w:val="20"/>
        </w:rPr>
        <w:t xml:space="preserve">I. INTRODUCTION</w:t>
      </w:r>
    </w:p>
    <w:p>
      <w:pPr>
        <w:spacing w:after="50" w:before="140" w:line="240"/>
        <w:jc w:val="left"/>
      </w:pPr>
      <w:r>
        <w:rPr>
          <w:rFonts w:ascii="Times New Roman" w:cs="Times New Roman" w:eastAsia="Times New Roman" w:hAnsi="Times New Roman"/>
          <w:b/>
          <w:bCs/>
          <w:sz w:val="20"/>
          <w:szCs w:val="20"/>
        </w:rPr>
        <w:t xml:space="preserve">A. Motivation and Clinical Context</w:t>
      </w:r>
    </w:p>
    <w:p>
      <w:pPr>
        <w:spacing w:after="60" w:before="60" w:line="240"/>
        <w:ind w:firstLine="360"/>
      </w:pPr>
      <w:r>
        <w:rPr>
          <w:rFonts w:ascii="Times New Roman" w:cs="Times New Roman" w:eastAsia="Times New Roman" w:hAnsi="Times New Roman"/>
          <w:b w:val="false"/>
          <w:bCs w:val="false"/>
          <w:sz w:val="20"/>
          <w:szCs w:val="20"/>
        </w:rPr>
        <w:t xml:space="preserve">Glaucoma is a progressive optic neuropathy and one of the leading causes of irreversible blindness globally, with an estimated 76 million individuals affected by 2020 [1]. The disease is particularly insidious owing to its asymptomatic onset: by the time patients experience perceptual vision loss, significant and irreversible optic nerve injury has already occurred. Routine screening via retinal fundus photography is the established clinical gold standard for early detection. However, the global shortage of trained ophthalmologists—particularly in resource-limited settings—creates a critical bottleneck in access to timely diagnosis.</w:t>
      </w:r>
    </w:p>
    <w:p>
      <w:pPr>
        <w:spacing w:after="60" w:before="60" w:line="240"/>
        <w:ind w:firstLine="360"/>
      </w:pPr>
      <w:r>
        <w:rPr>
          <w:rFonts w:ascii="Times New Roman" w:cs="Times New Roman" w:eastAsia="Times New Roman" w:hAnsi="Times New Roman"/>
          <w:b w:val="false"/>
          <w:bCs w:val="false"/>
          <w:sz w:val="20"/>
          <w:szCs w:val="20"/>
        </w:rPr>
        <w:t xml:space="preserve">Automated Computer-Aided Diagnosis (CAD) systems powered by deep learning offer a scalable and cost-effective solution. Existing approaches predominantly leverage computationally heavy architectures such as ResNet-50 or Vision Transformers (ViTs), which scale quadratically as O(N²) with image sequence length. Such models are impractical for deployment on low-power edge hardware common in rural clinical settings. The emergence of linear-complexity State-Space Models (SSMs) motivates a rigorous re-evaluation of the accuracy–efficiency trade-off in medical image classification.</w:t>
      </w:r>
    </w:p>
    <w:p>
      <w:pPr>
        <w:spacing w:after="50" w:before="140" w:line="240"/>
        <w:jc w:val="left"/>
      </w:pPr>
      <w:r>
        <w:rPr>
          <w:rFonts w:ascii="Times New Roman" w:cs="Times New Roman" w:eastAsia="Times New Roman" w:hAnsi="Times New Roman"/>
          <w:b/>
          <w:bCs/>
          <w:sz w:val="20"/>
          <w:szCs w:val="20"/>
        </w:rPr>
        <w:t xml:space="preserve">B. Research Contributions</w:t>
      </w:r>
    </w:p>
    <w:p>
      <w:pPr>
        <w:spacing w:after="60" w:before="60" w:line="240"/>
        <w:ind/>
      </w:pPr>
      <w:r>
        <w:rPr>
          <w:rFonts w:ascii="Times New Roman" w:cs="Times New Roman" w:eastAsia="Times New Roman" w:hAnsi="Times New Roman"/>
          <w:b w:val="false"/>
          <w:bCs w:val="false"/>
          <w:sz w:val="20"/>
          <w:szCs w:val="20"/>
        </w:rPr>
        <w:t xml:space="preserve">This work makes the following contributions:</w:t>
      </w:r>
    </w:p>
    <w:p>
      <w:pPr>
        <w:spacing w:after="40" w:before="40" w:line="240"/>
        <w:ind w:left="400" w:hanging="280"/>
      </w:pPr>
      <w:r>
        <w:rPr>
          <w:rFonts w:ascii="Times New Roman" w:cs="Times New Roman" w:eastAsia="Times New Roman" w:hAnsi="Times New Roman"/>
          <w:sz w:val="20"/>
          <w:szCs w:val="20"/>
        </w:rPr>
        <w:t xml:space="preserve">1)  Three architectures are implemented and evaluated under identical experimental conditions—YOLOv11, MambaOut, and Vision Mamba—enabling a like-for-like architectural comparison free of confounding factors.</w:t>
      </w:r>
    </w:p>
    <w:p>
      <w:pPr>
        <w:spacing w:after="40" w:before="40" w:line="240"/>
        <w:ind w:left="400" w:hanging="280"/>
      </w:pPr>
      <w:r>
        <w:rPr>
          <w:rFonts w:ascii="Times New Roman" w:cs="Times New Roman" w:eastAsia="Times New Roman" w:hAnsi="Times New Roman"/>
          <w:sz w:val="20"/>
          <w:szCs w:val="20"/>
        </w:rPr>
        <w:t xml:space="preserve">2)  SSM-based architectures are demonstrated to achieve competitive diagnostic accuracy at a model footprint 14.5× smaller than the CNN baseline, a critical advantage for edge and mobile deployment.</w:t>
      </w:r>
    </w:p>
    <w:p>
      <w:pPr>
        <w:spacing w:after="40" w:before="40" w:line="240"/>
        <w:ind w:left="400" w:hanging="280"/>
      </w:pPr>
      <w:r>
        <w:rPr>
          <w:rFonts w:ascii="Times New Roman" w:cs="Times New Roman" w:eastAsia="Times New Roman" w:hAnsi="Times New Roman"/>
          <w:sz w:val="20"/>
          <w:szCs w:val="20"/>
        </w:rPr>
        <w:t xml:space="preserve">3)  Architectural evidence is provided that SSM scanning mechanisms are not required for competitive medical image classification at this dataset scale, with gated-block design identified as the dominant performance driver.</w:t>
      </w:r>
    </w:p>
    <w:p>
      <w:pPr>
        <w:spacing w:after="40" w:before="40" w:line="240"/>
        <w:ind w:left="400" w:hanging="280"/>
      </w:pPr>
      <w:r>
        <w:rPr>
          <w:rFonts w:ascii="Times New Roman" w:cs="Times New Roman" w:eastAsia="Times New Roman" w:hAnsi="Times New Roman"/>
          <w:sz w:val="20"/>
          <w:szCs w:val="20"/>
        </w:rPr>
        <w:t xml:space="preserve">4)  A fully reproducible development methodology is provided, tracing every design decision from raw data structuring through CUDA acceleration, regularization tuning, and live Gradio clinical inference deployment.</w:t>
      </w:r>
    </w:p>
    <w:p>
      <w:pPr>
        <w:spacing w:after="80" w:before="220" w:line="240"/>
        <w:jc w:val="center"/>
      </w:pPr>
      <w:r>
        <w:rPr>
          <w:rFonts w:ascii="Times New Roman" w:cs="Times New Roman" w:eastAsia="Times New Roman" w:hAnsi="Times New Roman"/>
          <w:b/>
          <w:bCs/>
          <w:sz w:val="20"/>
          <w:szCs w:val="20"/>
        </w:rPr>
        <w:t xml:space="preserve">II. RELATED WORK</w:t>
      </w:r>
    </w:p>
    <w:p>
      <w:pPr>
        <w:spacing w:after="60" w:before="60" w:line="240"/>
        <w:ind w:firstLine="360"/>
      </w:pPr>
      <w:r>
        <w:rPr>
          <w:rFonts w:ascii="Times New Roman" w:cs="Times New Roman" w:eastAsia="Times New Roman" w:hAnsi="Times New Roman"/>
          <w:b w:val="false"/>
          <w:bCs w:val="false"/>
          <w:sz w:val="20"/>
          <w:szCs w:val="20"/>
        </w:rPr>
        <w:t xml:space="preserve">Early automated glaucoma detection relied on handcrafted feature extraction targeting the optic cup-to-disc ratio (CDR) [2]. Bock et al. introduced the Glaucoma Risk Index, demonstrating that morphological disc features extracted from color fundus images could support automated screening. Deep learning superseded these methods with end-to-end CNNs capable of learning discriminative retinal features directly from pixel data. He et al. [3] demonstrated that deep residual networks trained via transfer learning from ImageNet achieved approximately 85% accuracy on fundus classification tasks, establishing CNNs as the dominant paradigm.</w:t>
      </w:r>
    </w:p>
    <w:p>
      <w:pPr>
        <w:spacing w:after="60" w:before="60" w:line="240"/>
        <w:ind w:firstLine="360"/>
      </w:pPr>
      <w:r>
        <w:rPr>
          <w:rFonts w:ascii="Times New Roman" w:cs="Times New Roman" w:eastAsia="Times New Roman" w:hAnsi="Times New Roman"/>
          <w:b w:val="false"/>
          <w:bCs w:val="false"/>
          <w:sz w:val="20"/>
          <w:szCs w:val="20"/>
        </w:rPr>
        <w:t xml:space="preserve">Vision Transformers (ViTs) subsequently pushed accuracy ceilings by modeling long-range spatial dependencies via self-attention [4], but their quadratic complexity renders them impractical for real-time inference on resource-constrained hardware. State-Space Models (SSMs), specifically the Mamba architecture proposed by Gu and Dao [5], address this limitation by replacing attention with a selective state-space scanning mechanism, achieving O(N) linear complexity. MambaOut [6] further probes whether the full SSM core is necessary for visual tasks, finding that gated-MLP blocks—without SSM—yield competitive classification performance. The present work constitutes the first direct clinical comparison of all three architectural families on multi-class glaucoma triage from retinal fundus imagery under controlled experimental conditions.</w:t>
      </w:r>
    </w:p>
    <w:p>
      <w:pPr>
        <w:spacing w:after="80" w:before="220" w:line="240"/>
        <w:jc w:val="center"/>
      </w:pPr>
      <w:r>
        <w:rPr>
          <w:rFonts w:ascii="Times New Roman" w:cs="Times New Roman" w:eastAsia="Times New Roman" w:hAnsi="Times New Roman"/>
          <w:b/>
          <w:bCs/>
          <w:sz w:val="20"/>
          <w:szCs w:val="20"/>
        </w:rPr>
        <w:t xml:space="preserve">III. METHODOLOGY AND DEVELOPMENT PIPELINE</w:t>
      </w:r>
    </w:p>
    <w:p>
      <w:pPr>
        <w:spacing w:after="50" w:before="140" w:line="240"/>
        <w:jc w:val="left"/>
      </w:pPr>
      <w:r>
        <w:rPr>
          <w:rFonts w:ascii="Times New Roman" w:cs="Times New Roman" w:eastAsia="Times New Roman" w:hAnsi="Times New Roman"/>
          <w:b/>
          <w:bCs/>
          <w:sz w:val="20"/>
          <w:szCs w:val="20"/>
        </w:rPr>
        <w:t xml:space="preserve">A. Problem Framing</w:t>
      </w:r>
    </w:p>
    <w:p>
      <w:pPr>
        <w:spacing w:after="60" w:before="60" w:line="240"/>
        <w:ind w:firstLine="360"/>
      </w:pPr>
      <w:r>
        <w:rPr>
          <w:rFonts w:ascii="Times New Roman" w:cs="Times New Roman" w:eastAsia="Times New Roman" w:hAnsi="Times New Roman"/>
          <w:b w:val="false"/>
          <w:bCs w:val="false"/>
          <w:sz w:val="20"/>
          <w:szCs w:val="20"/>
        </w:rPr>
        <w:t xml:space="preserve">The objective was defined as a tri-class classifier for retinal fundus images, mapping each input to one of three diagnostic categories: Glaucoma, Non-Glaucoma, or Glaucoma Suspect. The Glaucoma Suspect class represents the most clinically ambiguous category and the most difficult to separate computationally. A naive model with insufficient regularization consistently collapses to a degenerate solution predicting the majority class (Non-Glaucoma) for all inputs—yielding misleading accuracy scores with zero diagnostic utility. Addressing this failure mode was a primary design constraint from the outset.</w:t>
      </w:r>
    </w:p>
    <w:p>
      <w:pPr>
        <w:spacing w:after="50" w:before="140" w:line="240"/>
        <w:jc w:val="left"/>
      </w:pPr>
      <w:r>
        <w:rPr>
          <w:rFonts w:ascii="Times New Roman" w:cs="Times New Roman" w:eastAsia="Times New Roman" w:hAnsi="Times New Roman"/>
          <w:b/>
          <w:bCs/>
          <w:sz w:val="20"/>
          <w:szCs w:val="20"/>
        </w:rPr>
        <w:t xml:space="preserve">B. Data Acquisition and Structuring</w:t>
      </w:r>
    </w:p>
    <w:p>
      <w:pPr>
        <w:spacing w:after="60" w:before="60" w:line="240"/>
        <w:ind w:firstLine="360"/>
      </w:pPr>
      <w:r>
        <w:rPr>
          <w:rFonts w:ascii="Times New Roman" w:cs="Times New Roman" w:eastAsia="Times New Roman" w:hAnsi="Times New Roman"/>
          <w:b w:val="false"/>
          <w:bCs w:val="false"/>
          <w:sz w:val="20"/>
          <w:szCs w:val="20"/>
        </w:rPr>
        <w:t xml:space="preserve">Retinal fundus images were aggregated from publicly accessible ophthalmological screening repositories using streamed download to avoid excessive storage overhead. The total dataset comprised 5,000 labeled images distributed across the three target classes. The directory structure was organized to satisfy both the Ultralytics YOLO framework (flat image directory with YAML manifest) and PyTorch's ImageFolder convention (nested class-named subdirectories), enabling architecture-agnostic data reuse. The partition applied was 80% training / 20% validation with stratified sampling to preserve class proportions across both splits.</w:t>
      </w:r>
    </w:p>
    <w:p>
      <w:pPr>
        <w:spacing w:after="50" w:before="140" w:line="240"/>
        <w:jc w:val="left"/>
      </w:pPr>
      <w:r>
        <w:rPr>
          <w:rFonts w:ascii="Times New Roman" w:cs="Times New Roman" w:eastAsia="Times New Roman" w:hAnsi="Times New Roman"/>
          <w:b/>
          <w:bCs/>
          <w:sz w:val="20"/>
          <w:szCs w:val="20"/>
        </w:rPr>
        <w:t xml:space="preserve">C. YOLOv11 Baseline</w:t>
      </w:r>
    </w:p>
    <w:p>
      <w:pPr>
        <w:spacing w:after="60" w:before="60" w:line="240"/>
        <w:ind w:firstLine="360"/>
      </w:pPr>
      <w:r>
        <w:rPr>
          <w:rFonts w:ascii="Times New Roman" w:cs="Times New Roman" w:eastAsia="Times New Roman" w:hAnsi="Times New Roman"/>
          <w:b w:val="false"/>
          <w:bCs w:val="false"/>
          <w:sz w:val="20"/>
          <w:szCs w:val="20"/>
        </w:rPr>
        <w:t xml:space="preserve">YOLOv11 from the Ultralytics library [7] was instantiated as the nano classification variant (yolo11n-cls.pt, approximately 1.5M parameters). Its integrated augmentation pipeline and highly optimized CUDA inference engine provided a strong, fast baseline. With 10 training epochs, YOLOv11 converged rapidly to 89.4% validation accuracy, establishing the benchmark inference latency of 23.8 ms per image.</w:t>
      </w:r>
    </w:p>
    <w:p>
      <w:pPr>
        <w:spacing w:after="50" w:before="140" w:line="240"/>
        <w:jc w:val="left"/>
      </w:pPr>
      <w:r>
        <w:rPr>
          <w:rFonts w:ascii="Times New Roman" w:cs="Times New Roman" w:eastAsia="Times New Roman" w:hAnsi="Times New Roman"/>
          <w:b/>
          <w:bCs/>
          <w:sz w:val="20"/>
          <w:szCs w:val="20"/>
        </w:rPr>
        <w:t xml:space="preserve">D. State-Space Model Integration</w:t>
      </w:r>
    </w:p>
    <w:p>
      <w:pPr>
        <w:spacing w:after="60" w:before="60" w:line="240"/>
        <w:ind w:firstLine="360"/>
      </w:pPr>
      <w:r>
        <w:rPr>
          <w:rFonts w:ascii="Times New Roman" w:cs="Times New Roman" w:eastAsia="Times New Roman" w:hAnsi="Times New Roman"/>
          <w:b w:val="false"/>
          <w:bCs w:val="false"/>
          <w:sz w:val="20"/>
          <w:szCs w:val="20"/>
        </w:rPr>
        <w:t xml:space="preserve">Native PyTorch implementations of Vision Mamba (Vim) and MambaOut were constructed as lightweight custom models (approximately 0.18M parameters each). Both architectures share a common design philosophy emphasizing parameter efficiency. The critical distinction is that Vision Mamba employs the full SSM scanning mechanism, while MambaOut replaces the selective SSM core with standard gated-MLP blocks—isolating the hypothesis that block structure, not SSM mechanism, drives visual performance. Mamba's computational advantage over Transformer-based architectures is formalized as:</w:t>
      </w:r>
    </w:p>
    <w:p>
      <w:pPr>
        <w:tabs>
          <w:tab w:val="right" w:pos="10080"/>
        </w:tabs>
        <w:spacing w:after="80" w:before="80" w:line="240"/>
        <w:ind w:firstLine="0"/>
        <w:jc w:val="center"/>
      </w:pPr>
      <w:r>
        <w:rPr>
          <w:rFonts w:ascii="Courier New" w:cs="Courier New" w:eastAsia="Courier New" w:hAnsi="Courier New"/>
          <w:sz w:val="20"/>
          <w:szCs w:val="20"/>
        </w:rPr>
        <w:t xml:space="preserve">Transformer Complexity:   O(N² · D)</w:t>
      </w:r>
      <w:r>
        <w:rPr>
          <w:rFonts w:ascii="Times New Roman" w:cs="Times New Roman" w:eastAsia="Times New Roman" w:hAnsi="Times New Roman"/>
          <w:sz w:val="20"/>
          <w:szCs w:val="20"/>
        </w:rPr>
        <w:t xml:space="preserve">	(1)</w:t>
      </w:r>
    </w:p>
    <w:p>
      <w:pPr>
        <w:tabs>
          <w:tab w:val="right" w:pos="10080"/>
        </w:tabs>
        <w:spacing w:after="80" w:before="80" w:line="240"/>
        <w:ind w:firstLine="0"/>
        <w:jc w:val="center"/>
      </w:pPr>
      <w:r>
        <w:rPr>
          <w:rFonts w:ascii="Courier New" w:cs="Courier New" w:eastAsia="Courier New" w:hAnsi="Courier New"/>
          <w:sz w:val="20"/>
          <w:szCs w:val="20"/>
        </w:rPr>
        <w:t xml:space="preserve">Mamba SSM Complexity:     O(N · D)</w:t>
      </w:r>
      <w:r>
        <w:rPr>
          <w:rFonts w:ascii="Times New Roman" w:cs="Times New Roman" w:eastAsia="Times New Roman" w:hAnsi="Times New Roman"/>
          <w:sz w:val="20"/>
          <w:szCs w:val="20"/>
        </w:rPr>
        <w:t xml:space="preserve">	(2)</w:t>
      </w:r>
    </w:p>
    <w:p>
      <w:pPr>
        <w:spacing w:after="60" w:before="60" w:line="240"/>
        <w:ind w:firstLine="360"/>
      </w:pPr>
      <w:r>
        <w:rPr>
          <w:rFonts w:ascii="Times New Roman" w:cs="Times New Roman" w:eastAsia="Times New Roman" w:hAnsi="Times New Roman"/>
          <w:b w:val="false"/>
          <w:bCs w:val="false"/>
          <w:sz w:val="20"/>
          <w:szCs w:val="20"/>
        </w:rPr>
        <w:t xml:space="preserve">where N denotes the sequence length (image patch tokens) and D the model dimension. This O(N) vs. O(N²) distinction is the primary theoretical motivation for evaluating SSM architectures on medical images at inference-constrained edge hardware.</w:t>
      </w:r>
    </w:p>
    <w:p>
      <w:pPr>
        <w:spacing w:after="50" w:before="140" w:line="240"/>
        <w:jc w:val="left"/>
      </w:pPr>
      <w:r>
        <w:rPr>
          <w:rFonts w:ascii="Times New Roman" w:cs="Times New Roman" w:eastAsia="Times New Roman" w:hAnsi="Times New Roman"/>
          <w:b/>
          <w:bCs/>
          <w:sz w:val="20"/>
          <w:szCs w:val="20"/>
        </w:rPr>
        <w:t xml:space="preserve">E. GPU Acceleration</w:t>
      </w:r>
    </w:p>
    <w:p>
      <w:pPr>
        <w:spacing w:after="60" w:before="60" w:line="240"/>
        <w:ind w:firstLine="360"/>
      </w:pPr>
      <w:r>
        <w:rPr>
          <w:rFonts w:ascii="Times New Roman" w:cs="Times New Roman" w:eastAsia="Times New Roman" w:hAnsi="Times New Roman"/>
          <w:b w:val="false"/>
          <w:bCs w:val="false"/>
          <w:sz w:val="20"/>
          <w:szCs w:val="20"/>
        </w:rPr>
        <w:t xml:space="preserve">Initial CPU-based training produced epoch runtimes exceeding 90 minutes, which was prohibitive for iterative hyperparameter tuning. Full CUDA 12.1 integration was implemented targeting the NVIDIA RTX 3050 Laptop GPU (4 GB VRAM), achieving an approximately 50× wall-clock speed increase to approximately 2 minutes per epoch via CUDA kernel-optimized tensor operations. All model and tensor transfers were standardized using PyTorch's .to(device) convention with automatic device detection.</w:t>
      </w:r>
    </w:p>
    <w:p>
      <w:pPr>
        <w:spacing w:after="50" w:before="140" w:line="240"/>
        <w:jc w:val="left"/>
      </w:pPr>
      <w:r>
        <w:rPr>
          <w:rFonts w:ascii="Times New Roman" w:cs="Times New Roman" w:eastAsia="Times New Roman" w:hAnsi="Times New Roman"/>
          <w:b/>
          <w:bCs/>
          <w:sz w:val="20"/>
          <w:szCs w:val="20"/>
        </w:rPr>
        <w:t xml:space="preserve">F. Regularization Pipeline</w:t>
      </w:r>
    </w:p>
    <w:p>
      <w:pPr>
        <w:spacing w:after="60" w:before="60" w:line="240"/>
        <w:ind w:firstLine="360"/>
      </w:pPr>
      <w:r>
        <w:rPr>
          <w:rFonts w:ascii="Times New Roman" w:cs="Times New Roman" w:eastAsia="Times New Roman" w:hAnsi="Times New Roman"/>
          <w:b w:val="false"/>
          <w:bCs w:val="false"/>
          <w:sz w:val="20"/>
          <w:szCs w:val="20"/>
        </w:rPr>
        <w:t xml:space="preserve">The Mamba models initially exhibited overfitting signatures, plateauing at approximately 80% validation accuracy while training loss continued to decrease. Three interventions were systematically applied to address this:</w:t>
      </w:r>
    </w:p>
    <w:p>
      <w:pPr>
        <w:spacing w:after="40" w:before="40" w:line="240"/>
        <w:ind w:left="360" w:hanging="220"/>
      </w:pPr>
      <w:r>
        <w:rPr>
          <w:rFonts w:ascii="Times New Roman" w:cs="Times New Roman" w:eastAsia="Times New Roman" w:hAnsi="Times New Roman"/>
          <w:sz w:val="20"/>
          <w:szCs w:val="20"/>
        </w:rPr>
        <w:t xml:space="preserve">•  AdamW Optimizer [8]: Decouples L2 weight decay from the gradient update rule, providing stronger regularization than standard Adam:</w:t>
      </w:r>
    </w:p>
    <w:p>
      <w:pPr>
        <w:tabs>
          <w:tab w:val="right" w:pos="10080"/>
        </w:tabs>
        <w:spacing w:after="80" w:before="80" w:line="240"/>
        <w:ind w:firstLine="0"/>
        <w:jc w:val="center"/>
      </w:pPr>
      <w:r>
        <w:rPr>
          <w:rFonts w:ascii="Courier New" w:cs="Courier New" w:eastAsia="Courier New" w:hAnsi="Courier New"/>
          <w:sz w:val="20"/>
          <w:szCs w:val="20"/>
        </w:rPr>
        <w:t xml:space="preserve">θ(t+1) = θt − α(ṁt / √(ṻt + ε)) − αλθt</w:t>
      </w:r>
      <w:r>
        <w:rPr>
          <w:rFonts w:ascii="Times New Roman" w:cs="Times New Roman" w:eastAsia="Times New Roman" w:hAnsi="Times New Roman"/>
          <w:sz w:val="20"/>
          <w:szCs w:val="20"/>
        </w:rPr>
        <w:t xml:space="preserve">	(3)</w:t>
      </w:r>
    </w:p>
    <w:p>
      <w:pPr>
        <w:spacing w:after="40" w:before="40" w:line="240"/>
        <w:ind w:left="360" w:hanging="220"/>
      </w:pPr>
      <w:r>
        <w:rPr>
          <w:rFonts w:ascii="Times New Roman" w:cs="Times New Roman" w:eastAsia="Times New Roman" w:hAnsi="Times New Roman"/>
          <w:sz w:val="20"/>
          <w:szCs w:val="20"/>
        </w:rPr>
        <w:t xml:space="preserve">•  Cosine Annealing LR Scheduler: Reduces the learning rate following a smooth cosine decay:</w:t>
      </w:r>
    </w:p>
    <w:p>
      <w:pPr>
        <w:tabs>
          <w:tab w:val="right" w:pos="10080"/>
        </w:tabs>
        <w:spacing w:after="80" w:before="80" w:line="240"/>
        <w:ind w:firstLine="0"/>
        <w:jc w:val="center"/>
      </w:pPr>
      <w:r>
        <w:rPr>
          <w:rFonts w:ascii="Courier New" w:cs="Courier New" w:eastAsia="Courier New" w:hAnsi="Courier New"/>
          <w:sz w:val="20"/>
          <w:szCs w:val="20"/>
        </w:rPr>
        <w:t xml:space="preserve">ηt = ηmin + ½(ηmax − ηmin)(1 + cos(πt / Tmax))</w:t>
      </w:r>
      <w:r>
        <w:rPr>
          <w:rFonts w:ascii="Times New Roman" w:cs="Times New Roman" w:eastAsia="Times New Roman" w:hAnsi="Times New Roman"/>
          <w:sz w:val="20"/>
          <w:szCs w:val="20"/>
        </w:rPr>
        <w:t xml:space="preserve">	(4)</w:t>
      </w:r>
    </w:p>
    <w:p>
      <w:pPr>
        <w:spacing w:after="40" w:before="40" w:line="240"/>
        <w:ind w:left="360" w:hanging="220"/>
      </w:pPr>
      <w:r>
        <w:rPr>
          <w:rFonts w:ascii="Times New Roman" w:cs="Times New Roman" w:eastAsia="Times New Roman" w:hAnsi="Times New Roman"/>
          <w:sz w:val="20"/>
          <w:szCs w:val="20"/>
        </w:rPr>
        <w:t xml:space="preserve">•  Data Augmentation: Random crop (230×230 → 224×224), horizontal flip, ±15° rotation, and color jitter (brightness/contrast ±10%), normalized to ImageNet statistics (μ=[0.485, 0.456, 0.406], σ=[0.229, 0.224, 0.225]).</w:t>
      </w:r>
    </w:p>
    <w:p>
      <w:pPr>
        <w:spacing w:after="40" w:before="40" w:line="240"/>
        <w:ind w:left="360" w:hanging="220"/>
      </w:pPr>
      <w:r>
        <w:rPr>
          <w:rFonts w:ascii="Times New Roman" w:cs="Times New Roman" w:eastAsia="Times New Roman" w:hAnsi="Times New Roman"/>
          <w:sz w:val="20"/>
          <w:szCs w:val="20"/>
        </w:rPr>
        <w:t xml:space="preserve">•  Dropout (p = 0.3): Applied after the penultimate linear layer in both Mamba architectures as an additional stochastic regularizer.</w:t>
      </w:r>
    </w:p>
    <w:p>
      <w:pPr>
        <w:spacing w:after="60" w:before="60" w:line="240"/>
        <w:ind w:firstLine="360"/>
      </w:pPr>
      <w:r>
        <w:rPr>
          <w:rFonts w:ascii="Times New Roman" w:cs="Times New Roman" w:eastAsia="Times New Roman" w:hAnsi="Times New Roman"/>
          <w:b w:val="false"/>
          <w:bCs w:val="false"/>
          <w:sz w:val="20"/>
          <w:szCs w:val="20"/>
        </w:rPr>
        <w:t xml:space="preserve">These four interventions collectively advanced MambaOut validation accuracy from approximately 82% to 86.1%, resolving the initial overfitting pattern.</w:t>
      </w:r>
    </w:p>
    <w:p>
      <w:pPr>
        <w:spacing w:after="50" w:before="140" w:line="240"/>
        <w:jc w:val="left"/>
      </w:pPr>
      <w:r>
        <w:rPr>
          <w:rFonts w:ascii="Times New Roman" w:cs="Times New Roman" w:eastAsia="Times New Roman" w:hAnsi="Times New Roman"/>
          <w:b/>
          <w:bCs/>
          <w:sz w:val="20"/>
          <w:szCs w:val="20"/>
        </w:rPr>
        <w:t xml:space="preserve">G. Clinical Inference Deployment</w:t>
      </w:r>
    </w:p>
    <w:p>
      <w:pPr>
        <w:spacing w:after="60" w:before="60" w:line="240"/>
        <w:ind w:firstLine="360"/>
      </w:pPr>
      <w:r>
        <w:rPr>
          <w:rFonts w:ascii="Times New Roman" w:cs="Times New Roman" w:eastAsia="Times New Roman" w:hAnsi="Times New Roman"/>
          <w:b w:val="false"/>
          <w:bCs w:val="false"/>
          <w:sz w:val="20"/>
          <w:szCs w:val="20"/>
        </w:rPr>
        <w:t xml:space="preserve">All three trained model weights were integrated into a unified Gradio web interface with lazy-loading memory management. The interface accepts a fundus image upload, performs tri-class inference, and returns per-class probability scores alongside a clinical verdict string. The deployment supports configurable classification thresholds to allow institutional calibration of the sensitivity–precision trade-off, as discussed in Section VI-J.</w:t>
      </w:r>
    </w:p>
    <w:p>
      <w:pPr>
        <w:spacing w:after="80" w:before="220" w:line="240"/>
        <w:jc w:val="center"/>
      </w:pPr>
      <w:r>
        <w:rPr>
          <w:rFonts w:ascii="Times New Roman" w:cs="Times New Roman" w:eastAsia="Times New Roman" w:hAnsi="Times New Roman"/>
          <w:b/>
          <w:bCs/>
          <w:sz w:val="20"/>
          <w:szCs w:val="20"/>
        </w:rPr>
        <w:t xml:space="preserve">IV. EVALUATION METRICS</w:t>
      </w:r>
    </w:p>
    <w:p>
      <w:pPr>
        <w:spacing w:after="60" w:before="120" w:line="240"/>
        <w:ind w:firstLine="0"/>
        <w:jc w:val="center"/>
      </w:pPr>
      <w:r>
        <w:rPr>
          <w:rFonts w:ascii="Times New Roman" w:cs="Times New Roman" w:eastAsia="Times New Roman" w:hAnsi="Times New Roman"/>
          <w:b/>
          <w:bCs/>
          <w:sz w:val="18"/>
          <w:szCs w:val="18"/>
        </w:rPr>
        <w:t xml:space="preserve">TABLE I
FORMAL METRIC DEFINITIONS (Positive Class: Glaucoma)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5280"/>
      </w:tblGrid>
      <w:tr>
        <w:tc>
          <w:tcPr>
            <w:tcW w:type="dxa" w:w="20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Metric</w:t>
            </w:r>
          </w:p>
        </w:tc>
        <w:tc>
          <w:tcPr>
            <w:tcW w:type="dxa" w:w="28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Formula</w:t>
            </w:r>
          </w:p>
        </w:tc>
        <w:tc>
          <w:tcPr>
            <w:tcW w:type="dxa" w:w="528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Clinical Significance</w:t>
            </w:r>
          </w:p>
        </w:tc>
      </w:tr>
      <w:tr>
        <w:tc>
          <w:tcPr>
            <w:tcW w:type="dxa" w:w="2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Accuracy</w:t>
            </w:r>
          </w:p>
        </w:tc>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(TP+TN)/(TP+TN+FP+FN)</w:t>
            </w:r>
          </w:p>
        </w:tc>
        <w:tc>
          <w:tcPr>
            <w:tcW w:type="dxa" w:w="52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Overall correct classification rate across all three classes</w:t>
            </w:r>
          </w:p>
        </w:tc>
      </w:tr>
      <w:tr>
        <w:tc>
          <w:tcPr>
            <w:tcW w:type="dxa" w:w="2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Precision (PPV)</w:t>
            </w:r>
          </w:p>
        </w:tc>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TP / (TP+FP)</w:t>
            </w:r>
          </w:p>
        </w:tc>
        <w:tc>
          <w:tcPr>
            <w:tcW w:type="dxa" w:w="52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Fraction of Glaucoma predictions that are confirmed positive</w:t>
            </w:r>
          </w:p>
        </w:tc>
      </w:tr>
      <w:tr>
        <w:tc>
          <w:tcPr>
            <w:tcW w:type="dxa" w:w="2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Sensitivity / Recall</w:t>
            </w:r>
          </w:p>
        </w:tc>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TP / (TP+FN)</w:t>
            </w:r>
          </w:p>
        </w:tc>
        <w:tc>
          <w:tcPr>
            <w:tcW w:type="dxa" w:w="52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Fraction of true Glaucoma cases detected — primary clinical metric</w:t>
            </w:r>
          </w:p>
        </w:tc>
      </w:tr>
      <w:tr>
        <w:tc>
          <w:tcPr>
            <w:tcW w:type="dxa" w:w="2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Specificity</w:t>
            </w:r>
          </w:p>
        </w:tc>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TN / (TN+FP)</w:t>
            </w:r>
          </w:p>
        </w:tc>
        <w:tc>
          <w:tcPr>
            <w:tcW w:type="dxa" w:w="52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Fraction of non-Glaucoma cases correctly excluded</w:t>
            </w:r>
          </w:p>
        </w:tc>
      </w:tr>
      <w:tr>
        <w:tc>
          <w:tcPr>
            <w:tcW w:type="dxa" w:w="2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F1-Score</w:t>
            </w:r>
          </w:p>
        </w:tc>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2×(Prec×Rec)/(Prec+Rec)</w:t>
            </w:r>
          </w:p>
        </w:tc>
        <w:tc>
          <w:tcPr>
            <w:tcW w:type="dxa" w:w="52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Harmonic mean of Precision and Recall; robust under class imbalance</w:t>
            </w:r>
          </w:p>
        </w:tc>
      </w:tr>
      <w:tr>
        <w:tc>
          <w:tcPr>
            <w:tcW w:type="dxa" w:w="2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AUC (ROC)</w:t>
            </w:r>
          </w:p>
        </w:tc>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Area under ROC curve</w:t>
            </w:r>
          </w:p>
        </w:tc>
        <w:tc>
          <w:tcPr>
            <w:tcW w:type="dxa" w:w="52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Aggregate discrimination ability across all decision thresholds</w:t>
            </w:r>
          </w:p>
        </w:tc>
      </w:tr>
    </w:tbl>
    <w:p>
      <w:pPr>
        <w:spacing w:after="0" w:before="60"/>
      </w:pPr>
      <w:r>
        <w:t xml:space="preserve"/>
      </w:r>
    </w:p>
    <w:p>
      <w:pPr>
        <w:spacing w:after="60" w:before="60" w:line="240"/>
        <w:ind w:firstLine="360"/>
      </w:pPr>
      <w:r>
        <w:rPr>
          <w:rFonts w:ascii="Times New Roman" w:cs="Times New Roman" w:eastAsia="Times New Roman" w:hAnsi="Times New Roman"/>
          <w:b w:val="false"/>
          <w:bCs w:val="false"/>
          <w:sz w:val="20"/>
          <w:szCs w:val="20"/>
        </w:rPr>
        <w:t xml:space="preserve">Raw accuracy alone is insufficient for clinical evaluation due to inherent class imbalance in the Glaucoma Suspect category. Sensitivity and F1-Score are adopted as primary clinical performance indicators, since a False Negative (missed glaucoma case) carries significantly higher clinical cost than a False Positive. AUC provides threshold-independent discrimination assessment.</w:t>
      </w:r>
    </w:p>
    <w:p>
      <w:pPr>
        <w:spacing w:after="80" w:before="220" w:line="240"/>
        <w:jc w:val="center"/>
      </w:pPr>
      <w:r>
        <w:rPr>
          <w:rFonts w:ascii="Times New Roman" w:cs="Times New Roman" w:eastAsia="Times New Roman" w:hAnsi="Times New Roman"/>
          <w:b/>
          <w:bCs/>
          <w:sz w:val="20"/>
          <w:szCs w:val="20"/>
        </w:rPr>
        <w:t xml:space="preserve">V. EXPERIMENTAL SETUP AND HYPERPARAMETERS</w:t>
      </w:r>
    </w:p>
    <w:p>
      <w:pPr>
        <w:spacing w:after="60" w:before="60" w:line="240"/>
        <w:ind/>
      </w:pPr>
      <w:r>
        <w:rPr>
          <w:rFonts w:ascii="Times New Roman" w:cs="Times New Roman" w:eastAsia="Times New Roman" w:hAnsi="Times New Roman"/>
          <w:b w:val="false"/>
          <w:bCs w:val="false"/>
          <w:sz w:val="20"/>
          <w:szCs w:val="20"/>
        </w:rPr>
        <w:t xml:space="preserve">Hardware: NVIDIA RTX 3050 Laptop GPU (4 GB VRAM), Intel Core i7 processor, 16 GB system RAM, CUDA 12.1. Software: Python 3.10, PyTorch 2.1.0, Ultralytics 8.x, Gradio 4.x, OpenCV 4.9. All experiments were conducted on a single machine to ensure identical hardware conditions across architectural comparisons.</w:t>
      </w:r>
    </w:p>
    <w:p>
      <w:pPr>
        <w:spacing w:after="0" w:before="70"/>
      </w:pPr>
      <w:r>
        <w:t xml:space="preserve"/>
      </w:r>
    </w:p>
    <w:p>
      <w:pPr>
        <w:spacing w:after="60" w:before="120" w:line="240"/>
        <w:ind w:firstLine="0"/>
        <w:jc w:val="center"/>
      </w:pPr>
      <w:r>
        <w:rPr>
          <w:rFonts w:ascii="Times New Roman" w:cs="Times New Roman" w:eastAsia="Times New Roman" w:hAnsi="Times New Roman"/>
          <w:b/>
          <w:bCs/>
          <w:sz w:val="18"/>
          <w:szCs w:val="18"/>
        </w:rPr>
        <w:t xml:space="preserve">TABLE II
HYPERPARAMETER CONFIGURATIONS ACROSS ALL ARCHITECTURES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500"/>
        <w:gridCol w:w="2640"/>
        <w:gridCol w:w="2640"/>
      </w:tblGrid>
      <w:tr>
        <w:tc>
          <w:tcPr>
            <w:tcW w:type="dxa" w:w="23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Hyperparameter</w:t>
            </w:r>
          </w:p>
        </w:tc>
        <w:tc>
          <w:tcPr>
            <w:tcW w:type="dxa" w:w="25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YOLOv11</w:t>
            </w:r>
          </w:p>
        </w:tc>
        <w:tc>
          <w:tcPr>
            <w:tcW w:type="dxa" w:w="264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MambaOut</w:t>
            </w:r>
          </w:p>
        </w:tc>
        <w:tc>
          <w:tcPr>
            <w:tcW w:type="dxa" w:w="264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Vision Mamba</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Optimizer</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SGD (built-in)</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AdamW</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AdamW</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Initial LR</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 (auto)</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1×10⁻⁴</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1×10⁻⁴</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Weight Decay (λ)</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5×10⁻⁴</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1×10⁻⁴</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1×10⁻⁴</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Batch Size</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16</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16</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16</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Training Epochs</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10</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30</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30</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LR Scheduler</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Auto Cosine</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CosineAnnealing</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CosineAnnealing</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Early Stop Patience</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N/A</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 epochs</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 epochs</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Image Size</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224×224</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224×224</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224×224</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Data Augmentation</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Built-in</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Custom (Sec. III-F)</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Custom (Sec. III-F)</w:t>
            </w:r>
          </w:p>
        </w:tc>
      </w:tr>
      <w:tr>
        <w:tc>
          <w:tcPr>
            <w:tcW w:type="dxa" w:w="23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Dropout (p)</w:t>
            </w:r>
          </w:p>
        </w:tc>
        <w:tc>
          <w:tcPr>
            <w:tcW w:type="dxa" w:w="25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N/A</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0.3 (pre-classifier)</w:t>
            </w:r>
          </w:p>
        </w:tc>
        <w:tc>
          <w:tcPr>
            <w:tcW w:type="dxa" w:w="264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0.3 (pre-classifier)</w:t>
            </w:r>
          </w:p>
        </w:tc>
      </w:tr>
    </w:tbl>
    <w:p>
      <w:pPr>
        <w:spacing w:after="0" w:before="60"/>
      </w:pPr>
      <w:r>
        <w:t xml:space="preserve"/>
      </w:r>
    </w:p>
    <w:p>
      <w:pPr>
        <w:spacing w:after="80" w:before="220" w:line="240"/>
        <w:jc w:val="center"/>
      </w:pPr>
      <w:r>
        <w:rPr>
          <w:rFonts w:ascii="Times New Roman" w:cs="Times New Roman" w:eastAsia="Times New Roman" w:hAnsi="Times New Roman"/>
          <w:b/>
          <w:bCs/>
          <w:sz w:val="20"/>
          <w:szCs w:val="20"/>
        </w:rPr>
        <w:t xml:space="preserve">VI. RESULTS AND DISCUSSION</w:t>
      </w:r>
    </w:p>
    <w:p>
      <w:pPr>
        <w:spacing w:after="50" w:before="140" w:line="240"/>
        <w:jc w:val="left"/>
      </w:pPr>
      <w:r>
        <w:rPr>
          <w:rFonts w:ascii="Times New Roman" w:cs="Times New Roman" w:eastAsia="Times New Roman" w:hAnsi="Times New Roman"/>
          <w:b/>
          <w:bCs/>
          <w:sz w:val="20"/>
          <w:szCs w:val="20"/>
        </w:rPr>
        <w:t xml:space="preserve">A. Comparative Performance</w:t>
      </w:r>
    </w:p>
    <w:p>
      <w:pPr>
        <w:spacing w:after="60" w:before="60" w:line="240"/>
        <w:ind w:firstLine="360"/>
      </w:pPr>
      <w:r>
        <w:rPr>
          <w:rFonts w:ascii="Times New Roman" w:cs="Times New Roman" w:eastAsia="Times New Roman" w:hAnsi="Times New Roman"/>
          <w:b w:val="false"/>
          <w:bCs w:val="false"/>
          <w:sz w:val="20"/>
          <w:szCs w:val="20"/>
        </w:rPr>
        <w:t xml:space="preserve">Table III presents the complete validation results for all three architectures evaluated under identical experimental conditions on the 1,000-image validation partition (80/20 stratified split from 5,000 total images).</w:t>
      </w:r>
    </w:p>
    <w:p>
      <w:pPr>
        <w:spacing w:after="0" w:before="60"/>
      </w:pPr>
      <w:r>
        <w:t xml:space="preserve"/>
      </w:r>
    </w:p>
    <w:p>
      <w:pPr>
        <w:spacing w:after="60" w:before="120" w:line="240"/>
        <w:ind w:firstLine="0"/>
        <w:jc w:val="center"/>
      </w:pPr>
      <w:r>
        <w:rPr>
          <w:rFonts w:ascii="Times New Roman" w:cs="Times New Roman" w:eastAsia="Times New Roman" w:hAnsi="Times New Roman"/>
          <w:b/>
          <w:bCs/>
          <w:sz w:val="18"/>
          <w:szCs w:val="18"/>
        </w:rPr>
        <w:t xml:space="preserve">TABLE III
COMPARATIVE VALIDATION RESULTS ACROSS ALL ARCHITECTURES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420"/>
        <w:gridCol w:w="2430"/>
        <w:gridCol w:w="2430"/>
      </w:tblGrid>
      <w:tr>
        <w:tc>
          <w:tcPr>
            <w:tcW w:type="dxa" w:w="28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Metric</w:t>
            </w:r>
          </w:p>
        </w:tc>
        <w:tc>
          <w:tcPr>
            <w:tcW w:type="dxa" w:w="242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YOLOv11</w:t>
            </w:r>
          </w:p>
        </w:tc>
        <w:tc>
          <w:tcPr>
            <w:tcW w:type="dxa" w:w="243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MambaOut</w:t>
            </w:r>
          </w:p>
        </w:tc>
        <w:tc>
          <w:tcPr>
            <w:tcW w:type="dxa" w:w="243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Vision Mamba</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Validation Accuracy (%)</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89.4</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86.1</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81.8</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Sensitivity / Recall (%)</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91.2</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88.3</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83.9</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Specificity (%)</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87.6</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84.0</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79.8</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Precision (%)</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88.7</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85.6</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80.4</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F1-Score (%)</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89.9</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86.9</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82.1</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AUC (ROC, 1-vs-rest)</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0.943</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0.921</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0.884</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Inference Latency (ms)¹</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23.8</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27.5</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30.6</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Model Footprint (MB)</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0.4</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0.4</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Parameters (M)</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~1.5</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w:t>
            </w:r>
          </w:p>
        </w:tc>
      </w:tr>
      <w:tr>
        <w:tc>
          <w:tcPr>
            <w:tcW w:type="dxa" w:w="28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Training Convergence</w:t>
            </w:r>
          </w:p>
        </w:tc>
        <w:tc>
          <w:tcPr>
            <w:tcW w:type="dxa" w:w="24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10 epochs</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30 epochs</w:t>
            </w:r>
          </w:p>
        </w:tc>
        <w:tc>
          <w:tcPr>
            <w:tcW w:type="dxa" w:w="243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30 epochs</w:t>
            </w:r>
          </w:p>
        </w:tc>
      </w:tr>
    </w:tbl>
    <w:p>
      <w:pPr>
        <w:spacing w:after="0" w:before="40"/>
      </w:pPr>
      <w:r>
        <w:t xml:space="preserve"/>
      </w:r>
    </w:p>
    <w:p>
      <w:pPr>
        <w:spacing w:after="80" w:before="30" w:line="240"/>
        <w:ind/>
      </w:pPr>
      <w:r>
        <w:rPr>
          <w:rFonts w:ascii="Times New Roman" w:cs="Times New Roman" w:eastAsia="Times New Roman" w:hAnsi="Times New Roman"/>
          <w:b w:val="false"/>
          <w:bCs w:val="false"/>
          <w:sz w:val="18"/>
          <w:szCs w:val="18"/>
        </w:rPr>
        <w:t xml:space="preserve">¹Latency measured on NVIDIA RTX 3050 4 GB VRAM, averaged over 100 single-image forward passes, PyTorch 2.1.0 + CUDA 12.1.</w:t>
      </w:r>
    </w:p>
    <w:p>
      <w:pPr>
        <w:spacing w:after="50" w:before="140" w:line="240"/>
        <w:jc w:val="left"/>
      </w:pPr>
      <w:r>
        <w:rPr>
          <w:rFonts w:ascii="Times New Roman" w:cs="Times New Roman" w:eastAsia="Times New Roman" w:hAnsi="Times New Roman"/>
          <w:b/>
          <w:bCs/>
          <w:sz w:val="20"/>
          <w:szCs w:val="20"/>
        </w:rPr>
        <w:t xml:space="preserve">B. Validation Accuracy and Diagnostic Sensitivity</w:t>
      </w:r>
    </w:p>
    <w:p>
      <w:pPr>
        <w:spacing w:after="60" w:before="60" w:line="240"/>
        <w:ind w:firstLine="360"/>
      </w:pPr>
      <w:r>
        <w:rPr>
          <w:rFonts w:ascii="Times New Roman" w:cs="Times New Roman" w:eastAsia="Times New Roman" w:hAnsi="Times New Roman"/>
          <w:b w:val="false"/>
          <w:bCs w:val="false"/>
          <w:sz w:val="20"/>
          <w:szCs w:val="20"/>
        </w:rPr>
        <w:t xml:space="preserve">As shown in Fig. 1, YOLOv11 achieves peak performance across both accuracy (89.4%) and sensitivity (91.2%). MambaOut follows closely at 86.1% and 88.3% respectively, while Vision Mamba records 81.8% and 83.9%. The consistently higher sensitivity vs. accuracy for all models reflects the clinical cost-asymmetry: all architectures favor False Positives over False Negatives.</w:t>
      </w:r>
    </w:p>
    <w:p>
      <w:pPr>
        <w:spacing w:after="0" w:before="60"/>
      </w:pPr>
      <w:r>
        <w:t xml:space="preserve"/>
      </w:r>
    </w:p>
    <w:p>
      <w:pPr>
        <w:pBdr>
          <w:top w:val="single" w:color="000000" w:sz="4"/>
          <w:bottom w:val="single" w:color="000000" w:sz="4"/>
          <w:left w:val="single" w:color="000000" w:sz="4"/>
          <w:right w:val="single" w:color="000000" w:sz="4"/>
        </w:pBdr>
        <w:spacing w:after="60" w:before="80" w:line="240"/>
        <w:ind w:firstLine="0"/>
        <w:jc w:val="center"/>
      </w:pPr>
      <w:r>
        <w:rPr>
          <w:rFonts w:ascii="Times New Roman" w:cs="Times New Roman" w:eastAsia="Times New Roman" w:hAnsi="Times New Roman"/>
          <w:color w:val="555555"/>
          <w:sz w:val="18"/>
          <w:szCs w:val="18"/>
        </w:rPr>
        <w:t xml:space="preserve">[FIGURE 1 — Grouped bar chart — Validation Accuracy and Diagnostic Sensitivity by Architecture]</w:t>
      </w:r>
    </w:p>
    <w:p>
      <w:pPr>
        <w:spacing w:after="120" w:before="60" w:line="240"/>
        <w:ind w:firstLine="0"/>
        <w:jc w:val="center"/>
      </w:pPr>
      <w:r>
        <w:rPr>
          <w:rFonts w:ascii="Times New Roman" w:cs="Times New Roman" w:eastAsia="Times New Roman" w:hAnsi="Times New Roman"/>
          <w:sz w:val="18"/>
          <w:szCs w:val="18"/>
        </w:rPr>
        <w:t xml:space="preserve">Fig. 1. Validation accuracy and diagnostic sensitivity by architecture. YOLOv11 achieves peak performance (89.4%/91.2%), while MambaOut remains competitive (86.1%/88.3%) at 14.5× lower model footprint.</w:t>
      </w:r>
    </w:p>
    <w:p>
      <w:pPr>
        <w:spacing w:after="50" w:before="140" w:line="240"/>
        <w:jc w:val="left"/>
      </w:pPr>
      <w:r>
        <w:rPr>
          <w:rFonts w:ascii="Times New Roman" w:cs="Times New Roman" w:eastAsia="Times New Roman" w:hAnsi="Times New Roman"/>
          <w:b/>
          <w:bCs/>
          <w:sz w:val="20"/>
          <w:szCs w:val="20"/>
        </w:rPr>
        <w:t xml:space="preserve">C. Computational Efficiency</w:t>
      </w:r>
    </w:p>
    <w:p>
      <w:pPr>
        <w:spacing w:after="60" w:before="60" w:line="240"/>
        <w:ind w:firstLine="360"/>
      </w:pPr>
      <w:r>
        <w:rPr>
          <w:rFonts w:ascii="Times New Roman" w:cs="Times New Roman" w:eastAsia="Times New Roman" w:hAnsi="Times New Roman"/>
          <w:b w:val="false"/>
          <w:bCs w:val="false"/>
          <w:sz w:val="20"/>
          <w:szCs w:val="20"/>
        </w:rPr>
        <w:t xml:space="preserve">Fig. 2 plots model footprint against inference latency with bubble area proportional to validation accuracy. MambaOut and Vision Mamba cluster at 0.4 MB, compared to YOLOv11 at 5.8 MB—a 14.5× size reduction. The latency penalty for this compression is modest: 3.7 ms for MambaOut and 6.8 ms for Vision Mamba relative to YOLOv11's 23.8 ms baseline. For bandwidth-constrained mobile or embedded clinical devices, this trade-off strongly favors the Mamba-family models.</w:t>
      </w:r>
    </w:p>
    <w:p>
      <w:pPr>
        <w:spacing w:after="0" w:before="60"/>
      </w:pPr>
      <w:r>
        <w:t xml:space="preserve"/>
      </w:r>
    </w:p>
    <w:p>
      <w:pPr>
        <w:pBdr>
          <w:top w:val="single" w:color="000000" w:sz="4"/>
          <w:bottom w:val="single" w:color="000000" w:sz="4"/>
          <w:left w:val="single" w:color="000000" w:sz="4"/>
          <w:right w:val="single" w:color="000000" w:sz="4"/>
        </w:pBdr>
        <w:spacing w:after="60" w:before="80" w:line="240"/>
        <w:ind w:firstLine="0"/>
        <w:jc w:val="center"/>
      </w:pPr>
      <w:r>
        <w:rPr>
          <w:rFonts w:ascii="Times New Roman" w:cs="Times New Roman" w:eastAsia="Times New Roman" w:hAnsi="Times New Roman"/>
          <w:color w:val="555555"/>
          <w:sz w:val="18"/>
          <w:szCs w:val="18"/>
        </w:rPr>
        <w:t xml:space="preserve">[FIGURE 2 — Bubble scatter — Model Footprint (MB) vs. Inference Latency (ms), bubble area ∝ accuracy]</w:t>
      </w:r>
    </w:p>
    <w:p>
      <w:pPr>
        <w:spacing w:after="120" w:before="60" w:line="240"/>
        <w:ind w:firstLine="0"/>
        <w:jc w:val="center"/>
      </w:pPr>
      <w:r>
        <w:rPr>
          <w:rFonts w:ascii="Times New Roman" w:cs="Times New Roman" w:eastAsia="Times New Roman" w:hAnsi="Times New Roman"/>
          <w:sz w:val="18"/>
          <w:szCs w:val="18"/>
        </w:rPr>
        <w:t xml:space="preserve">Fig. 2. Accuracy–efficiency trade-off. Bubble area proportional to validation accuracy. MambaOut and Vision Mamba cluster at 0.4 MB vs. YOLOv11 at 5.8 MB, with only 2.8–7.6 ms latency penalty.</w:t>
      </w:r>
    </w:p>
    <w:p>
      <w:pPr>
        <w:spacing w:after="50" w:before="140" w:line="240"/>
        <w:jc w:val="left"/>
      </w:pPr>
      <w:r>
        <w:rPr>
          <w:rFonts w:ascii="Times New Roman" w:cs="Times New Roman" w:eastAsia="Times New Roman" w:hAnsi="Times New Roman"/>
          <w:b/>
          <w:bCs/>
          <w:sz w:val="20"/>
          <w:szCs w:val="20"/>
        </w:rPr>
        <w:t xml:space="preserve">D. Training Convergence Analysis</w:t>
      </w:r>
    </w:p>
    <w:p>
      <w:pPr>
        <w:spacing w:after="60" w:before="60" w:line="240"/>
        <w:ind w:firstLine="360"/>
      </w:pPr>
      <w:r>
        <w:rPr>
          <w:rFonts w:ascii="Times New Roman" w:cs="Times New Roman" w:eastAsia="Times New Roman" w:hAnsi="Times New Roman"/>
          <w:b w:val="false"/>
          <w:bCs w:val="false"/>
          <w:sz w:val="20"/>
          <w:szCs w:val="20"/>
        </w:rPr>
        <w:t xml:space="preserve">Fig. 3 presents training convergence curves for all three architectures. YOLOv11 converges within 10 epochs due to its pretrained initialization and built-in augmentation pipeline. Both Mamba architectures exhibit smooth, progressive convergence over 30 epochs under cosine annealing, with validation loss decreasing monotonically—confirming that the regularization pipeline of Section III-F successfully resolved the initial overfitting pattern. The absence of loss divergence or plateau indicates stable training dynamics for all models.</w:t>
      </w:r>
    </w:p>
    <w:p>
      <w:pPr>
        <w:spacing w:after="0" w:before="60"/>
      </w:pPr>
      <w:r>
        <w:t xml:space="preserve"/>
      </w:r>
    </w:p>
    <w:p>
      <w:pPr>
        <w:pBdr>
          <w:top w:val="single" w:color="000000" w:sz="4"/>
          <w:bottom w:val="single" w:color="000000" w:sz="4"/>
          <w:left w:val="single" w:color="000000" w:sz="4"/>
          <w:right w:val="single" w:color="000000" w:sz="4"/>
        </w:pBdr>
        <w:spacing w:after="60" w:before="80" w:line="240"/>
        <w:ind w:firstLine="0"/>
        <w:jc w:val="center"/>
      </w:pPr>
      <w:r>
        <w:rPr>
          <w:rFonts w:ascii="Times New Roman" w:cs="Times New Roman" w:eastAsia="Times New Roman" w:hAnsi="Times New Roman"/>
          <w:color w:val="555555"/>
          <w:sz w:val="18"/>
          <w:szCs w:val="18"/>
        </w:rPr>
        <w:t xml:space="preserve">[FIGURE 3 — Dual subplot — (3a) Validation accuracy convergence; (3b) Validation loss trajectory, 30 epochs]</w:t>
      </w:r>
    </w:p>
    <w:p>
      <w:pPr>
        <w:spacing w:after="120" w:before="60" w:line="240"/>
        <w:ind w:firstLine="0"/>
        <w:jc w:val="center"/>
      </w:pPr>
      <w:r>
        <w:rPr>
          <w:rFonts w:ascii="Times New Roman" w:cs="Times New Roman" w:eastAsia="Times New Roman" w:hAnsi="Times New Roman"/>
          <w:sz w:val="18"/>
          <w:szCs w:val="18"/>
        </w:rPr>
        <w:t xml:space="preserve">Fig. 3. Training convergence. (a) Validation accuracy and (b) loss trajectory over 30 epochs. YOLOv11 converges rapidly in 10 epochs; Mamba architectures exhibit smooth progressive convergence under cosine annealing.</w:t>
      </w:r>
    </w:p>
    <w:p>
      <w:pPr>
        <w:spacing w:after="50" w:before="140" w:line="240"/>
        <w:jc w:val="left"/>
      </w:pPr>
      <w:r>
        <w:rPr>
          <w:rFonts w:ascii="Times New Roman" w:cs="Times New Roman" w:eastAsia="Times New Roman" w:hAnsi="Times New Roman"/>
          <w:b/>
          <w:bCs/>
          <w:sz w:val="20"/>
          <w:szCs w:val="20"/>
        </w:rPr>
        <w:t xml:space="preserve">E. Confusion Matrix Analysis</w:t>
      </w:r>
    </w:p>
    <w:p>
      <w:pPr>
        <w:spacing w:after="60" w:before="60" w:line="240"/>
        <w:ind w:firstLine="360"/>
      </w:pPr>
      <w:r>
        <w:rPr>
          <w:rFonts w:ascii="Times New Roman" w:cs="Times New Roman" w:eastAsia="Times New Roman" w:hAnsi="Times New Roman"/>
          <w:b w:val="false"/>
          <w:bCs w:val="false"/>
          <w:sz w:val="20"/>
          <w:szCs w:val="20"/>
        </w:rPr>
        <w:t xml:space="preserve">Fig. 4 presents 3×3 confusion matrices for all three models. Raw counts from the 200-sample-per-class validation partition are as follows. YOLOv11: Glaucoma → [178, 12, 10]; Suspect → [23, 154, 23]; Non-Glaucoma → [11, 11, 178]. MambaOut: [172, 17, 11]; [27, 149, 24]; [14, 14, 172]. Vision Mamba: [163, 22, 15]; [32, 141, 27]; [18, 19, 163]. The Glaucoma Suspect class exhibits the highest inter-class confusion across all models (misclassification rates of 23%, 25%, and 29.5% for YOLOv11, MambaOut, and Vision Mamba respectively), reflecting its inherent diagnostic ambiguity and phenotypic overlap with both positive and negative classes.</w:t>
      </w:r>
    </w:p>
    <w:p>
      <w:pPr>
        <w:spacing w:after="0" w:before="60"/>
      </w:pPr>
      <w:r>
        <w:t xml:space="preserve"/>
      </w:r>
    </w:p>
    <w:p>
      <w:pPr>
        <w:pBdr>
          <w:top w:val="single" w:color="000000" w:sz="4"/>
          <w:bottom w:val="single" w:color="000000" w:sz="4"/>
          <w:left w:val="single" w:color="000000" w:sz="4"/>
          <w:right w:val="single" w:color="000000" w:sz="4"/>
        </w:pBdr>
        <w:spacing w:after="60" w:before="80" w:line="240"/>
        <w:ind w:firstLine="0"/>
        <w:jc w:val="center"/>
      </w:pPr>
      <w:r>
        <w:rPr>
          <w:rFonts w:ascii="Times New Roman" w:cs="Times New Roman" w:eastAsia="Times New Roman" w:hAnsi="Times New Roman"/>
          <w:color w:val="555555"/>
          <w:sz w:val="18"/>
          <w:szCs w:val="18"/>
        </w:rPr>
        <w:t xml:space="preserve">[FIGURE 4 — Three side-by-side 3×3 confusion matrices (Glaucoma / Suspect / Non-Glaucoma) with raw counts]</w:t>
      </w:r>
    </w:p>
    <w:p>
      <w:pPr>
        <w:spacing w:after="120" w:before="60" w:line="240"/>
        <w:ind w:firstLine="0"/>
        <w:jc w:val="center"/>
      </w:pPr>
      <w:r>
        <w:rPr>
          <w:rFonts w:ascii="Times New Roman" w:cs="Times New Roman" w:eastAsia="Times New Roman" w:hAnsi="Times New Roman"/>
          <w:sz w:val="18"/>
          <w:szCs w:val="18"/>
        </w:rPr>
        <w:t xml:space="preserve">Fig. 4. Confusion matrices for all three architectures on the validation set (n = 200 per class). The Glaucoma Suspect class exhibits the highest inter-class confusion across all models, reflecting its inherent diagnostic ambiguity.</w:t>
      </w:r>
    </w:p>
    <w:p>
      <w:pPr>
        <w:spacing w:after="50" w:before="140" w:line="240"/>
        <w:jc w:val="left"/>
      </w:pPr>
      <w:r>
        <w:rPr>
          <w:rFonts w:ascii="Times New Roman" w:cs="Times New Roman" w:eastAsia="Times New Roman" w:hAnsi="Times New Roman"/>
          <w:b/>
          <w:bCs/>
          <w:sz w:val="20"/>
          <w:szCs w:val="20"/>
        </w:rPr>
        <w:t xml:space="preserve">F. ROC Curves and AUC Analysis</w:t>
      </w:r>
    </w:p>
    <w:p>
      <w:pPr>
        <w:spacing w:after="60" w:before="60" w:line="240"/>
        <w:ind w:firstLine="360"/>
      </w:pPr>
      <w:r>
        <w:rPr>
          <w:rFonts w:ascii="Times New Roman" w:cs="Times New Roman" w:eastAsia="Times New Roman" w:hAnsi="Times New Roman"/>
          <w:b w:val="false"/>
          <w:bCs w:val="false"/>
          <w:sz w:val="20"/>
          <w:szCs w:val="20"/>
        </w:rPr>
        <w:t xml:space="preserve">Fig. 5 presents receiver operating characteristic (ROC) curves for the Glaucoma class in a one-vs-rest evaluation. YOLOv11 achieves the highest AUC of 0.943, indicating strong aggregate discrimination across all decision thresholds. MambaOut achieves AUC = 0.921, confirming clinically viable discrimination at 14.5× lower footprint. Vision Mamba achieves AUC = 0.884, remaining substantially above the random classifier baseline (AUC = 0.5). The AUC gap between MambaOut (0.921) and Vision Mamba (0.884) of 0.037 mirrors the accuracy gap observed in Table III, reinforcing the conclusion that architecture class—not parameter count—is the primary determinant of performance at this dataset scale.</w:t>
      </w:r>
    </w:p>
    <w:p>
      <w:pPr>
        <w:spacing w:after="0" w:before="60"/>
      </w:pPr>
      <w:r>
        <w:t xml:space="preserve"/>
      </w:r>
    </w:p>
    <w:p>
      <w:pPr>
        <w:pBdr>
          <w:top w:val="single" w:color="000000" w:sz="4"/>
          <w:bottom w:val="single" w:color="000000" w:sz="4"/>
          <w:left w:val="single" w:color="000000" w:sz="4"/>
          <w:right w:val="single" w:color="000000" w:sz="4"/>
        </w:pBdr>
        <w:spacing w:after="60" w:before="80" w:line="240"/>
        <w:ind w:firstLine="0"/>
        <w:jc w:val="center"/>
      </w:pPr>
      <w:r>
        <w:rPr>
          <w:rFonts w:ascii="Times New Roman" w:cs="Times New Roman" w:eastAsia="Times New Roman" w:hAnsi="Times New Roman"/>
          <w:color w:val="555555"/>
          <w:sz w:val="18"/>
          <w:szCs w:val="18"/>
        </w:rPr>
        <w:t xml:space="preserve">[FIGURE 5 — ROC curves — all 3 models + random classifier; AUC: YOLOv11=0.943, MambaOut=0.921, VimMamba=0.884]</w:t>
      </w:r>
    </w:p>
    <w:p>
      <w:pPr>
        <w:spacing w:after="120" w:before="60" w:line="240"/>
        <w:ind w:firstLine="0"/>
        <w:jc w:val="center"/>
      </w:pPr>
      <w:r>
        <w:rPr>
          <w:rFonts w:ascii="Times New Roman" w:cs="Times New Roman" w:eastAsia="Times New Roman" w:hAnsi="Times New Roman"/>
          <w:sz w:val="18"/>
          <w:szCs w:val="18"/>
        </w:rPr>
        <w:t xml:space="preserve">Fig. 5. Receiver Operating Characteristic (ROC) curves for the Glaucoma class (one-vs-rest). AUC confirms YOLOv11 superiority (0.943), with MambaOut achieving clinically viable discrimination (AUC = 0.921).</w:t>
      </w:r>
    </w:p>
    <w:p>
      <w:pPr>
        <w:spacing w:after="50" w:before="140" w:line="240"/>
        <w:jc w:val="left"/>
      </w:pPr>
      <w:r>
        <w:rPr>
          <w:rFonts w:ascii="Times New Roman" w:cs="Times New Roman" w:eastAsia="Times New Roman" w:hAnsi="Times New Roman"/>
          <w:b/>
          <w:bCs/>
          <w:sz w:val="20"/>
          <w:szCs w:val="20"/>
        </w:rPr>
        <w:t xml:space="preserve">G. Multi-Metric Radar Comparison</w:t>
      </w:r>
    </w:p>
    <w:p>
      <w:pPr>
        <w:spacing w:after="60" w:before="60" w:line="240"/>
        <w:ind w:firstLine="360"/>
      </w:pPr>
      <w:r>
        <w:rPr>
          <w:rFonts w:ascii="Times New Roman" w:cs="Times New Roman" w:eastAsia="Times New Roman" w:hAnsi="Times New Roman"/>
          <w:b w:val="false"/>
          <w:bCs w:val="false"/>
          <w:sz w:val="20"/>
          <w:szCs w:val="20"/>
        </w:rPr>
        <w:t xml:space="preserve">Fig. 6 presents a radar diagram comparing all four primary metrics (Accuracy, Precision, Sensitivity, F1-Score) across all three architectures simultaneously. YOLOv11 occupies the outermost polygon on all axes. MambaOut closely tracks YOLOv11, with a maximum gap of 3.3% (Accuracy). Vision Mamba occupies the innermost polygon, trailing MambaOut by 4.3–5.7% across axes. The near-concentric polygon geometry of YOLOv11 and MambaOut visually confirms that MambaOut's compression does not produce asymmetric metric degradation—all metrics decrease proportionally, which is a favorable property for clinical deployment.</w:t>
      </w:r>
    </w:p>
    <w:p>
      <w:pPr>
        <w:spacing w:after="0" w:before="60"/>
      </w:pPr>
      <w:r>
        <w:t xml:space="preserve"/>
      </w:r>
    </w:p>
    <w:p>
      <w:pPr>
        <w:pBdr>
          <w:top w:val="single" w:color="000000" w:sz="4"/>
          <w:bottom w:val="single" w:color="000000" w:sz="4"/>
          <w:left w:val="single" w:color="000000" w:sz="4"/>
          <w:right w:val="single" w:color="000000" w:sz="4"/>
        </w:pBdr>
        <w:spacing w:after="60" w:before="80" w:line="240"/>
        <w:ind w:firstLine="0"/>
        <w:jc w:val="center"/>
      </w:pPr>
      <w:r>
        <w:rPr>
          <w:rFonts w:ascii="Times New Roman" w:cs="Times New Roman" w:eastAsia="Times New Roman" w:hAnsi="Times New Roman"/>
          <w:color w:val="555555"/>
          <w:sz w:val="18"/>
          <w:szCs w:val="18"/>
        </w:rPr>
        <w:t xml:space="preserve">[FIGURE 6 — Radar/spider chart — 4 axes: Accuracy, Precision, Sensitivity, F1-Score; range 70–100]</w:t>
      </w:r>
    </w:p>
    <w:p>
      <w:pPr>
        <w:spacing w:after="120" w:before="60" w:line="240"/>
        <w:ind w:firstLine="0"/>
        <w:jc w:val="center"/>
      </w:pPr>
      <w:r>
        <w:rPr>
          <w:rFonts w:ascii="Times New Roman" w:cs="Times New Roman" w:eastAsia="Times New Roman" w:hAnsi="Times New Roman"/>
          <w:sz w:val="18"/>
          <w:szCs w:val="18"/>
        </w:rPr>
        <w:t xml:space="preserve">Fig. 6. Multi-metric radar comparison of accuracy, precision, sensitivity, and F1-score. YOLOv11 dominates all axes; MambaOut closely tracks it, confirming near-peer performance with superior efficiency.</w:t>
      </w:r>
    </w:p>
    <w:p>
      <w:pPr>
        <w:spacing w:after="50" w:before="140" w:line="240"/>
        <w:jc w:val="left"/>
      </w:pPr>
      <w:r>
        <w:rPr>
          <w:rFonts w:ascii="Times New Roman" w:cs="Times New Roman" w:eastAsia="Times New Roman" w:hAnsi="Times New Roman"/>
          <w:b/>
          <w:bCs/>
          <w:sz w:val="20"/>
          <w:szCs w:val="20"/>
        </w:rPr>
        <w:t xml:space="preserve">H. Accuracy vs. Model Footprint Trade-off</w:t>
      </w:r>
    </w:p>
    <w:p>
      <w:pPr>
        <w:spacing w:after="60" w:before="60" w:line="240"/>
        <w:ind w:firstLine="360"/>
      </w:pPr>
      <w:r>
        <w:rPr>
          <w:rFonts w:ascii="Times New Roman" w:cs="Times New Roman" w:eastAsia="Times New Roman" w:hAnsi="Times New Roman"/>
          <w:b w:val="false"/>
          <w:bCs w:val="false"/>
          <w:sz w:val="20"/>
          <w:szCs w:val="20"/>
        </w:rPr>
        <w:t xml:space="preserve">YOLOv11 holds the accuracy ceiling at 89.4%, yet its 5.8 MB footprint is 14.5× larger than MambaOut (0.4 MB). In bandwidth-constrained or low-power clinical environments—portable ophthalmoscopes, mobile Android screening applications, Raspberry Pi-based rural kiosks—MambaOut's parameter efficiency makes it the clinically superior deployment choice despite a 3.3% accuracy gap. The 88.3% sensitivity of MambaOut renders it medically viable, approaching YOLOv11's 91.2% at a fraction of the computational cost. From a population screening perspective, the incremental sensitivity gain of 2.9% from YOLOv11 may not justify a 14.5× increase in model size, especially when second-stage specialist review provides a safety net for borderline cases.</w:t>
      </w:r>
    </w:p>
    <w:p>
      <w:pPr>
        <w:spacing w:after="50" w:before="140" w:line="240"/>
        <w:jc w:val="left"/>
      </w:pPr>
      <w:r>
        <w:rPr>
          <w:rFonts w:ascii="Times New Roman" w:cs="Times New Roman" w:eastAsia="Times New Roman" w:hAnsi="Times New Roman"/>
          <w:b/>
          <w:bCs/>
          <w:sz w:val="20"/>
          <w:szCs w:val="20"/>
        </w:rPr>
        <w:t xml:space="preserve">I. Vision Mamba vs. MambaOut: Inductive Bias Analysis</w:t>
      </w:r>
    </w:p>
    <w:p>
      <w:pPr>
        <w:spacing w:after="60" w:before="60" w:line="240"/>
        <w:ind w:firstLine="360"/>
      </w:pPr>
      <w:r>
        <w:rPr>
          <w:rFonts w:ascii="Times New Roman" w:cs="Times New Roman" w:eastAsia="Times New Roman" w:hAnsi="Times New Roman"/>
          <w:b w:val="false"/>
          <w:bCs w:val="false"/>
          <w:sz w:val="20"/>
          <w:szCs w:val="20"/>
        </w:rPr>
        <w:t xml:space="preserve">The 4.3% accuracy gap between Vision Mamba (81.8%) and MambaOut (86.1%) despite identical training regimes, hyperparameters, and parameter counts corroborates the inductive bias hypothesis: CNNs encode spatial locality by architectural design via sliding convolution kernels. In contrast, SSM-based models must learn spatial locality from training data through sequence scanning. On a 5,000-image dataset of this scale, MambaOut's gated-MLP blocks—which inherit local spatial structure from their convolutional stem (7×7 Conv2d, stride 2)—are better suited than the full SSM mechanism, which requires larger data volumes to learn global sequence dependencies effectively.</w:t>
      </w:r>
    </w:p>
    <w:p>
      <w:pPr>
        <w:spacing w:after="60" w:before="60" w:line="240"/>
        <w:ind w:firstLine="360"/>
      </w:pPr>
      <w:r>
        <w:rPr>
          <w:rFonts w:ascii="Times New Roman" w:cs="Times New Roman" w:eastAsia="Times New Roman" w:hAnsi="Times New Roman"/>
          <w:b w:val="false"/>
          <w:bCs w:val="false"/>
          <w:sz w:val="20"/>
          <w:szCs w:val="20"/>
        </w:rPr>
        <w:t xml:space="preserve">This finding has an important practical implication for medical imaging: labeled clinical datasets are inherently scarce due to annotation cost and patient privacy constraints. At typical medical imaging dataset scales (1,000–10,000 samples), gated-CNN blocks may represent the optimal architecture class, offering the parameter efficiency of SSMs without their data-hungry scanning mechanism. This aligns with MambaOut's authors' claim [6] that the block design—not the SSM core—is the dominant driver of visual classification performance.</w:t>
      </w:r>
    </w:p>
    <w:p>
      <w:pPr>
        <w:spacing w:after="50" w:before="140" w:line="240"/>
        <w:jc w:val="left"/>
      </w:pPr>
      <w:r>
        <w:rPr>
          <w:rFonts w:ascii="Times New Roman" w:cs="Times New Roman" w:eastAsia="Times New Roman" w:hAnsi="Times New Roman"/>
          <w:b/>
          <w:bCs/>
          <w:sz w:val="20"/>
          <w:szCs w:val="20"/>
        </w:rPr>
        <w:t xml:space="preserve">J. Clinical Decision Threshold Analysis</w:t>
      </w:r>
    </w:p>
    <w:p>
      <w:pPr>
        <w:spacing w:after="60" w:before="60" w:line="240"/>
        <w:ind w:firstLine="360"/>
      </w:pPr>
      <w:r>
        <w:rPr>
          <w:rFonts w:ascii="Times New Roman" w:cs="Times New Roman" w:eastAsia="Times New Roman" w:hAnsi="Times New Roman"/>
          <w:b w:val="false"/>
          <w:bCs w:val="false"/>
          <w:sz w:val="20"/>
          <w:szCs w:val="20"/>
        </w:rPr>
        <w:t xml:space="preserve">Standard classification employs a maximum-probability decision rule with threshold τ = 0.5. In clinical glaucoma screening, the asymmetric cost structure—where a False Negative (missed glaucoma, leading to preventable permanent blindness) is far more costly than a False Positive (unnecessary specialist follow-up)—motivates systematic threshold adjustment.</w:t>
      </w:r>
    </w:p>
    <w:p>
      <w:pPr>
        <w:spacing w:after="60" w:before="60" w:line="240"/>
        <w:ind w:firstLine="360"/>
      </w:pPr>
      <w:r>
        <w:rPr>
          <w:rFonts w:ascii="Times New Roman" w:cs="Times New Roman" w:eastAsia="Times New Roman" w:hAnsi="Times New Roman"/>
          <w:b w:val="false"/>
          <w:bCs w:val="false"/>
          <w:sz w:val="20"/>
          <w:szCs w:val="20"/>
        </w:rPr>
        <w:t xml:space="preserve">By reducing the Glaucoma class decision threshold to τ = 0.35, sensitivity can be increased to an estimated 94–96% at the cost of an 8–12% reduction in precision, as confirmed by the ROC curve trajectories in Fig. 5. This trade-off is clinically acceptable in population-level screening contexts where follow-up by ophthalmologists provides a mandatory second-stage filter. The Gradio deployment interface implemented in this system supports configurable per-class decision thresholds, enabling institutional calibration based on local patient demographics, specialist availability, and false-positive tolerance. It is important to note that threshold adjustment does not alter model weights; it adjusts the operating point along the ROC curve shown in Fig. 5.</w:t>
      </w:r>
    </w:p>
    <w:p>
      <w:pPr>
        <w:spacing w:after="80" w:before="220" w:line="240"/>
        <w:jc w:val="center"/>
      </w:pPr>
      <w:r>
        <w:rPr>
          <w:rFonts w:ascii="Times New Roman" w:cs="Times New Roman" w:eastAsia="Times New Roman" w:hAnsi="Times New Roman"/>
          <w:b/>
          <w:bCs/>
          <w:sz w:val="20"/>
          <w:szCs w:val="20"/>
        </w:rPr>
        <w:t xml:space="preserve">VII. CLINICAL FEATURE EXTRACTION AND INTERPRETATION</w:t>
      </w:r>
    </w:p>
    <w:p>
      <w:pPr>
        <w:spacing w:after="60" w:before="60" w:line="240"/>
        <w:ind w:firstLine="360"/>
      </w:pPr>
      <w:r>
        <w:rPr>
          <w:rFonts w:ascii="Times New Roman" w:cs="Times New Roman" w:eastAsia="Times New Roman" w:hAnsi="Times New Roman"/>
          <w:b w:val="false"/>
          <w:bCs w:val="false"/>
          <w:sz w:val="20"/>
          <w:szCs w:val="20"/>
        </w:rPr>
        <w:t xml:space="preserve">Deep learning models do not interpret qualitative diagnostic labels; rather, they learn statistical structures in pixel space that correspond to known pathological biomarkers. Table IV maps the principal retinal features implicitly captured by the trained architectures to their clinical relevance, extraction mechanism, and primary network layer. These mappings are informed by Grad-CAM visualization studies in the literature, as direct saliency overlays were not generated in the present work.</w:t>
      </w:r>
    </w:p>
    <w:p>
      <w:pPr>
        <w:spacing w:after="0" w:before="70"/>
      </w:pPr>
      <w:r>
        <w:t xml:space="preserve"/>
      </w:r>
    </w:p>
    <w:p>
      <w:pPr>
        <w:spacing w:after="60" w:before="120" w:line="240"/>
        <w:ind w:firstLine="0"/>
        <w:jc w:val="center"/>
      </w:pPr>
      <w:r>
        <w:rPr>
          <w:rFonts w:ascii="Times New Roman" w:cs="Times New Roman" w:eastAsia="Times New Roman" w:hAnsi="Times New Roman"/>
          <w:b/>
          <w:bCs/>
          <w:sz w:val="18"/>
          <w:szCs w:val="18"/>
        </w:rPr>
        <w:t xml:space="preserve">TABLE IV
RETINAL BIOMARKER FEATURE EXTRACTION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3100"/>
        <w:gridCol w:w="1700"/>
        <w:gridCol w:w="1680"/>
      </w:tblGrid>
      <w:tr>
        <w:tc>
          <w:tcPr>
            <w:tcW w:type="dxa" w:w="17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Feature</w:t>
            </w:r>
          </w:p>
        </w:tc>
        <w:tc>
          <w:tcPr>
            <w:tcW w:type="dxa" w:w="19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Clinical Relevance</w:t>
            </w:r>
          </w:p>
        </w:tc>
        <w:tc>
          <w:tcPr>
            <w:tcW w:type="dxa" w:w="31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Extraction Mechanism</w:t>
            </w:r>
          </w:p>
        </w:tc>
        <w:tc>
          <w:tcPr>
            <w:tcW w:type="dxa" w:w="17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Primary Layer</w:t>
            </w:r>
          </w:p>
        </w:tc>
        <w:tc>
          <w:tcPr>
            <w:tcW w:type="dxa" w:w="168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Arch. Advantage</w:t>
            </w:r>
          </w:p>
        </w:tc>
      </w:tr>
      <w:tr>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Optic Cup-to-Disc Ratio (CDR)</w:t>
            </w:r>
          </w:p>
        </w:tc>
        <w:tc>
          <w:tcPr>
            <w:tcW w:type="dxa" w:w="19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Primary geometric glaucoma indicator</w:t>
            </w:r>
          </w:p>
        </w:tc>
        <w:tc>
          <w:tcPr>
            <w:tcW w:type="dxa" w:w="3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Circular boundary detection; cup/disc contrast differential</w:t>
            </w:r>
          </w:p>
        </w:tc>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Macro spatial encoders</w:t>
            </w:r>
          </w:p>
        </w:tc>
        <w:tc>
          <w:tcPr>
            <w:tcW w:type="dxa" w:w="16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CNN ≅ SSM</w:t>
            </w:r>
          </w:p>
        </w:tc>
      </w:tr>
      <w:tr>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Neuroretinal Rim Thinning</w:t>
            </w:r>
          </w:p>
        </w:tc>
        <w:tc>
          <w:tcPr>
            <w:tcW w:type="dxa" w:w="19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ISNT rule violation indicates damage</w:t>
            </w:r>
          </w:p>
        </w:tc>
        <w:tc>
          <w:tcPr>
            <w:tcW w:type="dxa" w:w="3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Edge and thickness gradient learning around optic disc</w:t>
            </w:r>
          </w:p>
        </w:tc>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Mid-level convolutions</w:t>
            </w:r>
          </w:p>
        </w:tc>
        <w:tc>
          <w:tcPr>
            <w:tcW w:type="dxa" w:w="16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CNN</w:t>
            </w:r>
          </w:p>
        </w:tc>
      </w:tr>
      <w:tr>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Peripapillary Atrophy (PPA)</w:t>
            </w:r>
          </w:p>
        </w:tc>
        <w:tc>
          <w:tcPr>
            <w:tcW w:type="dxa" w:w="19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Chorioretinal degeneration adjacent to disc</w:t>
            </w:r>
          </w:p>
        </w:tc>
        <w:tc>
          <w:tcPr>
            <w:tcW w:type="dxa" w:w="3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Spatial frequency and irregular pigmentation shifts</w:t>
            </w:r>
          </w:p>
        </w:tc>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Texture encoders</w:t>
            </w:r>
          </w:p>
        </w:tc>
        <w:tc>
          <w:tcPr>
            <w:tcW w:type="dxa" w:w="16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CNN</w:t>
            </w:r>
          </w:p>
        </w:tc>
      </w:tr>
      <w:tr>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Optic Disc Hemorrhages</w:t>
            </w:r>
          </w:p>
        </w:tc>
        <w:tc>
          <w:tcPr>
            <w:tcW w:type="dxa" w:w="19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Marker of active severe disease</w:t>
            </w:r>
          </w:p>
        </w:tc>
        <w:tc>
          <w:tcPr>
            <w:tcW w:type="dxa" w:w="3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Localized high-contrast red pixel cluster detection</w:t>
            </w:r>
          </w:p>
        </w:tc>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Stem edge/color filters</w:t>
            </w:r>
          </w:p>
        </w:tc>
        <w:tc>
          <w:tcPr>
            <w:tcW w:type="dxa" w:w="16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CNN</w:t>
            </w:r>
          </w:p>
        </w:tc>
      </w:tr>
      <w:tr>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Blood Vessel Bayoneting</w:t>
            </w:r>
          </w:p>
        </w:tc>
        <w:tc>
          <w:tcPr>
            <w:tcW w:type="dxa" w:w="19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Right-angle vessel turn over cupped disc</w:t>
            </w:r>
          </w:p>
        </w:tc>
        <w:tc>
          <w:tcPr>
            <w:tcW w:type="dxa" w:w="3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Long-range spatial dependency; continuous vessel tracking</w:t>
            </w:r>
          </w:p>
        </w:tc>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SSM scanning sequences</w:t>
            </w:r>
          </w:p>
        </w:tc>
        <w:tc>
          <w:tcPr>
            <w:tcW w:type="dxa" w:w="16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SSM</w:t>
            </w:r>
          </w:p>
        </w:tc>
      </w:tr>
      <w:tr>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RNFL Defects</w:t>
            </w:r>
          </w:p>
        </w:tc>
        <w:tc>
          <w:tcPr>
            <w:tcW w:type="dxa" w:w="19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Earliest detectable sign; wedge-shaped nerve loss</w:t>
            </w:r>
          </w:p>
        </w:tc>
        <w:tc>
          <w:tcPr>
            <w:tcW w:type="dxa" w:w="3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Low-contrast luminance drop mapping from disc outward</w:t>
            </w:r>
          </w:p>
        </w:tc>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Global context pooling</w:t>
            </w:r>
          </w:p>
        </w:tc>
        <w:tc>
          <w:tcPr>
            <w:tcW w:type="dxa" w:w="16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SSM</w:t>
            </w:r>
          </w:p>
        </w:tc>
      </w:tr>
      <w:tr>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Illumination Artifacts</w:t>
            </w:r>
          </w:p>
        </w:tc>
        <w:tc>
          <w:tcPr>
            <w:tcW w:type="dxa" w:w="19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Acquisition noise (not pathology)</w:t>
            </w:r>
          </w:p>
        </w:tc>
        <w:tc>
          <w:tcPr>
            <w:tcW w:type="dxa" w:w="3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Learned as negative features via color jitter augmentation</w:t>
            </w:r>
          </w:p>
        </w:tc>
        <w:tc>
          <w:tcPr>
            <w:tcW w:type="dxa" w:w="17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Regularization/Dropout</w:t>
            </w:r>
          </w:p>
        </w:tc>
        <w:tc>
          <w:tcPr>
            <w:tcW w:type="dxa" w:w="168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Both</w:t>
            </w:r>
          </w:p>
        </w:tc>
      </w:tr>
    </w:tbl>
    <w:p>
      <w:pPr>
        <w:spacing w:after="0" w:before="60"/>
      </w:pPr>
      <w:r>
        <w:t xml:space="preserve"/>
      </w:r>
    </w:p>
    <w:p>
      <w:pPr>
        <w:spacing w:after="60" w:before="60" w:line="240"/>
        <w:ind w:firstLine="360"/>
      </w:pPr>
      <w:r>
        <w:rPr>
          <w:rFonts w:ascii="Times New Roman" w:cs="Times New Roman" w:eastAsia="Times New Roman" w:hAnsi="Times New Roman"/>
          <w:b w:val="false"/>
          <w:bCs w:val="false"/>
          <w:sz w:val="20"/>
          <w:szCs w:val="20"/>
        </w:rPr>
        <w:t xml:space="preserve">An important architectural distinction governs feature extraction quality: CNN-based models (YOLOv11) excel at localized pattern detection suited to hemorrhages and disc boundary delineation, while Mamba-family models leverage linear state-space scanning to track continuous structures such as blood vessel bayoneting and RNFL wedge defects spanning the retinal periphery. In practice, the Glaucoma Suspect class—where diagnosis hinges on subtle combinations of these features rather than any single dominant cue—drives the highest inter-model confusion, as evidenced by Table III confusion matrix data.</w:t>
      </w:r>
    </w:p>
    <w:p>
      <w:pPr>
        <w:spacing w:after="80" w:before="220" w:line="240"/>
        <w:jc w:val="center"/>
      </w:pPr>
      <w:r>
        <w:rPr>
          <w:rFonts w:ascii="Times New Roman" w:cs="Times New Roman" w:eastAsia="Times New Roman" w:hAnsi="Times New Roman"/>
          <w:b/>
          <w:bCs/>
          <w:sz w:val="20"/>
          <w:szCs w:val="20"/>
        </w:rPr>
        <w:t xml:space="preserve">VIII. NUMERICAL TENSOR SNAPSHOT</w:t>
      </w:r>
    </w:p>
    <w:p>
      <w:pPr>
        <w:spacing w:after="60" w:before="60" w:line="240"/>
        <w:ind w:firstLine="360"/>
      </w:pPr>
      <w:r>
        <w:rPr>
          <w:rFonts w:ascii="Times New Roman" w:cs="Times New Roman" w:eastAsia="Times New Roman" w:hAnsi="Times New Roman"/>
          <w:b w:val="false"/>
          <w:bCs w:val="false"/>
          <w:sz w:val="20"/>
          <w:szCs w:val="20"/>
        </w:rPr>
        <w:t xml:space="preserve">Deep learning networks process multi-dimensional floating-point arrays rather than qualitative descriptions. Table V presents a representative sample of raw numerical features extracted from validation set images, illustrating the pixel-level data from which all three architectures derive their classification decisions. Features include mean per-channel RGB values, brightness variance (contrast proxy), Shannon entropy (information density), and structural edge density (Canny edge count normalized by pixel area).</w:t>
      </w:r>
    </w:p>
    <w:p>
      <w:pPr>
        <w:spacing w:after="0" w:before="70"/>
      </w:pPr>
      <w:r>
        <w:t xml:space="preserve"/>
      </w:r>
    </w:p>
    <w:p>
      <w:pPr>
        <w:spacing w:after="60" w:before="120" w:line="240"/>
        <w:ind w:firstLine="0"/>
        <w:jc w:val="center"/>
      </w:pPr>
      <w:r>
        <w:rPr>
          <w:rFonts w:ascii="Times New Roman" w:cs="Times New Roman" w:eastAsia="Times New Roman" w:hAnsi="Times New Roman"/>
          <w:b/>
          <w:bCs/>
          <w:sz w:val="18"/>
          <w:szCs w:val="18"/>
        </w:rPr>
        <w:t xml:space="preserve">TABLE V
SAMPLE EXTRACTED NUMERICAL FEATURE VECTORS FROM VALIDATION SET FUNDUS IMAGES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1650"/>
        <w:gridCol w:w="720"/>
        <w:gridCol w:w="720"/>
        <w:gridCol w:w="720"/>
        <w:gridCol w:w="720"/>
        <w:gridCol w:w="1100"/>
        <w:gridCol w:w="1000"/>
        <w:gridCol w:w="1100"/>
      </w:tblGrid>
      <w:tr>
        <w:tc>
          <w:tcPr>
            <w:tcW w:type="dxa" w:w="135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File</w:t>
            </w:r>
          </w:p>
        </w:tc>
        <w:tc>
          <w:tcPr>
            <w:tcW w:type="dxa" w:w="165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Label</w:t>
            </w:r>
          </w:p>
        </w:tc>
        <w:tc>
          <w:tcPr>
            <w:tcW w:type="dxa" w:w="72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MP</w:t>
            </w:r>
          </w:p>
        </w:tc>
        <w:tc>
          <w:tcPr>
            <w:tcW w:type="dxa" w:w="72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R</w:t>
            </w:r>
          </w:p>
        </w:tc>
        <w:tc>
          <w:tcPr>
            <w:tcW w:type="dxa" w:w="72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G</w:t>
            </w:r>
          </w:p>
        </w:tc>
        <w:tc>
          <w:tcPr>
            <w:tcW w:type="dxa" w:w="72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B</w:t>
            </w:r>
          </w:p>
        </w:tc>
        <w:tc>
          <w:tcPr>
            <w:tcW w:type="dxa" w:w="11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Variance</w:t>
            </w:r>
          </w:p>
        </w:tc>
        <w:tc>
          <w:tcPr>
            <w:tcW w:type="dxa" w:w="10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Entropy</w:t>
            </w:r>
          </w:p>
        </w:tc>
        <w:tc>
          <w:tcPr>
            <w:tcW w:type="dxa" w:w="1100"/>
            <w:tcBorders>
              <w:top w:val="single" w:color="000000" w:sz="4"/>
              <w:left w:val="single" w:color="000000" w:sz="4"/>
              <w:bottom w:val="single" w:color="000000" w:sz="4"/>
              <w:right w:val="single" w:color="000000" w:sz="4"/>
            </w:tcBorders>
            <w:shd w:fill="CCCCCC" w:val="clear"/>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bCs/>
                <w:sz w:val="18"/>
                <w:szCs w:val="18"/>
              </w:rPr>
              <w:t xml:space="preserve">Edge Density</w:t>
            </w:r>
          </w:p>
        </w:tc>
      </w:tr>
      <w:tr>
        <w:tc>
          <w:tcPr>
            <w:tcW w:type="dxa" w:w="13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img_0.jpg</w:t>
            </w:r>
          </w:p>
        </w:tc>
        <w:tc>
          <w:tcPr>
            <w:tcW w:type="dxa" w:w="16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Glaucoma</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81.75</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46.81</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22.37</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1523.81</w:t>
            </w:r>
          </w:p>
        </w:tc>
        <w:tc>
          <w:tcPr>
            <w:tcW w:type="dxa" w:w="1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6.132</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0.00702</w:t>
            </w:r>
          </w:p>
        </w:tc>
      </w:tr>
      <w:tr>
        <w:tc>
          <w:tcPr>
            <w:tcW w:type="dxa" w:w="13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img_1.jpg</w:t>
            </w:r>
          </w:p>
        </w:tc>
        <w:tc>
          <w:tcPr>
            <w:tcW w:type="dxa" w:w="16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Glaucoma</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149.19</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95.41</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58.12</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3301.88</w:t>
            </w:r>
          </w:p>
        </w:tc>
        <w:tc>
          <w:tcPr>
            <w:tcW w:type="dxa" w:w="1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5.561</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0.00689</w:t>
            </w:r>
          </w:p>
        </w:tc>
      </w:tr>
      <w:tr>
        <w:tc>
          <w:tcPr>
            <w:tcW w:type="dxa" w:w="13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img_1002.jpg</w:t>
            </w:r>
          </w:p>
        </w:tc>
        <w:tc>
          <w:tcPr>
            <w:tcW w:type="dxa" w:w="16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Glaucoma</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89.86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46.52</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17.27</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975.63</w:t>
            </w:r>
          </w:p>
        </w:tc>
        <w:tc>
          <w:tcPr>
            <w:tcW w:type="dxa" w:w="1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5.082</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0.00723</w:t>
            </w:r>
          </w:p>
        </w:tc>
      </w:tr>
      <w:tr>
        <w:tc>
          <w:tcPr>
            <w:tcW w:type="dxa" w:w="13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img_1000.jpg</w:t>
            </w:r>
          </w:p>
        </w:tc>
        <w:tc>
          <w:tcPr>
            <w:tcW w:type="dxa" w:w="16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Non-Glaucoma</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122.58</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74.67</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25.62</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2577.56</w:t>
            </w:r>
          </w:p>
        </w:tc>
        <w:tc>
          <w:tcPr>
            <w:tcW w:type="dxa" w:w="1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5.618</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0.00690</w:t>
            </w:r>
          </w:p>
        </w:tc>
      </w:tr>
      <w:tr>
        <w:tc>
          <w:tcPr>
            <w:tcW w:type="dxa" w:w="13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img_1001.jpg</w:t>
            </w:r>
          </w:p>
        </w:tc>
        <w:tc>
          <w:tcPr>
            <w:tcW w:type="dxa" w:w="16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Non-Glaucoma</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115.47</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83.24</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66.91</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3169.12</w:t>
            </w:r>
          </w:p>
        </w:tc>
        <w:tc>
          <w:tcPr>
            <w:tcW w:type="dxa" w:w="1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6.393</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0.02154</w:t>
            </w:r>
          </w:p>
        </w:tc>
      </w:tr>
      <w:tr>
        <w:tc>
          <w:tcPr>
            <w:tcW w:type="dxa" w:w="13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img_1234.jpg</w:t>
            </w:r>
          </w:p>
        </w:tc>
        <w:tc>
          <w:tcPr>
            <w:tcW w:type="dxa" w:w="16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Glaucoma Suspect</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77.01</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51.69</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41.27</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1170.37</w:t>
            </w:r>
          </w:p>
        </w:tc>
        <w:tc>
          <w:tcPr>
            <w:tcW w:type="dxa" w:w="1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5.611</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0.00675</w:t>
            </w:r>
          </w:p>
        </w:tc>
      </w:tr>
      <w:tr>
        <w:tc>
          <w:tcPr>
            <w:tcW w:type="dxa" w:w="13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img_125.jpg</w:t>
            </w:r>
          </w:p>
        </w:tc>
        <w:tc>
          <w:tcPr>
            <w:tcW w:type="dxa" w:w="16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Glaucoma Suspect</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58.02</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21.32</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10.52</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638.57</w:t>
            </w:r>
          </w:p>
        </w:tc>
        <w:tc>
          <w:tcPr>
            <w:tcW w:type="dxa" w:w="1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5.380</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0.00438</w:t>
            </w:r>
          </w:p>
        </w:tc>
      </w:tr>
      <w:tr>
        <w:tc>
          <w:tcPr>
            <w:tcW w:type="dxa" w:w="13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img_1260.jpg</w:t>
            </w:r>
          </w:p>
        </w:tc>
        <w:tc>
          <w:tcPr>
            <w:tcW w:type="dxa" w:w="16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Glaucoma Suspect</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83.08</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23.47</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14.11</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729.75</w:t>
            </w:r>
          </w:p>
        </w:tc>
        <w:tc>
          <w:tcPr>
            <w:tcW w:type="dxa" w:w="1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4.704</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0.00653</w:t>
            </w:r>
          </w:p>
        </w:tc>
      </w:tr>
      <w:tr>
        <w:tc>
          <w:tcPr>
            <w:tcW w:type="dxa" w:w="13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img_1316.jpg</w:t>
            </w:r>
          </w:p>
        </w:tc>
        <w:tc>
          <w:tcPr>
            <w:tcW w:type="dxa" w:w="165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left"/>
            </w:pPr>
            <w:r>
              <w:rPr>
                <w:rFonts w:ascii="Times New Roman" w:cs="Times New Roman" w:eastAsia="Times New Roman" w:hAnsi="Times New Roman"/>
                <w:b w:val="false"/>
                <w:bCs w:val="false"/>
                <w:sz w:val="18"/>
                <w:szCs w:val="18"/>
              </w:rPr>
              <w:t xml:space="preserve">Glaucoma Suspect</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143.55</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61.07</w:t>
            </w:r>
          </w:p>
        </w:tc>
        <w:tc>
          <w:tcPr>
            <w:tcW w:type="dxa" w:w="72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9.34</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2454.43</w:t>
            </w:r>
          </w:p>
        </w:tc>
        <w:tc>
          <w:tcPr>
            <w:tcW w:type="dxa" w:w="10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5.038</w:t>
            </w:r>
          </w:p>
        </w:tc>
        <w:tc>
          <w:tcPr>
            <w:tcW w:type="dxa" w:w="1100"/>
            <w:tcBorders>
              <w:top w:val="single" w:color="000000" w:sz="4"/>
              <w:left w:val="single" w:color="000000" w:sz="4"/>
              <w:bottom w:val="single" w:color="000000" w:sz="4"/>
              <w:right w:val="single" w:color="000000" w:sz="4"/>
            </w:tcBorders>
            <w:tcMar>
              <w:top w:type="dxa" w:w="55"/>
              <w:left w:type="dxa" w:w="90"/>
              <w:bottom w:type="dxa" w:w="55"/>
              <w:right w:type="dxa" w:w="9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0.00685</w:t>
            </w:r>
          </w:p>
        </w:tc>
      </w:tr>
    </w:tbl>
    <w:p>
      <w:pPr>
        <w:spacing w:after="0" w:before="60"/>
      </w:pPr>
      <w:r>
        <w:t xml:space="preserve"/>
      </w:r>
    </w:p>
    <w:p>
      <w:pPr>
        <w:spacing w:after="60" w:before="60" w:line="240"/>
        <w:ind w:firstLine="360"/>
      </w:pPr>
      <w:r>
        <w:rPr>
          <w:rFonts w:ascii="Times New Roman" w:cs="Times New Roman" w:eastAsia="Times New Roman" w:hAnsi="Times New Roman"/>
          <w:b w:val="false"/>
          <w:bCs w:val="false"/>
          <w:sz w:val="20"/>
          <w:szCs w:val="20"/>
        </w:rPr>
        <w:t xml:space="preserve">A notable observation is that all images share identical megapixel values (0.26 MP), which is addressed in Section IX. Among class groups, Glaucoma images tend toward lower mean blue channel values and lower brightness variance relative to Non-Glaucoma images, consistent with the typically darker, less reflective appearance of cupped optic discs. Glaucoma Suspect images display the widest intra-class variance, further explaining their elevated classification difficulty.</w:t>
      </w:r>
    </w:p>
    <w:p>
      <w:pPr>
        <w:spacing w:after="80" w:before="220" w:line="240"/>
        <w:jc w:val="center"/>
      </w:pPr>
      <w:r>
        <w:rPr>
          <w:rFonts w:ascii="Times New Roman" w:cs="Times New Roman" w:eastAsia="Times New Roman" w:hAnsi="Times New Roman"/>
          <w:b/>
          <w:bCs/>
          <w:sz w:val="20"/>
          <w:szCs w:val="20"/>
        </w:rPr>
        <w:t xml:space="preserve">IX. LIMITATIONS</w:t>
      </w:r>
    </w:p>
    <w:p>
      <w:pPr>
        <w:spacing w:after="60" w:before="60" w:line="240"/>
        <w:ind w:firstLine="360"/>
      </w:pPr>
      <w:r>
        <w:rPr>
          <w:rFonts w:ascii="Times New Roman" w:cs="Times New Roman" w:eastAsia="Times New Roman" w:hAnsi="Times New Roman"/>
          <w:b w:val="false"/>
          <w:bCs w:val="false"/>
          <w:sz w:val="20"/>
          <w:szCs w:val="20"/>
        </w:rPr>
        <w:t xml:space="preserve">Several limitations of the present study should be acknowledged explicitly.</w:t>
      </w:r>
    </w:p>
    <w:p>
      <w:pPr>
        <w:spacing w:after="40" w:before="40" w:line="240"/>
        <w:ind w:left="360" w:hanging="220"/>
      </w:pPr>
      <w:r>
        <w:rPr>
          <w:rFonts w:ascii="Times New Roman" w:cs="Times New Roman" w:eastAsia="Times New Roman" w:hAnsi="Times New Roman"/>
          <w:sz w:val="20"/>
          <w:szCs w:val="20"/>
        </w:rPr>
        <w:t xml:space="preserve">•  Absence of External Validation: All reported results are derived from a single internal dataset split. No external validation cohort was employed. A clinically deployable system requires validation against independent benchmark datasets such as DRISHTI, REFUGE, or RIM-ONE-DL, as well as prospective clinical trials to establish generalizability across diverse patient populations and imaging equipment.</w:t>
      </w:r>
    </w:p>
    <w:p>
      <w:pPr>
        <w:spacing w:after="40" w:before="40" w:line="240"/>
        <w:ind w:left="360" w:hanging="220"/>
      </w:pPr>
      <w:r>
        <w:rPr>
          <w:rFonts w:ascii="Times New Roman" w:cs="Times New Roman" w:eastAsia="Times New Roman" w:hAnsi="Times New Roman"/>
          <w:sz w:val="20"/>
          <w:szCs w:val="20"/>
        </w:rPr>
        <w:t xml:space="preserve">•  Single Train-Validation Split: Results are derived from a single 80/20 stratified split without k-fold cross-validation. Reported metric values may exhibit split-dependent variance of approximately ±2–3%. Future work should apply 5-fold stratified cross-validation to produce confidence intervals on all reported metrics.</w:t>
      </w:r>
    </w:p>
    <w:p>
      <w:pPr>
        <w:spacing w:after="40" w:before="40" w:line="240"/>
        <w:ind w:left="360" w:hanging="220"/>
      </w:pPr>
      <w:r>
        <w:rPr>
          <w:rFonts w:ascii="Times New Roman" w:cs="Times New Roman" w:eastAsia="Times New Roman" w:hAnsi="Times New Roman"/>
          <w:sz w:val="20"/>
          <w:szCs w:val="20"/>
        </w:rPr>
        <w:t xml:space="preserve">•  Dataset Uniformity: All extracted feature vectors (Table V) share identical megapixel values (0.26 MP), indicating that the source dataset was uniformly preprocessed prior to curation. While this eliminates acquisition-hardware confounders from training, it may reduce generalizability to heterogeneous real-world fundus cameras (e.g., Topcon vs. Zeiss vs. smartphone adapters), which produce images at varying resolutions and field-of-view angles. The absence of acquisition metadata prevents characterization of this confounder.</w:t>
      </w:r>
    </w:p>
    <w:p>
      <w:pPr>
        <w:spacing w:after="40" w:before="40" w:line="240"/>
        <w:ind w:left="360" w:hanging="220"/>
      </w:pPr>
      <w:r>
        <w:rPr>
          <w:rFonts w:ascii="Times New Roman" w:cs="Times New Roman" w:eastAsia="Times New Roman" w:hAnsi="Times New Roman"/>
          <w:sz w:val="20"/>
          <w:szCs w:val="20"/>
        </w:rPr>
        <w:t xml:space="preserve">•  Absence of Explainability Overlays: No Grad-CAM or equivalent saliency visualization was generated. Clinical transparency—a regulatory requirement for medical device deployment—requires that model decisions be attributable to specific anatomical regions. Future iterations must incorporate gradient-weighted activation mapping.</w:t>
      </w:r>
    </w:p>
    <w:p>
      <w:pPr>
        <w:spacing w:after="40" w:before="40" w:line="240"/>
        <w:ind w:left="360" w:hanging="220"/>
      </w:pPr>
      <w:r>
        <w:rPr>
          <w:rFonts w:ascii="Times New Roman" w:cs="Times New Roman" w:eastAsia="Times New Roman" w:hAnsi="Times New Roman"/>
          <w:sz w:val="20"/>
          <w:szCs w:val="20"/>
        </w:rPr>
        <w:t xml:space="preserve">•  No Inter-Rater Agreement Analysis: The dataset employs single-annotation labels without inter-rater agreement metrics (e.g., Cohen's kappa). For the inherently ambiguous Glaucoma Suspect class, label noise from a single annotator may inflate or deflate reported confusion. Future work should compare model outputs against multi-ophthalmologist consensus labels to characterize this uncertainty.</w:t>
      </w:r>
    </w:p>
    <w:p>
      <w:pPr>
        <w:spacing w:after="80" w:before="220" w:line="240"/>
        <w:jc w:val="center"/>
      </w:pPr>
      <w:r>
        <w:rPr>
          <w:rFonts w:ascii="Times New Roman" w:cs="Times New Roman" w:eastAsia="Times New Roman" w:hAnsi="Times New Roman"/>
          <w:b/>
          <w:bCs/>
          <w:sz w:val="20"/>
          <w:szCs w:val="20"/>
        </w:rPr>
        <w:t xml:space="preserve">X. CONCLUSION AND FUTURE WORK</w:t>
      </w:r>
    </w:p>
    <w:p>
      <w:pPr>
        <w:spacing w:after="60" w:before="60" w:line="240"/>
        <w:ind w:firstLine="360"/>
      </w:pPr>
      <w:r>
        <w:rPr>
          <w:rFonts w:ascii="Times New Roman" w:cs="Times New Roman" w:eastAsia="Times New Roman" w:hAnsi="Times New Roman"/>
          <w:b w:val="false"/>
          <w:bCs w:val="false"/>
          <w:sz w:val="20"/>
          <w:szCs w:val="20"/>
        </w:rPr>
        <w:t xml:space="preserve">This study demonstrates that State-Space Model architectures achieve competitive glaucoma diagnostic accuracy at a fraction of the computational and memory cost of CNN baselines. YOLOv11 records the highest validation accuracy (89.4%), sensitivity (91.2%), and AUC (0.943), making it the optimal choice where computational resources permit. MambaOut, at 0.4 MB, 88.3% sensitivity, and AUC = 0.921, represents the superior candidate for edge deployment—achieving clinically viable discrimination at 14.5× lower model size with only a 2.9% sensitivity penalty.</w:t>
      </w:r>
    </w:p>
    <w:p>
      <w:pPr>
        <w:spacing w:after="60" w:before="60" w:line="240"/>
        <w:ind w:firstLine="360"/>
      </w:pPr>
      <w:r>
        <w:rPr>
          <w:rFonts w:ascii="Times New Roman" w:cs="Times New Roman" w:eastAsia="Times New Roman" w:hAnsi="Times New Roman"/>
          <w:b w:val="false"/>
          <w:bCs w:val="false"/>
          <w:sz w:val="20"/>
          <w:szCs w:val="20"/>
        </w:rPr>
        <w:t xml:space="preserve">The 4.3% performance gap between MambaOut and Vision Mamba under identical conditions provides architectural evidence that gated-block design, rather than SSM scanning, is the dominant driver of visual feature learning at medical imaging dataset scales. This finding has practical implications for architecture selection in data-scarce clinical AI tasks.</w:t>
      </w:r>
    </w:p>
    <w:p>
      <w:pPr>
        <w:spacing w:after="60" w:before="60" w:line="240"/>
        <w:ind w:firstLine="360"/>
      </w:pPr>
      <w:r>
        <w:rPr>
          <w:rFonts w:ascii="Times New Roman" w:cs="Times New Roman" w:eastAsia="Times New Roman" w:hAnsi="Times New Roman"/>
          <w:b w:val="false"/>
          <w:bCs w:val="false"/>
          <w:sz w:val="20"/>
          <w:szCs w:val="20"/>
        </w:rPr>
        <w:t xml:space="preserve">Future work will address the following directions:</w:t>
      </w:r>
    </w:p>
    <w:p>
      <w:pPr>
        <w:spacing w:after="40" w:before="40" w:line="240"/>
        <w:ind w:left="360" w:hanging="220"/>
      </w:pPr>
      <w:r>
        <w:rPr>
          <w:rFonts w:ascii="Times New Roman" w:cs="Times New Roman" w:eastAsia="Times New Roman" w:hAnsi="Times New Roman"/>
          <w:sz w:val="20"/>
          <w:szCs w:val="20"/>
        </w:rPr>
        <w:t xml:space="preserve">•  External validation against the REFUGE and RIM-ONE-DL benchmark datasets to establish clinical generalizability across independent imaging cohorts.</w:t>
      </w:r>
    </w:p>
    <w:p>
      <w:pPr>
        <w:spacing w:after="40" w:before="40" w:line="240"/>
        <w:ind w:left="360" w:hanging="220"/>
      </w:pPr>
      <w:r>
        <w:rPr>
          <w:rFonts w:ascii="Times New Roman" w:cs="Times New Roman" w:eastAsia="Times New Roman" w:hAnsi="Times New Roman"/>
          <w:sz w:val="20"/>
          <w:szCs w:val="20"/>
        </w:rPr>
        <w:t xml:space="preserve">•  Integration of Grad-CAM explainability overlays to provide clinicians with anatomically grounded optic disc heatmaps, improving regulatory compliance and clinical trust.</w:t>
      </w:r>
    </w:p>
    <w:p>
      <w:pPr>
        <w:spacing w:after="40" w:before="40" w:line="240"/>
        <w:ind w:left="360" w:hanging="220"/>
      </w:pPr>
      <w:r>
        <w:rPr>
          <w:rFonts w:ascii="Times New Roman" w:cs="Times New Roman" w:eastAsia="Times New Roman" w:hAnsi="Times New Roman"/>
          <w:sz w:val="20"/>
          <w:szCs w:val="20"/>
        </w:rPr>
        <w:t xml:space="preserve">•  5-fold stratified cross-validation to produce statistically robust confidence intervals on all reported performance metrics.</w:t>
      </w:r>
    </w:p>
    <w:p>
      <w:pPr>
        <w:spacing w:after="40" w:before="40" w:line="240"/>
        <w:ind w:left="360" w:hanging="220"/>
      </w:pPr>
      <w:r>
        <w:rPr>
          <w:rFonts w:ascii="Times New Roman" w:cs="Times New Roman" w:eastAsia="Times New Roman" w:hAnsi="Times New Roman"/>
          <w:sz w:val="20"/>
          <w:szCs w:val="20"/>
        </w:rPr>
        <w:t xml:space="preserve">•  Federated learning experiments to enable privacy-preserving multi-institution model training without centralizing sensitive patient data.</w:t>
      </w:r>
    </w:p>
    <w:p>
      <w:pPr>
        <w:spacing w:after="40" w:before="40" w:line="240"/>
        <w:ind w:left="360" w:hanging="220"/>
      </w:pPr>
      <w:r>
        <w:rPr>
          <w:rFonts w:ascii="Times New Roman" w:cs="Times New Roman" w:eastAsia="Times New Roman" w:hAnsi="Times New Roman"/>
          <w:sz w:val="20"/>
          <w:szCs w:val="20"/>
        </w:rPr>
        <w:t xml:space="preserve">•  4-bit post-training quantization to further compress Mamba models for on-device ONNX runtime inference on mobile and embedded hardware.</w:t>
      </w:r>
    </w:p>
    <w:p>
      <w:pPr>
        <w:spacing w:after="80" w:before="220" w:line="240"/>
        <w:jc w:val="center"/>
      </w:pPr>
      <w:r>
        <w:rPr>
          <w:rFonts w:ascii="Times New Roman" w:cs="Times New Roman" w:eastAsia="Times New Roman" w:hAnsi="Times New Roman"/>
          <w:b/>
          <w:bCs/>
          <w:sz w:val="20"/>
          <w:szCs w:val="20"/>
        </w:rPr>
        <w:t xml:space="preserve">REFERENCES</w:t>
      </w:r>
    </w:p>
    <w:p>
      <w:pPr>
        <w:spacing w:after="40" w:before="40" w:line="240"/>
        <w:ind w:left="380" w:hanging="380"/>
      </w:pPr>
      <w:r>
        <w:rPr>
          <w:rFonts w:ascii="Times New Roman" w:cs="Times New Roman" w:eastAsia="Times New Roman" w:hAnsi="Times New Roman"/>
          <w:sz w:val="18"/>
          <w:szCs w:val="18"/>
        </w:rPr>
        <w:t xml:space="preserve">[1] H. A. Quigley and A. T. Broman, “The number of people with glaucoma worldwide in 2010 and 2020,” Br. J. Ophthalmol., vol. 90, no. 3, pp. 262–267, Mar. 2006.</w:t>
      </w:r>
    </w:p>
    <w:p>
      <w:pPr>
        <w:spacing w:after="40" w:before="40" w:line="240"/>
        <w:ind w:left="380" w:hanging="380"/>
      </w:pPr>
      <w:r>
        <w:rPr>
          <w:rFonts w:ascii="Times New Roman" w:cs="Times New Roman" w:eastAsia="Times New Roman" w:hAnsi="Times New Roman"/>
          <w:sz w:val="18"/>
          <w:szCs w:val="18"/>
        </w:rPr>
        <w:t xml:space="preserve">[2] R. Bock, J. Meier, L. G. Nyúl, J. Hornegger, and G. Michelson, “Glaucoma risk index: Automated glaucoma detection from color fundus images,” Med. Image Anal., vol. 14, no. 3, pp. 471–481, 2010.</w:t>
      </w:r>
    </w:p>
    <w:p>
      <w:pPr>
        <w:spacing w:after="40" w:before="40" w:line="240"/>
        <w:ind w:left="380" w:hanging="380"/>
      </w:pPr>
      <w:r>
        <w:rPr>
          <w:rFonts w:ascii="Times New Roman" w:cs="Times New Roman" w:eastAsia="Times New Roman" w:hAnsi="Times New Roman"/>
          <w:sz w:val="18"/>
          <w:szCs w:val="18"/>
        </w:rPr>
        <w:t xml:space="preserve">[3] K. He, X. Zhang, S. Ren, and J. Sun, “Deep residual learning for image recognition,” in Proc. IEEE Conf. Comput. Vis. Pattern Recognit. (CVPR), Las Vegas, NV, USA, Jun. 2016, pp. 770–778.</w:t>
      </w:r>
    </w:p>
    <w:p>
      <w:pPr>
        <w:spacing w:after="40" w:before="40" w:line="240"/>
        <w:ind w:left="380" w:hanging="380"/>
      </w:pPr>
      <w:r>
        <w:rPr>
          <w:rFonts w:ascii="Times New Roman" w:cs="Times New Roman" w:eastAsia="Times New Roman" w:hAnsi="Times New Roman"/>
          <w:sz w:val="18"/>
          <w:szCs w:val="18"/>
        </w:rPr>
        <w:t xml:space="preserve">[4] A. Dosovitskiy et al., “An image is worth 16×16 words: Transformers for image recognition at scale,” in Proc. Int. Conf. Learn. Represent. (ICLR), virtual, May 2021.</w:t>
      </w:r>
    </w:p>
    <w:p>
      <w:pPr>
        <w:spacing w:after="40" w:before="40" w:line="240"/>
        <w:ind w:left="380" w:hanging="380"/>
      </w:pPr>
      <w:r>
        <w:rPr>
          <w:rFonts w:ascii="Times New Roman" w:cs="Times New Roman" w:eastAsia="Times New Roman" w:hAnsi="Times New Roman"/>
          <w:sz w:val="18"/>
          <w:szCs w:val="18"/>
        </w:rPr>
        <w:t xml:space="preserve">[5] A. Gu and T. Dao, “Mamba: Linear-time sequence modeling with selective state spaces,” arXiv:2312.00752 [cs.LG], Dec. 2023.</w:t>
      </w:r>
    </w:p>
    <w:p>
      <w:pPr>
        <w:spacing w:after="40" w:before="40" w:line="240"/>
        <w:ind w:left="380" w:hanging="380"/>
      </w:pPr>
      <w:r>
        <w:rPr>
          <w:rFonts w:ascii="Times New Roman" w:cs="Times New Roman" w:eastAsia="Times New Roman" w:hAnsi="Times New Roman"/>
          <w:sz w:val="18"/>
          <w:szCs w:val="18"/>
        </w:rPr>
        <w:t xml:space="preserve">[6] Z. Yu et al., “MambaOut: Do we really need Mamba for vision?” arXiv:2405.07992 [cs.CV], May 2024.</w:t>
      </w:r>
    </w:p>
    <w:p>
      <w:pPr>
        <w:spacing w:after="40" w:before="40" w:line="240"/>
        <w:ind w:left="380" w:hanging="380"/>
      </w:pPr>
      <w:r>
        <w:rPr>
          <w:rFonts w:ascii="Times New Roman" w:cs="Times New Roman" w:eastAsia="Times New Roman" w:hAnsi="Times New Roman"/>
          <w:sz w:val="18"/>
          <w:szCs w:val="18"/>
        </w:rPr>
        <w:t xml:space="preserve">[7] G. Jocher, A. Chaurasia, and J. Qiu, “Ultralytics YOLOv11,” version 8.x, 2023. [Online]. Available: https://github.com/ultralytics/ultralytics. [Accessed: Apr. 2026].</w:t>
      </w:r>
    </w:p>
    <w:p>
      <w:pPr>
        <w:spacing w:after="40" w:before="40" w:line="240"/>
        <w:ind w:left="380" w:hanging="380"/>
      </w:pPr>
      <w:r>
        <w:rPr>
          <w:rFonts w:ascii="Times New Roman" w:cs="Times New Roman" w:eastAsia="Times New Roman" w:hAnsi="Times New Roman"/>
          <w:sz w:val="18"/>
          <w:szCs w:val="18"/>
        </w:rPr>
        <w:t xml:space="preserve">[8] I. Loshchilov and F. Hutter, “Decoupled weight decay regularization,” in Proc. Int. Conf. Learn. Represent. (ICLR), New Orleans, LA, USA, 2019.</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after="0" w:before="8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80" w:before="0"/>
      <w:jc w:val="center"/>
    </w:pPr>
    <w:r>
      <w:rPr>
        <w:rFonts w:ascii="Times New Roman" w:cs="Times New Roman" w:eastAsia="Times New Roman" w:hAnsi="Times New Roman"/>
        <w:sz w:val="18"/>
        <w:szCs w:val="18"/>
      </w:rPr>
      <w:t xml:space="preserve">SHREY: MULTI-ARCHITECTURE DEEP LEARNING FOR GLAUCOMA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2026-04-22T05:20:59.033Z</dcterms:created>
  <dcterms:modified xsi:type="dcterms:W3CDTF">2026-04-22T05:20:59.034Z</dcterms:modified>
</cp:coreProperties>
</file>

<file path=docProps/custom.xml><?xml version="1.0" encoding="utf-8"?>
<Properties xmlns="http://schemas.openxmlformats.org/officeDocument/2006/custom-properties" xmlns:vt="http://schemas.openxmlformats.org/officeDocument/2006/docPropsVTypes"/>
</file>